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2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FORM 10-K</w:t>
      </w:r>
    </w:p>
    <w:p>
      <w:pPr>
        <w:spacing w:after="0" w:line="58"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91" w:lineRule="exact"/>
        <w:rPr>
          <w:sz w:val="24"/>
          <w:szCs w:val="24"/>
          <w:color w:val="auto"/>
        </w:rPr>
      </w:pPr>
    </w:p>
    <w:p>
      <w:pPr>
        <w:ind w:left="720" w:hanging="476"/>
        <w:spacing w:after="0"/>
        <w:tabs>
          <w:tab w:leader="none" w:pos="72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ANNUAL REPORT PURSUANT TO SECTION 13 OR 15(d) OF THE SECURITIES EXCHANGE ACT OF 1934</w:t>
      </w:r>
    </w:p>
    <w:p>
      <w:pPr>
        <w:spacing w:after="0" w:line="249" w:lineRule="exact"/>
        <w:rPr>
          <w:sz w:val="24"/>
          <w:szCs w:val="24"/>
          <w:color w:val="auto"/>
        </w:rPr>
      </w:pPr>
    </w:p>
    <w:p>
      <w:pPr>
        <w:jc w:val="center"/>
        <w:ind w:right="360"/>
        <w:spacing w:after="0"/>
        <w:rPr>
          <w:sz w:val="20"/>
          <w:szCs w:val="20"/>
          <w:color w:val="auto"/>
        </w:rPr>
      </w:pPr>
      <w:r>
        <w:rPr>
          <w:rFonts w:ascii="Arial" w:cs="Arial" w:eastAsia="Arial" w:hAnsi="Arial"/>
          <w:sz w:val="14"/>
          <w:szCs w:val="14"/>
          <w:color w:val="auto"/>
        </w:rPr>
        <w:t>For the fiscal year ended February 3, 2018</w:t>
      </w:r>
    </w:p>
    <w:p>
      <w:pPr>
        <w:spacing w:after="0" w:line="163" w:lineRule="exact"/>
        <w:rPr>
          <w:sz w:val="24"/>
          <w:szCs w:val="24"/>
          <w:color w:val="auto"/>
        </w:rPr>
      </w:pPr>
    </w:p>
    <w:p>
      <w:pPr>
        <w:jc w:val="center"/>
        <w:ind w:right="360"/>
        <w:spacing w:after="0"/>
        <w:rPr>
          <w:sz w:val="20"/>
          <w:szCs w:val="20"/>
          <w:color w:val="auto"/>
        </w:rPr>
      </w:pPr>
      <w:r>
        <w:rPr>
          <w:rFonts w:ascii="Arial" w:cs="Arial" w:eastAsia="Arial" w:hAnsi="Arial"/>
          <w:sz w:val="14"/>
          <w:szCs w:val="14"/>
          <w:color w:val="auto"/>
        </w:rPr>
        <w:t>OR</w:t>
      </w:r>
    </w:p>
    <w:p>
      <w:pPr>
        <w:spacing w:after="0" w:line="213" w:lineRule="exact"/>
        <w:rPr>
          <w:sz w:val="24"/>
          <w:szCs w:val="24"/>
          <w:color w:val="auto"/>
        </w:rPr>
      </w:pPr>
    </w:p>
    <w:p>
      <w:pPr>
        <w:ind w:left="2700" w:right="1360" w:hanging="2456"/>
        <w:spacing w:after="0" w:line="577" w:lineRule="auto"/>
        <w:tabs>
          <w:tab w:leader="none" w:pos="722"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 xml:space="preserve">TRANSITION REPORT PURSUANT TO SECTION 13 OR 15(d) OF THE SECURITIES EXCHANGE ACT OF 1934 </w:t>
      </w:r>
      <w:r>
        <w:rPr>
          <w:rFonts w:ascii="Arial" w:cs="Arial" w:eastAsia="Arial" w:hAnsi="Arial"/>
          <w:sz w:val="14"/>
          <w:szCs w:val="14"/>
          <w:color w:val="auto"/>
        </w:rPr>
        <w:t>For the transition period from __________ to __________</w:t>
      </w:r>
    </w:p>
    <w:p>
      <w:pPr>
        <w:ind w:left="3600"/>
        <w:spacing w:after="0"/>
        <w:rPr>
          <w:rFonts w:ascii="MS PGothic" w:cs="MS PGothic" w:eastAsia="MS PGothic" w:hAnsi="MS PGothic"/>
          <w:sz w:val="14"/>
          <w:szCs w:val="14"/>
          <w:color w:val="auto"/>
          <w:highlight w:val="black"/>
        </w:rPr>
      </w:pPr>
      <w:r>
        <w:rPr>
          <w:rFonts w:ascii="Arial" w:cs="Arial" w:eastAsia="Arial" w:hAnsi="Arial"/>
          <w:sz w:val="14"/>
          <w:szCs w:val="14"/>
          <w:color w:val="auto"/>
        </w:rPr>
        <w:t>Commission File No. 1-10299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1861185</wp:posOffset>
            </wp:positionH>
            <wp:positionV relativeFrom="paragraph">
              <wp:posOffset>117475</wp:posOffset>
            </wp:positionV>
            <wp:extent cx="2058035" cy="2228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58035" cy="22288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960" w:type="dxa"/>
            <w:vAlign w:val="bottom"/>
            <w:gridSpan w:val="5"/>
          </w:tcPr>
          <w:p>
            <w:pPr>
              <w:ind w:left="1020"/>
              <w:spacing w:after="0"/>
              <w:rPr>
                <w:sz w:val="20"/>
                <w:szCs w:val="20"/>
                <w:color w:val="auto"/>
              </w:rPr>
            </w:pPr>
            <w:r>
              <w:rPr>
                <w:rFonts w:ascii="Arial" w:cs="Arial" w:eastAsia="Arial" w:hAnsi="Arial"/>
                <w:sz w:val="14"/>
                <w:szCs w:val="14"/>
                <w:color w:val="auto"/>
              </w:rPr>
              <w:t>(Exact name of registrant as specified in its charter)</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680" w:type="dxa"/>
            <w:vAlign w:val="bottom"/>
          </w:tcPr>
          <w:p>
            <w:pPr>
              <w:spacing w:after="0"/>
              <w:rPr>
                <w:sz w:val="22"/>
                <w:szCs w:val="22"/>
                <w:color w:val="auto"/>
              </w:rPr>
            </w:pPr>
          </w:p>
        </w:tc>
        <w:tc>
          <w:tcPr>
            <w:tcW w:w="4660" w:type="dxa"/>
            <w:vAlign w:val="bottom"/>
            <w:gridSpan w:val="2"/>
          </w:tcPr>
          <w:p>
            <w:pPr>
              <w:jc w:val="center"/>
              <w:ind w:right="2868"/>
              <w:spacing w:after="0"/>
              <w:rPr>
                <w:sz w:val="20"/>
                <w:szCs w:val="20"/>
                <w:color w:val="auto"/>
              </w:rPr>
            </w:pPr>
            <w:r>
              <w:rPr>
                <w:rFonts w:ascii="Arial" w:cs="Arial" w:eastAsia="Arial" w:hAnsi="Arial"/>
                <w:sz w:val="14"/>
                <w:szCs w:val="14"/>
                <w:b w:val="1"/>
                <w:bCs w:val="1"/>
                <w:color w:val="auto"/>
              </w:rPr>
              <w:t>New York</w:t>
            </w:r>
          </w:p>
        </w:tc>
        <w:tc>
          <w:tcPr>
            <w:tcW w:w="230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13-3513936</w:t>
            </w: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5340" w:type="dxa"/>
            <w:vAlign w:val="bottom"/>
            <w:gridSpan w:val="3"/>
          </w:tcPr>
          <w:p>
            <w:pPr>
              <w:jc w:val="center"/>
              <w:ind w:right="2188"/>
              <w:spacing w:after="0"/>
              <w:rPr>
                <w:sz w:val="20"/>
                <w:szCs w:val="20"/>
                <w:color w:val="auto"/>
              </w:rPr>
            </w:pPr>
            <w:r>
              <w:rPr>
                <w:rFonts w:ascii="Arial" w:cs="Arial" w:eastAsia="Arial" w:hAnsi="Arial"/>
                <w:sz w:val="14"/>
                <w:szCs w:val="14"/>
                <w:i w:val="1"/>
                <w:iCs w:val="1"/>
                <w:color w:val="auto"/>
              </w:rPr>
              <w:t>(State or other jurisdiction of</w:t>
            </w:r>
          </w:p>
        </w:tc>
        <w:tc>
          <w:tcPr>
            <w:tcW w:w="2520" w:type="dxa"/>
            <w:vAlign w:val="bottom"/>
            <w:gridSpan w:val="4"/>
          </w:tcPr>
          <w:p>
            <w:pPr>
              <w:jc w:val="center"/>
              <w:ind w:right="100"/>
              <w:spacing w:after="0"/>
              <w:rPr>
                <w:sz w:val="20"/>
                <w:szCs w:val="20"/>
                <w:color w:val="auto"/>
              </w:rPr>
            </w:pPr>
            <w:r>
              <w:rPr>
                <w:rFonts w:ascii="Arial" w:cs="Arial" w:eastAsia="Arial" w:hAnsi="Arial"/>
                <w:sz w:val="14"/>
                <w:szCs w:val="14"/>
                <w:i w:val="1"/>
                <w:iCs w:val="1"/>
                <w:color w:val="auto"/>
              </w:rPr>
              <w:t>(I.R.S. Employer Identification No.)</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340" w:type="dxa"/>
            <w:vAlign w:val="bottom"/>
            <w:gridSpan w:val="3"/>
          </w:tcPr>
          <w:p>
            <w:pPr>
              <w:jc w:val="center"/>
              <w:ind w:right="2188"/>
              <w:spacing w:after="0"/>
              <w:rPr>
                <w:sz w:val="20"/>
                <w:szCs w:val="20"/>
                <w:color w:val="auto"/>
              </w:rPr>
            </w:pPr>
            <w:r>
              <w:rPr>
                <w:rFonts w:ascii="Arial" w:cs="Arial" w:eastAsia="Arial" w:hAnsi="Arial"/>
                <w:sz w:val="14"/>
                <w:szCs w:val="14"/>
                <w:i w:val="1"/>
                <w:iCs w:val="1"/>
                <w:color w:val="auto"/>
              </w:rPr>
              <w:t>incorporation or organization)</w:t>
            </w: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5340" w:type="dxa"/>
            <w:vAlign w:val="bottom"/>
            <w:gridSpan w:val="3"/>
          </w:tcPr>
          <w:p>
            <w:pPr>
              <w:jc w:val="center"/>
              <w:ind w:right="2188"/>
              <w:spacing w:after="0"/>
              <w:rPr>
                <w:sz w:val="20"/>
                <w:szCs w:val="20"/>
                <w:color w:val="auto"/>
              </w:rPr>
            </w:pPr>
            <w:r>
              <w:rPr>
                <w:rFonts w:ascii="Arial" w:cs="Arial" w:eastAsia="Arial" w:hAnsi="Arial"/>
                <w:sz w:val="14"/>
                <w:szCs w:val="14"/>
                <w:b w:val="1"/>
                <w:bCs w:val="1"/>
                <w:color w:val="auto"/>
              </w:rPr>
              <w:t>330 West 34</w:t>
            </w:r>
            <w:r>
              <w:rPr>
                <w:rFonts w:ascii="Arial" w:cs="Arial" w:eastAsia="Arial" w:hAnsi="Arial"/>
                <w:sz w:val="7"/>
                <w:szCs w:val="7"/>
                <w:b w:val="1"/>
                <w:bCs w:val="1"/>
                <w:color w:val="auto"/>
              </w:rPr>
              <w:t>th</w:t>
            </w:r>
            <w:r>
              <w:rPr>
                <w:rFonts w:ascii="Arial" w:cs="Arial" w:eastAsia="Arial" w:hAnsi="Arial"/>
                <w:sz w:val="14"/>
                <w:szCs w:val="14"/>
                <w:b w:val="1"/>
                <w:bCs w:val="1"/>
                <w:color w:val="auto"/>
              </w:rPr>
              <w:t xml:space="preserve"> Street, New York, New York</w:t>
            </w:r>
          </w:p>
        </w:tc>
        <w:tc>
          <w:tcPr>
            <w:tcW w:w="15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10001</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340" w:type="dxa"/>
            <w:vAlign w:val="bottom"/>
            <w:gridSpan w:val="3"/>
          </w:tcPr>
          <w:p>
            <w:pPr>
              <w:jc w:val="center"/>
              <w:ind w:right="2188"/>
              <w:spacing w:after="0"/>
              <w:rPr>
                <w:sz w:val="20"/>
                <w:szCs w:val="20"/>
                <w:color w:val="auto"/>
              </w:rPr>
            </w:pPr>
            <w:r>
              <w:rPr>
                <w:rFonts w:ascii="Arial" w:cs="Arial" w:eastAsia="Arial" w:hAnsi="Arial"/>
                <w:sz w:val="14"/>
                <w:szCs w:val="14"/>
                <w:i w:val="1"/>
                <w:iCs w:val="1"/>
                <w:color w:val="auto"/>
              </w:rPr>
              <w:t>(Address of principal executive offices)</w:t>
            </w:r>
          </w:p>
        </w:tc>
        <w:tc>
          <w:tcPr>
            <w:tcW w:w="800" w:type="dxa"/>
            <w:vAlign w:val="bottom"/>
          </w:tcPr>
          <w:p>
            <w:pPr>
              <w:spacing w:after="0"/>
              <w:rPr>
                <w:sz w:val="16"/>
                <w:szCs w:val="16"/>
                <w:color w:val="auto"/>
              </w:rPr>
            </w:pPr>
          </w:p>
        </w:tc>
        <w:tc>
          <w:tcPr>
            <w:tcW w:w="1720" w:type="dxa"/>
            <w:vAlign w:val="bottom"/>
            <w:gridSpan w:val="3"/>
          </w:tcPr>
          <w:p>
            <w:pPr>
              <w:jc w:val="center"/>
              <w:ind w:right="920"/>
              <w:spacing w:after="0"/>
              <w:rPr>
                <w:sz w:val="20"/>
                <w:szCs w:val="20"/>
                <w:color w:val="auto"/>
              </w:rPr>
            </w:pPr>
            <w:r>
              <w:rPr>
                <w:rFonts w:ascii="Arial" w:cs="Arial" w:eastAsia="Arial" w:hAnsi="Arial"/>
                <w:sz w:val="14"/>
                <w:szCs w:val="14"/>
                <w:i w:val="1"/>
                <w:iCs w:val="1"/>
                <w:color w:val="auto"/>
              </w:rPr>
              <w:t>(Zip Code)</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9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Registrant’s telephone number, including area code: (212) 720-3700</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960" w:type="dxa"/>
            <w:vAlign w:val="bottom"/>
            <w:gridSpan w:val="5"/>
          </w:tcPr>
          <w:p>
            <w:pPr>
              <w:ind w:left="920"/>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4660" w:type="dxa"/>
            <w:vAlign w:val="bottom"/>
            <w:gridSpan w:val="2"/>
            <w:vMerge w:val="restart"/>
          </w:tcPr>
          <w:p>
            <w:pPr>
              <w:jc w:val="center"/>
              <w:ind w:right="3368"/>
              <w:spacing w:after="0"/>
              <w:rPr>
                <w:sz w:val="20"/>
                <w:szCs w:val="20"/>
                <w:color w:val="auto"/>
              </w:rPr>
            </w:pPr>
            <w:r>
              <w:rPr>
                <w:rFonts w:ascii="Arial" w:cs="Arial" w:eastAsia="Arial" w:hAnsi="Arial"/>
                <w:sz w:val="14"/>
                <w:szCs w:val="14"/>
                <w:b w:val="1"/>
                <w:bCs w:val="1"/>
                <w:color w:val="auto"/>
              </w:rPr>
              <w:t>Title of each class</w:t>
            </w:r>
          </w:p>
        </w:tc>
        <w:tc>
          <w:tcPr>
            <w:tcW w:w="25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Name of each exchange on which</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0" w:type="dxa"/>
            <w:vAlign w:val="bottom"/>
          </w:tcPr>
          <w:p>
            <w:pPr>
              <w:spacing w:after="0"/>
              <w:rPr>
                <w:sz w:val="12"/>
                <w:szCs w:val="12"/>
                <w:color w:val="auto"/>
              </w:rPr>
            </w:pPr>
          </w:p>
        </w:tc>
        <w:tc>
          <w:tcPr>
            <w:tcW w:w="4660" w:type="dxa"/>
            <w:vAlign w:val="bottom"/>
            <w:gridSpan w:val="2"/>
            <w:vMerge w:val="continue"/>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jc w:val="center"/>
              <w:ind w:right="800"/>
              <w:spacing w:after="0" w:line="142" w:lineRule="exact"/>
              <w:rPr>
                <w:sz w:val="20"/>
                <w:szCs w:val="20"/>
                <w:color w:val="auto"/>
              </w:rPr>
            </w:pPr>
            <w:r>
              <w:rPr>
                <w:rFonts w:ascii="Arial" w:cs="Arial" w:eastAsia="Arial" w:hAnsi="Arial"/>
                <w:sz w:val="14"/>
                <w:szCs w:val="14"/>
                <w:b w:val="1"/>
                <w:bCs w:val="1"/>
                <w:color w:val="auto"/>
              </w:rPr>
              <w:t>registered</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340" w:type="dxa"/>
            <w:vAlign w:val="bottom"/>
            <w:gridSpan w:val="3"/>
          </w:tcPr>
          <w:p>
            <w:pPr>
              <w:jc w:val="center"/>
              <w:ind w:right="2688"/>
              <w:spacing w:after="0"/>
              <w:rPr>
                <w:sz w:val="20"/>
                <w:szCs w:val="20"/>
                <w:color w:val="auto"/>
              </w:rPr>
            </w:pPr>
            <w:r>
              <w:rPr>
                <w:rFonts w:ascii="Arial" w:cs="Arial" w:eastAsia="Arial" w:hAnsi="Arial"/>
                <w:sz w:val="14"/>
                <w:szCs w:val="14"/>
                <w:color w:val="auto"/>
              </w:rPr>
              <w:t>Common Stock, par value $0.01</w:t>
            </w:r>
          </w:p>
        </w:tc>
        <w:tc>
          <w:tcPr>
            <w:tcW w:w="2520" w:type="dxa"/>
            <w:vAlign w:val="bottom"/>
            <w:gridSpan w:val="4"/>
          </w:tcPr>
          <w:p>
            <w:pPr>
              <w:jc w:val="center"/>
              <w:ind w:right="240"/>
              <w:spacing w:after="0"/>
              <w:rPr>
                <w:sz w:val="20"/>
                <w:szCs w:val="20"/>
                <w:color w:val="auto"/>
              </w:rPr>
            </w:pPr>
            <w:r>
              <w:rPr>
                <w:rFonts w:ascii="Arial" w:cs="Arial" w:eastAsia="Arial" w:hAnsi="Arial"/>
                <w:sz w:val="14"/>
                <w:szCs w:val="14"/>
                <w:color w:val="auto"/>
              </w:rPr>
              <w:t>New York Stock Exchange</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9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Securities registered pursuant to Section 12(g) of the Act: None</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7860" w:type="dxa"/>
            <w:vAlign w:val="bottom"/>
            <w:gridSpan w:val="7"/>
          </w:tcPr>
          <w:p>
            <w:pPr>
              <w:spacing w:after="0" w:line="161" w:lineRule="exact"/>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 Yes</w:t>
            </w:r>
            <w:r>
              <w:rPr>
                <w:rFonts w:ascii="MS PGothic" w:cs="MS PGothic" w:eastAsia="MS PGothic" w:hAnsi="MS PGothic"/>
                <w:sz w:val="14"/>
                <w:szCs w:val="14"/>
                <w:color w:val="auto"/>
              </w:rPr>
              <w:t>☒</w:t>
            </w:r>
          </w:p>
        </w:tc>
        <w:tc>
          <w:tcPr>
            <w:tcW w:w="600" w:type="dxa"/>
            <w:vAlign w:val="bottom"/>
          </w:tcPr>
          <w:p>
            <w:pPr>
              <w:ind w:left="20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43"/>
        </w:trPr>
        <w:tc>
          <w:tcPr>
            <w:tcW w:w="7860" w:type="dxa"/>
            <w:vAlign w:val="bottom"/>
            <w:gridSpan w:val="7"/>
          </w:tcPr>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p>
        </w:tc>
        <w:tc>
          <w:tcPr>
            <w:tcW w:w="600" w:type="dxa"/>
            <w:vAlign w:val="bottom"/>
          </w:tcPr>
          <w:p>
            <w:pPr>
              <w:ind w:left="300"/>
              <w:spacing w:after="0" w:line="161" w:lineRule="exact"/>
              <w:rPr>
                <w:sz w:val="20"/>
                <w:szCs w:val="20"/>
                <w:color w:val="auto"/>
              </w:rPr>
            </w:pPr>
            <w:r>
              <w:rPr>
                <w:rFonts w:ascii="Arial" w:cs="Arial" w:eastAsia="Arial" w:hAnsi="Arial"/>
                <w:sz w:val="14"/>
                <w:szCs w:val="14"/>
                <w:color w:val="auto"/>
                <w:w w:val="87"/>
              </w:rPr>
              <w:t>No</w:t>
            </w:r>
            <w:r>
              <w:rPr>
                <w:rFonts w:ascii="MS PGothic" w:cs="MS PGothic" w:eastAsia="MS PGothic" w:hAnsi="MS PGothic"/>
                <w:sz w:val="14"/>
                <w:szCs w:val="14"/>
                <w:color w:val="auto"/>
                <w:w w:val="87"/>
              </w:rPr>
              <w:t>☒</w:t>
            </w:r>
          </w:p>
        </w:tc>
        <w:tc>
          <w:tcPr>
            <w:tcW w:w="0" w:type="dxa"/>
            <w:vAlign w:val="bottom"/>
          </w:tcPr>
          <w:p>
            <w:pPr>
              <w:spacing w:after="0"/>
              <w:rPr>
                <w:sz w:val="1"/>
                <w:szCs w:val="1"/>
                <w:color w:val="auto"/>
              </w:rPr>
            </w:pPr>
          </w:p>
        </w:tc>
      </w:tr>
    </w:tbl>
    <w:p>
      <w:pPr>
        <w:spacing w:after="0" w:line="67" w:lineRule="exact"/>
        <w:rPr>
          <w:sz w:val="24"/>
          <w:szCs w:val="24"/>
          <w:color w:val="auto"/>
        </w:rPr>
      </w:pPr>
    </w:p>
    <w:p>
      <w:pPr>
        <w:jc w:val="both"/>
        <w:spacing w:after="0" w:line="15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4" w:lineRule="exact"/>
        <w:rPr>
          <w:sz w:val="24"/>
          <w:szCs w:val="24"/>
          <w:color w:val="auto"/>
        </w:rPr>
      </w:pPr>
    </w:p>
    <w:p>
      <w:pPr>
        <w:jc w:val="both"/>
        <w:spacing w:after="0" w:line="158"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4" w:lineRule="exact"/>
        <w:rPr>
          <w:sz w:val="24"/>
          <w:szCs w:val="24"/>
          <w:color w:val="auto"/>
        </w:rPr>
      </w:pPr>
    </w:p>
    <w:p>
      <w:pPr>
        <w:jc w:val="both"/>
        <w:spacing w:after="0" w:line="255" w:lineRule="auto"/>
        <w:rPr>
          <w:sz w:val="20"/>
          <w:szCs w:val="20"/>
          <w:color w:val="auto"/>
        </w:rPr>
      </w:pPr>
      <w:r>
        <w:rPr>
          <w:rFonts w:ascii="Arial" w:cs="Arial" w:eastAsia="Arial" w:hAnsi="Arial"/>
          <w:sz w:val="12"/>
          <w:szCs w:val="12"/>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w:t>
      </w:r>
    </w:p>
    <w:p>
      <w:pPr>
        <w:spacing w:after="0" w:line="1" w:lineRule="exact"/>
        <w:rPr>
          <w:sz w:val="24"/>
          <w:szCs w:val="24"/>
          <w:color w:val="auto"/>
        </w:rPr>
      </w:pPr>
    </w:p>
    <w:p>
      <w:pPr>
        <w:ind w:left="160" w:hanging="160"/>
        <w:spacing w:after="0" w:line="161" w:lineRule="exact"/>
        <w:tabs>
          <w:tab w:leader="none" w:pos="160" w:val="left"/>
        </w:tabs>
        <w:numPr>
          <w:ilvl w:val="0"/>
          <w:numId w:val="3"/>
        </w:numPr>
        <w:rPr>
          <w:rFonts w:ascii="Arial" w:cs="Arial" w:eastAsia="Arial" w:hAnsi="Arial"/>
          <w:sz w:val="14"/>
          <w:szCs w:val="14"/>
          <w:color w:val="auto"/>
        </w:rPr>
      </w:pPr>
      <w:r>
        <w:rPr>
          <w:rFonts w:ascii="MS PGothic" w:cs="MS PGothic" w:eastAsia="MS PGothic" w:hAnsi="MS PGothic"/>
          <w:sz w:val="14"/>
          <w:szCs w:val="14"/>
          <w:color w:val="auto"/>
        </w:rPr>
        <w:t>☐</w:t>
      </w:r>
    </w:p>
    <w:p>
      <w:pPr>
        <w:spacing w:after="0" w:line="72" w:lineRule="exact"/>
        <w:rPr>
          <w:sz w:val="24"/>
          <w:szCs w:val="24"/>
          <w:color w:val="auto"/>
        </w:rPr>
      </w:pPr>
    </w:p>
    <w:p>
      <w:pPr>
        <w:jc w:val="both"/>
        <w:spacing w:after="0" w:line="22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3" w:lineRule="exact"/>
        <w:rPr>
          <w:sz w:val="24"/>
          <w:szCs w:val="24"/>
          <w:color w:val="auto"/>
        </w:rPr>
      </w:pPr>
    </w:p>
    <w:p>
      <w:pPr>
        <w:ind w:left="240" w:right="680"/>
        <w:spacing w:after="0" w:line="22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Smaller reporting company </w:t>
      </w:r>
      <w:r>
        <w:rPr>
          <w:rFonts w:ascii="MS PGothic" w:cs="MS PGothic" w:eastAsia="MS PGothic" w:hAnsi="MS PGothic"/>
          <w:sz w:val="14"/>
          <w:szCs w:val="14"/>
          <w:color w:val="auto"/>
        </w:rPr>
        <w:t>☐</w:t>
      </w:r>
      <w:r>
        <w:rPr>
          <w:rFonts w:ascii="Arial" w:cs="Arial" w:eastAsia="Arial" w:hAnsi="Arial"/>
          <w:sz w:val="14"/>
          <w:szCs w:val="14"/>
          <w:color w:val="auto"/>
        </w:rPr>
        <w:t xml:space="preserve"> Emerging growth company </w:t>
      </w:r>
      <w:r>
        <w:rPr>
          <w:rFonts w:ascii="MS PGothic" w:cs="MS PGothic" w:eastAsia="MS PGothic" w:hAnsi="MS PGothic"/>
          <w:sz w:val="14"/>
          <w:szCs w:val="14"/>
          <w:color w:val="auto"/>
        </w:rPr>
        <w:t>☐</w:t>
      </w:r>
    </w:p>
    <w:p>
      <w:pPr>
        <w:spacing w:after="0" w:line="288" w:lineRule="exact"/>
        <w:rPr>
          <w:sz w:val="24"/>
          <w:szCs w:val="24"/>
          <w:color w:val="auto"/>
        </w:rPr>
      </w:pPr>
    </w:p>
    <w:p>
      <w:pPr>
        <w:spacing w:after="0" w:line="16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8180" w:type="dxa"/>
            <w:vAlign w:val="bottom"/>
          </w:tcPr>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r>
              <w:rPr>
                <w:rFonts w:ascii="MS PGothic" w:cs="MS PGothic" w:eastAsia="MS PGothic" w:hAnsi="MS PGothic"/>
                <w:sz w:val="14"/>
                <w:szCs w:val="14"/>
                <w:color w:val="auto"/>
              </w:rPr>
              <w:t>☒</w:t>
            </w:r>
          </w:p>
        </w:tc>
        <w:tc>
          <w:tcPr>
            <w:tcW w:w="1260" w:type="dxa"/>
            <w:vAlign w:val="bottom"/>
          </w:tcPr>
          <w:p>
            <w:pPr>
              <w:spacing w:after="0"/>
              <w:rPr>
                <w:sz w:val="18"/>
                <w:szCs w:val="18"/>
                <w:color w:val="auto"/>
              </w:rPr>
            </w:pPr>
          </w:p>
        </w:tc>
      </w:tr>
      <w:tr>
        <w:trPr>
          <w:trHeight w:val="229"/>
        </w:trPr>
        <w:tc>
          <w:tcPr>
            <w:tcW w:w="8180" w:type="dxa"/>
            <w:vAlign w:val="bottom"/>
          </w:tcPr>
          <w:p>
            <w:pPr>
              <w:spacing w:after="0"/>
              <w:rPr>
                <w:sz w:val="20"/>
                <w:szCs w:val="20"/>
                <w:color w:val="auto"/>
              </w:rPr>
            </w:pPr>
            <w:r>
              <w:rPr>
                <w:rFonts w:ascii="Arial" w:cs="Arial" w:eastAsia="Arial" w:hAnsi="Arial"/>
                <w:sz w:val="14"/>
                <w:szCs w:val="14"/>
                <w:color w:val="auto"/>
              </w:rPr>
              <w:t>The number of shares of the Registrant’s Common Stock, par value $0.01 per share, outstanding as of March 26, 2018:</w:t>
            </w:r>
          </w:p>
        </w:tc>
        <w:tc>
          <w:tcPr>
            <w:tcW w:w="1260" w:type="dxa"/>
            <w:vAlign w:val="bottom"/>
          </w:tcPr>
          <w:p>
            <w:pPr>
              <w:jc w:val="right"/>
              <w:spacing w:after="0"/>
              <w:rPr>
                <w:sz w:val="20"/>
                <w:szCs w:val="20"/>
                <w:color w:val="auto"/>
              </w:rPr>
            </w:pPr>
            <w:r>
              <w:rPr>
                <w:rFonts w:ascii="Arial" w:cs="Arial" w:eastAsia="Arial" w:hAnsi="Arial"/>
                <w:sz w:val="14"/>
                <w:szCs w:val="14"/>
                <w:color w:val="auto"/>
              </w:rPr>
              <w:t>118,115,818</w:t>
            </w:r>
          </w:p>
        </w:tc>
      </w:tr>
      <w:tr>
        <w:trPr>
          <w:trHeight w:val="337"/>
        </w:trPr>
        <w:tc>
          <w:tcPr>
            <w:tcW w:w="8180" w:type="dxa"/>
            <w:vAlign w:val="bottom"/>
          </w:tcPr>
          <w:p>
            <w:pPr>
              <w:spacing w:after="0"/>
              <w:rPr>
                <w:sz w:val="20"/>
                <w:szCs w:val="20"/>
                <w:color w:val="auto"/>
              </w:rPr>
            </w:pPr>
            <w:r>
              <w:rPr>
                <w:rFonts w:ascii="Arial" w:cs="Arial" w:eastAsia="Arial" w:hAnsi="Arial"/>
                <w:sz w:val="14"/>
                <w:szCs w:val="14"/>
                <w:color w:val="auto"/>
              </w:rPr>
              <w:t>The aggregate market value of voting stock held by non-affiliates of the Registrant computed by reference to the closing price as of</w:t>
            </w:r>
          </w:p>
        </w:tc>
        <w:tc>
          <w:tcPr>
            <w:tcW w:w="1260" w:type="dxa"/>
            <w:vAlign w:val="bottom"/>
          </w:tcPr>
          <w:p>
            <w:pPr>
              <w:spacing w:after="0"/>
              <w:rPr>
                <w:sz w:val="24"/>
                <w:szCs w:val="24"/>
                <w:color w:val="auto"/>
              </w:rPr>
            </w:pPr>
          </w:p>
        </w:tc>
      </w:tr>
      <w:tr>
        <w:trPr>
          <w:trHeight w:val="162"/>
        </w:trPr>
        <w:tc>
          <w:tcPr>
            <w:tcW w:w="8180" w:type="dxa"/>
            <w:vAlign w:val="bottom"/>
          </w:tcPr>
          <w:p>
            <w:pPr>
              <w:spacing w:after="0"/>
              <w:rPr>
                <w:sz w:val="20"/>
                <w:szCs w:val="20"/>
                <w:color w:val="auto"/>
              </w:rPr>
            </w:pPr>
            <w:r>
              <w:rPr>
                <w:rFonts w:ascii="Arial" w:cs="Arial" w:eastAsia="Arial" w:hAnsi="Arial"/>
                <w:sz w:val="14"/>
                <w:szCs w:val="14"/>
                <w:color w:val="auto"/>
              </w:rPr>
              <w:t>the last business day of the Registrant’s most recently completed second fiscal quarter, July 29, 2017, was approximately:</w:t>
            </w:r>
          </w:p>
        </w:tc>
        <w:tc>
          <w:tcPr>
            <w:tcW w:w="1260" w:type="dxa"/>
            <w:vAlign w:val="bottom"/>
          </w:tcPr>
          <w:p>
            <w:pPr>
              <w:jc w:val="right"/>
              <w:spacing w:after="0"/>
              <w:rPr>
                <w:sz w:val="20"/>
                <w:szCs w:val="20"/>
                <w:color w:val="auto"/>
              </w:rPr>
            </w:pPr>
            <w:r>
              <w:rPr>
                <w:rFonts w:ascii="Arial" w:cs="Arial" w:eastAsia="Arial" w:hAnsi="Arial"/>
                <w:sz w:val="14"/>
                <w:szCs w:val="14"/>
                <w:color w:val="auto"/>
              </w:rPr>
              <w:t>$4,504,950,585*</w:t>
            </w:r>
          </w:p>
        </w:tc>
      </w:tr>
    </w:tbl>
    <w:p>
      <w:pPr>
        <w:spacing w:after="0" w:line="94" w:lineRule="exact"/>
        <w:rPr>
          <w:sz w:val="24"/>
          <w:szCs w:val="24"/>
          <w:color w:val="auto"/>
        </w:rPr>
      </w:pPr>
    </w:p>
    <w:p>
      <w:pPr>
        <w:jc w:val="both"/>
        <w:ind w:left="240" w:hanging="240"/>
        <w:spacing w:after="0" w:line="228" w:lineRule="auto"/>
        <w:tabs>
          <w:tab w:leader="none" w:pos="240" w:val="left"/>
        </w:tabs>
        <w:numPr>
          <w:ilvl w:val="0"/>
          <w:numId w:val="4"/>
        </w:numPr>
        <w:rPr>
          <w:rFonts w:ascii="Arial" w:cs="Arial" w:eastAsia="Arial" w:hAnsi="Arial"/>
          <w:sz w:val="14"/>
          <w:szCs w:val="14"/>
          <w:color w:val="auto"/>
        </w:rPr>
      </w:pPr>
      <w:r>
        <w:rPr>
          <w:rFonts w:ascii="Arial" w:cs="Arial" w:eastAsia="Arial" w:hAnsi="Arial"/>
          <w:sz w:val="14"/>
          <w:szCs w:val="14"/>
          <w:color w:val="auto"/>
        </w:rPr>
        <w:t>For purposes of this calculation only (a) all directors plus three executive officers and owners of five percent or more of the Registrant are deemed to be affiliates of the Registrant and (b) shares deemed to be “held” by such persons include only outstanding shares of the Registrant’s voting stock with respect to which such persons had, on such date, voting or investment power.</w:t>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85" w:lineRule="exact"/>
        <w:rPr>
          <w:sz w:val="24"/>
          <w:szCs w:val="24"/>
          <w:color w:val="auto"/>
        </w:rPr>
      </w:pPr>
    </w:p>
    <w:p>
      <w:pPr>
        <w:spacing w:after="0" w:line="231" w:lineRule="auto"/>
        <w:rPr>
          <w:sz w:val="20"/>
          <w:szCs w:val="20"/>
          <w:color w:val="auto"/>
        </w:rPr>
      </w:pPr>
      <w:r>
        <w:rPr>
          <w:rFonts w:ascii="Arial" w:cs="Arial" w:eastAsia="Arial" w:hAnsi="Arial"/>
          <w:sz w:val="14"/>
          <w:szCs w:val="14"/>
          <w:color w:val="auto"/>
        </w:rPr>
        <w:t>Portions of the Registrant’s definitive Proxy Statement (the “Proxy Statement”) to be filed in connection with the Annual Meeting of Shareholders to be held on May 23, 2018: Parts III and IV.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116840</wp:posOffset>
            </wp:positionV>
            <wp:extent cx="6054090" cy="514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215" w:right="12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300" w:type="dxa"/>
            <w:vAlign w:val="bottom"/>
            <w:gridSpan w:val="10"/>
          </w:tcPr>
          <w:p>
            <w:pPr>
              <w:jc w:val="center"/>
              <w:ind w:right="3340"/>
              <w:spacing w:after="0"/>
              <w:rPr>
                <w:sz w:val="20"/>
                <w:szCs w:val="20"/>
                <w:color w:val="auto"/>
              </w:rPr>
            </w:pPr>
            <w:r>
              <w:rPr>
                <w:rFonts w:ascii="Arial" w:cs="Arial" w:eastAsia="Arial" w:hAnsi="Arial"/>
                <w:sz w:val="17"/>
                <w:szCs w:val="17"/>
                <w:b w:val="1"/>
                <w:bCs w:val="1"/>
                <w:color w:val="auto"/>
              </w:rPr>
              <w:t>FOOT LOCKER, INC.</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300" w:type="dxa"/>
            <w:vAlign w:val="bottom"/>
            <w:gridSpan w:val="10"/>
          </w:tcPr>
          <w:p>
            <w:pPr>
              <w:jc w:val="center"/>
              <w:ind w:right="3340"/>
              <w:spacing w:after="0"/>
              <w:rPr>
                <w:sz w:val="20"/>
                <w:szCs w:val="20"/>
                <w:color w:val="auto"/>
              </w:rPr>
            </w:pPr>
            <w:r>
              <w:rPr>
                <w:rFonts w:ascii="Arial" w:cs="Arial" w:eastAsia="Arial" w:hAnsi="Arial"/>
                <w:sz w:val="17"/>
                <w:szCs w:val="17"/>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200" w:type="dxa"/>
            <w:vAlign w:val="bottom"/>
            <w:gridSpan w:val="4"/>
          </w:tcPr>
          <w:p>
            <w:pPr>
              <w:spacing w:after="0"/>
              <w:rPr>
                <w:sz w:val="20"/>
                <w:szCs w:val="20"/>
                <w:color w:val="auto"/>
              </w:rPr>
            </w:pPr>
            <w:r>
              <w:rPr>
                <w:rFonts w:ascii="Arial" w:cs="Arial" w:eastAsia="Arial" w:hAnsi="Arial"/>
                <w:sz w:val="17"/>
                <w:szCs w:val="17"/>
                <w:b w:val="1"/>
                <w:bCs w:val="1"/>
                <w:color w:val="auto"/>
              </w:rPr>
              <w:t>PART I</w:t>
            </w: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Item 1.</w:t>
            </w:r>
          </w:p>
        </w:tc>
        <w:tc>
          <w:tcPr>
            <w:tcW w:w="700" w:type="dxa"/>
            <w:vAlign w:val="bottom"/>
            <w:tcBorders>
              <w:bottom w:val="single" w:sz="8" w:color="0000EE"/>
            </w:tcBorders>
            <w:gridSpan w:val="2"/>
            <w:shd w:val="clear" w:color="auto" w:fill="CCEEFF"/>
          </w:tcPr>
          <w:p>
            <w:pPr>
              <w:spacing w:after="0"/>
              <w:rPr>
                <w:rFonts w:ascii="Arial" w:cs="Arial" w:eastAsia="Arial" w:hAnsi="Arial"/>
                <w:sz w:val="17"/>
                <w:szCs w:val="17"/>
                <w:color w:val="0000EE"/>
                <w:w w:val="98"/>
              </w:rPr>
            </w:pPr>
            <w:hyperlink w:anchor="page3">
              <w:r>
                <w:rPr>
                  <w:rFonts w:ascii="Arial" w:cs="Arial" w:eastAsia="Arial" w:hAnsi="Arial"/>
                  <w:sz w:val="17"/>
                  <w:szCs w:val="17"/>
                  <w:color w:val="0000EE"/>
                  <w:w w:val="98"/>
                </w:rPr>
                <w:t>Business</w:t>
              </w:r>
            </w:hyperlink>
          </w:p>
        </w:tc>
        <w:tc>
          <w:tcPr>
            <w:tcW w:w="7280" w:type="dxa"/>
            <w:vAlign w:val="bottom"/>
            <w:tcBorders>
              <w:bottom w:val="single" w:sz="8" w:color="CCEEFF"/>
            </w:tcBorders>
            <w:gridSpan w:val="20"/>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37"/>
        </w:trPr>
        <w:tc>
          <w:tcPr>
            <w:tcW w:w="1200" w:type="dxa"/>
            <w:vAlign w:val="bottom"/>
            <w:gridSpan w:val="4"/>
          </w:tcPr>
          <w:p>
            <w:pPr>
              <w:spacing w:after="0"/>
              <w:rPr>
                <w:sz w:val="20"/>
                <w:szCs w:val="20"/>
                <w:color w:val="auto"/>
              </w:rPr>
            </w:pPr>
            <w:r>
              <w:rPr>
                <w:rFonts w:ascii="Arial" w:cs="Arial" w:eastAsia="Arial" w:hAnsi="Arial"/>
                <w:sz w:val="17"/>
                <w:szCs w:val="17"/>
                <w:color w:val="auto"/>
              </w:rPr>
              <w:t>Item 1A.</w:t>
            </w:r>
          </w:p>
        </w:tc>
        <w:tc>
          <w:tcPr>
            <w:tcW w:w="960" w:type="dxa"/>
            <w:vAlign w:val="bottom"/>
            <w:tcBorders>
              <w:bottom w:val="single" w:sz="8" w:color="0000EE"/>
            </w:tcBorders>
            <w:gridSpan w:val="5"/>
          </w:tcPr>
          <w:p>
            <w:pPr>
              <w:spacing w:after="0"/>
              <w:rPr>
                <w:rFonts w:ascii="Arial" w:cs="Arial" w:eastAsia="Arial" w:hAnsi="Arial"/>
                <w:sz w:val="17"/>
                <w:szCs w:val="17"/>
                <w:color w:val="0000EE"/>
                <w:w w:val="99"/>
              </w:rPr>
            </w:pPr>
            <w:hyperlink w:anchor="page3">
              <w:r>
                <w:rPr>
                  <w:rFonts w:ascii="Arial" w:cs="Arial" w:eastAsia="Arial" w:hAnsi="Arial"/>
                  <w:sz w:val="17"/>
                  <w:szCs w:val="17"/>
                  <w:color w:val="0000EE"/>
                  <w:w w:val="99"/>
                </w:rPr>
                <w:t>Risk Factors</w:t>
              </w:r>
            </w:hyperlink>
          </w:p>
        </w:tc>
        <w:tc>
          <w:tcPr>
            <w:tcW w:w="7020" w:type="dxa"/>
            <w:vAlign w:val="bottom"/>
            <w:gridSpan w:val="17"/>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Item 1B.</w:t>
            </w:r>
          </w:p>
        </w:tc>
        <w:tc>
          <w:tcPr>
            <w:tcW w:w="2140" w:type="dxa"/>
            <w:vAlign w:val="bottom"/>
            <w:tcBorders>
              <w:bottom w:val="single" w:sz="8" w:color="0000EE"/>
            </w:tcBorders>
            <w:gridSpan w:val="11"/>
            <w:shd w:val="clear" w:color="auto" w:fill="CCEEFF"/>
          </w:tcPr>
          <w:p>
            <w:pPr>
              <w:spacing w:after="0"/>
              <w:rPr>
                <w:rFonts w:ascii="Arial" w:cs="Arial" w:eastAsia="Arial" w:hAnsi="Arial"/>
                <w:sz w:val="17"/>
                <w:szCs w:val="17"/>
                <w:color w:val="0000EE"/>
                <w:w w:val="99"/>
              </w:rPr>
            </w:pPr>
            <w:hyperlink w:anchor="page11">
              <w:r>
                <w:rPr>
                  <w:rFonts w:ascii="Arial" w:cs="Arial" w:eastAsia="Arial" w:hAnsi="Arial"/>
                  <w:sz w:val="17"/>
                  <w:szCs w:val="17"/>
                  <w:color w:val="0000EE"/>
                  <w:w w:val="99"/>
                </w:rPr>
                <w:t>Unresolved Staff Comments</w:t>
              </w:r>
            </w:hyperlink>
          </w:p>
        </w:tc>
        <w:tc>
          <w:tcPr>
            <w:tcW w:w="5840" w:type="dxa"/>
            <w:vAlign w:val="bottom"/>
            <w:tcBorders>
              <w:bottom w:val="single" w:sz="8" w:color="CCEEFF"/>
            </w:tcBorders>
            <w:gridSpan w:val="11"/>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30"/>
        </w:trPr>
        <w:tc>
          <w:tcPr>
            <w:tcW w:w="1200" w:type="dxa"/>
            <w:vAlign w:val="bottom"/>
            <w:gridSpan w:val="4"/>
          </w:tcPr>
          <w:p>
            <w:pPr>
              <w:spacing w:after="0"/>
              <w:rPr>
                <w:sz w:val="20"/>
                <w:szCs w:val="20"/>
                <w:color w:val="auto"/>
              </w:rPr>
            </w:pPr>
            <w:r>
              <w:rPr>
                <w:rFonts w:ascii="Arial" w:cs="Arial" w:eastAsia="Arial" w:hAnsi="Arial"/>
                <w:sz w:val="17"/>
                <w:szCs w:val="17"/>
                <w:color w:val="auto"/>
              </w:rPr>
              <w:t>Item 2.</w:t>
            </w:r>
          </w:p>
        </w:tc>
        <w:tc>
          <w:tcPr>
            <w:tcW w:w="7980" w:type="dxa"/>
            <w:vAlign w:val="bottom"/>
            <w:gridSpan w:val="22"/>
          </w:tcPr>
          <w:p>
            <w:pPr>
              <w:spacing w:after="0"/>
              <w:rPr>
                <w:rFonts w:ascii="Arial" w:cs="Arial" w:eastAsia="Arial" w:hAnsi="Arial"/>
                <w:sz w:val="17"/>
                <w:szCs w:val="17"/>
                <w:color w:val="0000EE"/>
              </w:rPr>
            </w:pPr>
            <w:hyperlink w:anchor="page11">
              <w:r>
                <w:rPr>
                  <w:rFonts w:ascii="Arial" w:cs="Arial" w:eastAsia="Arial" w:hAnsi="Arial"/>
                  <w:sz w:val="17"/>
                  <w:szCs w:val="17"/>
                  <w:color w:val="0000EE"/>
                </w:rPr>
                <w:t>Properties</w:t>
              </w:r>
            </w:hyperlink>
          </w:p>
        </w:tc>
        <w:tc>
          <w:tcPr>
            <w:tcW w:w="280" w:type="dxa"/>
            <w:vAlign w:val="bottom"/>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Item 3.</w:t>
            </w:r>
          </w:p>
        </w:tc>
        <w:tc>
          <w:tcPr>
            <w:tcW w:w="1420" w:type="dxa"/>
            <w:vAlign w:val="bottom"/>
            <w:tcBorders>
              <w:bottom w:val="single" w:sz="8" w:color="0000EE"/>
            </w:tcBorders>
            <w:gridSpan w:val="7"/>
            <w:shd w:val="clear" w:color="auto" w:fill="CCEEFF"/>
          </w:tcPr>
          <w:p>
            <w:pPr>
              <w:spacing w:after="0"/>
              <w:rPr>
                <w:rFonts w:ascii="Arial" w:cs="Arial" w:eastAsia="Arial" w:hAnsi="Arial"/>
                <w:sz w:val="17"/>
                <w:szCs w:val="17"/>
                <w:color w:val="0000EE"/>
                <w:w w:val="99"/>
              </w:rPr>
            </w:pPr>
            <w:hyperlink w:anchor="page11">
              <w:r>
                <w:rPr>
                  <w:rFonts w:ascii="Arial" w:cs="Arial" w:eastAsia="Arial" w:hAnsi="Arial"/>
                  <w:sz w:val="17"/>
                  <w:szCs w:val="17"/>
                  <w:color w:val="0000EE"/>
                  <w:w w:val="99"/>
                </w:rPr>
                <w:t>Legal Proceedings</w:t>
              </w:r>
            </w:hyperlink>
          </w:p>
        </w:tc>
        <w:tc>
          <w:tcPr>
            <w:tcW w:w="6560" w:type="dxa"/>
            <w:vAlign w:val="bottom"/>
            <w:tcBorders>
              <w:bottom w:val="single" w:sz="8" w:color="CCEEFF"/>
            </w:tcBorders>
            <w:gridSpan w:val="15"/>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37"/>
        </w:trPr>
        <w:tc>
          <w:tcPr>
            <w:tcW w:w="1200" w:type="dxa"/>
            <w:vAlign w:val="bottom"/>
            <w:gridSpan w:val="4"/>
          </w:tcPr>
          <w:p>
            <w:pPr>
              <w:spacing w:after="0"/>
              <w:rPr>
                <w:sz w:val="20"/>
                <w:szCs w:val="20"/>
                <w:color w:val="auto"/>
              </w:rPr>
            </w:pPr>
            <w:r>
              <w:rPr>
                <w:rFonts w:ascii="Arial" w:cs="Arial" w:eastAsia="Arial" w:hAnsi="Arial"/>
                <w:sz w:val="17"/>
                <w:szCs w:val="17"/>
                <w:color w:val="auto"/>
              </w:rPr>
              <w:t>Item 4.</w:t>
            </w:r>
          </w:p>
        </w:tc>
        <w:tc>
          <w:tcPr>
            <w:tcW w:w="1840" w:type="dxa"/>
            <w:vAlign w:val="bottom"/>
            <w:tcBorders>
              <w:bottom w:val="single" w:sz="8" w:color="0000EE"/>
            </w:tcBorders>
            <w:gridSpan w:val="9"/>
          </w:tcPr>
          <w:p>
            <w:pPr>
              <w:spacing w:after="0"/>
              <w:rPr>
                <w:rFonts w:ascii="Arial" w:cs="Arial" w:eastAsia="Arial" w:hAnsi="Arial"/>
                <w:sz w:val="17"/>
                <w:szCs w:val="17"/>
                <w:color w:val="0000EE"/>
                <w:w w:val="99"/>
              </w:rPr>
            </w:pPr>
            <w:hyperlink w:anchor="page11">
              <w:r>
                <w:rPr>
                  <w:rFonts w:ascii="Arial" w:cs="Arial" w:eastAsia="Arial" w:hAnsi="Arial"/>
                  <w:sz w:val="17"/>
                  <w:szCs w:val="17"/>
                  <w:color w:val="0000EE"/>
                  <w:w w:val="99"/>
                </w:rPr>
                <w:t>Mine Safety Disclosures</w:t>
              </w:r>
            </w:hyperlink>
          </w:p>
        </w:tc>
        <w:tc>
          <w:tcPr>
            <w:tcW w:w="6140" w:type="dxa"/>
            <w:vAlign w:val="bottom"/>
            <w:gridSpan w:val="13"/>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Item 4A.</w:t>
            </w:r>
          </w:p>
        </w:tc>
        <w:tc>
          <w:tcPr>
            <w:tcW w:w="2680" w:type="dxa"/>
            <w:vAlign w:val="bottom"/>
            <w:tcBorders>
              <w:bottom w:val="single" w:sz="8" w:color="0000EE"/>
            </w:tcBorders>
            <w:gridSpan w:val="12"/>
            <w:shd w:val="clear" w:color="auto" w:fill="CCEEFF"/>
          </w:tcPr>
          <w:p>
            <w:pPr>
              <w:spacing w:after="0"/>
              <w:rPr>
                <w:rFonts w:ascii="Arial" w:cs="Arial" w:eastAsia="Arial" w:hAnsi="Arial"/>
                <w:sz w:val="17"/>
                <w:szCs w:val="17"/>
                <w:color w:val="0000EE"/>
                <w:w w:val="99"/>
              </w:rPr>
            </w:pPr>
            <w:hyperlink w:anchor="page12">
              <w:r>
                <w:rPr>
                  <w:rFonts w:ascii="Arial" w:cs="Arial" w:eastAsia="Arial" w:hAnsi="Arial"/>
                  <w:sz w:val="17"/>
                  <w:szCs w:val="17"/>
                  <w:color w:val="0000EE"/>
                  <w:w w:val="99"/>
                </w:rPr>
                <w:t>Executive Officers of the Registrant</w:t>
              </w:r>
            </w:hyperlink>
          </w:p>
        </w:tc>
        <w:tc>
          <w:tcPr>
            <w:tcW w:w="5300" w:type="dxa"/>
            <w:vAlign w:val="bottom"/>
            <w:tcBorders>
              <w:bottom w:val="single" w:sz="8" w:color="CCEEFF"/>
            </w:tcBorders>
            <w:gridSpan w:val="10"/>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57"/>
        </w:trPr>
        <w:tc>
          <w:tcPr>
            <w:tcW w:w="320" w:type="dxa"/>
            <w:vAlign w:val="bottom"/>
            <w:gridSpan w:val="2"/>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18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7"/>
                <w:szCs w:val="17"/>
                <w:b w:val="1"/>
                <w:bCs w:val="1"/>
                <w:color w:val="auto"/>
              </w:rPr>
              <w:t>PART II</w:t>
            </w:r>
          </w:p>
        </w:tc>
        <w:tc>
          <w:tcPr>
            <w:tcW w:w="44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right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180" w:type="dxa"/>
            <w:vAlign w:val="bottom"/>
            <w:tcBorders>
              <w:bottom w:val="single" w:sz="8" w:color="CCEEFF"/>
            </w:tcBorders>
            <w:gridSpan w:val="3"/>
            <w:shd w:val="clear" w:color="auto" w:fill="CCEEFF"/>
          </w:tcPr>
          <w:p>
            <w:pPr>
              <w:spacing w:after="0" w:line="189" w:lineRule="exact"/>
              <w:rPr>
                <w:sz w:val="20"/>
                <w:szCs w:val="20"/>
                <w:color w:val="auto"/>
              </w:rPr>
            </w:pPr>
            <w:r>
              <w:rPr>
                <w:rFonts w:ascii="Arial" w:cs="Arial" w:eastAsia="Arial" w:hAnsi="Arial"/>
                <w:sz w:val="17"/>
                <w:szCs w:val="17"/>
                <w:color w:val="auto"/>
              </w:rPr>
              <w:t>Item 5.</w:t>
            </w:r>
          </w:p>
        </w:tc>
        <w:tc>
          <w:tcPr>
            <w:tcW w:w="7880" w:type="dxa"/>
            <w:vAlign w:val="bottom"/>
            <w:tcBorders>
              <w:bottom w:val="single" w:sz="8" w:color="0000EE"/>
            </w:tcBorders>
            <w:gridSpan w:val="21"/>
            <w:shd w:val="clear" w:color="auto" w:fill="CCEEFF"/>
          </w:tcPr>
          <w:p>
            <w:pPr>
              <w:spacing w:after="0" w:line="189" w:lineRule="exact"/>
              <w:rPr>
                <w:rFonts w:ascii="Arial" w:cs="Arial" w:eastAsia="Arial" w:hAnsi="Arial"/>
                <w:sz w:val="17"/>
                <w:szCs w:val="17"/>
                <w:color w:val="0000EE"/>
              </w:rPr>
            </w:pPr>
            <w:hyperlink w:anchor="page13">
              <w:r>
                <w:rPr>
                  <w:rFonts w:ascii="Arial" w:cs="Arial" w:eastAsia="Arial" w:hAnsi="Arial"/>
                  <w:sz w:val="17"/>
                  <w:szCs w:val="17"/>
                  <w:color w:val="0000EE"/>
                </w:rPr>
                <w:t>Market for the Company’s Common Equity, Related Stockholder Matters and Issuer Purchases of Equity</w:t>
              </w:r>
            </w:hyperlink>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0000EE"/>
            </w:tcBorders>
            <w:gridSpan w:val="4"/>
            <w:shd w:val="clear" w:color="auto" w:fill="CCEEFF"/>
          </w:tcPr>
          <w:p>
            <w:pPr>
              <w:spacing w:after="0" w:line="169" w:lineRule="exact"/>
              <w:rPr>
                <w:rFonts w:ascii="Arial" w:cs="Arial" w:eastAsia="Arial" w:hAnsi="Arial"/>
                <w:sz w:val="17"/>
                <w:szCs w:val="17"/>
                <w:color w:val="0000EE"/>
              </w:rPr>
            </w:pPr>
            <w:hyperlink w:anchor="page13">
              <w:r>
                <w:rPr>
                  <w:rFonts w:ascii="Arial" w:cs="Arial" w:eastAsia="Arial" w:hAnsi="Arial"/>
                  <w:sz w:val="17"/>
                  <w:szCs w:val="17"/>
                  <w:color w:val="0000EE"/>
                </w:rPr>
                <w:t>Securities</w:t>
              </w:r>
            </w:hyperlink>
          </w:p>
        </w:tc>
        <w:tc>
          <w:tcPr>
            <w:tcW w:w="7180" w:type="dxa"/>
            <w:vAlign w:val="bottom"/>
            <w:tcBorders>
              <w:bottom w:val="single" w:sz="8" w:color="CCEEFF"/>
            </w:tcBorders>
            <w:gridSpan w:val="18"/>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00" w:type="dxa"/>
            <w:vAlign w:val="bottom"/>
            <w:gridSpan w:val="4"/>
          </w:tcPr>
          <w:p>
            <w:pPr>
              <w:spacing w:after="0"/>
              <w:rPr>
                <w:sz w:val="20"/>
                <w:szCs w:val="20"/>
                <w:color w:val="auto"/>
              </w:rPr>
            </w:pPr>
            <w:r>
              <w:rPr>
                <w:rFonts w:ascii="Arial" w:cs="Arial" w:eastAsia="Arial" w:hAnsi="Arial"/>
                <w:sz w:val="17"/>
                <w:szCs w:val="17"/>
                <w:color w:val="auto"/>
              </w:rPr>
              <w:t>Item 6.</w:t>
            </w:r>
          </w:p>
        </w:tc>
        <w:tc>
          <w:tcPr>
            <w:tcW w:w="7980" w:type="dxa"/>
            <w:vAlign w:val="bottom"/>
            <w:gridSpan w:val="22"/>
          </w:tcPr>
          <w:p>
            <w:pPr>
              <w:spacing w:after="0"/>
              <w:rPr>
                <w:rFonts w:ascii="Arial" w:cs="Arial" w:eastAsia="Arial" w:hAnsi="Arial"/>
                <w:sz w:val="17"/>
                <w:szCs w:val="17"/>
                <w:color w:val="0000EE"/>
              </w:rPr>
            </w:pPr>
            <w:hyperlink w:anchor="page15">
              <w:r>
                <w:rPr>
                  <w:rFonts w:ascii="Arial" w:cs="Arial" w:eastAsia="Arial" w:hAnsi="Arial"/>
                  <w:sz w:val="17"/>
                  <w:szCs w:val="17"/>
                  <w:color w:val="0000EE"/>
                </w:rPr>
                <w:t>Selected Financial Data</w:t>
              </w:r>
            </w:hyperlink>
          </w:p>
        </w:tc>
        <w:tc>
          <w:tcPr>
            <w:tcW w:w="280" w:type="dxa"/>
            <w:vAlign w:val="bottom"/>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11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Item 7.</w:t>
            </w:r>
          </w:p>
        </w:tc>
        <w:tc>
          <w:tcPr>
            <w:tcW w:w="7980" w:type="dxa"/>
            <w:vAlign w:val="bottom"/>
            <w:gridSpan w:val="22"/>
            <w:shd w:val="clear" w:color="auto" w:fill="CCEEFF"/>
          </w:tcPr>
          <w:p>
            <w:pPr>
              <w:spacing w:after="0"/>
              <w:rPr>
                <w:rFonts w:ascii="Arial" w:cs="Arial" w:eastAsia="Arial" w:hAnsi="Arial"/>
                <w:sz w:val="17"/>
                <w:szCs w:val="17"/>
                <w:color w:val="0000EE"/>
              </w:rPr>
            </w:pPr>
            <w:hyperlink w:anchor="page16">
              <w:r>
                <w:rPr>
                  <w:rFonts w:ascii="Arial" w:cs="Arial" w:eastAsia="Arial" w:hAnsi="Arial"/>
                  <w:sz w:val="17"/>
                  <w:szCs w:val="17"/>
                  <w:color w:val="0000EE"/>
                </w:rPr>
                <w:t>Management’s Discussion and Analysis of Financial Condition and Results of Operations</w:t>
              </w:r>
            </w:hyperlink>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9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0" w:type="dxa"/>
            <w:vAlign w:val="bottom"/>
            <w:shd w:val="clear" w:color="auto" w:fill="0000EE"/>
          </w:tcPr>
          <w:p>
            <w:pPr>
              <w:spacing w:after="0"/>
              <w:rPr>
                <w:sz w:val="2"/>
                <w:szCs w:val="2"/>
                <w:color w:val="auto"/>
              </w:rPr>
            </w:pPr>
          </w:p>
        </w:tc>
        <w:tc>
          <w:tcPr>
            <w:tcW w:w="1000" w:type="dxa"/>
            <w:vAlign w:val="bottom"/>
            <w:tcBorders>
              <w:right w:val="single" w:sz="8" w:color="CCEEFF"/>
            </w:tcBorders>
            <w:shd w:val="clear" w:color="auto" w:fill="0000EE"/>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200" w:type="dxa"/>
            <w:vAlign w:val="bottom"/>
            <w:gridSpan w:val="4"/>
          </w:tcPr>
          <w:p>
            <w:pPr>
              <w:spacing w:after="0"/>
              <w:rPr>
                <w:sz w:val="20"/>
                <w:szCs w:val="20"/>
                <w:color w:val="auto"/>
              </w:rPr>
            </w:pPr>
            <w:r>
              <w:rPr>
                <w:rFonts w:ascii="Arial" w:cs="Arial" w:eastAsia="Arial" w:hAnsi="Arial"/>
                <w:sz w:val="17"/>
                <w:szCs w:val="17"/>
                <w:color w:val="auto"/>
              </w:rPr>
              <w:t>Item 7A.</w:t>
            </w:r>
          </w:p>
        </w:tc>
        <w:tc>
          <w:tcPr>
            <w:tcW w:w="4480" w:type="dxa"/>
            <w:vAlign w:val="bottom"/>
            <w:tcBorders>
              <w:bottom w:val="single" w:sz="8" w:color="0000EE"/>
            </w:tcBorders>
            <w:gridSpan w:val="16"/>
          </w:tcPr>
          <w:p>
            <w:pPr>
              <w:spacing w:after="0"/>
              <w:rPr>
                <w:rFonts w:ascii="Arial" w:cs="Arial" w:eastAsia="Arial" w:hAnsi="Arial"/>
                <w:sz w:val="17"/>
                <w:szCs w:val="17"/>
                <w:color w:val="0000EE"/>
              </w:rPr>
            </w:pPr>
            <w:hyperlink w:anchor="page37">
              <w:r>
                <w:rPr>
                  <w:rFonts w:ascii="Arial" w:cs="Arial" w:eastAsia="Arial" w:hAnsi="Arial"/>
                  <w:sz w:val="17"/>
                  <w:szCs w:val="17"/>
                  <w:color w:val="0000EE"/>
                </w:rPr>
                <w:t>Quantitative and Qualitative Disclosures About Market Risk</w:t>
              </w:r>
            </w:hyperlink>
          </w:p>
        </w:tc>
        <w:tc>
          <w:tcPr>
            <w:tcW w:w="3500" w:type="dxa"/>
            <w:vAlign w:val="bottom"/>
            <w:gridSpan w:val="6"/>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Item 8.</w:t>
            </w:r>
          </w:p>
        </w:tc>
        <w:tc>
          <w:tcPr>
            <w:tcW w:w="7980" w:type="dxa"/>
            <w:vAlign w:val="bottom"/>
            <w:gridSpan w:val="22"/>
            <w:shd w:val="clear" w:color="auto" w:fill="CCEEFF"/>
          </w:tcPr>
          <w:p>
            <w:pPr>
              <w:spacing w:after="0"/>
              <w:rPr>
                <w:rFonts w:ascii="Arial" w:cs="Arial" w:eastAsia="Arial" w:hAnsi="Arial"/>
                <w:sz w:val="17"/>
                <w:szCs w:val="17"/>
                <w:color w:val="0000EE"/>
              </w:rPr>
            </w:pPr>
            <w:hyperlink w:anchor="page37">
              <w:r>
                <w:rPr>
                  <w:rFonts w:ascii="Arial" w:cs="Arial" w:eastAsia="Arial" w:hAnsi="Arial"/>
                  <w:sz w:val="17"/>
                  <w:szCs w:val="17"/>
                  <w:color w:val="0000EE"/>
                </w:rPr>
                <w:t>Consolidated Financial Statements and Supplementary Data</w:t>
              </w:r>
            </w:hyperlink>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9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0" w:type="dxa"/>
            <w:vAlign w:val="bottom"/>
            <w:tcBorders>
              <w:right w:val="single" w:sz="8" w:color="CCEEFF"/>
            </w:tcBorders>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200" w:type="dxa"/>
            <w:vAlign w:val="bottom"/>
            <w:gridSpan w:val="4"/>
          </w:tcPr>
          <w:p>
            <w:pPr>
              <w:spacing w:after="0"/>
              <w:rPr>
                <w:sz w:val="20"/>
                <w:szCs w:val="20"/>
                <w:color w:val="auto"/>
              </w:rPr>
            </w:pPr>
            <w:r>
              <w:rPr>
                <w:rFonts w:ascii="Arial" w:cs="Arial" w:eastAsia="Arial" w:hAnsi="Arial"/>
                <w:sz w:val="17"/>
                <w:szCs w:val="17"/>
                <w:color w:val="auto"/>
              </w:rPr>
              <w:t>Item 9.</w:t>
            </w:r>
          </w:p>
        </w:tc>
        <w:tc>
          <w:tcPr>
            <w:tcW w:w="6780" w:type="dxa"/>
            <w:vAlign w:val="bottom"/>
            <w:tcBorders>
              <w:bottom w:val="single" w:sz="8" w:color="0000EE"/>
            </w:tcBorders>
            <w:gridSpan w:val="19"/>
          </w:tcPr>
          <w:p>
            <w:pPr>
              <w:spacing w:after="0"/>
              <w:rPr>
                <w:rFonts w:ascii="Arial" w:cs="Arial" w:eastAsia="Arial" w:hAnsi="Arial"/>
                <w:sz w:val="17"/>
                <w:szCs w:val="17"/>
                <w:color w:val="0000EE"/>
              </w:rPr>
            </w:pPr>
            <w:hyperlink w:anchor="page76">
              <w:r>
                <w:rPr>
                  <w:rFonts w:ascii="Arial" w:cs="Arial" w:eastAsia="Arial" w:hAnsi="Arial"/>
                  <w:sz w:val="17"/>
                  <w:szCs w:val="17"/>
                  <w:color w:val="0000EE"/>
                </w:rPr>
                <w:t>Changes in and Disagreements with Accountants on Accounting and Financial Disclosure</w:t>
              </w:r>
            </w:hyperlink>
          </w:p>
        </w:tc>
        <w:tc>
          <w:tcPr>
            <w:tcW w:w="1200" w:type="dxa"/>
            <w:vAlign w:val="bottom"/>
            <w:gridSpan w:val="3"/>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Item 9A.</w:t>
            </w:r>
          </w:p>
        </w:tc>
        <w:tc>
          <w:tcPr>
            <w:tcW w:w="1900" w:type="dxa"/>
            <w:vAlign w:val="bottom"/>
            <w:tcBorders>
              <w:bottom w:val="single" w:sz="8" w:color="0000EE"/>
            </w:tcBorders>
            <w:gridSpan w:val="10"/>
            <w:shd w:val="clear" w:color="auto" w:fill="CCEEFF"/>
          </w:tcPr>
          <w:p>
            <w:pPr>
              <w:spacing w:after="0"/>
              <w:rPr>
                <w:rFonts w:ascii="Arial" w:cs="Arial" w:eastAsia="Arial" w:hAnsi="Arial"/>
                <w:sz w:val="17"/>
                <w:szCs w:val="17"/>
                <w:color w:val="0000EE"/>
                <w:w w:val="99"/>
              </w:rPr>
            </w:pPr>
            <w:hyperlink w:anchor="page76">
              <w:r>
                <w:rPr>
                  <w:rFonts w:ascii="Arial" w:cs="Arial" w:eastAsia="Arial" w:hAnsi="Arial"/>
                  <w:sz w:val="17"/>
                  <w:szCs w:val="17"/>
                  <w:color w:val="0000EE"/>
                  <w:w w:val="99"/>
                </w:rPr>
                <w:t>Controls and Procedures</w:t>
              </w:r>
            </w:hyperlink>
          </w:p>
        </w:tc>
        <w:tc>
          <w:tcPr>
            <w:tcW w:w="6080" w:type="dxa"/>
            <w:vAlign w:val="bottom"/>
            <w:tcBorders>
              <w:bottom w:val="single" w:sz="8" w:color="CCEEFF"/>
            </w:tcBorders>
            <w:gridSpan w:val="12"/>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37"/>
        </w:trPr>
        <w:tc>
          <w:tcPr>
            <w:tcW w:w="1200" w:type="dxa"/>
            <w:vAlign w:val="bottom"/>
            <w:gridSpan w:val="4"/>
          </w:tcPr>
          <w:p>
            <w:pPr>
              <w:spacing w:after="0"/>
              <w:rPr>
                <w:sz w:val="20"/>
                <w:szCs w:val="20"/>
                <w:color w:val="auto"/>
              </w:rPr>
            </w:pPr>
            <w:r>
              <w:rPr>
                <w:rFonts w:ascii="Arial" w:cs="Arial" w:eastAsia="Arial" w:hAnsi="Arial"/>
                <w:sz w:val="17"/>
                <w:szCs w:val="17"/>
                <w:color w:val="auto"/>
              </w:rPr>
              <w:t>Item 9B.</w:t>
            </w:r>
          </w:p>
        </w:tc>
        <w:tc>
          <w:tcPr>
            <w:tcW w:w="7980" w:type="dxa"/>
            <w:vAlign w:val="bottom"/>
            <w:gridSpan w:val="22"/>
          </w:tcPr>
          <w:p>
            <w:pPr>
              <w:spacing w:after="0"/>
              <w:rPr>
                <w:rFonts w:ascii="Arial" w:cs="Arial" w:eastAsia="Arial" w:hAnsi="Arial"/>
                <w:sz w:val="17"/>
                <w:szCs w:val="17"/>
                <w:color w:val="0000EE"/>
              </w:rPr>
            </w:pPr>
            <w:hyperlink w:anchor="page78">
              <w:r>
                <w:rPr>
                  <w:rFonts w:ascii="Arial" w:cs="Arial" w:eastAsia="Arial" w:hAnsi="Arial"/>
                  <w:sz w:val="17"/>
                  <w:szCs w:val="17"/>
                  <w:color w:val="0000EE"/>
                </w:rPr>
                <w:t>Other Information</w:t>
              </w:r>
            </w:hyperlink>
          </w:p>
        </w:tc>
        <w:tc>
          <w:tcPr>
            <w:tcW w:w="280" w:type="dxa"/>
            <w:vAlign w:val="bottom"/>
          </w:tcPr>
          <w:p>
            <w:pPr>
              <w:jc w:val="right"/>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tcBorders>
              <w:top w:val="single" w:sz="8" w:color="0000EE"/>
            </w:tcBorders>
            <w:shd w:val="clear" w:color="auto" w:fill="CCEEFF"/>
          </w:tcPr>
          <w:p>
            <w:pPr>
              <w:spacing w:after="0"/>
              <w:rPr>
                <w:sz w:val="22"/>
                <w:szCs w:val="22"/>
                <w:color w:val="auto"/>
              </w:rPr>
            </w:pPr>
          </w:p>
        </w:tc>
        <w:tc>
          <w:tcPr>
            <w:tcW w:w="260" w:type="dxa"/>
            <w:vAlign w:val="bottom"/>
            <w:tcBorders>
              <w:top w:val="single" w:sz="8" w:color="0000EE"/>
            </w:tcBorders>
            <w:shd w:val="clear" w:color="auto" w:fill="CCEEFF"/>
          </w:tcPr>
          <w:p>
            <w:pPr>
              <w:spacing w:after="0"/>
              <w:rPr>
                <w:sz w:val="22"/>
                <w:szCs w:val="22"/>
                <w:color w:val="auto"/>
              </w:rPr>
            </w:pPr>
          </w:p>
        </w:tc>
        <w:tc>
          <w:tcPr>
            <w:tcW w:w="80" w:type="dxa"/>
            <w:vAlign w:val="bottom"/>
            <w:tcBorders>
              <w:top w:val="single" w:sz="8" w:color="0000EE"/>
            </w:tcBorders>
            <w:shd w:val="clear" w:color="auto" w:fill="CCEEFF"/>
          </w:tcPr>
          <w:p>
            <w:pPr>
              <w:spacing w:after="0"/>
              <w:rPr>
                <w:sz w:val="22"/>
                <w:szCs w:val="22"/>
                <w:color w:val="auto"/>
              </w:rPr>
            </w:pPr>
          </w:p>
        </w:tc>
        <w:tc>
          <w:tcPr>
            <w:tcW w:w="20" w:type="dxa"/>
            <w:vAlign w:val="bottom"/>
            <w:tcBorders>
              <w:top w:val="single" w:sz="8" w:color="0000EE"/>
            </w:tcBorders>
            <w:shd w:val="clear" w:color="auto" w:fill="CCEEFF"/>
          </w:tcPr>
          <w:p>
            <w:pPr>
              <w:spacing w:after="0"/>
              <w:rPr>
                <w:sz w:val="22"/>
                <w:szCs w:val="22"/>
                <w:color w:val="auto"/>
              </w:rPr>
            </w:pPr>
          </w:p>
        </w:tc>
        <w:tc>
          <w:tcPr>
            <w:tcW w:w="160" w:type="dxa"/>
            <w:vAlign w:val="bottom"/>
            <w:tcBorders>
              <w:top w:val="single" w:sz="8" w:color="0000EE"/>
            </w:tcBorders>
            <w:shd w:val="clear" w:color="auto" w:fill="CCEEFF"/>
          </w:tcPr>
          <w:p>
            <w:pPr>
              <w:spacing w:after="0"/>
              <w:rPr>
                <w:sz w:val="22"/>
                <w:szCs w:val="22"/>
                <w:color w:val="auto"/>
              </w:rPr>
            </w:pPr>
          </w:p>
        </w:tc>
        <w:tc>
          <w:tcPr>
            <w:tcW w:w="380" w:type="dxa"/>
            <w:vAlign w:val="bottom"/>
            <w:tcBorders>
              <w:top w:val="single" w:sz="8" w:color="0000EE"/>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00" w:type="dxa"/>
            <w:vAlign w:val="bottom"/>
            <w:gridSpan w:val="4"/>
          </w:tcPr>
          <w:p>
            <w:pPr>
              <w:spacing w:after="0"/>
              <w:rPr>
                <w:sz w:val="20"/>
                <w:szCs w:val="20"/>
                <w:color w:val="auto"/>
              </w:rPr>
            </w:pPr>
            <w:r>
              <w:rPr>
                <w:rFonts w:ascii="Arial" w:cs="Arial" w:eastAsia="Arial" w:hAnsi="Arial"/>
                <w:sz w:val="17"/>
                <w:szCs w:val="17"/>
                <w:b w:val="1"/>
                <w:bCs w:val="1"/>
                <w:color w:val="auto"/>
              </w:rPr>
              <w:t>PART III</w:t>
            </w: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right w:val="single" w:sz="8" w:color="CCEEFF"/>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0" w:type="dxa"/>
            <w:vAlign w:val="bottom"/>
            <w:gridSpan w:val="4"/>
          </w:tcPr>
          <w:p>
            <w:pPr>
              <w:spacing w:after="0"/>
              <w:rPr>
                <w:sz w:val="20"/>
                <w:szCs w:val="20"/>
                <w:color w:val="auto"/>
              </w:rPr>
            </w:pPr>
            <w:r>
              <w:rPr>
                <w:rFonts w:ascii="Arial" w:cs="Arial" w:eastAsia="Arial" w:hAnsi="Arial"/>
                <w:sz w:val="17"/>
                <w:szCs w:val="17"/>
                <w:color w:val="auto"/>
              </w:rPr>
              <w:t>Item 10.</w:t>
            </w:r>
          </w:p>
        </w:tc>
        <w:tc>
          <w:tcPr>
            <w:tcW w:w="4280" w:type="dxa"/>
            <w:vAlign w:val="bottom"/>
            <w:tcBorders>
              <w:bottom w:val="single" w:sz="8" w:color="0000EE"/>
            </w:tcBorders>
            <w:gridSpan w:val="15"/>
          </w:tcPr>
          <w:p>
            <w:pPr>
              <w:spacing w:after="0"/>
              <w:rPr>
                <w:rFonts w:ascii="Arial" w:cs="Arial" w:eastAsia="Arial" w:hAnsi="Arial"/>
                <w:sz w:val="17"/>
                <w:szCs w:val="17"/>
                <w:color w:val="0000EE"/>
              </w:rPr>
            </w:pPr>
            <w:hyperlink w:anchor="page78">
              <w:r>
                <w:rPr>
                  <w:rFonts w:ascii="Arial" w:cs="Arial" w:eastAsia="Arial" w:hAnsi="Arial"/>
                  <w:sz w:val="17"/>
                  <w:szCs w:val="17"/>
                  <w:color w:val="0000EE"/>
                </w:rPr>
                <w:t>Directors, Executive Officers and Corporate Governance</w:t>
              </w:r>
            </w:hyperlink>
          </w:p>
        </w:tc>
        <w:tc>
          <w:tcPr>
            <w:tcW w:w="3700" w:type="dxa"/>
            <w:vAlign w:val="bottom"/>
            <w:gridSpan w:val="7"/>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Item 11.</w:t>
            </w:r>
          </w:p>
        </w:tc>
        <w:tc>
          <w:tcPr>
            <w:tcW w:w="1900" w:type="dxa"/>
            <w:vAlign w:val="bottom"/>
            <w:tcBorders>
              <w:bottom w:val="single" w:sz="8" w:color="0000EE"/>
            </w:tcBorders>
            <w:gridSpan w:val="10"/>
            <w:shd w:val="clear" w:color="auto" w:fill="CCEEFF"/>
          </w:tcPr>
          <w:p>
            <w:pPr>
              <w:spacing w:after="0"/>
              <w:rPr>
                <w:rFonts w:ascii="Arial" w:cs="Arial" w:eastAsia="Arial" w:hAnsi="Arial"/>
                <w:sz w:val="17"/>
                <w:szCs w:val="17"/>
                <w:color w:val="0000EE"/>
                <w:w w:val="99"/>
              </w:rPr>
            </w:pPr>
            <w:hyperlink w:anchor="page78">
              <w:r>
                <w:rPr>
                  <w:rFonts w:ascii="Arial" w:cs="Arial" w:eastAsia="Arial" w:hAnsi="Arial"/>
                  <w:sz w:val="17"/>
                  <w:szCs w:val="17"/>
                  <w:color w:val="0000EE"/>
                  <w:w w:val="99"/>
                </w:rPr>
                <w:t>Executive Compensation</w:t>
              </w:r>
            </w:hyperlink>
          </w:p>
        </w:tc>
        <w:tc>
          <w:tcPr>
            <w:tcW w:w="6080" w:type="dxa"/>
            <w:vAlign w:val="bottom"/>
            <w:tcBorders>
              <w:bottom w:val="single" w:sz="8" w:color="CCEEFF"/>
            </w:tcBorders>
            <w:gridSpan w:val="12"/>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37"/>
        </w:trPr>
        <w:tc>
          <w:tcPr>
            <w:tcW w:w="1200" w:type="dxa"/>
            <w:vAlign w:val="bottom"/>
            <w:gridSpan w:val="4"/>
          </w:tcPr>
          <w:p>
            <w:pPr>
              <w:spacing w:after="0"/>
              <w:rPr>
                <w:sz w:val="20"/>
                <w:szCs w:val="20"/>
                <w:color w:val="auto"/>
              </w:rPr>
            </w:pPr>
            <w:r>
              <w:rPr>
                <w:rFonts w:ascii="Arial" w:cs="Arial" w:eastAsia="Arial" w:hAnsi="Arial"/>
                <w:sz w:val="17"/>
                <w:szCs w:val="17"/>
                <w:color w:val="auto"/>
              </w:rPr>
              <w:t>Item 12.</w:t>
            </w:r>
          </w:p>
        </w:tc>
        <w:tc>
          <w:tcPr>
            <w:tcW w:w="7620" w:type="dxa"/>
            <w:vAlign w:val="bottom"/>
            <w:tcBorders>
              <w:bottom w:val="single" w:sz="8" w:color="0000EE"/>
            </w:tcBorders>
            <w:gridSpan w:val="20"/>
          </w:tcPr>
          <w:p>
            <w:pPr>
              <w:spacing w:after="0"/>
              <w:rPr>
                <w:rFonts w:ascii="Arial" w:cs="Arial" w:eastAsia="Arial" w:hAnsi="Arial"/>
                <w:sz w:val="17"/>
                <w:szCs w:val="17"/>
                <w:color w:val="0000EE"/>
              </w:rPr>
            </w:pPr>
            <w:hyperlink w:anchor="page78">
              <w:r>
                <w:rPr>
                  <w:rFonts w:ascii="Arial" w:cs="Arial" w:eastAsia="Arial" w:hAnsi="Arial"/>
                  <w:sz w:val="17"/>
                  <w:szCs w:val="17"/>
                  <w:color w:val="0000EE"/>
                </w:rPr>
                <w:t>Security Ownership of Certain Beneficial Owners and Management and Related Stockholder Matters</w:t>
              </w:r>
            </w:hyperlink>
          </w:p>
        </w:tc>
        <w:tc>
          <w:tcPr>
            <w:tcW w:w="360" w:type="dxa"/>
            <w:vAlign w:val="bottom"/>
            <w:gridSpan w:val="2"/>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Item 13.</w:t>
            </w:r>
          </w:p>
        </w:tc>
        <w:tc>
          <w:tcPr>
            <w:tcW w:w="5780" w:type="dxa"/>
            <w:vAlign w:val="bottom"/>
            <w:tcBorders>
              <w:bottom w:val="single" w:sz="8" w:color="0000EE"/>
            </w:tcBorders>
            <w:gridSpan w:val="18"/>
            <w:shd w:val="clear" w:color="auto" w:fill="CCEEFF"/>
          </w:tcPr>
          <w:p>
            <w:pPr>
              <w:spacing w:after="0"/>
              <w:rPr>
                <w:rFonts w:ascii="Arial" w:cs="Arial" w:eastAsia="Arial" w:hAnsi="Arial"/>
                <w:sz w:val="17"/>
                <w:szCs w:val="17"/>
                <w:color w:val="0000EE"/>
              </w:rPr>
            </w:pPr>
            <w:hyperlink w:anchor="page78">
              <w:r>
                <w:rPr>
                  <w:rFonts w:ascii="Arial" w:cs="Arial" w:eastAsia="Arial" w:hAnsi="Arial"/>
                  <w:sz w:val="17"/>
                  <w:szCs w:val="17"/>
                  <w:color w:val="0000EE"/>
                </w:rPr>
                <w:t>Certain Relationships and Related Transactions, and Director Independence</w:t>
              </w:r>
            </w:hyperlink>
          </w:p>
        </w:tc>
        <w:tc>
          <w:tcPr>
            <w:tcW w:w="2200" w:type="dxa"/>
            <w:vAlign w:val="bottom"/>
            <w:tcBorders>
              <w:bottom w:val="single" w:sz="8" w:color="CCEEFF"/>
            </w:tcBorders>
            <w:gridSpan w:val="4"/>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37"/>
        </w:trPr>
        <w:tc>
          <w:tcPr>
            <w:tcW w:w="1200" w:type="dxa"/>
            <w:vAlign w:val="bottom"/>
            <w:gridSpan w:val="4"/>
          </w:tcPr>
          <w:p>
            <w:pPr>
              <w:spacing w:after="0"/>
              <w:rPr>
                <w:sz w:val="20"/>
                <w:szCs w:val="20"/>
                <w:color w:val="auto"/>
              </w:rPr>
            </w:pPr>
            <w:r>
              <w:rPr>
                <w:rFonts w:ascii="Arial" w:cs="Arial" w:eastAsia="Arial" w:hAnsi="Arial"/>
                <w:sz w:val="17"/>
                <w:szCs w:val="17"/>
                <w:color w:val="auto"/>
              </w:rPr>
              <w:t>Item 14.</w:t>
            </w:r>
          </w:p>
        </w:tc>
        <w:tc>
          <w:tcPr>
            <w:tcW w:w="7980" w:type="dxa"/>
            <w:vAlign w:val="bottom"/>
            <w:gridSpan w:val="22"/>
          </w:tcPr>
          <w:p>
            <w:pPr>
              <w:spacing w:after="0"/>
              <w:rPr>
                <w:rFonts w:ascii="Arial" w:cs="Arial" w:eastAsia="Arial" w:hAnsi="Arial"/>
                <w:sz w:val="17"/>
                <w:szCs w:val="17"/>
                <w:color w:val="0000EE"/>
              </w:rPr>
            </w:pPr>
            <w:hyperlink w:anchor="page78">
              <w:r>
                <w:rPr>
                  <w:rFonts w:ascii="Arial" w:cs="Arial" w:eastAsia="Arial" w:hAnsi="Arial"/>
                  <w:sz w:val="17"/>
                  <w:szCs w:val="17"/>
                  <w:color w:val="0000EE"/>
                </w:rPr>
                <w:t>Principal Accounting Fees and Services</w:t>
              </w:r>
            </w:hyperlink>
          </w:p>
        </w:tc>
        <w:tc>
          <w:tcPr>
            <w:tcW w:w="280" w:type="dxa"/>
            <w:vAlign w:val="bottom"/>
          </w:tcPr>
          <w:p>
            <w:pPr>
              <w:jc w:val="right"/>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tcBorders>
              <w:top w:val="single" w:sz="8" w:color="0000EE"/>
            </w:tcBorders>
            <w:shd w:val="clear" w:color="auto" w:fill="CCEEFF"/>
          </w:tcPr>
          <w:p>
            <w:pPr>
              <w:spacing w:after="0"/>
              <w:rPr>
                <w:sz w:val="22"/>
                <w:szCs w:val="22"/>
                <w:color w:val="auto"/>
              </w:rPr>
            </w:pPr>
          </w:p>
        </w:tc>
        <w:tc>
          <w:tcPr>
            <w:tcW w:w="260" w:type="dxa"/>
            <w:vAlign w:val="bottom"/>
            <w:tcBorders>
              <w:top w:val="single" w:sz="8" w:color="0000EE"/>
            </w:tcBorders>
            <w:shd w:val="clear" w:color="auto" w:fill="CCEEFF"/>
          </w:tcPr>
          <w:p>
            <w:pPr>
              <w:spacing w:after="0"/>
              <w:rPr>
                <w:sz w:val="22"/>
                <w:szCs w:val="22"/>
                <w:color w:val="auto"/>
              </w:rPr>
            </w:pPr>
          </w:p>
        </w:tc>
        <w:tc>
          <w:tcPr>
            <w:tcW w:w="80" w:type="dxa"/>
            <w:vAlign w:val="bottom"/>
            <w:tcBorders>
              <w:top w:val="single" w:sz="8" w:color="0000EE"/>
            </w:tcBorders>
            <w:shd w:val="clear" w:color="auto" w:fill="CCEEFF"/>
          </w:tcPr>
          <w:p>
            <w:pPr>
              <w:spacing w:after="0"/>
              <w:rPr>
                <w:sz w:val="22"/>
                <w:szCs w:val="22"/>
                <w:color w:val="auto"/>
              </w:rPr>
            </w:pPr>
          </w:p>
        </w:tc>
        <w:tc>
          <w:tcPr>
            <w:tcW w:w="20" w:type="dxa"/>
            <w:vAlign w:val="bottom"/>
            <w:tcBorders>
              <w:top w:val="single" w:sz="8" w:color="0000EE"/>
            </w:tcBorders>
            <w:shd w:val="clear" w:color="auto" w:fill="CCEEFF"/>
          </w:tcPr>
          <w:p>
            <w:pPr>
              <w:spacing w:after="0"/>
              <w:rPr>
                <w:sz w:val="22"/>
                <w:szCs w:val="22"/>
                <w:color w:val="auto"/>
              </w:rPr>
            </w:pPr>
          </w:p>
        </w:tc>
        <w:tc>
          <w:tcPr>
            <w:tcW w:w="160" w:type="dxa"/>
            <w:vAlign w:val="bottom"/>
            <w:tcBorders>
              <w:top w:val="single" w:sz="8" w:color="0000EE"/>
            </w:tcBorders>
            <w:shd w:val="clear" w:color="auto" w:fill="CCEEFF"/>
          </w:tcPr>
          <w:p>
            <w:pPr>
              <w:spacing w:after="0"/>
              <w:rPr>
                <w:sz w:val="22"/>
                <w:szCs w:val="22"/>
                <w:color w:val="auto"/>
              </w:rPr>
            </w:pPr>
          </w:p>
        </w:tc>
        <w:tc>
          <w:tcPr>
            <w:tcW w:w="380" w:type="dxa"/>
            <w:vAlign w:val="bottom"/>
            <w:tcBorders>
              <w:top w:val="single" w:sz="8" w:color="0000EE"/>
            </w:tcBorders>
            <w:shd w:val="clear" w:color="auto" w:fill="CCEEFF"/>
          </w:tcPr>
          <w:p>
            <w:pPr>
              <w:spacing w:after="0"/>
              <w:rPr>
                <w:sz w:val="22"/>
                <w:szCs w:val="22"/>
                <w:color w:val="auto"/>
              </w:rPr>
            </w:pPr>
          </w:p>
        </w:tc>
        <w:tc>
          <w:tcPr>
            <w:tcW w:w="80" w:type="dxa"/>
            <w:vAlign w:val="bottom"/>
            <w:tcBorders>
              <w:top w:val="single" w:sz="8" w:color="0000EE"/>
            </w:tcBorders>
            <w:shd w:val="clear" w:color="auto" w:fill="CCEEFF"/>
          </w:tcPr>
          <w:p>
            <w:pPr>
              <w:spacing w:after="0"/>
              <w:rPr>
                <w:sz w:val="22"/>
                <w:szCs w:val="22"/>
                <w:color w:val="auto"/>
              </w:rPr>
            </w:pPr>
          </w:p>
        </w:tc>
        <w:tc>
          <w:tcPr>
            <w:tcW w:w="380" w:type="dxa"/>
            <w:vAlign w:val="bottom"/>
            <w:tcBorders>
              <w:top w:val="single" w:sz="8" w:color="0000EE"/>
            </w:tcBorders>
            <w:shd w:val="clear" w:color="auto" w:fill="CCEEFF"/>
          </w:tcPr>
          <w:p>
            <w:pPr>
              <w:spacing w:after="0"/>
              <w:rPr>
                <w:sz w:val="22"/>
                <w:szCs w:val="22"/>
                <w:color w:val="auto"/>
              </w:rPr>
            </w:pPr>
          </w:p>
        </w:tc>
        <w:tc>
          <w:tcPr>
            <w:tcW w:w="40" w:type="dxa"/>
            <w:vAlign w:val="bottom"/>
            <w:tcBorders>
              <w:top w:val="single" w:sz="8" w:color="0000EE"/>
            </w:tcBorders>
            <w:shd w:val="clear" w:color="auto" w:fill="CCEEFF"/>
          </w:tcPr>
          <w:p>
            <w:pPr>
              <w:spacing w:after="0"/>
              <w:rPr>
                <w:sz w:val="22"/>
                <w:szCs w:val="22"/>
                <w:color w:val="auto"/>
              </w:rPr>
            </w:pPr>
          </w:p>
        </w:tc>
        <w:tc>
          <w:tcPr>
            <w:tcW w:w="60" w:type="dxa"/>
            <w:vAlign w:val="bottom"/>
            <w:tcBorders>
              <w:top w:val="single" w:sz="8" w:color="0000EE"/>
            </w:tcBorders>
            <w:shd w:val="clear" w:color="auto" w:fill="CCEEFF"/>
          </w:tcPr>
          <w:p>
            <w:pPr>
              <w:spacing w:after="0"/>
              <w:rPr>
                <w:sz w:val="22"/>
                <w:szCs w:val="22"/>
                <w:color w:val="auto"/>
              </w:rPr>
            </w:pPr>
          </w:p>
        </w:tc>
        <w:tc>
          <w:tcPr>
            <w:tcW w:w="240" w:type="dxa"/>
            <w:vAlign w:val="bottom"/>
            <w:tcBorders>
              <w:top w:val="single" w:sz="8" w:color="0000EE"/>
            </w:tcBorders>
            <w:shd w:val="clear" w:color="auto" w:fill="CCEEFF"/>
          </w:tcPr>
          <w:p>
            <w:pPr>
              <w:spacing w:after="0"/>
              <w:rPr>
                <w:sz w:val="22"/>
                <w:szCs w:val="22"/>
                <w:color w:val="auto"/>
              </w:rPr>
            </w:pPr>
          </w:p>
        </w:tc>
        <w:tc>
          <w:tcPr>
            <w:tcW w:w="540" w:type="dxa"/>
            <w:vAlign w:val="bottom"/>
            <w:tcBorders>
              <w:top w:val="single" w:sz="8" w:color="0000EE"/>
            </w:tcBorders>
            <w:shd w:val="clear" w:color="auto" w:fill="CCEEFF"/>
          </w:tcPr>
          <w:p>
            <w:pPr>
              <w:spacing w:after="0"/>
              <w:rPr>
                <w:sz w:val="22"/>
                <w:szCs w:val="22"/>
                <w:color w:val="auto"/>
              </w:rPr>
            </w:pPr>
          </w:p>
        </w:tc>
        <w:tc>
          <w:tcPr>
            <w:tcW w:w="340" w:type="dxa"/>
            <w:vAlign w:val="bottom"/>
            <w:tcBorders>
              <w:top w:val="single" w:sz="8" w:color="0000EE"/>
            </w:tcBorders>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00" w:type="dxa"/>
            <w:vAlign w:val="bottom"/>
            <w:gridSpan w:val="4"/>
          </w:tcPr>
          <w:p>
            <w:pPr>
              <w:spacing w:after="0"/>
              <w:rPr>
                <w:sz w:val="20"/>
                <w:szCs w:val="20"/>
                <w:color w:val="auto"/>
              </w:rPr>
            </w:pPr>
            <w:r>
              <w:rPr>
                <w:rFonts w:ascii="Arial" w:cs="Arial" w:eastAsia="Arial" w:hAnsi="Arial"/>
                <w:sz w:val="17"/>
                <w:szCs w:val="17"/>
                <w:b w:val="1"/>
                <w:bCs w:val="1"/>
                <w:color w:val="auto"/>
              </w:rPr>
              <w:t>PART IV</w:t>
            </w: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right w:val="single" w:sz="8" w:color="CCEEFF"/>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00" w:type="dxa"/>
            <w:vAlign w:val="bottom"/>
            <w:gridSpan w:val="4"/>
          </w:tcPr>
          <w:p>
            <w:pPr>
              <w:spacing w:after="0"/>
              <w:rPr>
                <w:sz w:val="20"/>
                <w:szCs w:val="20"/>
                <w:color w:val="auto"/>
              </w:rPr>
            </w:pPr>
            <w:r>
              <w:rPr>
                <w:rFonts w:ascii="Arial" w:cs="Arial" w:eastAsia="Arial" w:hAnsi="Arial"/>
                <w:sz w:val="17"/>
                <w:szCs w:val="17"/>
                <w:color w:val="auto"/>
              </w:rPr>
              <w:t>Item 15.</w:t>
            </w:r>
          </w:p>
        </w:tc>
        <w:tc>
          <w:tcPr>
            <w:tcW w:w="7980" w:type="dxa"/>
            <w:vAlign w:val="bottom"/>
            <w:gridSpan w:val="22"/>
          </w:tcPr>
          <w:p>
            <w:pPr>
              <w:spacing w:after="0"/>
              <w:rPr>
                <w:rFonts w:ascii="Arial" w:cs="Arial" w:eastAsia="Arial" w:hAnsi="Arial"/>
                <w:sz w:val="17"/>
                <w:szCs w:val="17"/>
                <w:color w:val="0000EE"/>
              </w:rPr>
            </w:pPr>
            <w:hyperlink w:anchor="page79">
              <w:r>
                <w:rPr>
                  <w:rFonts w:ascii="Arial" w:cs="Arial" w:eastAsia="Arial" w:hAnsi="Arial"/>
                  <w:sz w:val="17"/>
                  <w:szCs w:val="17"/>
                  <w:color w:val="0000EE"/>
                </w:rPr>
                <w:t>Exhibits and Financial Statement Schedules</w:t>
              </w:r>
            </w:hyperlink>
          </w:p>
        </w:tc>
        <w:tc>
          <w:tcPr>
            <w:tcW w:w="280" w:type="dxa"/>
            <w:vAlign w:val="bottom"/>
          </w:tcPr>
          <w:p>
            <w:pPr>
              <w:jc w:val="right"/>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tcBorders>
              <w:top w:val="single" w:sz="8" w:color="0000EE"/>
            </w:tcBorders>
            <w:shd w:val="clear" w:color="auto" w:fill="CCEEFF"/>
          </w:tcPr>
          <w:p>
            <w:pPr>
              <w:spacing w:after="0"/>
              <w:rPr>
                <w:sz w:val="22"/>
                <w:szCs w:val="22"/>
                <w:color w:val="auto"/>
              </w:rPr>
            </w:pPr>
          </w:p>
        </w:tc>
        <w:tc>
          <w:tcPr>
            <w:tcW w:w="260" w:type="dxa"/>
            <w:vAlign w:val="bottom"/>
            <w:tcBorders>
              <w:top w:val="single" w:sz="8" w:color="0000EE"/>
            </w:tcBorders>
            <w:shd w:val="clear" w:color="auto" w:fill="CCEEFF"/>
          </w:tcPr>
          <w:p>
            <w:pPr>
              <w:spacing w:after="0"/>
              <w:rPr>
                <w:sz w:val="22"/>
                <w:szCs w:val="22"/>
                <w:color w:val="auto"/>
              </w:rPr>
            </w:pPr>
          </w:p>
        </w:tc>
        <w:tc>
          <w:tcPr>
            <w:tcW w:w="80" w:type="dxa"/>
            <w:vAlign w:val="bottom"/>
            <w:tcBorders>
              <w:top w:val="single" w:sz="8" w:color="0000EE"/>
            </w:tcBorders>
            <w:shd w:val="clear" w:color="auto" w:fill="CCEEFF"/>
          </w:tcPr>
          <w:p>
            <w:pPr>
              <w:spacing w:after="0"/>
              <w:rPr>
                <w:sz w:val="22"/>
                <w:szCs w:val="22"/>
                <w:color w:val="auto"/>
              </w:rPr>
            </w:pPr>
          </w:p>
        </w:tc>
        <w:tc>
          <w:tcPr>
            <w:tcW w:w="20" w:type="dxa"/>
            <w:vAlign w:val="bottom"/>
            <w:tcBorders>
              <w:top w:val="single" w:sz="8" w:color="0000EE"/>
            </w:tcBorders>
            <w:shd w:val="clear" w:color="auto" w:fill="CCEEFF"/>
          </w:tcPr>
          <w:p>
            <w:pPr>
              <w:spacing w:after="0"/>
              <w:rPr>
                <w:sz w:val="22"/>
                <w:szCs w:val="22"/>
                <w:color w:val="auto"/>
              </w:rPr>
            </w:pPr>
          </w:p>
        </w:tc>
        <w:tc>
          <w:tcPr>
            <w:tcW w:w="160" w:type="dxa"/>
            <w:vAlign w:val="bottom"/>
            <w:tcBorders>
              <w:top w:val="single" w:sz="8" w:color="0000EE"/>
            </w:tcBorders>
            <w:shd w:val="clear" w:color="auto" w:fill="CCEEFF"/>
          </w:tcPr>
          <w:p>
            <w:pPr>
              <w:spacing w:after="0"/>
              <w:rPr>
                <w:sz w:val="22"/>
                <w:szCs w:val="22"/>
                <w:color w:val="auto"/>
              </w:rPr>
            </w:pPr>
          </w:p>
        </w:tc>
        <w:tc>
          <w:tcPr>
            <w:tcW w:w="380" w:type="dxa"/>
            <w:vAlign w:val="bottom"/>
            <w:tcBorders>
              <w:top w:val="single" w:sz="8" w:color="0000EE"/>
            </w:tcBorders>
            <w:shd w:val="clear" w:color="auto" w:fill="CCEEFF"/>
          </w:tcPr>
          <w:p>
            <w:pPr>
              <w:spacing w:after="0"/>
              <w:rPr>
                <w:sz w:val="22"/>
                <w:szCs w:val="22"/>
                <w:color w:val="auto"/>
              </w:rPr>
            </w:pPr>
          </w:p>
        </w:tc>
        <w:tc>
          <w:tcPr>
            <w:tcW w:w="80" w:type="dxa"/>
            <w:vAlign w:val="bottom"/>
            <w:tcBorders>
              <w:top w:val="single" w:sz="8" w:color="0000EE"/>
            </w:tcBorders>
            <w:shd w:val="clear" w:color="auto" w:fill="CCEEFF"/>
          </w:tcPr>
          <w:p>
            <w:pPr>
              <w:spacing w:after="0"/>
              <w:rPr>
                <w:sz w:val="22"/>
                <w:szCs w:val="22"/>
                <w:color w:val="auto"/>
              </w:rPr>
            </w:pPr>
          </w:p>
        </w:tc>
        <w:tc>
          <w:tcPr>
            <w:tcW w:w="380" w:type="dxa"/>
            <w:vAlign w:val="bottom"/>
            <w:tcBorders>
              <w:top w:val="single" w:sz="8" w:color="0000EE"/>
            </w:tcBorders>
            <w:shd w:val="clear" w:color="auto" w:fill="CCEEFF"/>
          </w:tcPr>
          <w:p>
            <w:pPr>
              <w:spacing w:after="0"/>
              <w:rPr>
                <w:sz w:val="22"/>
                <w:szCs w:val="22"/>
                <w:color w:val="auto"/>
              </w:rPr>
            </w:pPr>
          </w:p>
        </w:tc>
        <w:tc>
          <w:tcPr>
            <w:tcW w:w="40" w:type="dxa"/>
            <w:vAlign w:val="bottom"/>
            <w:tcBorders>
              <w:top w:val="single" w:sz="8" w:color="0000EE"/>
            </w:tcBorders>
            <w:shd w:val="clear" w:color="auto" w:fill="CCEEFF"/>
          </w:tcPr>
          <w:p>
            <w:pPr>
              <w:spacing w:after="0"/>
              <w:rPr>
                <w:sz w:val="22"/>
                <w:szCs w:val="22"/>
                <w:color w:val="auto"/>
              </w:rPr>
            </w:pPr>
          </w:p>
        </w:tc>
        <w:tc>
          <w:tcPr>
            <w:tcW w:w="60" w:type="dxa"/>
            <w:vAlign w:val="bottom"/>
            <w:tcBorders>
              <w:top w:val="single" w:sz="8" w:color="0000EE"/>
            </w:tcBorders>
            <w:shd w:val="clear" w:color="auto" w:fill="CCEEFF"/>
          </w:tcPr>
          <w:p>
            <w:pPr>
              <w:spacing w:after="0"/>
              <w:rPr>
                <w:sz w:val="22"/>
                <w:szCs w:val="22"/>
                <w:color w:val="auto"/>
              </w:rPr>
            </w:pPr>
          </w:p>
        </w:tc>
        <w:tc>
          <w:tcPr>
            <w:tcW w:w="240" w:type="dxa"/>
            <w:vAlign w:val="bottom"/>
            <w:tcBorders>
              <w:top w:val="single" w:sz="8" w:color="0000EE"/>
            </w:tcBorders>
            <w:shd w:val="clear" w:color="auto" w:fill="CCEEFF"/>
          </w:tcPr>
          <w:p>
            <w:pPr>
              <w:spacing w:after="0"/>
              <w:rPr>
                <w:sz w:val="22"/>
                <w:szCs w:val="22"/>
                <w:color w:val="auto"/>
              </w:rPr>
            </w:pPr>
          </w:p>
        </w:tc>
        <w:tc>
          <w:tcPr>
            <w:tcW w:w="540" w:type="dxa"/>
            <w:vAlign w:val="bottom"/>
            <w:tcBorders>
              <w:top w:val="single" w:sz="8" w:color="0000EE"/>
            </w:tcBorders>
            <w:shd w:val="clear" w:color="auto" w:fill="CCEEFF"/>
          </w:tcPr>
          <w:p>
            <w:pPr>
              <w:spacing w:after="0"/>
              <w:rPr>
                <w:sz w:val="22"/>
                <w:szCs w:val="22"/>
                <w:color w:val="auto"/>
              </w:rPr>
            </w:pPr>
          </w:p>
        </w:tc>
        <w:tc>
          <w:tcPr>
            <w:tcW w:w="340" w:type="dxa"/>
            <w:vAlign w:val="bottom"/>
            <w:tcBorders>
              <w:top w:val="single" w:sz="8" w:color="0000EE"/>
            </w:tcBorders>
            <w:shd w:val="clear" w:color="auto" w:fill="CCEEFF"/>
          </w:tcPr>
          <w:p>
            <w:pPr>
              <w:spacing w:after="0"/>
              <w:rPr>
                <w:sz w:val="22"/>
                <w:szCs w:val="22"/>
                <w:color w:val="auto"/>
              </w:rPr>
            </w:pPr>
          </w:p>
        </w:tc>
        <w:tc>
          <w:tcPr>
            <w:tcW w:w="320" w:type="dxa"/>
            <w:vAlign w:val="bottom"/>
            <w:tcBorders>
              <w:top w:val="single" w:sz="8" w:color="0000EE"/>
            </w:tcBorders>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200" w:type="dxa"/>
            <w:vAlign w:val="bottom"/>
            <w:gridSpan w:val="4"/>
          </w:tcPr>
          <w:p>
            <w:pPr>
              <w:spacing w:after="0"/>
              <w:rPr>
                <w:rFonts w:ascii="Arial" w:cs="Arial" w:eastAsia="Arial" w:hAnsi="Arial"/>
                <w:sz w:val="17"/>
                <w:szCs w:val="17"/>
                <w:color w:val="0000EE"/>
              </w:rPr>
            </w:pPr>
            <w:hyperlink w:anchor="page80">
              <w:r>
                <w:rPr>
                  <w:rFonts w:ascii="Arial" w:cs="Arial" w:eastAsia="Arial" w:hAnsi="Arial"/>
                  <w:sz w:val="17"/>
                  <w:szCs w:val="17"/>
                  <w:color w:val="0000EE"/>
                </w:rPr>
                <w:t>SIGNATURES</w:t>
              </w:r>
            </w:hyperlink>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0" w:type="dxa"/>
            <w:vAlign w:val="bottom"/>
            <w:tcBorders>
              <w:top w:val="single" w:sz="8" w:color="0000EE"/>
            </w:tcBorders>
            <w:shd w:val="clear" w:color="auto" w:fill="CCEEFF"/>
          </w:tcPr>
          <w:p>
            <w:pPr>
              <w:spacing w:after="0"/>
              <w:rPr>
                <w:sz w:val="22"/>
                <w:szCs w:val="22"/>
                <w:color w:val="auto"/>
              </w:rPr>
            </w:pPr>
          </w:p>
        </w:tc>
        <w:tc>
          <w:tcPr>
            <w:tcW w:w="780" w:type="dxa"/>
            <w:vAlign w:val="bottom"/>
            <w:tcBorders>
              <w:top w:val="single" w:sz="8" w:color="0000EE"/>
            </w:tcBorders>
            <w:shd w:val="clear" w:color="auto" w:fill="CCEEFF"/>
          </w:tcPr>
          <w:p>
            <w:pPr>
              <w:spacing w:after="0"/>
              <w:rPr>
                <w:sz w:val="22"/>
                <w:szCs w:val="22"/>
                <w:color w:val="auto"/>
              </w:rPr>
            </w:pPr>
          </w:p>
        </w:tc>
        <w:tc>
          <w:tcPr>
            <w:tcW w:w="540" w:type="dxa"/>
            <w:vAlign w:val="bottom"/>
            <w:gridSpan w:val="2"/>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9180" w:type="dxa"/>
            <w:vAlign w:val="bottom"/>
            <w:gridSpan w:val="26"/>
          </w:tcPr>
          <w:p>
            <w:pPr>
              <w:spacing w:after="0"/>
              <w:rPr>
                <w:sz w:val="20"/>
                <w:szCs w:val="20"/>
                <w:color w:val="auto"/>
              </w:rPr>
            </w:pPr>
            <w:r>
              <w:rPr>
                <w:rFonts w:ascii="Arial" w:cs="Arial" w:eastAsia="Arial" w:hAnsi="Arial"/>
                <w:sz w:val="17"/>
                <w:szCs w:val="17"/>
                <w:color w:val="0000EE"/>
              </w:rPr>
              <w:t>INDEX OF EXHIBITS</w:t>
            </w:r>
          </w:p>
        </w:tc>
        <w:tc>
          <w:tcPr>
            <w:tcW w:w="280" w:type="dxa"/>
            <w:vAlign w:val="bottom"/>
          </w:tcPr>
          <w:p>
            <w:pPr>
              <w:jc w:val="right"/>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1222"/>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78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440" w:type="dxa"/>
            <w:vAlign w:val="bottom"/>
            <w:tcBorders>
              <w:top w:val="single" w:sz="8" w:color="0000EE"/>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20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5801995</wp:posOffset>
            </wp:positionH>
            <wp:positionV relativeFrom="paragraph">
              <wp:posOffset>-38100</wp:posOffset>
            </wp:positionV>
            <wp:extent cx="34290" cy="51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-38100</wp:posOffset>
            </wp:positionV>
            <wp:extent cx="34290" cy="51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460"/>
          </w:cols>
          <w:pgMar w:left="1220" w:top="418" w:right="121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PART I</w:t>
      </w:r>
    </w:p>
    <w:p>
      <w:pPr>
        <w:spacing w:after="0" w:line="183" w:lineRule="exact"/>
        <w:rPr>
          <w:sz w:val="20"/>
          <w:szCs w:val="20"/>
          <w:color w:val="auto"/>
        </w:rPr>
      </w:pPr>
    </w:p>
    <w:p>
      <w:pPr>
        <w:ind w:left="100"/>
        <w:spacing w:after="0"/>
        <w:rPr>
          <w:sz w:val="20"/>
          <w:szCs w:val="20"/>
          <w:color w:val="auto"/>
        </w:rPr>
      </w:pPr>
      <w:r>
        <w:rPr>
          <w:rFonts w:ascii="Arial" w:cs="Arial" w:eastAsia="Arial" w:hAnsi="Arial"/>
          <w:sz w:val="17"/>
          <w:szCs w:val="17"/>
          <w:b w:val="1"/>
          <w:bCs w:val="1"/>
          <w:i w:val="1"/>
          <w:iCs w:val="1"/>
          <w:color w:val="auto"/>
        </w:rPr>
        <w:t>Item 1. Business</w:t>
      </w:r>
    </w:p>
    <w:p>
      <w:pPr>
        <w:spacing w:after="0" w:line="20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General</w:t>
      </w:r>
    </w:p>
    <w:p>
      <w:pPr>
        <w:spacing w:after="0" w:line="183"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Foot Locker, Inc., incorporated under the laws of the State of New York in 1989, is a leading global retailer of athletically inspired shoes and apparel. As of February 3, 2018, the Company operated 3,310 primarily mall-based stores, as well as stores in high-traffic urban retail areas and high streets, in the United States, Canada, Europe, Australia, and New Zealand. Foot Locker, Inc. and its subsidiaries hereafter are referred to as the “Registrant,” “Company,” “we,” “our,” or “us.” Information regarding the business is contained under the “Business Overview” section in “Item 7. Management’s Discussion and Analysis of Financial Condition and Results of Operations.”</w:t>
      </w:r>
    </w:p>
    <w:p>
      <w:pPr>
        <w:spacing w:after="0" w:line="157"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 xml:space="preserve">The Company maintains a website on the Internet at </w:t>
      </w:r>
      <w:r>
        <w:rPr>
          <w:rFonts w:ascii="Arial" w:cs="Arial" w:eastAsia="Arial" w:hAnsi="Arial"/>
          <w:sz w:val="17"/>
          <w:szCs w:val="17"/>
          <w:i w:val="1"/>
          <w:iCs w:val="1"/>
          <w:color w:val="auto"/>
        </w:rPr>
        <w:t>www.footlocker-inc.com</w:t>
      </w:r>
      <w:r>
        <w:rPr>
          <w:rFonts w:ascii="Arial" w:cs="Arial" w:eastAsia="Arial" w:hAnsi="Arial"/>
          <w:sz w:val="17"/>
          <w:szCs w:val="17"/>
          <w:color w:val="auto"/>
        </w:rPr>
        <w:t>. The Company’s filings with the U.S. Securities and Exchange Commission (the “SEC”), including its annual reports on Form 10-K, quarterly reports on Form 10-Q, current reports on Form 8-K, and all amendments to those reports are available free of charge through this website as soon as reasonably practicable after they are filed with or furnished to the SEC by clicking on the “SEC Filings” link. The Corporate Governance section of the Company’s corporate website contains the Company’s Corporate Governance Guidelines, Committee Charters, and the Company’s Code of Business Conduct for directors, officers and employees, including the Chief Executive Officer, Chief Financial Officer, and Chief Accounting Officer. Copies of these documents may also be obtained free of charge upon written request to the Company’s Corporate Secretary at 330 West 34</w:t>
      </w:r>
      <w:r>
        <w:rPr>
          <w:rFonts w:ascii="Arial" w:cs="Arial" w:eastAsia="Arial" w:hAnsi="Arial"/>
          <w:sz w:val="8"/>
          <w:szCs w:val="8"/>
          <w:color w:val="auto"/>
        </w:rPr>
        <w:t>th</w:t>
      </w:r>
      <w:r>
        <w:rPr>
          <w:rFonts w:ascii="Arial" w:cs="Arial" w:eastAsia="Arial" w:hAnsi="Arial"/>
          <w:sz w:val="17"/>
          <w:szCs w:val="17"/>
          <w:color w:val="auto"/>
        </w:rPr>
        <w:t xml:space="preserve"> Street, New York, N.Y. 10001.</w:t>
      </w:r>
    </w:p>
    <w:p>
      <w:pPr>
        <w:spacing w:after="0" w:line="159"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Information Regarding Business Segments and Geographic Areas</w:t>
      </w:r>
    </w:p>
    <w:p>
      <w:pPr>
        <w:spacing w:after="0" w:line="203"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 xml:space="preserve">The financial information concerning business segments, divisions, and geographic areas is contained under the “Business Overview” and “Segment Information” sections in “Item 7. Management’s Discussion and Analysis of Financial Condition and Results of Operations.” Information regarding sales, operating results, and identifiable assets of the Company by business segment and by geographic area is contained under the </w:t>
      </w:r>
      <w:r>
        <w:rPr>
          <w:rFonts w:ascii="Arial" w:cs="Arial" w:eastAsia="Arial" w:hAnsi="Arial"/>
          <w:sz w:val="17"/>
          <w:szCs w:val="17"/>
          <w:i w:val="1"/>
          <w:iCs w:val="1"/>
          <w:color w:val="auto"/>
        </w:rPr>
        <w:t>Segment Information</w:t>
      </w:r>
      <w:r>
        <w:rPr>
          <w:rFonts w:ascii="Arial" w:cs="Arial" w:eastAsia="Arial" w:hAnsi="Arial"/>
          <w:sz w:val="17"/>
          <w:szCs w:val="17"/>
          <w:color w:val="auto"/>
        </w:rPr>
        <w:t xml:space="preserve"> note in “Item 8. Consolidated Financial Statements and Supplementary Data.”</w:t>
      </w:r>
    </w:p>
    <w:p>
      <w:pPr>
        <w:spacing w:after="0" w:line="177"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The service marks, trade names, and trademarks appearing in this report (except for Nike, Jordan, adidas, and Puma) are owned by Foot Locker, Inc. or its subsidiaries.</w:t>
      </w:r>
    </w:p>
    <w:p>
      <w:pPr>
        <w:spacing w:after="0" w:line="151"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Employees</w:t>
      </w:r>
    </w:p>
    <w:p>
      <w:pPr>
        <w:spacing w:after="0" w:line="203"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The Company and its consolidated subsidiaries had 15,141 full-time and 34,068 part-time employees as of February 3, 2018. The Company considers employee relations to be satisfactory.</w:t>
      </w:r>
    </w:p>
    <w:p>
      <w:pPr>
        <w:spacing w:after="0" w:line="151"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Competition</w:t>
      </w:r>
    </w:p>
    <w:p>
      <w:pPr>
        <w:spacing w:after="0" w:line="185" w:lineRule="exact"/>
        <w:rPr>
          <w:sz w:val="20"/>
          <w:szCs w:val="20"/>
          <w:color w:val="auto"/>
        </w:rPr>
      </w:pPr>
    </w:p>
    <w:p>
      <w:pPr>
        <w:jc w:val="both"/>
        <w:ind w:left="100" w:right="99"/>
        <w:spacing w:after="0" w:line="265" w:lineRule="auto"/>
        <w:rPr>
          <w:sz w:val="20"/>
          <w:szCs w:val="20"/>
          <w:color w:val="auto"/>
        </w:rPr>
      </w:pPr>
      <w:r>
        <w:rPr>
          <w:rFonts w:ascii="Arial" w:cs="Arial" w:eastAsia="Arial" w:hAnsi="Arial"/>
          <w:sz w:val="17"/>
          <w:szCs w:val="17"/>
          <w:color w:val="auto"/>
        </w:rPr>
        <w:t xml:space="preserve">Financial information concerning competition is contained under the “Business Risk” section in the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and Risk Management </w:t>
      </w:r>
      <w:r>
        <w:rPr>
          <w:rFonts w:ascii="Arial" w:cs="Arial" w:eastAsia="Arial" w:hAnsi="Arial"/>
          <w:sz w:val="17"/>
          <w:szCs w:val="17"/>
          <w:color w:val="auto"/>
        </w:rPr>
        <w:t>note in “Item 8. Consolidated Financial Statements and Supplementary Data.”</w:t>
      </w:r>
    </w:p>
    <w:p>
      <w:pPr>
        <w:spacing w:after="0" w:line="134"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Merchandise Purchases</w:t>
      </w:r>
    </w:p>
    <w:p>
      <w:pPr>
        <w:spacing w:after="0" w:line="203"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 xml:space="preserve">Financial information concerning merchandise purchases is contained under the “Liquidity” section in “Item 7. Management’s Discussion and Analysis of Financial Condition and Results of Operations” and under the “Business Risk” section in the </w:t>
      </w:r>
      <w:r>
        <w:rPr>
          <w:rFonts w:ascii="Arial" w:cs="Arial" w:eastAsia="Arial" w:hAnsi="Arial"/>
          <w:sz w:val="17"/>
          <w:szCs w:val="17"/>
          <w:i w:val="1"/>
          <w:iCs w:val="1"/>
          <w:color w:val="auto"/>
        </w:rPr>
        <w:t>Financial Instruments and Risk Management</w:t>
      </w:r>
      <w:r>
        <w:rPr>
          <w:rFonts w:ascii="Arial" w:cs="Arial" w:eastAsia="Arial" w:hAnsi="Arial"/>
          <w:sz w:val="17"/>
          <w:szCs w:val="17"/>
          <w:color w:val="auto"/>
        </w:rPr>
        <w:t xml:space="preserve"> note in “Item 8. Consolidated Financial Statements and Supplementary Data.”</w:t>
      </w:r>
    </w:p>
    <w:p>
      <w:pPr>
        <w:spacing w:after="0" w:line="157" w:lineRule="exact"/>
        <w:rPr>
          <w:sz w:val="20"/>
          <w:szCs w:val="20"/>
          <w:color w:val="auto"/>
        </w:rPr>
      </w:pPr>
    </w:p>
    <w:p>
      <w:pPr>
        <w:ind w:left="100"/>
        <w:spacing w:after="0"/>
        <w:rPr>
          <w:sz w:val="20"/>
          <w:szCs w:val="20"/>
          <w:color w:val="auto"/>
        </w:rPr>
      </w:pPr>
      <w:r>
        <w:rPr>
          <w:rFonts w:ascii="Arial" w:cs="Arial" w:eastAsia="Arial" w:hAnsi="Arial"/>
          <w:sz w:val="17"/>
          <w:szCs w:val="17"/>
          <w:b w:val="1"/>
          <w:bCs w:val="1"/>
          <w:i w:val="1"/>
          <w:iCs w:val="1"/>
          <w:color w:val="auto"/>
        </w:rPr>
        <w:t>Item 1A. Risk Factors</w:t>
      </w:r>
    </w:p>
    <w:p>
      <w:pPr>
        <w:spacing w:after="0" w:line="203"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The statements contained in this Annual Report on Form 10-K (“Annual Report”) that are not historical facts, including, but not limited to, statements regarding our expected financial position, business and financing plans found in “Item 1. Business” and “Item 7. Management’s Discussion and Analysis of Financial Condition and Results of Operations,” constitute “forward-looking statements” within the meaning of the Private Securities Litigation Reform Act of 1995.</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56" w:right="1440" w:bottom="1440" w:gutter="0" w:footer="0" w:header="0"/>
        </w:sectPr>
      </w:pPr>
    </w:p>
    <w:bookmarkStart w:id="3" w:name="page4"/>
    <w:bookmarkEnd w:id="3"/>
    <w:p>
      <w:pPr>
        <w:jc w:val="both"/>
        <w:ind w:left="100" w:right="99"/>
        <w:spacing w:after="0" w:line="236" w:lineRule="auto"/>
        <w:rPr>
          <w:sz w:val="20"/>
          <w:szCs w:val="20"/>
          <w:color w:val="auto"/>
        </w:rPr>
      </w:pPr>
      <w:r>
        <w:rPr>
          <w:rFonts w:ascii="Arial" w:cs="Arial" w:eastAsia="Arial" w:hAnsi="Arial"/>
          <w:sz w:val="17"/>
          <w:szCs w:val="17"/>
          <w:color w:val="auto"/>
        </w:rPr>
        <w:t>Please also see “Disclosure Regarding Forward-Looking Statements.” Our actual results may differ materially due to the risks and uncertainties discussed in this Annual Report, including those discussed below. Additional risks and uncertainties that we do not presently know about or that we currently consider to be insignificant may also affect our business operations and financial performance.</w:t>
      </w:r>
    </w:p>
    <w:p>
      <w:pPr>
        <w:spacing w:after="0" w:line="15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Our inability to implement our long-range strategic plan may adversely affect our future results.</w:t>
      </w:r>
    </w:p>
    <w:p>
      <w:pPr>
        <w:spacing w:after="0" w:line="203"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Our ability to successfully implement and execute our long-range plan is dependent on many factors. Our strategies may require significant capital investment and management attention. Additionally, any new initiative is subject to certain risks including customer acceptance of our products and renovated store designs, competition, product differentiation, the ability to attract and retain qualified personnel, and our ability to successfully implement technological initiatives. If we cannot successfully execute our strategic growth initiatives or if the long-range plan does not adequately address the challenges or opportunities we face, our financial condition and results of operations may be adversely affected. Additionally, failure to meet shareholder expectations, particularly with respect to sales, operating margins, and earnings per share, would likely result in volatility in the market value of our stock.</w:t>
      </w:r>
    </w:p>
    <w:p>
      <w:pPr>
        <w:spacing w:after="0" w:line="15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The retail athletic footwear and apparel business is highly competitive.</w:t>
      </w:r>
    </w:p>
    <w:p>
      <w:pPr>
        <w:spacing w:after="0" w:line="203"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Our athletic footwear and apparel operations compete primarily with athletic footwear specialty stores, sporting goods stores, department stores, traditional shoe stores, mass merchandisers, and Internet retailers, many of which are units of national or regional chains that have significant financial and marketing resources. The principal competitive factors in our markets are selection of merchandise, customer experience, reputation, store location, advertising, and price. We cannot assure that we will continue to be able to compete successfully against existing or future competitors. Our expansion into markets served by our competitors, and entry of new competitors or expansion of existing competitors into our markets, could have a material adverse effect on our business, financial condition, and results of operations.</w:t>
      </w:r>
    </w:p>
    <w:p>
      <w:pPr>
        <w:spacing w:after="0" w:line="177"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Although we sell an increasing proportion of our merchandise via the Internet, a significantly faster shift in customer buying patterns to purchasing athletic footwear, athletic apparel, and sporting goods via the Internet could have a material adverse effect on our business results. In addition, all of our significant suppliers operate retail stores and distribute products directly through the Internet and others may follow. Should this continue to occur, and if our customers decide to purchase directly from our suppliers, it could have a material adverse effect on our business, financial condition, and results of operations.</w:t>
      </w:r>
    </w:p>
    <w:p>
      <w:pPr>
        <w:spacing w:after="0" w:line="155" w:lineRule="exact"/>
        <w:rPr>
          <w:sz w:val="20"/>
          <w:szCs w:val="20"/>
          <w:color w:val="auto"/>
        </w:rPr>
      </w:pPr>
    </w:p>
    <w:p>
      <w:pPr>
        <w:jc w:val="both"/>
        <w:ind w:left="100" w:right="99"/>
        <w:spacing w:after="0" w:line="268" w:lineRule="auto"/>
        <w:rPr>
          <w:sz w:val="20"/>
          <w:szCs w:val="20"/>
          <w:color w:val="auto"/>
        </w:rPr>
      </w:pPr>
      <w:r>
        <w:rPr>
          <w:rFonts w:ascii="Arial" w:cs="Arial" w:eastAsia="Arial" w:hAnsi="Arial"/>
          <w:sz w:val="17"/>
          <w:szCs w:val="17"/>
          <w:b w:val="1"/>
          <w:bCs w:val="1"/>
          <w:color w:val="auto"/>
        </w:rPr>
        <w:t>The industry in which we operate is dependent upon fashion trends, customer preferences, product innovations, and other fashion-related factors.</w:t>
      </w:r>
    </w:p>
    <w:p>
      <w:pPr>
        <w:spacing w:after="0" w:line="151"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The athletic footwear and apparel industry, especially at the premium end of the price spectrum, is subject to changing fashion trends and customer preferences. In addition, retailers in the athletic industry rely on their suppliers to maintain innovation in the products they develop. We cannot guarantee that our merchandise selection will accurately reflect customer preferences when it is offered for sale or that we will be able to identify and respond quickly to fashion changes, particularly given the long lead times for ordering much of our merchandise from suppliers. A substantial portion of our highest margin sales are to young males (ages 12–25), many of whom we believe purchase athletic footwear and athletic apparel as a fashion statement and are frequent purchasers. Our failure to anticipate, identify or react appropriately in a timely manner to changes in fashion trends that would make athletic footwear or athletic apparel less attractive to our customers could have a material adverse effect on our business, financial condition, and results of operations.</w:t>
      </w:r>
    </w:p>
    <w:p>
      <w:pPr>
        <w:spacing w:after="0" w:line="154"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If we do not successfully manage our inventory levels, our operating results will be adversely affected.</w:t>
      </w:r>
    </w:p>
    <w:p>
      <w:pPr>
        <w:spacing w:after="0" w:line="203"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We must maintain sufficient inventory levels to operate our business successfully. However, we also must guard against accumulating excess inventory. For example, we order most of our athletic footwear four to six months prior to delivery to our stores. If we fail to anticipate accurately either the market for the merchandise in our stores or our customers’ purchasing habits, we may be forced to rely on markdowns or promotional sales to dispose of excess or slow moving inventory, which could have a material adverse effect on our business, financial condition, and results of operations.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76" w:right="1440" w:bottom="1440" w:gutter="0" w:footer="0" w:header="0"/>
        </w:sectPr>
      </w:pPr>
    </w:p>
    <w:bookmarkStart w:id="4" w:name="page5"/>
    <w:bookmarkEnd w:id="4"/>
    <w:p>
      <w:pPr>
        <w:jc w:val="both"/>
        <w:ind w:left="100" w:right="99"/>
        <w:spacing w:after="0" w:line="268" w:lineRule="auto"/>
        <w:rPr>
          <w:sz w:val="20"/>
          <w:szCs w:val="20"/>
          <w:color w:val="auto"/>
        </w:rPr>
      </w:pPr>
      <w:r>
        <w:rPr>
          <w:rFonts w:ascii="Arial" w:cs="Arial" w:eastAsia="Arial" w:hAnsi="Arial"/>
          <w:sz w:val="17"/>
          <w:szCs w:val="17"/>
          <w:b w:val="1"/>
          <w:bCs w:val="1"/>
          <w:color w:val="auto"/>
        </w:rPr>
        <w:t>A change in the relationship with any of our key suppliers or the unavailability of key products at competitive prices could affect our financial health.</w:t>
      </w:r>
    </w:p>
    <w:p>
      <w:pPr>
        <w:spacing w:after="0" w:line="151"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Our business is dependent to a significant degree upon our ability to obtain exclusive product and the ability to purchase brand-name merchandise at competitive prices from a limited number of suppliers. In addition, we have negotiated volume discounts, cooperative advertising, and markdown allowances with our suppliers, as well as the ability to cancel orders and return excess or unneeded merchandise. We cannot be certain that such terms with our suppliers will continue in the future.</w:t>
      </w:r>
    </w:p>
    <w:p>
      <w:pPr>
        <w:spacing w:after="0" w:line="177" w:lineRule="exact"/>
        <w:rPr>
          <w:sz w:val="20"/>
          <w:szCs w:val="20"/>
          <w:color w:val="auto"/>
        </w:rPr>
      </w:pPr>
    </w:p>
    <w:p>
      <w:pPr>
        <w:jc w:val="both"/>
        <w:ind w:left="100" w:right="99"/>
        <w:spacing w:after="0" w:line="233" w:lineRule="auto"/>
        <w:rPr>
          <w:sz w:val="20"/>
          <w:szCs w:val="20"/>
          <w:color w:val="auto"/>
        </w:rPr>
      </w:pPr>
      <w:r>
        <w:rPr>
          <w:rFonts w:ascii="Arial" w:cs="Arial" w:eastAsia="Arial" w:hAnsi="Arial"/>
          <w:sz w:val="17"/>
          <w:szCs w:val="17"/>
          <w:color w:val="auto"/>
        </w:rPr>
        <w:t>We purchased approximately 93 percent of our merchandise in 2017 from our top five suppliers and we expect to continue to obtain a significant percentage of our athletic product from these suppliers in future periods. Approximately 67 percent of all merchandise purchased in 2017 was purchased from one supplier — Nike, Inc. (“Nike”). Each of our operating divisions is highly dependent on Nike: they individually purchased 44 to 73 percent of their merchandise from Nike during the year. Merchandise that is high profile and in high demand is allocated by our suppliers based upon their internal criteria. Although we have generally been able to purchase sufficient quantities of this merchandise in the past, we cannot be certain that our suppliers will continue to allocate sufficient amounts of such merchandise to us in the future. Our inability to obtain merchandise in a timely manner from major suppliers as a result of business decisions by our suppliers or any disruption in the supply chain could have a material adverse effect on our business, financial condition, and results of operations. Because of the high proportion of purchases from Nike, any adverse development in Nike’s reputation, financial condition or results of operations or the inability of Nike to develop and manufacture products that appeal to our target customers could also have an adverse effect on our business, financial condition, and results of operations. We cannot be certain that we will be able to acquire merchandise at competitive prices or on competitive terms in the future. These risks could have a material adverse effect on our business, financial condition, and results of operations.</w:t>
      </w:r>
    </w:p>
    <w:p>
      <w:pPr>
        <w:spacing w:after="0" w:line="159"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We are affected by mall traffic and our ability to secure suitable store locations.</w:t>
      </w:r>
    </w:p>
    <w:p>
      <w:pPr>
        <w:spacing w:after="0" w:line="203"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Many of our stores, especially in North America, are located primarily in enclosed regional and neighborhood malls. Our sales are affected, in part, by the volume of mall traffic. Mall traffic may be adversely affected by, among other factors, economic downturns, the closing or continued decline of anchor department stores and/or specialty stores, and a decline in the popularity of mall shopping among our target customers. Further, any terrorist act, natural disaster, public health or safety concern that decreases the level of mall traffic, or that affects our ability to open and operate stores in such locations, could have a material adverse effect on our business.</w:t>
      </w:r>
    </w:p>
    <w:p>
      <w:pPr>
        <w:spacing w:after="0" w:line="175"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To take advantage of customer traffic and the shopping preferences of our customers, we need to maintain or acquire stores in desirable locations such as in regional and neighborhood malls, as well as high-traffic urban retail areas and high streets. We cannot be certain that desirable locations will continue to be available at favorable rates. Some traditional enclosed malls are experiencing significantly lower levels of customer traffic, driven by economic conditions as well as the closure of certain mall anchor tenants.</w:t>
      </w:r>
    </w:p>
    <w:p>
      <w:pPr>
        <w:spacing w:after="0" w:line="177"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Several large landlords dominate the ownership of prime malls and because of our dependence upon these landlords for a substantial number of our locations, any significant erosion of their financial condition or our relationships with these landlords could negatively affect our ability to obtain and retain store locations. Additionally, further landlord consolidation may negatively affect our ability to negotiate favorable lease terms.</w:t>
      </w:r>
    </w:p>
    <w:p>
      <w:pPr>
        <w:spacing w:after="0" w:line="15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We may experience fluctuations in, and cyclicality of, our comparable-store sales results.</w:t>
      </w:r>
    </w:p>
    <w:p>
      <w:pPr>
        <w:spacing w:after="0" w:line="203"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Our comparable-store sales have fluctuated significantly in the past, on both an annual and a quarterly basis, and we expect them to continue to fluctuate in the future. A variety of factors affect our comparable-store sales results, including, among others, fashion trends, product innovation, promotional events, the highly competitive retail sales environment, economic conditions, timing of income tax refunds, changes in our merchandise mix, calendar shifts of holiday periods, supply chain disruptions, and weather conditions. Many of our products represent discretionary purchases. Accordingly, customer demand for these products could decline in an economic downturn or if our customers develop other priorities for their discretionary spending. These risks could have a material adverse effect on our business, financial condition, and results of operations.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56" w:right="1440" w:bottom="1440" w:gutter="0" w:footer="0" w:header="0"/>
        </w:sectPr>
      </w:pPr>
    </w:p>
    <w:bookmarkStart w:id="5" w:name="page6"/>
    <w:bookmarkEnd w:id="5"/>
    <w:p>
      <w:pPr>
        <w:jc w:val="both"/>
        <w:ind w:left="100" w:right="99"/>
        <w:spacing w:after="0" w:line="268" w:lineRule="auto"/>
        <w:rPr>
          <w:sz w:val="20"/>
          <w:szCs w:val="20"/>
          <w:color w:val="auto"/>
        </w:rPr>
      </w:pPr>
      <w:r>
        <w:rPr>
          <w:rFonts w:ascii="Arial" w:cs="Arial" w:eastAsia="Arial" w:hAnsi="Arial"/>
          <w:sz w:val="17"/>
          <w:szCs w:val="17"/>
          <w:b w:val="1"/>
          <w:bCs w:val="1"/>
          <w:color w:val="auto"/>
        </w:rPr>
        <w:t>Economic or political conditions in other countries, including fluctuations in foreign currency exchange rates and tax rates may adversely affect our operations.</w:t>
      </w:r>
    </w:p>
    <w:p>
      <w:pPr>
        <w:spacing w:after="0" w:line="151"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A significant portion of our sales and operating income for 2017 was attributable to our operations in Europe, Canada, Australia, and New Zealand. As a result, our business is subject to the risks associated with doing business outside of the United States such as local customer product preferences, political unrest, disruptions or delays in shipments, changes in economic conditions in countries in which we operate, foreign currency fluctuations, real estate costs, and labor and employment practices in non-U.S. jurisdictions that may differ significantly from those that prevail in the United States. In addition, because our suppliers manufacture a substantial amount of our products in foreign countries, our ability to obtain sufficient quantities of merchandise on favorable terms may be affected by governmental regulations, trade restrictions, labor, and other conditions in the countries from which our suppliers obtain their product.</w:t>
      </w:r>
    </w:p>
    <w:p>
      <w:pPr>
        <w:spacing w:after="0" w:line="175"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Fluctuations in the value of the euro and the British Pound may affect the value of our European earnings when translated into U.S. dollars. Similarly our earnings in Canada, Australia, and New Zealand may be affected by the value of currencies when translated into U.S. dollars. Except for our business in the United Kingdom (the “U.K”), our international subsidiaries conduct most of their business in their local currency. Inventory purchases for our U.K. business are denominated in euros, which could result in foreign currency transaction gains or losses.</w:t>
      </w:r>
    </w:p>
    <w:p>
      <w:pPr>
        <w:spacing w:after="0" w:line="177"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Our products are subject to import and excise duties and/or sales or value-added taxes in many jurisdictions. Fluctuations in tax rates and duties and changes in tax legislation or regulation could have a material adverse effect on our results of operations and financial condition.</w:t>
      </w:r>
    </w:p>
    <w:p>
      <w:pPr>
        <w:spacing w:after="0" w:line="158" w:lineRule="exact"/>
        <w:rPr>
          <w:sz w:val="20"/>
          <w:szCs w:val="20"/>
          <w:color w:val="auto"/>
        </w:rPr>
      </w:pPr>
    </w:p>
    <w:p>
      <w:pPr>
        <w:jc w:val="both"/>
        <w:ind w:left="100" w:right="99"/>
        <w:spacing w:after="0" w:line="271" w:lineRule="auto"/>
        <w:rPr>
          <w:sz w:val="20"/>
          <w:szCs w:val="20"/>
          <w:color w:val="auto"/>
        </w:rPr>
      </w:pPr>
      <w:r>
        <w:rPr>
          <w:rFonts w:ascii="Arial" w:cs="Arial" w:eastAsia="Arial" w:hAnsi="Arial"/>
          <w:sz w:val="18"/>
          <w:szCs w:val="18"/>
          <w:b w:val="1"/>
          <w:bCs w:val="1"/>
          <w:color w:val="auto"/>
        </w:rPr>
        <w:t>Significant developments stemming from the U.K.’s decision to withdraw from the European Union could have a material adverse effect on the Company.</w:t>
      </w:r>
    </w:p>
    <w:p>
      <w:pPr>
        <w:spacing w:after="0" w:line="143"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The U.K. has voted in favor of leaving the European Union (“E.U.”), and such withdrawal (commonly referred to as “Brexit”) is scheduled to take effect over the next two years. This decision has created political and economic uncertainty, particularly in the U.K. and the E.U., and this uncertainty may last for several years. The pending withdrawal and its possible future consequences have caused and may continue to cause significant volatility in global financial markets, including in global currency and debt markets. This volatility could cause a slowdown in economic activity in the U.K., Europe or globally, which could adversely affect the Company's operating results and growth prospects. In addition, Brexit could lead to legal uncertainty and potentially divergent national laws and regulations as the U.K. determines which E.U. laws to replace or replicate, and those laws and regulations may be cumbersome, difficult or costly in terms of compliance. Any of these effects of Brexit, among others, could adversely affect our business, results of operations and financial condition.</w:t>
      </w:r>
    </w:p>
    <w:p>
      <w:pPr>
        <w:spacing w:after="0" w:line="154"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Macroeconomic developments may adversely affect our business</w:t>
      </w:r>
      <w:r>
        <w:rPr>
          <w:rFonts w:ascii="Arial" w:cs="Arial" w:eastAsia="Arial" w:hAnsi="Arial"/>
          <w:sz w:val="17"/>
          <w:szCs w:val="17"/>
          <w:color w:val="auto"/>
        </w:rPr>
        <w:t>.</w:t>
      </w:r>
    </w:p>
    <w:p>
      <w:pPr>
        <w:spacing w:after="0" w:line="203"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Our performance is subject to global economic conditions and the related effects on consumer spending levels. Continued uncertainty about global economic conditions poses a risk as consumers and businesses may postpone spending in response to tighter credit, unemployment, negative financial news, and/or declines in income or asset values, which could have a material negative effect on demand for our products.</w:t>
      </w:r>
    </w:p>
    <w:p>
      <w:pPr>
        <w:spacing w:after="0" w:line="177"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As a retailer that is dependent upon consumer discretionary spending, our results of operations are sensitive to changes in macroeconomic conditions. Our customers may have less money for discretionary purchases as a result of job losses, foreclosures, bankruptcies, increased fuel and energy costs, higher interest rates, higher taxes, reduced access to credit, and lower home values. These and other economic factors could adversely affect demand for our products, which could adversely affect our financial condition and operating results.</w:t>
      </w:r>
    </w:p>
    <w:p>
      <w:pPr>
        <w:spacing w:after="0" w:line="15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Instability in the financial markets may adversely affect our business.</w:t>
      </w:r>
    </w:p>
    <w:p>
      <w:pPr>
        <w:spacing w:after="0" w:line="203"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Instability in the global financial markets could reduce availability of credit to our business. Although we currently have a revolving credit agreement in place until May 19, 2021, tightening of credit markets could make it more difficult for us to access funds, refinance our existing indebtedness, enter into agreements for new indebtedness, or obtain funding through the issuance of the Company’s securities. Other than insignificant amounts used for standby letters of credit, we do not have any borrowings under our credit facility.</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56" w:right="1440" w:bottom="1440" w:gutter="0" w:footer="0" w:header="0"/>
        </w:sectPr>
      </w:pPr>
    </w:p>
    <w:bookmarkStart w:id="6" w:name="page7"/>
    <w:bookmarkEnd w:id="6"/>
    <w:p>
      <w:pPr>
        <w:jc w:val="both"/>
        <w:ind w:left="100" w:right="99"/>
        <w:spacing w:after="0" w:line="236" w:lineRule="auto"/>
        <w:rPr>
          <w:sz w:val="20"/>
          <w:szCs w:val="20"/>
          <w:color w:val="auto"/>
        </w:rPr>
      </w:pPr>
      <w:r>
        <w:rPr>
          <w:rFonts w:ascii="Arial" w:cs="Arial" w:eastAsia="Arial" w:hAnsi="Arial"/>
          <w:sz w:val="17"/>
          <w:szCs w:val="17"/>
          <w:color w:val="auto"/>
        </w:rPr>
        <w:t>We rely on a few key suppliers for a majority of our merchandise purchases (including a significant portion from one key supplier). The inability of these key suppliers to access liquidity, or the insolvency of key suppliers, could lead to their failure to deliver merchandise to us. Our inability to obtain merchandise in a timely manner from major suppliers could have a material adverse effect on our business, financial condition, and results of operations.</w:t>
      </w:r>
    </w:p>
    <w:p>
      <w:pPr>
        <w:spacing w:after="0" w:line="157" w:lineRule="exact"/>
        <w:rPr>
          <w:sz w:val="20"/>
          <w:szCs w:val="20"/>
          <w:color w:val="auto"/>
        </w:rPr>
      </w:pPr>
    </w:p>
    <w:p>
      <w:pPr>
        <w:jc w:val="both"/>
        <w:ind w:left="100" w:right="99"/>
        <w:spacing w:after="0" w:line="268" w:lineRule="auto"/>
        <w:rPr>
          <w:sz w:val="20"/>
          <w:szCs w:val="20"/>
          <w:color w:val="auto"/>
        </w:rPr>
      </w:pPr>
      <w:r>
        <w:rPr>
          <w:rFonts w:ascii="Arial" w:cs="Arial" w:eastAsia="Arial" w:hAnsi="Arial"/>
          <w:sz w:val="17"/>
          <w:szCs w:val="17"/>
          <w:b w:val="1"/>
          <w:bCs w:val="1"/>
          <w:color w:val="auto"/>
        </w:rPr>
        <w:t>Material changes in the market value of the securities we hold may adversely affect our results of operations and financial condition.</w:t>
      </w:r>
    </w:p>
    <w:p>
      <w:pPr>
        <w:spacing w:after="0" w:line="151"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At February 3, 2018, our cash and cash equivalents totaled $849 million. The majority of our investments were short-term deposits in highly-rated banking institutions. As of February 3, 2018, $669 million of our cash and cash equivalents were held in foreign jurisdictions, almost half of which was held in U.S. dollars. We regularly monitor our counterparty credit risk and mitigate our exposure by making short-term investments only in highly-rated institutions and by limiting the amount we invest in any one institution. We continually monitor the creditworthiness of our counterparties. At February 3, 2018, all of the investments were in investment grade institutions. Despite an investment grade rating, it is possible that the value or liquidity of our investments may decline due to any number of factors, including general market conditions and bank-specific credit issues.</w:t>
      </w:r>
    </w:p>
    <w:p>
      <w:pPr>
        <w:spacing w:after="0" w:line="177"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Our U.S. pension plan trust holds assets totaling $639 million at February 3, 2018. The fair values of these assets held in the trust are compared to the plan’s projected benefit obligation to determine the pension funding liability. We attempt to mitigate funding risk through asset diversification, and we regularly monitor investment risk of our portfolio through quarterly investment portfolio reviews and periodic asset and liability studies. Despite these measures, it is possible that the value of our portfolio may decline in the future due to any number of factors, including general market conditions and credit issues. Such declines could affect the funded status of our pension plan and future funding requirements.</w:t>
      </w:r>
    </w:p>
    <w:p>
      <w:pPr>
        <w:spacing w:after="0" w:line="158" w:lineRule="exact"/>
        <w:rPr>
          <w:sz w:val="20"/>
          <w:szCs w:val="20"/>
          <w:color w:val="auto"/>
        </w:rPr>
      </w:pPr>
    </w:p>
    <w:p>
      <w:pPr>
        <w:jc w:val="both"/>
        <w:ind w:left="100" w:right="99"/>
        <w:spacing w:after="0" w:line="268" w:lineRule="auto"/>
        <w:rPr>
          <w:sz w:val="20"/>
          <w:szCs w:val="20"/>
          <w:color w:val="auto"/>
        </w:rPr>
      </w:pPr>
      <w:r>
        <w:rPr>
          <w:rFonts w:ascii="Arial" w:cs="Arial" w:eastAsia="Arial" w:hAnsi="Arial"/>
          <w:sz w:val="17"/>
          <w:szCs w:val="17"/>
          <w:b w:val="1"/>
          <w:bCs w:val="1"/>
          <w:color w:val="auto"/>
        </w:rPr>
        <w:t>If our long-lived assets, goodwill or other intangible assets become impaired, we may need to record significant non-cash impairment charges.</w:t>
      </w:r>
    </w:p>
    <w:p>
      <w:pPr>
        <w:spacing w:after="0" w:line="151" w:lineRule="exact"/>
        <w:rPr>
          <w:sz w:val="20"/>
          <w:szCs w:val="20"/>
          <w:color w:val="auto"/>
        </w:rPr>
      </w:pPr>
    </w:p>
    <w:p>
      <w:pPr>
        <w:jc w:val="both"/>
        <w:ind w:left="100" w:right="99"/>
        <w:spacing w:after="0" w:line="233" w:lineRule="auto"/>
        <w:rPr>
          <w:sz w:val="20"/>
          <w:szCs w:val="20"/>
          <w:color w:val="auto"/>
        </w:rPr>
      </w:pPr>
      <w:r>
        <w:rPr>
          <w:rFonts w:ascii="Arial" w:cs="Arial" w:eastAsia="Arial" w:hAnsi="Arial"/>
          <w:sz w:val="17"/>
          <w:szCs w:val="17"/>
          <w:color w:val="auto"/>
        </w:rPr>
        <w:t>We review our long-lived assets, goodwill and other intangible assets when events indicate that the carrying value of such assets may be impaired. Goodwill and other indefinite lived intangible assets are reviewed for impairment if impairment indicators arise and, at a minimum, annually. As of February 3, 2018, we had $160 million of goodwill; this asset is not amortized but is subject to an impairment test, which consists of either a qualitative assessment on a reporting unit level, or a two-step impairment test, if necessary. The determination of impairment charges is significantly affected by estimates of future operating cash flows and estimates of fair value. Our estimates of future operating cash flows are identified from our long-range strategic plans, which are based upon our experience, knowledge, and expectations; however, these estimates can be affected by factors such as our future operating results, future store profitability, and future economic conditions, all of which can be difficult to predict accurately. Any significant deterioration in macroeconomic conditions could affect the fair value of our long-lived assets, goodwill, and other intangible assets and could result in future impairment charges, which would adversely affect our results of operations.</w:t>
      </w:r>
    </w:p>
    <w:p>
      <w:pPr>
        <w:spacing w:after="0" w:line="161"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Our financial results may be adversely affected by tax rates or exposure to additional tax liabilities.</w:t>
      </w:r>
    </w:p>
    <w:p>
      <w:pPr>
        <w:spacing w:after="0" w:line="203" w:lineRule="exact"/>
        <w:rPr>
          <w:sz w:val="20"/>
          <w:szCs w:val="20"/>
          <w:color w:val="auto"/>
        </w:rPr>
      </w:pPr>
    </w:p>
    <w:p>
      <w:pPr>
        <w:jc w:val="both"/>
        <w:ind w:left="100" w:right="99"/>
        <w:spacing w:after="0"/>
        <w:rPr>
          <w:sz w:val="20"/>
          <w:szCs w:val="20"/>
          <w:color w:val="auto"/>
        </w:rPr>
      </w:pPr>
      <w:r>
        <w:rPr>
          <w:rFonts w:ascii="Arial" w:cs="Arial" w:eastAsia="Arial" w:hAnsi="Arial"/>
          <w:sz w:val="17"/>
          <w:szCs w:val="17"/>
          <w:color w:val="auto"/>
        </w:rPr>
        <w:t>We are a U.S.-based multinational company subject to tax in multiple U.S. and foreign tax jurisdictions. Our provision for income taxes is based on a jurisdictional mix of earnings, statutory rates, and enacted tax rules, including transfer pricing. Significant judgment is required in determining our provision for income taxes and in evaluating our tax positions on a worldwide basis. Our effective tax rate could be adversely affected by a number of factors, including shifts in the mix of pretax results by tax jurisdiction, changes in tax laws or related interpretations in the jurisdictions in which we operate, and tax assessments and related interest and penalties resulting from income tax audits.</w:t>
      </w:r>
    </w:p>
    <w:p>
      <w:pPr>
        <w:spacing w:after="0" w:line="320"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Changes in tax laws and interpretations may affect our earnings negatively.</w:t>
      </w:r>
    </w:p>
    <w:p>
      <w:pPr>
        <w:spacing w:after="0" w:line="203"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On December 22, 2017, the Tax Cuts and Jobs Act (H.R. 1) (the “Tax Act”) was signed into law. The Tax Act includes a number of changes in existing tax law affecting businesses including, among other things, a reduction in the U.S. corporate income tax rate from 35 percent to 21 percent, disallowance of certain deductions that had previously been allowed, limitations on interest deductions, alteration of the expensing of capital expenditures, adoption of a territorial tax system, assessment of a repatriation tax or “toll-charge” on undistributed earnings and profits of U.S.-owned foreign corporations, and introduction of certain anti-base erosion provisions.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76" w:right="1440" w:bottom="1440" w:gutter="0" w:footer="0" w:header="0"/>
        </w:sectPr>
      </w:pPr>
    </w:p>
    <w:bookmarkStart w:id="7" w:name="page8"/>
    <w:bookmarkEnd w:id="7"/>
    <w:p>
      <w:pPr>
        <w:jc w:val="both"/>
        <w:ind w:left="100" w:right="99"/>
        <w:spacing w:after="0" w:line="234" w:lineRule="auto"/>
        <w:rPr>
          <w:sz w:val="20"/>
          <w:szCs w:val="20"/>
          <w:color w:val="auto"/>
        </w:rPr>
      </w:pPr>
      <w:r>
        <w:rPr>
          <w:rFonts w:ascii="Arial" w:cs="Arial" w:eastAsia="Arial" w:hAnsi="Arial"/>
          <w:sz w:val="17"/>
          <w:szCs w:val="17"/>
          <w:color w:val="auto"/>
        </w:rPr>
        <w:t>In the fourth quarter of 2017, we recognized a provisional net tax expense of $99 million associated with the Tax Act; however, the ultimate effect on our financial condition and results of operations in 2018 and future years remains uncertain and may differ materially from our expectations due to the issuance of technical guidance regarding elements of the Tax Act and changes in interpretations and assumptions we have made with respect to the Tax Act. In addition, it is unclear how these U.S. federal income tax changes will affect state and local taxation, which often uses federal taxable income as a starting point for computing state and local tax liabilities. As such, there may be material adverse effects resulting from the Tax Act that we have not yet identified.</w:t>
      </w:r>
    </w:p>
    <w:p>
      <w:pPr>
        <w:spacing w:after="0" w:line="158" w:lineRule="exact"/>
        <w:rPr>
          <w:sz w:val="20"/>
          <w:szCs w:val="20"/>
          <w:color w:val="auto"/>
        </w:rPr>
      </w:pPr>
    </w:p>
    <w:p>
      <w:pPr>
        <w:jc w:val="both"/>
        <w:ind w:left="100" w:right="99"/>
        <w:spacing w:after="0" w:line="268" w:lineRule="auto"/>
        <w:rPr>
          <w:sz w:val="20"/>
          <w:szCs w:val="20"/>
          <w:color w:val="auto"/>
        </w:rPr>
      </w:pPr>
      <w:r>
        <w:rPr>
          <w:rFonts w:ascii="Arial" w:cs="Arial" w:eastAsia="Arial" w:hAnsi="Arial"/>
          <w:sz w:val="17"/>
          <w:szCs w:val="17"/>
          <w:b w:val="1"/>
          <w:bCs w:val="1"/>
          <w:color w:val="auto"/>
        </w:rPr>
        <w:t>The effects of natural disasters, terrorism, acts of war, and public health issues may adversely affect our business.</w:t>
      </w:r>
    </w:p>
    <w:p>
      <w:pPr>
        <w:spacing w:after="0" w:line="151" w:lineRule="exact"/>
        <w:rPr>
          <w:sz w:val="20"/>
          <w:szCs w:val="20"/>
          <w:color w:val="auto"/>
        </w:rPr>
      </w:pPr>
    </w:p>
    <w:p>
      <w:pPr>
        <w:jc w:val="both"/>
        <w:ind w:left="100" w:right="99"/>
        <w:spacing w:after="0" w:line="233" w:lineRule="auto"/>
        <w:rPr>
          <w:sz w:val="20"/>
          <w:szCs w:val="20"/>
          <w:color w:val="auto"/>
        </w:rPr>
      </w:pPr>
      <w:r>
        <w:rPr>
          <w:rFonts w:ascii="Arial" w:cs="Arial" w:eastAsia="Arial" w:hAnsi="Arial"/>
          <w:sz w:val="17"/>
          <w:szCs w:val="17"/>
          <w:color w:val="auto"/>
        </w:rPr>
        <w:t>Natural disasters, including earthquakes, hurricanes, floods, and tornadoes may affect store and distribution center operations. In addition, acts of terrorism, acts of war, and military action both in the United States and abroad can have a significant effect on economic conditions and may negatively affect our ability to purchase merchandise from suppliers for sale to our customers. Public health issues, such as flu or other pandemics, whether occurring in the United States or abroad, could disrupt our operations and result in a significant part of our workforce being unable to operate or maintain our infrastructure or perform other tasks necessary to conduct our business. Additionally, public health issues may disrupt, or have an adverse effect on, our suppliers’ operations, our operations, our customers, or customer demand. Our ability to mitigate the adverse effect of these events depends, in part, upon the effectiveness of our disaster preparedness and response planning as well as business continuity planning. However, we cannot be certain that our plans will be adequate or implemented properly in the event of an actual disaster. We may be required to suspend operations in some or all of our locations, which could have a material adverse effect on our business, financial condition, and results of operations. Any significant declines in public safety or uncertainties regarding future economic prospects that affect customer spending habits could have a material adverse effect on customer purchases of our products.</w:t>
      </w:r>
    </w:p>
    <w:p>
      <w:pPr>
        <w:spacing w:after="0" w:line="159"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Manufacturer compliance with our social compliance program requirements.</w:t>
      </w:r>
    </w:p>
    <w:p>
      <w:pPr>
        <w:spacing w:after="0" w:line="203"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We require our independent manufacturers to comply with our policies and procedures, which cover many areas including labor, health and safety, and environmental standards. We monitor compliance with our policies and procedures using internal resources, as well as third-party monitoring firms. Although we monitor their compliance with these policies and procedures, we do not control the manufacturers or their practices. Any failure of our independent manufacturers to comply with our policies and procedures or local laws in the country of manufacture could disrupt the shipment of merchandise to us, force us to locate alternate manufacturing sources, reduce demand for our merchandise, or damage our reputation.</w:t>
      </w:r>
    </w:p>
    <w:p>
      <w:pPr>
        <w:spacing w:after="0" w:line="158" w:lineRule="exact"/>
        <w:rPr>
          <w:sz w:val="20"/>
          <w:szCs w:val="20"/>
          <w:color w:val="auto"/>
        </w:rPr>
      </w:pPr>
    </w:p>
    <w:p>
      <w:pPr>
        <w:jc w:val="both"/>
        <w:ind w:left="100" w:right="99"/>
        <w:spacing w:after="0" w:line="268" w:lineRule="auto"/>
        <w:rPr>
          <w:sz w:val="20"/>
          <w:szCs w:val="20"/>
          <w:color w:val="auto"/>
        </w:rPr>
      </w:pPr>
      <w:r>
        <w:rPr>
          <w:rFonts w:ascii="Arial" w:cs="Arial" w:eastAsia="Arial" w:hAnsi="Arial"/>
          <w:sz w:val="17"/>
          <w:szCs w:val="17"/>
          <w:b w:val="1"/>
          <w:bCs w:val="1"/>
          <w:color w:val="auto"/>
        </w:rPr>
        <w:t>Complications in our distribution centers and other factors affecting the distribution of merchandise may affect our business.</w:t>
      </w:r>
    </w:p>
    <w:p>
      <w:pPr>
        <w:spacing w:after="0" w:line="151"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We operate multiple distribution centers worldwide to support our businesses. In addition to the distribution centers that we operate, we have third-party arrangements to support our operations in the United States, Canada, Australia, and New Zealand. If complications arise with any facility or if any facility is severely damaged or destroyed, our other distribution centers may be unable to support the resulting additional distribution demands. We also may be affected by disruptions in the global transportation network such as port strikes, weather conditions, work stoppages or other labor unrest. These factors may adversely affect our ability to deliver inventory on a timely basis. We depend upon third-party carriers for shipment of merchandise; any interruption in service by these carriers for any reason could cause disruptions in our business, a loss of sales and profits, and other material adverse effects.</w:t>
      </w:r>
    </w:p>
    <w:p>
      <w:pPr>
        <w:spacing w:after="0" w:line="157" w:lineRule="exact"/>
        <w:rPr>
          <w:sz w:val="20"/>
          <w:szCs w:val="20"/>
          <w:color w:val="auto"/>
        </w:rPr>
      </w:pPr>
    </w:p>
    <w:p>
      <w:pPr>
        <w:jc w:val="both"/>
        <w:ind w:left="100" w:right="99"/>
        <w:spacing w:after="0" w:line="250" w:lineRule="auto"/>
        <w:rPr>
          <w:sz w:val="20"/>
          <w:szCs w:val="20"/>
          <w:color w:val="auto"/>
        </w:rPr>
      </w:pPr>
      <w:r>
        <w:rPr>
          <w:rFonts w:ascii="Arial" w:cs="Arial" w:eastAsia="Arial" w:hAnsi="Arial"/>
          <w:sz w:val="17"/>
          <w:szCs w:val="17"/>
          <w:b w:val="1"/>
          <w:bCs w:val="1"/>
          <w:color w:val="auto"/>
        </w:rPr>
        <w:t>We are subject to technology risks including failures, security breaches, and cybersecurity risks which could harm our business, damage our reputation, and increase our costs in an effort to protect against such risks.</w:t>
      </w:r>
    </w:p>
    <w:p>
      <w:pPr>
        <w:spacing w:after="0" w:line="165"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Information technology is a critically important part of our business operations. We depend on information systems to process transactions, make operational decisions, manage inventory, operate our websites, purchase, sell and ship goods on a timely basis, and maintain cost-efficient operations. There is a risk that we could experience a business interruption, theft of information, or reputational damage as a result of a cyber-attack, such as an infiltration of a data center or data leakage of confidential information, either internally or at our third-party providers. We may experience operational problems with our information systems as a result of system failures, system implementation issues, viruses, malicious hackers, sabotage, or other causes.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76" w:right="1440" w:bottom="1440" w:gutter="0" w:footer="0" w:header="0"/>
        </w:sectPr>
      </w:pPr>
    </w:p>
    <w:bookmarkStart w:id="8" w:name="page9"/>
    <w:bookmarkEnd w:id="8"/>
    <w:p>
      <w:pPr>
        <w:jc w:val="both"/>
        <w:ind w:left="100" w:right="99"/>
        <w:spacing w:after="0" w:line="235" w:lineRule="auto"/>
        <w:rPr>
          <w:sz w:val="20"/>
          <w:szCs w:val="20"/>
          <w:color w:val="auto"/>
        </w:rPr>
      </w:pPr>
      <w:r>
        <w:rPr>
          <w:rFonts w:ascii="Arial" w:cs="Arial" w:eastAsia="Arial" w:hAnsi="Arial"/>
          <w:sz w:val="17"/>
          <w:szCs w:val="17"/>
          <w:color w:val="auto"/>
        </w:rPr>
        <w:t>We invest in security technology to protect the data stored by us, including our data and business processes, against the risk of data security breaches and cyber-attacks. Our data security management program includes enforcement of standard data protection policies such as Payment Card Industry compliance. Additionally, we certify our major technology suppliers and any outsourced services through accepted security certification measures. We maintain and routinely test backup systems and disaster recovery, along with external network security penetration testing by an independent third party as part of our business continuity preparedness.</w:t>
      </w:r>
    </w:p>
    <w:p>
      <w:pPr>
        <w:spacing w:after="0" w:line="175" w:lineRule="exact"/>
        <w:rPr>
          <w:sz w:val="20"/>
          <w:szCs w:val="20"/>
          <w:color w:val="auto"/>
        </w:rPr>
      </w:pPr>
    </w:p>
    <w:p>
      <w:pPr>
        <w:jc w:val="both"/>
        <w:ind w:left="100" w:right="99"/>
        <w:spacing w:after="0" w:line="233" w:lineRule="auto"/>
        <w:rPr>
          <w:sz w:val="20"/>
          <w:szCs w:val="20"/>
          <w:color w:val="auto"/>
        </w:rPr>
      </w:pPr>
      <w:r>
        <w:rPr>
          <w:rFonts w:ascii="Arial" w:cs="Arial" w:eastAsia="Arial" w:hAnsi="Arial"/>
          <w:sz w:val="17"/>
          <w:szCs w:val="17"/>
          <w:color w:val="auto"/>
        </w:rPr>
        <w:t>While we believe that our security technology and processes follow leading practices in the prevention of security breaches and the mitigation of cybersecurity risks, given the ever-increasing abilities of those intent on breaching cybersecurity measures and given the necessity of our reliance on the security procedures of third-party vendors, the total security effort at any point in time may not be completely effective. Any such security breaches and cyber incidents could adversely affect our business. Failure of our systems, including failures due to cyber-attacks that would prevent the ability of systems to function as intended, could cause transaction errors, loss of customers and sales, and negative consequences to us, our employees, and those with whom we do business. Any security breach involving the misappropriation, loss, or other unauthorized disclosure of confidential information by us could also severely damage our reputation, expose us to the risks of litigation and liability, increase operating costs associated with remediation, and harm our business. While we carry insurance that would mitigate the losses, such insurance may be insufficient to compensate us for potentially significant losses.</w:t>
      </w:r>
    </w:p>
    <w:p>
      <w:pPr>
        <w:spacing w:after="0" w:line="161"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Risks associated with digital operations.</w:t>
      </w:r>
    </w:p>
    <w:p>
      <w:pPr>
        <w:spacing w:after="0" w:line="203"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Our digital operations are subject to numerous risks, including risks related to the failure of the computer systems that operate our websites and mobile sites and their related support systems, computer viruses, cybersecurity risks, telecommunications failures, denial of service attacks, and similar disruptions. Also, we will require additional capital in the future to sustain or grow our digital commerce business. Risks related to digital commerce include those associated with credit card fraud, the need to keep pace with rapid technological change, governmental regulation, and legal uncertainties with respect to Internet regulatory compliance. If any of these risks materialize, it could have a material adverse effect on our business.</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Privacy and data security concerns and regulation could result in additional costs and liabilities.</w:t>
      </w:r>
    </w:p>
    <w:p>
      <w:pPr>
        <w:spacing w:after="0" w:line="203" w:lineRule="exact"/>
        <w:rPr>
          <w:sz w:val="20"/>
          <w:szCs w:val="20"/>
          <w:color w:val="auto"/>
        </w:rPr>
      </w:pPr>
    </w:p>
    <w:p>
      <w:pPr>
        <w:jc w:val="both"/>
        <w:ind w:left="100" w:right="99"/>
        <w:spacing w:after="0" w:line="233" w:lineRule="auto"/>
        <w:rPr>
          <w:sz w:val="20"/>
          <w:szCs w:val="20"/>
          <w:color w:val="auto"/>
        </w:rPr>
      </w:pPr>
      <w:r>
        <w:rPr>
          <w:rFonts w:ascii="Arial" w:cs="Arial" w:eastAsia="Arial" w:hAnsi="Arial"/>
          <w:sz w:val="17"/>
          <w:szCs w:val="17"/>
          <w:color w:val="auto"/>
        </w:rPr>
        <w:t>The protection of customer, employee, and Company data is critical. The regulatory environment surrounding information security and privacy is demanding, with the frequent imposition of new and changing requirements. In addition, customers have a high expectation that we will adequately protect their personal information. Any actual or perceived misappropriation or breach involving this data could attract negative media attention, cause harm to our reputation or result in liability (including but not limited to fines, penalties or lawsuits), any of which could have a material adverse effect on our business, operational results, financial position and cash flows. Additionally, the E.U. adopted a comprehensive General Data Privacy Regulation (the “GDPR”), which will become fully effective in May 2018. The GDPR requires companies to satisfy new requirements regarding the handling of personal and sensitive data, including its use, protection and the ability of persons whose data is stored to correct or delete such data about themselves. Failure to comply with GDPR requirements could result in penalties of up to 4 percent of worldwide revenue. The GDPR and other similar laws and regulations, as well as any associated inquiries or investigations or any other government actions, may be costly to comply with, result in negative publicity, increase our operating costs, require significant management time and attention, and subject us to remedies that may harm our business, including fines or demands or orders that we modify or cease existing business practices.</w:t>
      </w:r>
    </w:p>
    <w:p>
      <w:pPr>
        <w:spacing w:after="0" w:line="159" w:lineRule="exact"/>
        <w:rPr>
          <w:sz w:val="20"/>
          <w:szCs w:val="20"/>
          <w:color w:val="auto"/>
        </w:rPr>
      </w:pPr>
    </w:p>
    <w:p>
      <w:pPr>
        <w:jc w:val="both"/>
        <w:ind w:left="100" w:right="99"/>
        <w:spacing w:after="0" w:line="250" w:lineRule="auto"/>
        <w:rPr>
          <w:sz w:val="20"/>
          <w:szCs w:val="20"/>
          <w:color w:val="auto"/>
        </w:rPr>
      </w:pPr>
      <w:r>
        <w:rPr>
          <w:rFonts w:ascii="Arial" w:cs="Arial" w:eastAsia="Arial" w:hAnsi="Arial"/>
          <w:sz w:val="17"/>
          <w:szCs w:val="17"/>
          <w:b w:val="1"/>
          <w:bCs w:val="1"/>
          <w:color w:val="auto"/>
        </w:rPr>
        <w:t>The technology enablement of omni-channel in our business is complex and involves the development of a new digital platform and a new order management system in order to enhance the complete customer experience.</w:t>
      </w:r>
    </w:p>
    <w:p>
      <w:pPr>
        <w:spacing w:after="0" w:line="165"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We continue to invest in initiatives designed to deliver a high-quality, coordinated shopping experience online, in-stores, and on mobile devices, which requires substantial investment in technology, information systems, and employee training, as well as significant management time and resources. Our omni-channel retailing efforts include the integration and implementation of new technology, software, and processes to be able to fulfill orders from any point within our system of stores and distribution centers, which is extremely complex and may not meet customer expectations for timely and accurate deliveries. These efforts involve substantial risk, including risk of implementation delays, cost overruns, technology interruptions, supply and distribution delays, and other issues that can affect the successful implementation and operation of our omni-channel initiatives.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76" w:right="1440" w:bottom="1440" w:gutter="0" w:footer="0" w:header="0"/>
        </w:sectPr>
      </w:pPr>
    </w:p>
    <w:bookmarkStart w:id="9" w:name="page10"/>
    <w:bookmarkEnd w:id="9"/>
    <w:p>
      <w:pPr>
        <w:jc w:val="both"/>
        <w:ind w:left="100" w:right="99"/>
        <w:spacing w:after="0" w:line="243" w:lineRule="auto"/>
        <w:rPr>
          <w:sz w:val="20"/>
          <w:szCs w:val="20"/>
          <w:color w:val="auto"/>
        </w:rPr>
      </w:pPr>
      <w:r>
        <w:rPr>
          <w:rFonts w:ascii="Arial" w:cs="Arial" w:eastAsia="Arial" w:hAnsi="Arial"/>
          <w:sz w:val="17"/>
          <w:szCs w:val="17"/>
          <w:color w:val="auto"/>
        </w:rPr>
        <w:t>If our omni-channel initiatives are not successful, or we do not realize the return on our omni-channel investments that we anticipate, our financial performance and future growth could be materially adversely affected.</w:t>
      </w:r>
    </w:p>
    <w:p>
      <w:pPr>
        <w:spacing w:after="0" w:line="151"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Our reliance on key management.</w:t>
      </w:r>
    </w:p>
    <w:p>
      <w:pPr>
        <w:spacing w:after="0" w:line="203"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Future performance will depend upon our ability to attract, retain, and motivate our executive and senior management teams. Our executive and senior management teams have substantial experience and expertise in our business and have made significant contributions to our success. Our future performance depends to a significant extent both upon the continued services of our current executive and senior management teams, as well as our ability to attract, hire, motivate, and retain additional qualified management in the future. While we feel that we have adequate succession planning and executive development programs, competition for key executives in the retail industry is intense, and our operations could be adversely affected if we cannot retain and attract qualified executives.</w:t>
      </w:r>
    </w:p>
    <w:p>
      <w:pPr>
        <w:spacing w:after="0" w:line="15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Risks associated with attracting and retaining store and field associates.</w:t>
      </w:r>
    </w:p>
    <w:p>
      <w:pPr>
        <w:spacing w:after="0" w:line="203" w:lineRule="exact"/>
        <w:rPr>
          <w:sz w:val="20"/>
          <w:szCs w:val="20"/>
          <w:color w:val="auto"/>
        </w:rPr>
      </w:pPr>
    </w:p>
    <w:p>
      <w:pPr>
        <w:jc w:val="both"/>
        <w:ind w:left="100" w:right="99"/>
        <w:spacing w:after="0"/>
        <w:rPr>
          <w:sz w:val="20"/>
          <w:szCs w:val="20"/>
          <w:color w:val="auto"/>
        </w:rPr>
      </w:pPr>
      <w:r>
        <w:rPr>
          <w:rFonts w:ascii="Arial" w:cs="Arial" w:eastAsia="Arial" w:hAnsi="Arial"/>
          <w:sz w:val="17"/>
          <w:szCs w:val="17"/>
          <w:color w:val="auto"/>
        </w:rPr>
        <w:t>Our success depends, in part, upon our ability to attract, develop, and retain a sufficient number of qualified store and field associates. The turnover rate in the retail industry is generally high. If we are unable to attract and retain quality associates, our ability to meet our growth goals or to sustain expected levels of profitability may be compromised. Our ability to meet our labor needs while controlling costs is subject to external factors such as unemployment levels, prevailing wage rates, minimum wage legislation, overtime regulations, and changing demographics.</w:t>
      </w:r>
    </w:p>
    <w:p>
      <w:pPr>
        <w:spacing w:after="0" w:line="326"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Changes in employment laws or regulation could harm our performance.</w:t>
      </w:r>
    </w:p>
    <w:p>
      <w:pPr>
        <w:spacing w:after="0" w:line="203"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Various foreign and domestic labor laws govern our relationship with our employees and affect our operating costs. These laws include minimum wage requirements, overtime and sick pay, paid time off, work scheduling, healthcare reform and the Patient Protection and Affordable Care Act (“ACA”), unemployment tax rates, workers’ compensation rates, European works council requirements, and union organization. A number of factors could adversely affect our operating results, including additional government-imposed increases in minimum wages, overtime and sick pay, paid leaves of absence and mandated health benefits, and changing regulations from the National Labor Relations Board or other agencies. At this time, there is uncertainty concerning whether the ACA will be repealed or what requirements will be included in a new law, if enacted. Complying with any new legislation and/or reversing changes implemented under the ACA could be time-intensive and expensive, and may affect our business.</w:t>
      </w:r>
    </w:p>
    <w:p>
      <w:pPr>
        <w:spacing w:after="0" w:line="155" w:lineRule="exact"/>
        <w:rPr>
          <w:sz w:val="20"/>
          <w:szCs w:val="20"/>
          <w:color w:val="auto"/>
        </w:rPr>
      </w:pPr>
    </w:p>
    <w:p>
      <w:pPr>
        <w:jc w:val="both"/>
        <w:ind w:left="100" w:right="99"/>
        <w:spacing w:after="0" w:line="268" w:lineRule="auto"/>
        <w:rPr>
          <w:sz w:val="20"/>
          <w:szCs w:val="20"/>
          <w:color w:val="auto"/>
        </w:rPr>
      </w:pPr>
      <w:r>
        <w:rPr>
          <w:rFonts w:ascii="Arial" w:cs="Arial" w:eastAsia="Arial" w:hAnsi="Arial"/>
          <w:sz w:val="17"/>
          <w:szCs w:val="17"/>
          <w:b w:val="1"/>
          <w:bCs w:val="1"/>
          <w:color w:val="auto"/>
        </w:rPr>
        <w:t>Legislative or regulatory initiatives related to global warming/climate change concerns may negatively affect our business.</w:t>
      </w:r>
    </w:p>
    <w:p>
      <w:pPr>
        <w:spacing w:after="0" w:line="151"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There has been an increasing focus and significant debate on global climate change, including increased attention from regulatory agencies and legislative bodies. This increased focus may lead to new initiatives directed at regulating an as-yet unspecified array of environmental matters. Legislative, regulatory, or other efforts to combat climate change could result in future increases in taxes or in the cost of transportation and utilities, which could decrease our operating profits and could necessitate future additional investments in facilities and equipment. We are currently unable to predict the potential effects that any such future environmental initiatives may have on our business.</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We may be adversely affected by regulatory and litigation developments.</w:t>
      </w:r>
    </w:p>
    <w:p>
      <w:pPr>
        <w:spacing w:after="0" w:line="203"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We are exposed to the risk that federal or state legislation may negatively affect our operations. Changes in federal or state wage requirements, employee rights, health care, social welfare or entitlement programs, such as health insurance, paid leave programs, or other changes in workplace regulation could increase our cost of doing business or otherwise adversely affect our operations. Additionally, we are regularly involved in various litigation matters, including class actions, which arise in the ordinary course of our business. Litigation or regulatory developments could adversely affect our business operations and financial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76" w:right="1440" w:bottom="1440" w:gutter="0" w:footer="0" w:header="0"/>
        </w:sectPr>
      </w:pPr>
    </w:p>
    <w:bookmarkStart w:id="10" w:name="page11"/>
    <w:bookmarkEnd w:id="10"/>
    <w:p>
      <w:pPr>
        <w:ind w:left="100"/>
        <w:spacing w:after="0"/>
        <w:rPr>
          <w:sz w:val="20"/>
          <w:szCs w:val="20"/>
          <w:color w:val="auto"/>
        </w:rPr>
      </w:pPr>
      <w:r>
        <w:rPr>
          <w:rFonts w:ascii="Arial" w:cs="Arial" w:eastAsia="Arial" w:hAnsi="Arial"/>
          <w:sz w:val="17"/>
          <w:szCs w:val="17"/>
          <w:b w:val="1"/>
          <w:bCs w:val="1"/>
          <w:color w:val="auto"/>
        </w:rPr>
        <w:t>We operate in many different jurisdictions and we could be adversely affected by violations of the U.S.</w:t>
      </w:r>
    </w:p>
    <w:p>
      <w:pPr>
        <w:spacing w:after="0" w:line="14"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Foreign Corrupt Practices Act and similar worldwide anti-corruption laws.</w:t>
      </w:r>
    </w:p>
    <w:p>
      <w:pPr>
        <w:spacing w:after="0" w:line="183"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The U.S. Foreign Corrupt Practices Act (“FCPA”) and similar worldwide anti-corruption laws, including the U.K. Bribery Act of 2010, which is broader in scope than the FCPA, generally prohibit companies and their intermediaries from making improper payments to government officials for the purpose of obtaining or retaining business.</w:t>
      </w:r>
    </w:p>
    <w:p>
      <w:pPr>
        <w:spacing w:after="0" w:line="175"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Our internal policies mandate compliance with these anti-corruption laws. Despite our training and compliance programs, we cannot be assured that our internal control policies and procedures will always protect us from reckless or criminal acts committed by our employees or agents. Our continued expansion outside the United States, including in developing countries, could increase the risk of FCPA violations in the future. Violations of these laws, or allegations of such violations, could result in a material adverse effect on our results of operations or financial condition.</w:t>
      </w:r>
    </w:p>
    <w:p>
      <w:pPr>
        <w:spacing w:after="0" w:line="155" w:lineRule="exact"/>
        <w:rPr>
          <w:sz w:val="20"/>
          <w:szCs w:val="20"/>
          <w:color w:val="auto"/>
        </w:rPr>
      </w:pPr>
    </w:p>
    <w:p>
      <w:pPr>
        <w:jc w:val="both"/>
        <w:ind w:left="100" w:right="99"/>
        <w:spacing w:after="0" w:line="268" w:lineRule="auto"/>
        <w:rPr>
          <w:sz w:val="20"/>
          <w:szCs w:val="20"/>
          <w:color w:val="auto"/>
        </w:rPr>
      </w:pPr>
      <w:r>
        <w:rPr>
          <w:rFonts w:ascii="Arial" w:cs="Arial" w:eastAsia="Arial" w:hAnsi="Arial"/>
          <w:sz w:val="17"/>
          <w:szCs w:val="17"/>
          <w:b w:val="1"/>
          <w:bCs w:val="1"/>
          <w:color w:val="auto"/>
        </w:rPr>
        <w:t>Failure to fully comply with Section 404 of the Sarbanes-Oxley Act of 2002 could negatively affect our business, market confidence in our reported financial information, and the price of our common stock.</w:t>
      </w:r>
    </w:p>
    <w:p>
      <w:pPr>
        <w:spacing w:after="0" w:line="151"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We continue to document, test, and monitor our internal controls over financial reporting in order to satisfy all of the requirements of Section 404 of the Sarbanes-Oxley Act of 2002; however, we cannot be assured that our disclosure controls and procedures and our internal controls over financial reporting will prove to be completely adequate in the future. Failure to fully comply with Section 404 of the Sarbanes-Oxley Act of 2002 could negatively affect our business, market confidence in our reported financial information, and the price of our common stock.</w:t>
      </w:r>
    </w:p>
    <w:p>
      <w:pPr>
        <w:spacing w:after="0" w:line="157" w:lineRule="exact"/>
        <w:rPr>
          <w:sz w:val="20"/>
          <w:szCs w:val="20"/>
          <w:color w:val="auto"/>
        </w:rPr>
      </w:pPr>
    </w:p>
    <w:p>
      <w:pPr>
        <w:ind w:left="100"/>
        <w:spacing w:after="0"/>
        <w:rPr>
          <w:sz w:val="20"/>
          <w:szCs w:val="20"/>
          <w:color w:val="auto"/>
        </w:rPr>
      </w:pPr>
      <w:r>
        <w:rPr>
          <w:rFonts w:ascii="Arial" w:cs="Arial" w:eastAsia="Arial" w:hAnsi="Arial"/>
          <w:sz w:val="17"/>
          <w:szCs w:val="17"/>
          <w:b w:val="1"/>
          <w:bCs w:val="1"/>
          <w:i w:val="1"/>
          <w:iCs w:val="1"/>
          <w:color w:val="auto"/>
        </w:rPr>
        <w:t>Item 1B. Unresolved Staff Comments</w:t>
      </w:r>
    </w:p>
    <w:p>
      <w:pPr>
        <w:spacing w:after="0" w:line="20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None.</w:t>
      </w:r>
    </w:p>
    <w:p>
      <w:pPr>
        <w:spacing w:after="0" w:line="163" w:lineRule="exact"/>
        <w:rPr>
          <w:sz w:val="20"/>
          <w:szCs w:val="20"/>
          <w:color w:val="auto"/>
        </w:rPr>
      </w:pPr>
    </w:p>
    <w:p>
      <w:pPr>
        <w:ind w:left="100"/>
        <w:spacing w:after="0"/>
        <w:rPr>
          <w:sz w:val="20"/>
          <w:szCs w:val="20"/>
          <w:color w:val="auto"/>
        </w:rPr>
      </w:pPr>
      <w:r>
        <w:rPr>
          <w:rFonts w:ascii="Arial" w:cs="Arial" w:eastAsia="Arial" w:hAnsi="Arial"/>
          <w:sz w:val="17"/>
          <w:szCs w:val="17"/>
          <w:b w:val="1"/>
          <w:bCs w:val="1"/>
          <w:i w:val="1"/>
          <w:iCs w:val="1"/>
          <w:color w:val="auto"/>
        </w:rPr>
        <w:t>Item 2. Properties</w:t>
      </w:r>
    </w:p>
    <w:p>
      <w:pPr>
        <w:spacing w:after="0" w:line="203"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The properties of the Company and its consolidated subsidiaries consist of land, leased stores, administrative facilities, and distribution centers. Gross square footage and total selling area for the Athletic Stores segment at the end of 2017 were approximately 13.30 and 7.71 million square feet, respectively. These properties, which are primarily leased, are located in the United States and its territories, Canada, various European countries, Australia, and New Zealand.</w:t>
      </w:r>
    </w:p>
    <w:p>
      <w:pPr>
        <w:spacing w:after="0" w:line="177"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We currently operate five distribution centers, of which two are owned and three are leased, occupying an aggregate of 2.9 million square feet. Three distribution centers are located in the United States, one in Germany, and one in the Netherlands. The location in Germany serves as the central warehouse distribution center for the Runners Point and Sidestep stores and their direct-to-customer business. We also own a cross-dock and manufacturing facility, and operate a leased warehouse in the United States, both of which support our Team Edition apparel business. The lease for our leased distribution center in Germany expires during 2019 and the Company is currently negotiating a lease extension for this facility.</w:t>
      </w:r>
    </w:p>
    <w:p>
      <w:pPr>
        <w:spacing w:after="0" w:line="178"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We believe that all leases of properties that are material to our operations may be renewed, or that alternative properties are available, on terms not materially less favorable to us than existing leases.</w:t>
      </w:r>
    </w:p>
    <w:p>
      <w:pPr>
        <w:spacing w:after="0" w:line="151" w:lineRule="exact"/>
        <w:rPr>
          <w:sz w:val="20"/>
          <w:szCs w:val="20"/>
          <w:color w:val="auto"/>
        </w:rPr>
      </w:pPr>
    </w:p>
    <w:p>
      <w:pPr>
        <w:ind w:left="100"/>
        <w:spacing w:after="0"/>
        <w:rPr>
          <w:sz w:val="20"/>
          <w:szCs w:val="20"/>
          <w:color w:val="auto"/>
        </w:rPr>
      </w:pPr>
      <w:r>
        <w:rPr>
          <w:rFonts w:ascii="Arial" w:cs="Arial" w:eastAsia="Arial" w:hAnsi="Arial"/>
          <w:sz w:val="17"/>
          <w:szCs w:val="17"/>
          <w:b w:val="1"/>
          <w:bCs w:val="1"/>
          <w:i w:val="1"/>
          <w:iCs w:val="1"/>
          <w:color w:val="auto"/>
        </w:rPr>
        <w:t>Item 3. Legal Proceedings</w:t>
      </w:r>
    </w:p>
    <w:p>
      <w:pPr>
        <w:spacing w:after="0" w:line="185" w:lineRule="exact"/>
        <w:rPr>
          <w:sz w:val="20"/>
          <w:szCs w:val="20"/>
          <w:color w:val="auto"/>
        </w:rPr>
      </w:pPr>
    </w:p>
    <w:p>
      <w:pPr>
        <w:jc w:val="both"/>
        <w:ind w:left="100" w:right="99"/>
        <w:spacing w:after="0" w:line="265" w:lineRule="auto"/>
        <w:rPr>
          <w:sz w:val="20"/>
          <w:szCs w:val="20"/>
          <w:color w:val="auto"/>
        </w:rPr>
      </w:pPr>
      <w:r>
        <w:rPr>
          <w:rFonts w:ascii="Arial" w:cs="Arial" w:eastAsia="Arial" w:hAnsi="Arial"/>
          <w:sz w:val="17"/>
          <w:szCs w:val="17"/>
          <w:color w:val="auto"/>
        </w:rPr>
        <w:t xml:space="preserve">Information regarding the Company’s legal proceedings is contained in the </w:t>
      </w:r>
      <w:r>
        <w:rPr>
          <w:rFonts w:ascii="Arial" w:cs="Arial" w:eastAsia="Arial" w:hAnsi="Arial"/>
          <w:sz w:val="17"/>
          <w:szCs w:val="17"/>
          <w:i w:val="1"/>
          <w:iCs w:val="1"/>
          <w:color w:val="auto"/>
        </w:rPr>
        <w:t>Legal Proceedings</w:t>
      </w:r>
      <w:r>
        <w:rPr>
          <w:rFonts w:ascii="Arial" w:cs="Arial" w:eastAsia="Arial" w:hAnsi="Arial"/>
          <w:sz w:val="17"/>
          <w:szCs w:val="17"/>
          <w:color w:val="auto"/>
        </w:rPr>
        <w:t xml:space="preserve"> note under “Item 8. Consolidated Financial Statements and Supplementary Data.”</w:t>
      </w:r>
    </w:p>
    <w:p>
      <w:pPr>
        <w:spacing w:after="0" w:line="134" w:lineRule="exact"/>
        <w:rPr>
          <w:sz w:val="20"/>
          <w:szCs w:val="20"/>
          <w:color w:val="auto"/>
        </w:rPr>
      </w:pPr>
    </w:p>
    <w:p>
      <w:pPr>
        <w:ind w:left="100"/>
        <w:spacing w:after="0"/>
        <w:rPr>
          <w:sz w:val="20"/>
          <w:szCs w:val="20"/>
          <w:color w:val="auto"/>
        </w:rPr>
      </w:pPr>
      <w:r>
        <w:rPr>
          <w:rFonts w:ascii="Arial" w:cs="Arial" w:eastAsia="Arial" w:hAnsi="Arial"/>
          <w:sz w:val="17"/>
          <w:szCs w:val="17"/>
          <w:b w:val="1"/>
          <w:bCs w:val="1"/>
          <w:i w:val="1"/>
          <w:iCs w:val="1"/>
          <w:color w:val="auto"/>
        </w:rPr>
        <w:t>Item 4. Mine Safety Disclosures</w:t>
      </w:r>
    </w:p>
    <w:p>
      <w:pPr>
        <w:spacing w:after="0" w:line="20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56" w:right="1440" w:bottom="1440" w:gutter="0" w:footer="0" w:header="0"/>
        </w:sectPr>
      </w:pPr>
    </w:p>
    <w:bookmarkStart w:id="11" w:name="page12"/>
    <w:bookmarkEnd w:id="11"/>
    <w:tbl>
      <w:tblPr>
        <w:tblLayout w:type="fixed"/>
        <w:tblInd w:w="100" w:type="dxa"/>
        <w:tblCellMar>
          <w:top w:w="0" w:type="dxa"/>
          <w:left w:w="0" w:type="dxa"/>
          <w:bottom w:w="0" w:type="dxa"/>
          <w:right w:w="0" w:type="dxa"/>
        </w:tblCellMar>
      </w:tblPr>
      <w:tr>
        <w:trPr>
          <w:trHeight w:val="225"/>
        </w:trPr>
        <w:tc>
          <w:tcPr>
            <w:tcW w:w="580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Item 4A. Executive Officers of the Registrant</w:t>
            </w:r>
          </w:p>
        </w:tc>
        <w:tc>
          <w:tcPr>
            <w:tcW w:w="20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362"/>
        </w:trPr>
        <w:tc>
          <w:tcPr>
            <w:tcW w:w="5800" w:type="dxa"/>
            <w:vAlign w:val="bottom"/>
            <w:gridSpan w:val="2"/>
          </w:tcPr>
          <w:p>
            <w:pPr>
              <w:spacing w:after="0"/>
              <w:rPr>
                <w:sz w:val="20"/>
                <w:szCs w:val="20"/>
                <w:color w:val="auto"/>
              </w:rPr>
            </w:pPr>
            <w:r>
              <w:rPr>
                <w:rFonts w:ascii="Arial" w:cs="Arial" w:eastAsia="Arial" w:hAnsi="Arial"/>
                <w:sz w:val="17"/>
                <w:szCs w:val="17"/>
                <w:color w:val="auto"/>
              </w:rPr>
              <w:t>The  following  table  provides  information  with  respect  to  all  persons</w:t>
            </w:r>
          </w:p>
        </w:tc>
        <w:tc>
          <w:tcPr>
            <w:tcW w:w="3020" w:type="dxa"/>
            <w:vAlign w:val="bottom"/>
            <w:gridSpan w:val="2"/>
          </w:tcPr>
          <w:p>
            <w:pPr>
              <w:ind w:left="60"/>
              <w:spacing w:after="0"/>
              <w:rPr>
                <w:sz w:val="20"/>
                <w:szCs w:val="20"/>
                <w:color w:val="auto"/>
              </w:rPr>
            </w:pPr>
            <w:r>
              <w:rPr>
                <w:rFonts w:ascii="Arial" w:cs="Arial" w:eastAsia="Arial" w:hAnsi="Arial"/>
                <w:sz w:val="17"/>
                <w:szCs w:val="17"/>
                <w:color w:val="auto"/>
              </w:rPr>
              <w:t>serving  as  executive  officers  as  of</w:t>
            </w:r>
          </w:p>
        </w:tc>
      </w:tr>
      <w:tr>
        <w:trPr>
          <w:trHeight w:val="207"/>
        </w:trPr>
        <w:tc>
          <w:tcPr>
            <w:tcW w:w="5800" w:type="dxa"/>
            <w:vAlign w:val="bottom"/>
            <w:gridSpan w:val="2"/>
          </w:tcPr>
          <w:p>
            <w:pPr>
              <w:spacing w:after="0"/>
              <w:rPr>
                <w:sz w:val="20"/>
                <w:szCs w:val="20"/>
                <w:color w:val="auto"/>
              </w:rPr>
            </w:pPr>
            <w:r>
              <w:rPr>
                <w:rFonts w:ascii="Arial" w:cs="Arial" w:eastAsia="Arial" w:hAnsi="Arial"/>
                <w:sz w:val="17"/>
                <w:szCs w:val="17"/>
                <w:color w:val="auto"/>
              </w:rPr>
              <w:t>March 29, 2018, including business experience for the last five years.</w:t>
            </w:r>
          </w:p>
        </w:tc>
        <w:tc>
          <w:tcPr>
            <w:tcW w:w="20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85"/>
        </w:trPr>
        <w:tc>
          <w:tcPr>
            <w:tcW w:w="100" w:type="dxa"/>
            <w:vAlign w:val="bottom"/>
          </w:tcPr>
          <w:p>
            <w:pPr>
              <w:spacing w:after="0"/>
              <w:rPr>
                <w:sz w:val="16"/>
                <w:szCs w:val="16"/>
                <w:color w:val="auto"/>
              </w:rPr>
            </w:pPr>
          </w:p>
        </w:tc>
        <w:tc>
          <w:tcPr>
            <w:tcW w:w="5700" w:type="dxa"/>
            <w:vAlign w:val="bottom"/>
            <w:tcBorders>
              <w:top w:val="single" w:sz="8" w:color="auto"/>
            </w:tcBorders>
            <w:shd w:val="clear" w:color="auto" w:fill="CCEEFF"/>
          </w:tcPr>
          <w:p>
            <w:pPr>
              <w:ind w:left="120"/>
              <w:spacing w:after="0" w:line="185" w:lineRule="exact"/>
              <w:rPr>
                <w:sz w:val="20"/>
                <w:szCs w:val="20"/>
                <w:color w:val="auto"/>
              </w:rPr>
            </w:pPr>
            <w:r>
              <w:rPr>
                <w:rFonts w:ascii="Arial" w:cs="Arial" w:eastAsia="Arial" w:hAnsi="Arial"/>
                <w:sz w:val="17"/>
                <w:szCs w:val="17"/>
                <w:color w:val="auto"/>
              </w:rPr>
              <w:t>Chairman, President and Chief Executive Officer</w:t>
            </w:r>
          </w:p>
        </w:tc>
        <w:tc>
          <w:tcPr>
            <w:tcW w:w="2020" w:type="dxa"/>
            <w:vAlign w:val="bottom"/>
            <w:tcBorders>
              <w:top w:val="single" w:sz="8" w:color="auto"/>
            </w:tcBorders>
            <w:shd w:val="clear" w:color="auto" w:fill="CCEEFF"/>
          </w:tcPr>
          <w:p>
            <w:pPr>
              <w:ind w:left="60"/>
              <w:spacing w:after="0" w:line="185" w:lineRule="exact"/>
              <w:rPr>
                <w:sz w:val="20"/>
                <w:szCs w:val="20"/>
                <w:color w:val="auto"/>
              </w:rPr>
            </w:pPr>
            <w:r>
              <w:rPr>
                <w:rFonts w:ascii="Arial" w:cs="Arial" w:eastAsia="Arial" w:hAnsi="Arial"/>
                <w:sz w:val="17"/>
                <w:szCs w:val="17"/>
                <w:color w:val="auto"/>
              </w:rPr>
              <w:t>Richard A. Johnson</w:t>
            </w:r>
          </w:p>
        </w:tc>
        <w:tc>
          <w:tcPr>
            <w:tcW w:w="1000" w:type="dxa"/>
            <w:vAlign w:val="bottom"/>
          </w:tcPr>
          <w:p>
            <w:pPr>
              <w:spacing w:after="0"/>
              <w:rPr>
                <w:sz w:val="16"/>
                <w:szCs w:val="16"/>
                <w:color w:val="auto"/>
              </w:rPr>
            </w:pPr>
          </w:p>
        </w:tc>
      </w:tr>
      <w:tr>
        <w:trPr>
          <w:trHeight w:val="189"/>
        </w:trPr>
        <w:tc>
          <w:tcPr>
            <w:tcW w:w="100" w:type="dxa"/>
            <w:vAlign w:val="bottom"/>
          </w:tcPr>
          <w:p>
            <w:pPr>
              <w:spacing w:after="0"/>
              <w:rPr>
                <w:sz w:val="16"/>
                <w:szCs w:val="16"/>
                <w:color w:val="auto"/>
              </w:rPr>
            </w:pPr>
          </w:p>
        </w:tc>
        <w:tc>
          <w:tcPr>
            <w:tcW w:w="5700" w:type="dxa"/>
            <w:vAlign w:val="bottom"/>
          </w:tcPr>
          <w:p>
            <w:pPr>
              <w:ind w:left="120"/>
              <w:spacing w:after="0" w:line="189" w:lineRule="exact"/>
              <w:rPr>
                <w:sz w:val="20"/>
                <w:szCs w:val="20"/>
                <w:color w:val="auto"/>
              </w:rPr>
            </w:pPr>
            <w:r>
              <w:rPr>
                <w:rFonts w:ascii="Arial" w:cs="Arial" w:eastAsia="Arial" w:hAnsi="Arial"/>
                <w:sz w:val="17"/>
                <w:szCs w:val="17"/>
                <w:color w:val="auto"/>
              </w:rPr>
              <w:t>Executive Vice President and Chief Executive Officer — North America</w:t>
            </w:r>
          </w:p>
        </w:tc>
        <w:tc>
          <w:tcPr>
            <w:tcW w:w="2020" w:type="dxa"/>
            <w:vAlign w:val="bottom"/>
          </w:tcPr>
          <w:p>
            <w:pPr>
              <w:ind w:left="60"/>
              <w:spacing w:after="0" w:line="189" w:lineRule="exact"/>
              <w:rPr>
                <w:sz w:val="20"/>
                <w:szCs w:val="20"/>
                <w:color w:val="auto"/>
              </w:rPr>
            </w:pPr>
            <w:r>
              <w:rPr>
                <w:rFonts w:ascii="Arial" w:cs="Arial" w:eastAsia="Arial" w:hAnsi="Arial"/>
                <w:sz w:val="17"/>
                <w:szCs w:val="17"/>
                <w:color w:val="auto"/>
              </w:rPr>
              <w:t>Stephen D. Jacobs</w:t>
            </w:r>
          </w:p>
        </w:tc>
        <w:tc>
          <w:tcPr>
            <w:tcW w:w="1000" w:type="dxa"/>
            <w:vAlign w:val="bottom"/>
          </w:tcPr>
          <w:p>
            <w:pPr>
              <w:spacing w:after="0"/>
              <w:rPr>
                <w:sz w:val="16"/>
                <w:szCs w:val="16"/>
                <w:color w:val="auto"/>
              </w:rPr>
            </w:pPr>
          </w:p>
        </w:tc>
      </w:tr>
      <w:tr>
        <w:trPr>
          <w:trHeight w:val="189"/>
        </w:trPr>
        <w:tc>
          <w:tcPr>
            <w:tcW w:w="100" w:type="dxa"/>
            <w:vAlign w:val="bottom"/>
          </w:tcPr>
          <w:p>
            <w:pPr>
              <w:spacing w:after="0"/>
              <w:rPr>
                <w:sz w:val="16"/>
                <w:szCs w:val="16"/>
                <w:color w:val="auto"/>
              </w:rPr>
            </w:pPr>
          </w:p>
        </w:tc>
        <w:tc>
          <w:tcPr>
            <w:tcW w:w="5700" w:type="dxa"/>
            <w:vAlign w:val="bottom"/>
            <w:shd w:val="clear" w:color="auto" w:fill="CCEEFF"/>
          </w:tcPr>
          <w:p>
            <w:pPr>
              <w:ind w:left="120"/>
              <w:spacing w:after="0" w:line="189" w:lineRule="exact"/>
              <w:rPr>
                <w:sz w:val="20"/>
                <w:szCs w:val="20"/>
                <w:color w:val="auto"/>
              </w:rPr>
            </w:pPr>
            <w:r>
              <w:rPr>
                <w:rFonts w:ascii="Arial" w:cs="Arial" w:eastAsia="Arial" w:hAnsi="Arial"/>
                <w:sz w:val="17"/>
                <w:szCs w:val="17"/>
                <w:color w:val="auto"/>
              </w:rPr>
              <w:t>Executive Vice President and Chief Executive Officer — International</w:t>
            </w:r>
          </w:p>
        </w:tc>
        <w:tc>
          <w:tcPr>
            <w:tcW w:w="2020" w:type="dxa"/>
            <w:vAlign w:val="bottom"/>
            <w:shd w:val="clear" w:color="auto" w:fill="CCEEFF"/>
          </w:tcPr>
          <w:p>
            <w:pPr>
              <w:ind w:left="60"/>
              <w:spacing w:after="0" w:line="189" w:lineRule="exact"/>
              <w:rPr>
                <w:sz w:val="20"/>
                <w:szCs w:val="20"/>
                <w:color w:val="auto"/>
              </w:rPr>
            </w:pPr>
            <w:r>
              <w:rPr>
                <w:rFonts w:ascii="Arial" w:cs="Arial" w:eastAsia="Arial" w:hAnsi="Arial"/>
                <w:sz w:val="17"/>
                <w:szCs w:val="17"/>
                <w:color w:val="auto"/>
              </w:rPr>
              <w:t>Lewis P. Kimble</w:t>
            </w:r>
          </w:p>
        </w:tc>
        <w:tc>
          <w:tcPr>
            <w:tcW w:w="1000" w:type="dxa"/>
            <w:vAlign w:val="bottom"/>
          </w:tcPr>
          <w:p>
            <w:pPr>
              <w:spacing w:after="0"/>
              <w:rPr>
                <w:sz w:val="16"/>
                <w:szCs w:val="16"/>
                <w:color w:val="auto"/>
              </w:rPr>
            </w:pPr>
          </w:p>
        </w:tc>
      </w:tr>
      <w:tr>
        <w:trPr>
          <w:trHeight w:val="189"/>
        </w:trPr>
        <w:tc>
          <w:tcPr>
            <w:tcW w:w="100" w:type="dxa"/>
            <w:vAlign w:val="bottom"/>
          </w:tcPr>
          <w:p>
            <w:pPr>
              <w:spacing w:after="0"/>
              <w:rPr>
                <w:sz w:val="16"/>
                <w:szCs w:val="16"/>
                <w:color w:val="auto"/>
              </w:rPr>
            </w:pPr>
          </w:p>
        </w:tc>
        <w:tc>
          <w:tcPr>
            <w:tcW w:w="5700" w:type="dxa"/>
            <w:vAlign w:val="bottom"/>
          </w:tcPr>
          <w:p>
            <w:pPr>
              <w:ind w:left="120"/>
              <w:spacing w:after="0" w:line="189" w:lineRule="exact"/>
              <w:rPr>
                <w:sz w:val="20"/>
                <w:szCs w:val="20"/>
                <w:color w:val="auto"/>
              </w:rPr>
            </w:pPr>
            <w:r>
              <w:rPr>
                <w:rFonts w:ascii="Arial" w:cs="Arial" w:eastAsia="Arial" w:hAnsi="Arial"/>
                <w:sz w:val="17"/>
                <w:szCs w:val="17"/>
                <w:color w:val="auto"/>
              </w:rPr>
              <w:t>Executive Vice President and Chief Financial Officer</w:t>
            </w:r>
          </w:p>
        </w:tc>
        <w:tc>
          <w:tcPr>
            <w:tcW w:w="2020" w:type="dxa"/>
            <w:vAlign w:val="bottom"/>
          </w:tcPr>
          <w:p>
            <w:pPr>
              <w:ind w:left="60"/>
              <w:spacing w:after="0" w:line="189" w:lineRule="exact"/>
              <w:rPr>
                <w:sz w:val="20"/>
                <w:szCs w:val="20"/>
                <w:color w:val="auto"/>
              </w:rPr>
            </w:pPr>
            <w:r>
              <w:rPr>
                <w:rFonts w:ascii="Arial" w:cs="Arial" w:eastAsia="Arial" w:hAnsi="Arial"/>
                <w:sz w:val="17"/>
                <w:szCs w:val="17"/>
                <w:color w:val="auto"/>
              </w:rPr>
              <w:t>Lauren B. Peters</w:t>
            </w:r>
          </w:p>
        </w:tc>
        <w:tc>
          <w:tcPr>
            <w:tcW w:w="1000" w:type="dxa"/>
            <w:vAlign w:val="bottom"/>
          </w:tcPr>
          <w:p>
            <w:pPr>
              <w:spacing w:after="0"/>
              <w:rPr>
                <w:sz w:val="16"/>
                <w:szCs w:val="16"/>
                <w:color w:val="auto"/>
              </w:rPr>
            </w:pPr>
          </w:p>
        </w:tc>
      </w:tr>
      <w:tr>
        <w:trPr>
          <w:trHeight w:val="183"/>
        </w:trPr>
        <w:tc>
          <w:tcPr>
            <w:tcW w:w="100" w:type="dxa"/>
            <w:vAlign w:val="bottom"/>
          </w:tcPr>
          <w:p>
            <w:pPr>
              <w:spacing w:after="0"/>
              <w:rPr>
                <w:sz w:val="15"/>
                <w:szCs w:val="15"/>
                <w:color w:val="auto"/>
              </w:rPr>
            </w:pPr>
          </w:p>
        </w:tc>
        <w:tc>
          <w:tcPr>
            <w:tcW w:w="5700" w:type="dxa"/>
            <w:vAlign w:val="bottom"/>
            <w:shd w:val="clear" w:color="auto" w:fill="CCEEFF"/>
          </w:tcPr>
          <w:p>
            <w:pPr>
              <w:ind w:left="120"/>
              <w:spacing w:after="0" w:line="183" w:lineRule="exact"/>
              <w:rPr>
                <w:sz w:val="20"/>
                <w:szCs w:val="20"/>
                <w:color w:val="auto"/>
              </w:rPr>
            </w:pPr>
            <w:r>
              <w:rPr>
                <w:rFonts w:ascii="Arial" w:cs="Arial" w:eastAsia="Arial" w:hAnsi="Arial"/>
                <w:sz w:val="17"/>
                <w:szCs w:val="17"/>
                <w:color w:val="auto"/>
              </w:rPr>
              <w:t>Executive Vice President and Chief Information and</w:t>
            </w:r>
          </w:p>
        </w:tc>
        <w:tc>
          <w:tcPr>
            <w:tcW w:w="2020" w:type="dxa"/>
            <w:vAlign w:val="bottom"/>
            <w:shd w:val="clear" w:color="auto" w:fill="CCEEFF"/>
          </w:tcPr>
          <w:p>
            <w:pPr>
              <w:ind w:left="60"/>
              <w:spacing w:after="0" w:line="183" w:lineRule="exact"/>
              <w:rPr>
                <w:sz w:val="20"/>
                <w:szCs w:val="20"/>
                <w:color w:val="auto"/>
              </w:rPr>
            </w:pPr>
            <w:r>
              <w:rPr>
                <w:rFonts w:ascii="Arial" w:cs="Arial" w:eastAsia="Arial" w:hAnsi="Arial"/>
                <w:sz w:val="17"/>
                <w:szCs w:val="17"/>
                <w:color w:val="auto"/>
              </w:rPr>
              <w:t>Pawan Verma</w:t>
            </w:r>
          </w:p>
        </w:tc>
        <w:tc>
          <w:tcPr>
            <w:tcW w:w="1000" w:type="dxa"/>
            <w:vAlign w:val="bottom"/>
          </w:tcPr>
          <w:p>
            <w:pPr>
              <w:spacing w:after="0"/>
              <w:rPr>
                <w:sz w:val="15"/>
                <w:szCs w:val="15"/>
                <w:color w:val="auto"/>
              </w:rPr>
            </w:pPr>
          </w:p>
        </w:tc>
      </w:tr>
      <w:tr>
        <w:trPr>
          <w:trHeight w:val="195"/>
        </w:trPr>
        <w:tc>
          <w:tcPr>
            <w:tcW w:w="100" w:type="dxa"/>
            <w:vAlign w:val="bottom"/>
          </w:tcPr>
          <w:p>
            <w:pPr>
              <w:spacing w:after="0"/>
              <w:rPr>
                <w:sz w:val="16"/>
                <w:szCs w:val="16"/>
                <w:color w:val="auto"/>
              </w:rPr>
            </w:pPr>
          </w:p>
        </w:tc>
        <w:tc>
          <w:tcPr>
            <w:tcW w:w="57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Customer Connectivity Officer</w:t>
            </w:r>
          </w:p>
        </w:tc>
        <w:tc>
          <w:tcPr>
            <w:tcW w:w="2020" w:type="dxa"/>
            <w:vAlign w:val="bottom"/>
            <w:shd w:val="clear" w:color="auto" w:fill="CCEEFF"/>
          </w:tcPr>
          <w:p>
            <w:pPr>
              <w:spacing w:after="0"/>
              <w:rPr>
                <w:sz w:val="16"/>
                <w:szCs w:val="16"/>
                <w:color w:val="auto"/>
              </w:rPr>
            </w:pPr>
          </w:p>
        </w:tc>
        <w:tc>
          <w:tcPr>
            <w:tcW w:w="1000" w:type="dxa"/>
            <w:vAlign w:val="bottom"/>
          </w:tcPr>
          <w:p>
            <w:pPr>
              <w:spacing w:after="0"/>
              <w:rPr>
                <w:sz w:val="16"/>
                <w:szCs w:val="16"/>
                <w:color w:val="auto"/>
              </w:rPr>
            </w:pPr>
          </w:p>
        </w:tc>
      </w:tr>
      <w:tr>
        <w:trPr>
          <w:trHeight w:val="189"/>
        </w:trPr>
        <w:tc>
          <w:tcPr>
            <w:tcW w:w="100" w:type="dxa"/>
            <w:vAlign w:val="bottom"/>
          </w:tcPr>
          <w:p>
            <w:pPr>
              <w:spacing w:after="0"/>
              <w:rPr>
                <w:sz w:val="16"/>
                <w:szCs w:val="16"/>
                <w:color w:val="auto"/>
              </w:rPr>
            </w:pPr>
          </w:p>
        </w:tc>
        <w:tc>
          <w:tcPr>
            <w:tcW w:w="5700" w:type="dxa"/>
            <w:vAlign w:val="bottom"/>
          </w:tcPr>
          <w:p>
            <w:pPr>
              <w:ind w:left="120"/>
              <w:spacing w:after="0" w:line="189" w:lineRule="exact"/>
              <w:rPr>
                <w:sz w:val="20"/>
                <w:szCs w:val="20"/>
                <w:color w:val="auto"/>
              </w:rPr>
            </w:pPr>
            <w:r>
              <w:rPr>
                <w:rFonts w:ascii="Arial" w:cs="Arial" w:eastAsia="Arial" w:hAnsi="Arial"/>
                <w:sz w:val="17"/>
                <w:szCs w:val="17"/>
                <w:color w:val="auto"/>
              </w:rPr>
              <w:t>Senior Vice President and Chief Human Resources Officer</w:t>
            </w:r>
          </w:p>
        </w:tc>
        <w:tc>
          <w:tcPr>
            <w:tcW w:w="2020" w:type="dxa"/>
            <w:vAlign w:val="bottom"/>
          </w:tcPr>
          <w:p>
            <w:pPr>
              <w:ind w:left="60"/>
              <w:spacing w:after="0" w:line="189" w:lineRule="exact"/>
              <w:rPr>
                <w:sz w:val="20"/>
                <w:szCs w:val="20"/>
                <w:color w:val="auto"/>
              </w:rPr>
            </w:pPr>
            <w:r>
              <w:rPr>
                <w:rFonts w:ascii="Arial" w:cs="Arial" w:eastAsia="Arial" w:hAnsi="Arial"/>
                <w:sz w:val="17"/>
                <w:szCs w:val="17"/>
                <w:color w:val="auto"/>
              </w:rPr>
              <w:t>Paulette R. Alviti</w:t>
            </w:r>
          </w:p>
        </w:tc>
        <w:tc>
          <w:tcPr>
            <w:tcW w:w="1000" w:type="dxa"/>
            <w:vAlign w:val="bottom"/>
          </w:tcPr>
          <w:p>
            <w:pPr>
              <w:spacing w:after="0"/>
              <w:rPr>
                <w:sz w:val="16"/>
                <w:szCs w:val="16"/>
                <w:color w:val="auto"/>
              </w:rPr>
            </w:pPr>
          </w:p>
        </w:tc>
      </w:tr>
      <w:tr>
        <w:trPr>
          <w:trHeight w:val="189"/>
        </w:trPr>
        <w:tc>
          <w:tcPr>
            <w:tcW w:w="100" w:type="dxa"/>
            <w:vAlign w:val="bottom"/>
          </w:tcPr>
          <w:p>
            <w:pPr>
              <w:spacing w:after="0"/>
              <w:rPr>
                <w:sz w:val="16"/>
                <w:szCs w:val="16"/>
                <w:color w:val="auto"/>
              </w:rPr>
            </w:pPr>
          </w:p>
        </w:tc>
        <w:tc>
          <w:tcPr>
            <w:tcW w:w="5700" w:type="dxa"/>
            <w:vAlign w:val="bottom"/>
            <w:shd w:val="clear" w:color="auto" w:fill="CCEEFF"/>
          </w:tcPr>
          <w:p>
            <w:pPr>
              <w:ind w:left="120"/>
              <w:spacing w:after="0" w:line="189" w:lineRule="exact"/>
              <w:rPr>
                <w:sz w:val="20"/>
                <w:szCs w:val="20"/>
                <w:color w:val="auto"/>
              </w:rPr>
            </w:pPr>
            <w:r>
              <w:rPr>
                <w:rFonts w:ascii="Arial" w:cs="Arial" w:eastAsia="Arial" w:hAnsi="Arial"/>
                <w:sz w:val="17"/>
                <w:szCs w:val="17"/>
                <w:color w:val="auto"/>
              </w:rPr>
              <w:t>Senior Vice President and Chief Accounting Officer</w:t>
            </w:r>
          </w:p>
        </w:tc>
        <w:tc>
          <w:tcPr>
            <w:tcW w:w="2020" w:type="dxa"/>
            <w:vAlign w:val="bottom"/>
            <w:shd w:val="clear" w:color="auto" w:fill="CCEEFF"/>
          </w:tcPr>
          <w:p>
            <w:pPr>
              <w:ind w:left="60"/>
              <w:spacing w:after="0" w:line="189" w:lineRule="exact"/>
              <w:rPr>
                <w:sz w:val="20"/>
                <w:szCs w:val="20"/>
                <w:color w:val="auto"/>
              </w:rPr>
            </w:pPr>
            <w:r>
              <w:rPr>
                <w:rFonts w:ascii="Arial" w:cs="Arial" w:eastAsia="Arial" w:hAnsi="Arial"/>
                <w:sz w:val="17"/>
                <w:szCs w:val="17"/>
                <w:color w:val="auto"/>
              </w:rPr>
              <w:t>Giovanna Cipriano</w:t>
            </w:r>
          </w:p>
        </w:tc>
        <w:tc>
          <w:tcPr>
            <w:tcW w:w="1000" w:type="dxa"/>
            <w:vAlign w:val="bottom"/>
          </w:tcPr>
          <w:p>
            <w:pPr>
              <w:spacing w:after="0"/>
              <w:rPr>
                <w:sz w:val="16"/>
                <w:szCs w:val="16"/>
                <w:color w:val="auto"/>
              </w:rPr>
            </w:pPr>
          </w:p>
        </w:tc>
      </w:tr>
      <w:tr>
        <w:trPr>
          <w:trHeight w:val="189"/>
        </w:trPr>
        <w:tc>
          <w:tcPr>
            <w:tcW w:w="100" w:type="dxa"/>
            <w:vAlign w:val="bottom"/>
          </w:tcPr>
          <w:p>
            <w:pPr>
              <w:spacing w:after="0"/>
              <w:rPr>
                <w:sz w:val="16"/>
                <w:szCs w:val="16"/>
                <w:color w:val="auto"/>
              </w:rPr>
            </w:pPr>
          </w:p>
        </w:tc>
        <w:tc>
          <w:tcPr>
            <w:tcW w:w="5700" w:type="dxa"/>
            <w:vAlign w:val="bottom"/>
          </w:tcPr>
          <w:p>
            <w:pPr>
              <w:ind w:left="120"/>
              <w:spacing w:after="0" w:line="189" w:lineRule="exact"/>
              <w:rPr>
                <w:sz w:val="20"/>
                <w:szCs w:val="20"/>
                <w:color w:val="auto"/>
              </w:rPr>
            </w:pPr>
            <w:r>
              <w:rPr>
                <w:rFonts w:ascii="Arial" w:cs="Arial" w:eastAsia="Arial" w:hAnsi="Arial"/>
                <w:sz w:val="17"/>
                <w:szCs w:val="17"/>
                <w:color w:val="auto"/>
              </w:rPr>
              <w:t>Senior Vice President, General Counsel and Secretary</w:t>
            </w:r>
          </w:p>
        </w:tc>
        <w:tc>
          <w:tcPr>
            <w:tcW w:w="2020" w:type="dxa"/>
            <w:vAlign w:val="bottom"/>
          </w:tcPr>
          <w:p>
            <w:pPr>
              <w:ind w:left="60"/>
              <w:spacing w:after="0" w:line="189" w:lineRule="exact"/>
              <w:rPr>
                <w:sz w:val="20"/>
                <w:szCs w:val="20"/>
                <w:color w:val="auto"/>
              </w:rPr>
            </w:pPr>
            <w:r>
              <w:rPr>
                <w:rFonts w:ascii="Arial" w:cs="Arial" w:eastAsia="Arial" w:hAnsi="Arial"/>
                <w:sz w:val="17"/>
                <w:szCs w:val="17"/>
                <w:color w:val="auto"/>
              </w:rPr>
              <w:t>Sheilagh M. Clarke</w:t>
            </w:r>
          </w:p>
        </w:tc>
        <w:tc>
          <w:tcPr>
            <w:tcW w:w="1000" w:type="dxa"/>
            <w:vAlign w:val="bottom"/>
          </w:tcPr>
          <w:p>
            <w:pPr>
              <w:spacing w:after="0"/>
              <w:rPr>
                <w:sz w:val="16"/>
                <w:szCs w:val="16"/>
                <w:color w:val="auto"/>
              </w:rPr>
            </w:pPr>
          </w:p>
        </w:tc>
      </w:tr>
      <w:tr>
        <w:trPr>
          <w:trHeight w:val="189"/>
        </w:trPr>
        <w:tc>
          <w:tcPr>
            <w:tcW w:w="100" w:type="dxa"/>
            <w:vAlign w:val="bottom"/>
          </w:tcPr>
          <w:p>
            <w:pPr>
              <w:spacing w:after="0"/>
              <w:rPr>
                <w:sz w:val="16"/>
                <w:szCs w:val="16"/>
                <w:color w:val="auto"/>
              </w:rPr>
            </w:pPr>
          </w:p>
        </w:tc>
        <w:tc>
          <w:tcPr>
            <w:tcW w:w="5700" w:type="dxa"/>
            <w:vAlign w:val="bottom"/>
            <w:shd w:val="clear" w:color="auto" w:fill="CCEEFF"/>
          </w:tcPr>
          <w:p>
            <w:pPr>
              <w:ind w:left="120"/>
              <w:spacing w:after="0" w:line="189" w:lineRule="exact"/>
              <w:rPr>
                <w:sz w:val="20"/>
                <w:szCs w:val="20"/>
                <w:color w:val="auto"/>
              </w:rPr>
            </w:pPr>
            <w:r>
              <w:rPr>
                <w:rFonts w:ascii="Arial" w:cs="Arial" w:eastAsia="Arial" w:hAnsi="Arial"/>
                <w:sz w:val="17"/>
                <w:szCs w:val="17"/>
                <w:color w:val="auto"/>
              </w:rPr>
              <w:t>Senior Vice President — Strategy and Store Development</w:t>
            </w:r>
          </w:p>
        </w:tc>
        <w:tc>
          <w:tcPr>
            <w:tcW w:w="2020" w:type="dxa"/>
            <w:vAlign w:val="bottom"/>
            <w:shd w:val="clear" w:color="auto" w:fill="CCEEFF"/>
          </w:tcPr>
          <w:p>
            <w:pPr>
              <w:ind w:left="60"/>
              <w:spacing w:after="0" w:line="189" w:lineRule="exact"/>
              <w:rPr>
                <w:sz w:val="20"/>
                <w:szCs w:val="20"/>
                <w:color w:val="auto"/>
              </w:rPr>
            </w:pPr>
            <w:r>
              <w:rPr>
                <w:rFonts w:ascii="Arial" w:cs="Arial" w:eastAsia="Arial" w:hAnsi="Arial"/>
                <w:sz w:val="17"/>
                <w:szCs w:val="17"/>
                <w:color w:val="auto"/>
              </w:rPr>
              <w:t>W. Scott Martin</w:t>
            </w:r>
          </w:p>
        </w:tc>
        <w:tc>
          <w:tcPr>
            <w:tcW w:w="1000" w:type="dxa"/>
            <w:vAlign w:val="bottom"/>
          </w:tcPr>
          <w:p>
            <w:pPr>
              <w:spacing w:after="0"/>
              <w:rPr>
                <w:sz w:val="16"/>
                <w:szCs w:val="16"/>
                <w:color w:val="auto"/>
              </w:rPr>
            </w:pPr>
          </w:p>
        </w:tc>
      </w:tr>
      <w:tr>
        <w:trPr>
          <w:trHeight w:val="189"/>
        </w:trPr>
        <w:tc>
          <w:tcPr>
            <w:tcW w:w="100" w:type="dxa"/>
            <w:vAlign w:val="bottom"/>
          </w:tcPr>
          <w:p>
            <w:pPr>
              <w:spacing w:after="0"/>
              <w:rPr>
                <w:sz w:val="16"/>
                <w:szCs w:val="16"/>
                <w:color w:val="auto"/>
              </w:rPr>
            </w:pPr>
          </w:p>
        </w:tc>
        <w:tc>
          <w:tcPr>
            <w:tcW w:w="5700" w:type="dxa"/>
            <w:vAlign w:val="bottom"/>
            <w:tcBorders>
              <w:bottom w:val="single" w:sz="8" w:color="auto"/>
            </w:tcBorders>
          </w:tcPr>
          <w:p>
            <w:pPr>
              <w:ind w:left="120"/>
              <w:spacing w:after="0" w:line="189" w:lineRule="exact"/>
              <w:rPr>
                <w:sz w:val="20"/>
                <w:szCs w:val="20"/>
                <w:color w:val="auto"/>
              </w:rPr>
            </w:pPr>
            <w:r>
              <w:rPr>
                <w:rFonts w:ascii="Arial" w:cs="Arial" w:eastAsia="Arial" w:hAnsi="Arial"/>
                <w:sz w:val="17"/>
                <w:szCs w:val="17"/>
                <w:color w:val="auto"/>
              </w:rPr>
              <w:t>Vice President, Treasurer</w:t>
            </w:r>
          </w:p>
        </w:tc>
        <w:tc>
          <w:tcPr>
            <w:tcW w:w="2020" w:type="dxa"/>
            <w:vAlign w:val="bottom"/>
            <w:tcBorders>
              <w:bottom w:val="single" w:sz="8" w:color="auto"/>
            </w:tcBorders>
          </w:tcPr>
          <w:p>
            <w:pPr>
              <w:ind w:left="60"/>
              <w:spacing w:after="0" w:line="189" w:lineRule="exact"/>
              <w:rPr>
                <w:sz w:val="20"/>
                <w:szCs w:val="20"/>
                <w:color w:val="auto"/>
              </w:rPr>
            </w:pPr>
            <w:r>
              <w:rPr>
                <w:rFonts w:ascii="Arial" w:cs="Arial" w:eastAsia="Arial" w:hAnsi="Arial"/>
                <w:sz w:val="17"/>
                <w:szCs w:val="17"/>
                <w:color w:val="auto"/>
              </w:rPr>
              <w:t>John A. Maurer</w:t>
            </w:r>
          </w:p>
        </w:tc>
        <w:tc>
          <w:tcPr>
            <w:tcW w:w="1000" w:type="dxa"/>
            <w:vAlign w:val="bottom"/>
          </w:tcPr>
          <w:p>
            <w:pPr>
              <w:spacing w:after="0"/>
              <w:rPr>
                <w:sz w:val="16"/>
                <w:szCs w:val="16"/>
                <w:color w:val="auto"/>
              </w:rPr>
            </w:pPr>
          </w:p>
        </w:tc>
      </w:tr>
    </w:tbl>
    <w:p>
      <w:pPr>
        <w:spacing w:after="0" w:line="138"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i w:val="1"/>
          <w:iCs w:val="1"/>
          <w:color w:val="auto"/>
        </w:rPr>
        <w:t xml:space="preserve">Richard A. Johnson, </w:t>
      </w:r>
      <w:r>
        <w:rPr>
          <w:rFonts w:ascii="Arial" w:cs="Arial" w:eastAsia="Arial" w:hAnsi="Arial"/>
          <w:sz w:val="17"/>
          <w:szCs w:val="17"/>
          <w:color w:val="auto"/>
        </w:rPr>
        <w:t>age 60, has served as Chairman of the Board since May 2016 and President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 since December 2014. Mr. Johnson previously served as Executive Vice President and Chief Operating Officer from May 2012 through November 2014. He served as Executive Vice President and Group President from July 2011 to May 2012; President and Chief Executive Officer of Foot Locker U.S., Lady Foot Locker, Kids Foot Locker, and Footaction from January 2010 to July 2011; President and Chief Executive Officer of Foot Locker Europe from August 2007 to January 2010; and President and Chief Executive Officer of Footlocker.com/Eastbay from April 2003 to August 2007.</w:t>
      </w:r>
    </w:p>
    <w:p>
      <w:pPr>
        <w:spacing w:after="0" w:line="129"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i w:val="1"/>
          <w:iCs w:val="1"/>
          <w:color w:val="auto"/>
        </w:rPr>
        <w:t xml:space="preserve">Stephen D. Jacobs, </w:t>
      </w:r>
      <w:r>
        <w:rPr>
          <w:rFonts w:ascii="Arial" w:cs="Arial" w:eastAsia="Arial" w:hAnsi="Arial"/>
          <w:sz w:val="17"/>
          <w:szCs w:val="17"/>
          <w:color w:val="auto"/>
        </w:rPr>
        <w:t>age 55, has served as Executive Vice President and Chief Executive Officer-North America</w:t>
      </w:r>
      <w:r>
        <w:rPr>
          <w:rFonts w:ascii="Arial" w:cs="Arial" w:eastAsia="Arial" w:hAnsi="Arial"/>
          <w:sz w:val="17"/>
          <w:szCs w:val="17"/>
          <w:i w:val="1"/>
          <w:iCs w:val="1"/>
          <w:color w:val="auto"/>
        </w:rPr>
        <w:t xml:space="preserve"> </w:t>
      </w:r>
      <w:r>
        <w:rPr>
          <w:rFonts w:ascii="Arial" w:cs="Arial" w:eastAsia="Arial" w:hAnsi="Arial"/>
          <w:sz w:val="17"/>
          <w:szCs w:val="17"/>
          <w:color w:val="auto"/>
        </w:rPr>
        <w:t>since February 2016. He previously served as Executive Vice President and Chief Executive Officer Foot Locker North America from December 2014 through February 2016 and President and Chief Executive Officer of Foot Locker U.S., Lady Foot Locker, Kids Foot Locker, and Footaction from July 2011 to November 2014.</w:t>
      </w:r>
    </w:p>
    <w:p>
      <w:pPr>
        <w:spacing w:after="0" w:line="127" w:lineRule="exact"/>
        <w:rPr>
          <w:sz w:val="20"/>
          <w:szCs w:val="20"/>
          <w:color w:val="auto"/>
        </w:rPr>
      </w:pPr>
    </w:p>
    <w:p>
      <w:pPr>
        <w:jc w:val="both"/>
        <w:ind w:left="100" w:right="99"/>
        <w:spacing w:after="0" w:line="248" w:lineRule="auto"/>
        <w:rPr>
          <w:sz w:val="20"/>
          <w:szCs w:val="20"/>
          <w:color w:val="auto"/>
        </w:rPr>
      </w:pPr>
      <w:r>
        <w:rPr>
          <w:rFonts w:ascii="Arial" w:cs="Arial" w:eastAsia="Arial" w:hAnsi="Arial"/>
          <w:sz w:val="17"/>
          <w:szCs w:val="17"/>
          <w:i w:val="1"/>
          <w:iCs w:val="1"/>
          <w:color w:val="auto"/>
        </w:rPr>
        <w:t xml:space="preserve">Lewis P. Kimble, </w:t>
      </w:r>
      <w:r>
        <w:rPr>
          <w:rFonts w:ascii="Arial" w:cs="Arial" w:eastAsia="Arial" w:hAnsi="Arial"/>
          <w:sz w:val="17"/>
          <w:szCs w:val="17"/>
          <w:color w:val="auto"/>
        </w:rPr>
        <w:t>age 59</w:t>
      </w:r>
      <w:r>
        <w:rPr>
          <w:rFonts w:ascii="Arial" w:cs="Arial" w:eastAsia="Arial" w:hAnsi="Arial"/>
          <w:sz w:val="17"/>
          <w:szCs w:val="17"/>
          <w:i w:val="1"/>
          <w:iCs w:val="1"/>
          <w:color w:val="auto"/>
        </w:rPr>
        <w:t xml:space="preserve">, </w:t>
      </w:r>
      <w:r>
        <w:rPr>
          <w:rFonts w:ascii="Arial" w:cs="Arial" w:eastAsia="Arial" w:hAnsi="Arial"/>
          <w:sz w:val="17"/>
          <w:szCs w:val="17"/>
          <w:color w:val="auto"/>
        </w:rPr>
        <w:t>has served as Executive Vice President and Chief Executive Officer-International since</w:t>
      </w:r>
      <w:r>
        <w:rPr>
          <w:rFonts w:ascii="Arial" w:cs="Arial" w:eastAsia="Arial" w:hAnsi="Arial"/>
          <w:sz w:val="17"/>
          <w:szCs w:val="17"/>
          <w:i w:val="1"/>
          <w:iCs w:val="1"/>
          <w:color w:val="auto"/>
        </w:rPr>
        <w:t xml:space="preserve"> </w:t>
      </w:r>
      <w:r>
        <w:rPr>
          <w:rFonts w:ascii="Arial" w:cs="Arial" w:eastAsia="Arial" w:hAnsi="Arial"/>
          <w:sz w:val="17"/>
          <w:szCs w:val="17"/>
          <w:color w:val="auto"/>
        </w:rPr>
        <w:t>February 2016. Mr. Kimble previously served as President and Chief Executive Officer of Foot Locker Europe from February 2010 to February 2016.</w:t>
      </w:r>
    </w:p>
    <w:p>
      <w:pPr>
        <w:spacing w:after="0" w:line="123"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 xml:space="preserve">Lauren B. Peters, </w:t>
      </w:r>
      <w:r>
        <w:rPr>
          <w:rFonts w:ascii="Arial" w:cs="Arial" w:eastAsia="Arial" w:hAnsi="Arial"/>
          <w:sz w:val="17"/>
          <w:szCs w:val="17"/>
          <w:color w:val="auto"/>
        </w:rPr>
        <w:t>age 56, has served as Executive Vice President and Chief Financial Officer since July 2011.</w:t>
      </w:r>
    </w:p>
    <w:p>
      <w:pPr>
        <w:spacing w:after="0" w:line="156" w:lineRule="exact"/>
        <w:rPr>
          <w:sz w:val="20"/>
          <w:szCs w:val="20"/>
          <w:color w:val="auto"/>
        </w:rPr>
      </w:pPr>
    </w:p>
    <w:p>
      <w:pPr>
        <w:jc w:val="both"/>
        <w:ind w:left="100" w:right="99"/>
        <w:spacing w:after="0"/>
        <w:rPr>
          <w:sz w:val="20"/>
          <w:szCs w:val="20"/>
          <w:color w:val="auto"/>
        </w:rPr>
      </w:pPr>
      <w:r>
        <w:rPr>
          <w:rFonts w:ascii="Arial" w:cs="Arial" w:eastAsia="Arial" w:hAnsi="Arial"/>
          <w:sz w:val="17"/>
          <w:szCs w:val="17"/>
          <w:i w:val="1"/>
          <w:iCs w:val="1"/>
          <w:color w:val="auto"/>
        </w:rPr>
        <w:t>Pawan Verma</w:t>
      </w:r>
      <w:r>
        <w:rPr>
          <w:rFonts w:ascii="Arial" w:cs="Arial" w:eastAsia="Arial" w:hAnsi="Arial"/>
          <w:sz w:val="17"/>
          <w:szCs w:val="17"/>
          <w:color w:val="auto"/>
        </w:rPr>
        <w:t>, age 41, has served as Executive Vice President, Chief Information and Customer Connectivity</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since October 2017 and as Senior Vice President and Chief Information Officer from August 2015 to September 2017. From February 2013 to July 2015, Mr. Verma served in various technology leadership roles at Target Corporation ranging from enterprise architecture, e-commerce, mobile and digital, with his most recent role at Target as Vice President - Digital Technology and API Platforms.</w:t>
      </w:r>
    </w:p>
    <w:p>
      <w:pPr>
        <w:spacing w:after="0" w:line="130" w:lineRule="exact"/>
        <w:rPr>
          <w:sz w:val="20"/>
          <w:szCs w:val="20"/>
          <w:color w:val="auto"/>
        </w:rPr>
      </w:pPr>
    </w:p>
    <w:p>
      <w:pPr>
        <w:jc w:val="both"/>
        <w:ind w:left="100" w:right="99"/>
        <w:spacing w:after="0" w:line="248" w:lineRule="auto"/>
        <w:rPr>
          <w:sz w:val="20"/>
          <w:szCs w:val="20"/>
          <w:color w:val="auto"/>
        </w:rPr>
      </w:pPr>
      <w:r>
        <w:rPr>
          <w:rFonts w:ascii="Arial" w:cs="Arial" w:eastAsia="Arial" w:hAnsi="Arial"/>
          <w:sz w:val="17"/>
          <w:szCs w:val="17"/>
          <w:i w:val="1"/>
          <w:iCs w:val="1"/>
          <w:color w:val="auto"/>
        </w:rPr>
        <w:t xml:space="preserve">Paulette R. Alviti, </w:t>
      </w:r>
      <w:r>
        <w:rPr>
          <w:rFonts w:ascii="Arial" w:cs="Arial" w:eastAsia="Arial" w:hAnsi="Arial"/>
          <w:sz w:val="17"/>
          <w:szCs w:val="17"/>
          <w:color w:val="auto"/>
        </w:rPr>
        <w:t>age 47, has served as Senior Vice President and Chief Human Resources Officer since June</w:t>
      </w:r>
      <w:r>
        <w:rPr>
          <w:rFonts w:ascii="Arial" w:cs="Arial" w:eastAsia="Arial" w:hAnsi="Arial"/>
          <w:sz w:val="17"/>
          <w:szCs w:val="17"/>
          <w:i w:val="1"/>
          <w:iCs w:val="1"/>
          <w:color w:val="auto"/>
        </w:rPr>
        <w:t xml:space="preserve"> </w:t>
      </w:r>
      <w:r>
        <w:rPr>
          <w:rFonts w:ascii="Arial" w:cs="Arial" w:eastAsia="Arial" w:hAnsi="Arial"/>
          <w:sz w:val="17"/>
          <w:szCs w:val="17"/>
          <w:color w:val="auto"/>
        </w:rPr>
        <w:t>2013. From March 2010 to May 2013, Ms. Alviti served in various roles at PepsiCo, Inc., with her most recent role as Senior Vice President and Chief Human Resources Asia, Middle East, Africa.</w:t>
      </w:r>
    </w:p>
    <w:p>
      <w:pPr>
        <w:spacing w:after="0" w:line="123"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 xml:space="preserve">Giovanna Cipriano, </w:t>
      </w:r>
      <w:r>
        <w:rPr>
          <w:rFonts w:ascii="Arial" w:cs="Arial" w:eastAsia="Arial" w:hAnsi="Arial"/>
          <w:sz w:val="17"/>
          <w:szCs w:val="17"/>
          <w:color w:val="auto"/>
        </w:rPr>
        <w:t>age 48, has served as Senior Vice President and Chief Accounting Officer since May 2009.</w:t>
      </w:r>
    </w:p>
    <w:p>
      <w:pPr>
        <w:spacing w:after="0" w:line="156" w:lineRule="exact"/>
        <w:rPr>
          <w:sz w:val="20"/>
          <w:szCs w:val="20"/>
          <w:color w:val="auto"/>
        </w:rPr>
      </w:pPr>
    </w:p>
    <w:p>
      <w:pPr>
        <w:jc w:val="both"/>
        <w:ind w:left="100" w:right="99"/>
        <w:spacing w:after="0" w:line="248" w:lineRule="auto"/>
        <w:rPr>
          <w:sz w:val="20"/>
          <w:szCs w:val="20"/>
          <w:color w:val="auto"/>
        </w:rPr>
      </w:pPr>
      <w:r>
        <w:rPr>
          <w:rFonts w:ascii="Arial" w:cs="Arial" w:eastAsia="Arial" w:hAnsi="Arial"/>
          <w:sz w:val="17"/>
          <w:szCs w:val="17"/>
          <w:i w:val="1"/>
          <w:iCs w:val="1"/>
          <w:color w:val="auto"/>
        </w:rPr>
        <w:t xml:space="preserve">Sheilagh M. Clarke, </w:t>
      </w:r>
      <w:r>
        <w:rPr>
          <w:rFonts w:ascii="Arial" w:cs="Arial" w:eastAsia="Arial" w:hAnsi="Arial"/>
          <w:sz w:val="17"/>
          <w:szCs w:val="17"/>
          <w:color w:val="auto"/>
        </w:rPr>
        <w:t>age 58, has served as Senior Vice President, General Counsel and Secretary since June 2014.</w:t>
      </w:r>
      <w:r>
        <w:rPr>
          <w:rFonts w:ascii="Arial" w:cs="Arial" w:eastAsia="Arial" w:hAnsi="Arial"/>
          <w:sz w:val="17"/>
          <w:szCs w:val="17"/>
          <w:i w:val="1"/>
          <w:iCs w:val="1"/>
          <w:color w:val="auto"/>
        </w:rPr>
        <w:t xml:space="preserve"> </w:t>
      </w:r>
      <w:r>
        <w:rPr>
          <w:rFonts w:ascii="Arial" w:cs="Arial" w:eastAsia="Arial" w:hAnsi="Arial"/>
          <w:sz w:val="17"/>
          <w:szCs w:val="17"/>
          <w:color w:val="auto"/>
        </w:rPr>
        <w:t>She previously served as Vice President, Associate General Counsel and Assistant Secretary from May 2007 to May 2014.</w:t>
      </w:r>
    </w:p>
    <w:p>
      <w:pPr>
        <w:spacing w:after="0" w:line="123" w:lineRule="exact"/>
        <w:rPr>
          <w:sz w:val="20"/>
          <w:szCs w:val="20"/>
          <w:color w:val="auto"/>
        </w:rPr>
      </w:pPr>
    </w:p>
    <w:p>
      <w:pPr>
        <w:jc w:val="both"/>
        <w:ind w:left="100" w:right="99"/>
        <w:spacing w:after="0"/>
        <w:rPr>
          <w:sz w:val="20"/>
          <w:szCs w:val="20"/>
          <w:color w:val="auto"/>
        </w:rPr>
      </w:pPr>
      <w:r>
        <w:rPr>
          <w:rFonts w:ascii="Arial" w:cs="Arial" w:eastAsia="Arial" w:hAnsi="Arial"/>
          <w:sz w:val="17"/>
          <w:szCs w:val="17"/>
          <w:i w:val="1"/>
          <w:iCs w:val="1"/>
          <w:color w:val="auto"/>
        </w:rPr>
        <w:t xml:space="preserve">W. Scott Martin, </w:t>
      </w:r>
      <w:r>
        <w:rPr>
          <w:rFonts w:ascii="Arial" w:cs="Arial" w:eastAsia="Arial" w:hAnsi="Arial"/>
          <w:sz w:val="17"/>
          <w:szCs w:val="17"/>
          <w:color w:val="auto"/>
        </w:rPr>
        <w:t>age 50, has served as Senior Vice President - Strategy and Store Development since October 2017</w:t>
      </w:r>
      <w:r>
        <w:rPr>
          <w:rFonts w:ascii="Arial" w:cs="Arial" w:eastAsia="Arial" w:hAnsi="Arial"/>
          <w:sz w:val="17"/>
          <w:szCs w:val="17"/>
          <w:i w:val="1"/>
          <w:iCs w:val="1"/>
          <w:color w:val="auto"/>
        </w:rPr>
        <w:t xml:space="preserve"> </w:t>
      </w:r>
      <w:r>
        <w:rPr>
          <w:rFonts w:ascii="Arial" w:cs="Arial" w:eastAsia="Arial" w:hAnsi="Arial"/>
          <w:sz w:val="17"/>
          <w:szCs w:val="17"/>
          <w:color w:val="auto"/>
        </w:rPr>
        <w:t>and as Senior Vice President — Real Estate from June 2016 to September 2017. Mr. Martin previously served as Vice President, Store Development – Asia Pacific with Gap Inc. from June 2014 to June 2016. Prior to that role, he served in various roles at Starbucks Coffee Company: Director, Strategy Development, China, Asia Pacific and Emerging Brands (July 2013 to July 2014); Director, Global Store Development (June 2007 to July 2013).</w:t>
      </w:r>
    </w:p>
    <w:p>
      <w:pPr>
        <w:spacing w:after="0" w:line="76" w:lineRule="exact"/>
        <w:rPr>
          <w:sz w:val="20"/>
          <w:szCs w:val="20"/>
          <w:color w:val="auto"/>
        </w:rPr>
      </w:pPr>
    </w:p>
    <w:p>
      <w:pPr>
        <w:jc w:val="both"/>
        <w:ind w:left="100" w:right="99"/>
        <w:spacing w:after="0" w:line="265" w:lineRule="auto"/>
        <w:rPr>
          <w:sz w:val="20"/>
          <w:szCs w:val="20"/>
          <w:color w:val="auto"/>
        </w:rPr>
      </w:pPr>
      <w:r>
        <w:rPr>
          <w:rFonts w:ascii="Arial" w:cs="Arial" w:eastAsia="Arial" w:hAnsi="Arial"/>
          <w:sz w:val="17"/>
          <w:szCs w:val="17"/>
          <w:i w:val="1"/>
          <w:iCs w:val="1"/>
          <w:color w:val="auto"/>
        </w:rPr>
        <w:t xml:space="preserve">John A. Maurer, </w:t>
      </w:r>
      <w:r>
        <w:rPr>
          <w:rFonts w:ascii="Arial" w:cs="Arial" w:eastAsia="Arial" w:hAnsi="Arial"/>
          <w:sz w:val="17"/>
          <w:szCs w:val="17"/>
          <w:color w:val="auto"/>
        </w:rPr>
        <w:t>age 58, has served as Vice President, Treasurer since September 2006. In addition to this role, he</w:t>
      </w:r>
      <w:r>
        <w:rPr>
          <w:rFonts w:ascii="Arial" w:cs="Arial" w:eastAsia="Arial" w:hAnsi="Arial"/>
          <w:sz w:val="17"/>
          <w:szCs w:val="17"/>
          <w:i w:val="1"/>
          <w:iCs w:val="1"/>
          <w:color w:val="auto"/>
        </w:rPr>
        <w:t xml:space="preserve"> </w:t>
      </w:r>
      <w:r>
        <w:rPr>
          <w:rFonts w:ascii="Arial" w:cs="Arial" w:eastAsia="Arial" w:hAnsi="Arial"/>
          <w:sz w:val="17"/>
          <w:szCs w:val="17"/>
          <w:color w:val="auto"/>
        </w:rPr>
        <w:t>also served as the Vice President of Investors Relations from February 2011 through March 2018.</w:t>
      </w:r>
    </w:p>
    <w:p>
      <w:pPr>
        <w:spacing w:after="0" w:line="154"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There are no family relationships among the executive officers or directors of the Company.</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56" w:right="1440"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PART II</w:t>
      </w:r>
    </w:p>
    <w:p>
      <w:pPr>
        <w:spacing w:after="0" w:line="195" w:lineRule="exact"/>
        <w:rPr>
          <w:sz w:val="20"/>
          <w:szCs w:val="20"/>
          <w:color w:val="auto"/>
        </w:rPr>
      </w:pPr>
    </w:p>
    <w:p>
      <w:pPr>
        <w:ind w:left="740" w:right="399" w:hanging="634"/>
        <w:spacing w:after="0" w:line="268" w:lineRule="auto"/>
        <w:rPr>
          <w:sz w:val="20"/>
          <w:szCs w:val="20"/>
          <w:color w:val="auto"/>
        </w:rPr>
      </w:pPr>
      <w:r>
        <w:rPr>
          <w:rFonts w:ascii="Arial" w:cs="Arial" w:eastAsia="Arial" w:hAnsi="Arial"/>
          <w:sz w:val="17"/>
          <w:szCs w:val="17"/>
          <w:b w:val="1"/>
          <w:bCs w:val="1"/>
          <w:i w:val="1"/>
          <w:iCs w:val="1"/>
          <w:color w:val="auto"/>
        </w:rPr>
        <w:t>Item 5. Market for the Company’s Common Equity, Related Stockholder Matters and Issuer Purchases of Equity Securities</w:t>
      </w:r>
    </w:p>
    <w:p>
      <w:pPr>
        <w:spacing w:after="0" w:line="151"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Foot Locker, Inc. common stock (ticker symbol “FL”) is listed on The New York Stock Exchange as well as on the Börse Stuttgart stock exchange in Germany. As of February 3, 2018, the Company had 13,244 shareholders of record owning 119,829,023 common shares.</w:t>
      </w:r>
    </w:p>
    <w:p>
      <w:pPr>
        <w:spacing w:after="0" w:line="175"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The following table provides the intra-day high and low sales prices for the Company’s common stock for the periods indicated below:</w:t>
      </w:r>
    </w:p>
    <w:p>
      <w:pPr>
        <w:spacing w:after="0" w:line="259"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19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w w:val="95"/>
              </w:rPr>
              <w:t>2017</w:t>
            </w:r>
          </w:p>
        </w:tc>
        <w:tc>
          <w:tcPr>
            <w:tcW w:w="10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rPr>
              <w:t>2016</w:t>
            </w:r>
          </w:p>
        </w:tc>
        <w:tc>
          <w:tcPr>
            <w:tcW w:w="760" w:type="dxa"/>
            <w:vAlign w:val="bottom"/>
            <w:tcBorders>
              <w:bottom w:val="single" w:sz="8" w:color="auto"/>
            </w:tcBorders>
          </w:tcPr>
          <w:p>
            <w:pPr>
              <w:spacing w:after="0"/>
              <w:rPr>
                <w:sz w:val="18"/>
                <w:szCs w:val="18"/>
                <w:color w:val="auto"/>
              </w:rPr>
            </w:pPr>
          </w:p>
        </w:tc>
      </w:tr>
      <w:tr>
        <w:trPr>
          <w:trHeight w:val="210"/>
        </w:trPr>
        <w:tc>
          <w:tcPr>
            <w:tcW w:w="19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High</w:t>
            </w:r>
          </w:p>
        </w:tc>
        <w:tc>
          <w:tcPr>
            <w:tcW w:w="8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Low</w:t>
            </w:r>
          </w:p>
        </w:tc>
        <w:tc>
          <w:tcPr>
            <w:tcW w:w="5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High</w:t>
            </w:r>
          </w:p>
        </w:tc>
        <w:tc>
          <w:tcPr>
            <w:tcW w:w="8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Low</w:t>
            </w:r>
          </w:p>
        </w:tc>
      </w:tr>
      <w:tr>
        <w:trPr>
          <w:trHeight w:val="210"/>
        </w:trPr>
        <w:tc>
          <w:tcPr>
            <w:tcW w:w="1980" w:type="dxa"/>
            <w:vAlign w:val="bottom"/>
            <w:shd w:val="clear" w:color="auto" w:fill="CCEEFF"/>
          </w:tcPr>
          <w:p>
            <w:pPr>
              <w:spacing w:after="0"/>
              <w:rPr>
                <w:sz w:val="20"/>
                <w:szCs w:val="20"/>
                <w:color w:val="auto"/>
              </w:rPr>
            </w:pPr>
            <w:r>
              <w:rPr>
                <w:rFonts w:ascii="Arial" w:cs="Arial" w:eastAsia="Arial" w:hAnsi="Arial"/>
                <w:sz w:val="17"/>
                <w:szCs w:val="17"/>
                <w:color w:val="auto"/>
              </w:rPr>
              <w:t>1</w:t>
            </w:r>
            <w:r>
              <w:rPr>
                <w:rFonts w:ascii="Arial" w:cs="Arial" w:eastAsia="Arial" w:hAnsi="Arial"/>
                <w:sz w:val="8"/>
                <w:szCs w:val="8"/>
                <w:color w:val="auto"/>
              </w:rPr>
              <w:t>st</w:t>
            </w:r>
            <w:r>
              <w:rPr>
                <w:rFonts w:ascii="Arial" w:cs="Arial" w:eastAsia="Arial" w:hAnsi="Arial"/>
                <w:sz w:val="17"/>
                <w:szCs w:val="17"/>
                <w:color w:val="auto"/>
              </w:rPr>
              <w:t xml:space="preserve"> Quarter</w:t>
            </w:r>
          </w:p>
        </w:tc>
        <w:tc>
          <w:tcPr>
            <w:tcW w:w="138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77.86</w:t>
            </w:r>
          </w:p>
        </w:tc>
        <w:tc>
          <w:tcPr>
            <w:tcW w:w="800" w:type="dxa"/>
            <w:vAlign w:val="bottom"/>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w:t>
            </w:r>
          </w:p>
        </w:tc>
        <w:tc>
          <w:tcPr>
            <w:tcW w:w="1080" w:type="dxa"/>
            <w:vAlign w:val="bottom"/>
            <w:shd w:val="clear" w:color="auto" w:fill="CCEEFF"/>
          </w:tcPr>
          <w:p>
            <w:pPr>
              <w:jc w:val="right"/>
              <w:ind w:right="235"/>
              <w:spacing w:after="0"/>
              <w:rPr>
                <w:sz w:val="20"/>
                <w:szCs w:val="20"/>
                <w:color w:val="auto"/>
              </w:rPr>
            </w:pPr>
            <w:r>
              <w:rPr>
                <w:rFonts w:ascii="Arial" w:cs="Arial" w:eastAsia="Arial" w:hAnsi="Arial"/>
                <w:sz w:val="17"/>
                <w:szCs w:val="17"/>
                <w:b w:val="1"/>
                <w:bCs w:val="1"/>
                <w:color w:val="auto"/>
              </w:rPr>
              <w:t>65.88</w:t>
            </w:r>
          </w:p>
        </w:tc>
        <w:tc>
          <w:tcPr>
            <w:tcW w:w="5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69.65</w:t>
            </w:r>
          </w:p>
        </w:tc>
        <w:tc>
          <w:tcPr>
            <w:tcW w:w="8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58.17</w:t>
            </w:r>
          </w:p>
        </w:tc>
      </w:tr>
      <w:tr>
        <w:trPr>
          <w:trHeight w:val="230"/>
        </w:trPr>
        <w:tc>
          <w:tcPr>
            <w:tcW w:w="1980" w:type="dxa"/>
            <w:vAlign w:val="bottom"/>
          </w:tcPr>
          <w:p>
            <w:pPr>
              <w:spacing w:after="0"/>
              <w:rPr>
                <w:sz w:val="20"/>
                <w:szCs w:val="20"/>
                <w:color w:val="auto"/>
              </w:rPr>
            </w:pPr>
            <w:r>
              <w:rPr>
                <w:rFonts w:ascii="Arial" w:cs="Arial" w:eastAsia="Arial" w:hAnsi="Arial"/>
                <w:sz w:val="17"/>
                <w:szCs w:val="17"/>
                <w:color w:val="auto"/>
              </w:rPr>
              <w:t>2</w:t>
            </w:r>
            <w:r>
              <w:rPr>
                <w:rFonts w:ascii="Arial" w:cs="Arial" w:eastAsia="Arial" w:hAnsi="Arial"/>
                <w:sz w:val="8"/>
                <w:szCs w:val="8"/>
                <w:color w:val="auto"/>
              </w:rPr>
              <w:t>nd</w:t>
            </w:r>
            <w:r>
              <w:rPr>
                <w:rFonts w:ascii="Arial" w:cs="Arial" w:eastAsia="Arial" w:hAnsi="Arial"/>
                <w:sz w:val="17"/>
                <w:szCs w:val="17"/>
                <w:color w:val="auto"/>
              </w:rPr>
              <w:t xml:space="preserve"> Quarter</w:t>
            </w:r>
          </w:p>
        </w:tc>
        <w:tc>
          <w:tcPr>
            <w:tcW w:w="1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77.71</w:t>
            </w:r>
          </w:p>
        </w:tc>
        <w:tc>
          <w:tcPr>
            <w:tcW w:w="800" w:type="dxa"/>
            <w:vAlign w:val="bottom"/>
          </w:tcPr>
          <w:p>
            <w:pPr>
              <w:spacing w:after="0"/>
              <w:rPr>
                <w:sz w:val="19"/>
                <w:szCs w:val="19"/>
                <w:color w:val="auto"/>
              </w:rPr>
            </w:pPr>
          </w:p>
        </w:tc>
        <w:tc>
          <w:tcPr>
            <w:tcW w:w="1080" w:type="dxa"/>
            <w:vAlign w:val="bottom"/>
          </w:tcPr>
          <w:p>
            <w:pPr>
              <w:jc w:val="right"/>
              <w:ind w:right="235"/>
              <w:spacing w:after="0"/>
              <w:rPr>
                <w:sz w:val="20"/>
                <w:szCs w:val="20"/>
                <w:color w:val="auto"/>
              </w:rPr>
            </w:pPr>
            <w:r>
              <w:rPr>
                <w:rFonts w:ascii="Arial" w:cs="Arial" w:eastAsia="Arial" w:hAnsi="Arial"/>
                <w:sz w:val="17"/>
                <w:szCs w:val="17"/>
                <w:b w:val="1"/>
                <w:bCs w:val="1"/>
                <w:color w:val="auto"/>
              </w:rPr>
              <w:t>44.59</w:t>
            </w:r>
          </w:p>
        </w:tc>
        <w:tc>
          <w:tcPr>
            <w:tcW w:w="5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62.45</w:t>
            </w:r>
          </w:p>
        </w:tc>
        <w:tc>
          <w:tcPr>
            <w:tcW w:w="8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50.90</w:t>
            </w:r>
          </w:p>
        </w:tc>
      </w:tr>
      <w:tr>
        <w:trPr>
          <w:trHeight w:val="230"/>
        </w:trPr>
        <w:tc>
          <w:tcPr>
            <w:tcW w:w="1980" w:type="dxa"/>
            <w:vAlign w:val="bottom"/>
            <w:shd w:val="clear" w:color="auto" w:fill="CCEEFF"/>
          </w:tcPr>
          <w:p>
            <w:pPr>
              <w:spacing w:after="0"/>
              <w:rPr>
                <w:sz w:val="20"/>
                <w:szCs w:val="20"/>
                <w:color w:val="auto"/>
              </w:rPr>
            </w:pPr>
            <w:r>
              <w:rPr>
                <w:rFonts w:ascii="Arial" w:cs="Arial" w:eastAsia="Arial" w:hAnsi="Arial"/>
                <w:sz w:val="17"/>
                <w:szCs w:val="17"/>
                <w:color w:val="auto"/>
              </w:rPr>
              <w:t>3</w:t>
            </w:r>
            <w:r>
              <w:rPr>
                <w:rFonts w:ascii="Arial" w:cs="Arial" w:eastAsia="Arial" w:hAnsi="Arial"/>
                <w:sz w:val="8"/>
                <w:szCs w:val="8"/>
                <w:color w:val="auto"/>
              </w:rPr>
              <w:t>rd</w:t>
            </w:r>
            <w:r>
              <w:rPr>
                <w:rFonts w:ascii="Arial" w:cs="Arial" w:eastAsia="Arial" w:hAnsi="Arial"/>
                <w:sz w:val="17"/>
                <w:szCs w:val="17"/>
                <w:color w:val="auto"/>
              </w:rPr>
              <w:t xml:space="preserve"> Quarter</w:t>
            </w:r>
          </w:p>
        </w:tc>
        <w:tc>
          <w:tcPr>
            <w:tcW w:w="1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51.29</w:t>
            </w:r>
          </w:p>
        </w:tc>
        <w:tc>
          <w:tcPr>
            <w:tcW w:w="8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35"/>
              <w:spacing w:after="0"/>
              <w:rPr>
                <w:sz w:val="20"/>
                <w:szCs w:val="20"/>
                <w:color w:val="auto"/>
              </w:rPr>
            </w:pPr>
            <w:r>
              <w:rPr>
                <w:rFonts w:ascii="Arial" w:cs="Arial" w:eastAsia="Arial" w:hAnsi="Arial"/>
                <w:sz w:val="17"/>
                <w:szCs w:val="17"/>
                <w:b w:val="1"/>
                <w:bCs w:val="1"/>
                <w:color w:val="auto"/>
              </w:rPr>
              <w:t>29.89</w:t>
            </w:r>
          </w:p>
        </w:tc>
        <w:tc>
          <w:tcPr>
            <w:tcW w:w="5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69.61</w:t>
            </w:r>
          </w:p>
        </w:tc>
        <w:tc>
          <w:tcPr>
            <w:tcW w:w="8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56.80</w:t>
            </w:r>
          </w:p>
        </w:tc>
      </w:tr>
      <w:tr>
        <w:trPr>
          <w:trHeight w:val="230"/>
        </w:trPr>
        <w:tc>
          <w:tcPr>
            <w:tcW w:w="19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4</w:t>
            </w:r>
            <w:r>
              <w:rPr>
                <w:rFonts w:ascii="Arial" w:cs="Arial" w:eastAsia="Arial" w:hAnsi="Arial"/>
                <w:sz w:val="8"/>
                <w:szCs w:val="8"/>
                <w:color w:val="auto"/>
              </w:rPr>
              <w:t>th</w:t>
            </w:r>
            <w:r>
              <w:rPr>
                <w:rFonts w:ascii="Arial" w:cs="Arial" w:eastAsia="Arial" w:hAnsi="Arial"/>
                <w:sz w:val="17"/>
                <w:szCs w:val="17"/>
                <w:color w:val="auto"/>
              </w:rPr>
              <w:t xml:space="preserve"> Quarter</w:t>
            </w:r>
          </w:p>
        </w:tc>
        <w:tc>
          <w:tcPr>
            <w:tcW w:w="1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53.17</w:t>
            </w:r>
          </w:p>
        </w:tc>
        <w:tc>
          <w:tcPr>
            <w:tcW w:w="8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28.42</w:t>
            </w:r>
          </w:p>
        </w:tc>
        <w:tc>
          <w:tcPr>
            <w:tcW w:w="5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79.43</w:t>
            </w:r>
          </w:p>
        </w:tc>
        <w:tc>
          <w:tcPr>
            <w:tcW w:w="8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65.39</w:t>
            </w:r>
          </w:p>
        </w:tc>
      </w:tr>
    </w:tbl>
    <w:p>
      <w:pPr>
        <w:spacing w:after="0" w:line="183"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During each of the quarters of 2017, the Company declared a dividend of $0.31 per share. The Board of Directors reviews the dividend policy and rate, taking into consideration the overall financial and strategic outlook for our earnings, liquidity, and cash flow. On February 20, 2018, the Board of Directors declared a quarterly dividend of $0.345 per share to be paid on May 4, 2018. This dividend represents an 11 percent increase over the previous quarterly per share amount.</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following table is a summary of our fourth quarter share repurchases:</w:t>
      </w:r>
    </w:p>
    <w:p>
      <w:pPr>
        <w:spacing w:after="0" w:line="68" w:lineRule="exact"/>
        <w:rPr>
          <w:sz w:val="20"/>
          <w:szCs w:val="20"/>
          <w:color w:val="auto"/>
        </w:rPr>
      </w:pPr>
    </w:p>
    <w:tbl>
      <w:tblPr>
        <w:tblLayout w:type="fixed"/>
        <w:tblInd w:w="100" w:type="dxa"/>
        <w:tblCellMar>
          <w:top w:w="0" w:type="dxa"/>
          <w:left w:w="0" w:type="dxa"/>
          <w:bottom w:w="0" w:type="dxa"/>
          <w:right w:w="0" w:type="dxa"/>
        </w:tblCellMar>
      </w:tblPr>
      <w:tr>
        <w:trPr>
          <w:trHeight w:val="203"/>
        </w:trPr>
        <w:tc>
          <w:tcPr>
            <w:tcW w:w="2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jc w:val="center"/>
              <w:ind w:right="115"/>
              <w:spacing w:after="0"/>
              <w:rPr>
                <w:sz w:val="20"/>
                <w:szCs w:val="20"/>
                <w:color w:val="auto"/>
              </w:rPr>
            </w:pPr>
            <w:r>
              <w:rPr>
                <w:rFonts w:ascii="Arial" w:cs="Arial" w:eastAsia="Arial" w:hAnsi="Arial"/>
                <w:sz w:val="17"/>
                <w:szCs w:val="17"/>
                <w:b w:val="1"/>
                <w:bCs w:val="1"/>
                <w:color w:val="auto"/>
              </w:rPr>
              <w:t>Approximate</w:t>
            </w:r>
          </w:p>
        </w:tc>
      </w:tr>
      <w:tr>
        <w:trPr>
          <w:trHeight w:val="203"/>
        </w:trPr>
        <w:tc>
          <w:tcPr>
            <w:tcW w:w="2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920" w:type="dxa"/>
            <w:vAlign w:val="bottom"/>
          </w:tcPr>
          <w:p>
            <w:pPr>
              <w:jc w:val="center"/>
              <w:ind w:right="75"/>
              <w:spacing w:after="0"/>
              <w:rPr>
                <w:sz w:val="20"/>
                <w:szCs w:val="20"/>
                <w:color w:val="auto"/>
              </w:rPr>
            </w:pPr>
            <w:r>
              <w:rPr>
                <w:rFonts w:ascii="Arial" w:cs="Arial" w:eastAsia="Arial" w:hAnsi="Arial"/>
                <w:sz w:val="17"/>
                <w:szCs w:val="17"/>
                <w:b w:val="1"/>
                <w:bCs w:val="1"/>
                <w:color w:val="auto"/>
                <w:w w:val="98"/>
              </w:rPr>
              <w:t>Total Number of</w:t>
            </w:r>
          </w:p>
        </w:tc>
        <w:tc>
          <w:tcPr>
            <w:tcW w:w="240" w:type="dxa"/>
            <w:vAlign w:val="bottom"/>
          </w:tcPr>
          <w:p>
            <w:pPr>
              <w:spacing w:after="0"/>
              <w:rPr>
                <w:sz w:val="17"/>
                <w:szCs w:val="17"/>
                <w:color w:val="auto"/>
              </w:rPr>
            </w:pPr>
          </w:p>
        </w:tc>
        <w:tc>
          <w:tcPr>
            <w:tcW w:w="1600" w:type="dxa"/>
            <w:vAlign w:val="bottom"/>
          </w:tcPr>
          <w:p>
            <w:pPr>
              <w:jc w:val="center"/>
              <w:ind w:right="95"/>
              <w:spacing w:after="0"/>
              <w:rPr>
                <w:sz w:val="20"/>
                <w:szCs w:val="20"/>
                <w:color w:val="auto"/>
              </w:rPr>
            </w:pPr>
            <w:r>
              <w:rPr>
                <w:rFonts w:ascii="Arial" w:cs="Arial" w:eastAsia="Arial" w:hAnsi="Arial"/>
                <w:sz w:val="17"/>
                <w:szCs w:val="17"/>
                <w:b w:val="1"/>
                <w:bCs w:val="1"/>
                <w:color w:val="auto"/>
                <w:w w:val="99"/>
              </w:rPr>
              <w:t>Dollar Value of</w:t>
            </w:r>
          </w:p>
        </w:tc>
      </w:tr>
      <w:tr>
        <w:trPr>
          <w:trHeight w:val="203"/>
        </w:trPr>
        <w:tc>
          <w:tcPr>
            <w:tcW w:w="2180" w:type="dxa"/>
            <w:vAlign w:val="bottom"/>
          </w:tcPr>
          <w:p>
            <w:pPr>
              <w:spacing w:after="0"/>
              <w:rPr>
                <w:sz w:val="17"/>
                <w:szCs w:val="17"/>
                <w:color w:val="auto"/>
              </w:rPr>
            </w:pPr>
          </w:p>
        </w:tc>
        <w:tc>
          <w:tcPr>
            <w:tcW w:w="1640" w:type="dxa"/>
            <w:vAlign w:val="bottom"/>
          </w:tcPr>
          <w:p>
            <w:pPr>
              <w:ind w:left="700"/>
              <w:spacing w:after="0"/>
              <w:rPr>
                <w:sz w:val="20"/>
                <w:szCs w:val="20"/>
                <w:color w:val="auto"/>
              </w:rPr>
            </w:pPr>
            <w:r>
              <w:rPr>
                <w:rFonts w:ascii="Arial" w:cs="Arial" w:eastAsia="Arial" w:hAnsi="Arial"/>
                <w:sz w:val="17"/>
                <w:szCs w:val="17"/>
                <w:b w:val="1"/>
                <w:bCs w:val="1"/>
                <w:color w:val="auto"/>
              </w:rPr>
              <w:t>Total</w:t>
            </w:r>
          </w:p>
        </w:tc>
        <w:tc>
          <w:tcPr>
            <w:tcW w:w="260" w:type="dxa"/>
            <w:vAlign w:val="bottom"/>
          </w:tcPr>
          <w:p>
            <w:pPr>
              <w:spacing w:after="0"/>
              <w:rPr>
                <w:sz w:val="17"/>
                <w:szCs w:val="17"/>
                <w:color w:val="auto"/>
              </w:rPr>
            </w:pPr>
          </w:p>
        </w:tc>
        <w:tc>
          <w:tcPr>
            <w:tcW w:w="980" w:type="dxa"/>
            <w:vAlign w:val="bottom"/>
          </w:tcPr>
          <w:p>
            <w:pPr>
              <w:jc w:val="center"/>
              <w:ind w:right="175"/>
              <w:spacing w:after="0"/>
              <w:rPr>
                <w:sz w:val="20"/>
                <w:szCs w:val="20"/>
                <w:color w:val="auto"/>
              </w:rPr>
            </w:pPr>
            <w:r>
              <w:rPr>
                <w:rFonts w:ascii="Arial" w:cs="Arial" w:eastAsia="Arial" w:hAnsi="Arial"/>
                <w:sz w:val="17"/>
                <w:szCs w:val="17"/>
                <w:b w:val="1"/>
                <w:bCs w:val="1"/>
                <w:color w:val="auto"/>
              </w:rPr>
              <w:t>Average</w:t>
            </w:r>
          </w:p>
        </w:tc>
        <w:tc>
          <w:tcPr>
            <w:tcW w:w="1920" w:type="dxa"/>
            <w:vAlign w:val="bottom"/>
          </w:tcPr>
          <w:p>
            <w:pPr>
              <w:jc w:val="center"/>
              <w:ind w:right="75"/>
              <w:spacing w:after="0"/>
              <w:rPr>
                <w:sz w:val="20"/>
                <w:szCs w:val="20"/>
                <w:color w:val="auto"/>
              </w:rPr>
            </w:pPr>
            <w:r>
              <w:rPr>
                <w:rFonts w:ascii="Arial" w:cs="Arial" w:eastAsia="Arial" w:hAnsi="Arial"/>
                <w:sz w:val="17"/>
                <w:szCs w:val="17"/>
                <w:b w:val="1"/>
                <w:bCs w:val="1"/>
                <w:color w:val="auto"/>
                <w:w w:val="99"/>
              </w:rPr>
              <w:t>Shares Purchased as</w:t>
            </w:r>
          </w:p>
        </w:tc>
        <w:tc>
          <w:tcPr>
            <w:tcW w:w="240" w:type="dxa"/>
            <w:vAlign w:val="bottom"/>
          </w:tcPr>
          <w:p>
            <w:pPr>
              <w:spacing w:after="0"/>
              <w:rPr>
                <w:sz w:val="17"/>
                <w:szCs w:val="17"/>
                <w:color w:val="auto"/>
              </w:rPr>
            </w:pPr>
          </w:p>
        </w:tc>
        <w:tc>
          <w:tcPr>
            <w:tcW w:w="1600" w:type="dxa"/>
            <w:vAlign w:val="bottom"/>
          </w:tcPr>
          <w:p>
            <w:pPr>
              <w:jc w:val="center"/>
              <w:ind w:right="115"/>
              <w:spacing w:after="0"/>
              <w:rPr>
                <w:sz w:val="20"/>
                <w:szCs w:val="20"/>
                <w:color w:val="auto"/>
              </w:rPr>
            </w:pPr>
            <w:r>
              <w:rPr>
                <w:rFonts w:ascii="Arial" w:cs="Arial" w:eastAsia="Arial" w:hAnsi="Arial"/>
                <w:sz w:val="17"/>
                <w:szCs w:val="17"/>
                <w:b w:val="1"/>
                <w:bCs w:val="1"/>
                <w:color w:val="auto"/>
              </w:rPr>
              <w:t>Shares that may</w:t>
            </w:r>
          </w:p>
        </w:tc>
      </w:tr>
      <w:tr>
        <w:trPr>
          <w:trHeight w:val="203"/>
        </w:trPr>
        <w:tc>
          <w:tcPr>
            <w:tcW w:w="2180" w:type="dxa"/>
            <w:vAlign w:val="bottom"/>
          </w:tcPr>
          <w:p>
            <w:pPr>
              <w:spacing w:after="0"/>
              <w:rPr>
                <w:sz w:val="17"/>
                <w:szCs w:val="17"/>
                <w:color w:val="auto"/>
              </w:rPr>
            </w:pPr>
          </w:p>
        </w:tc>
        <w:tc>
          <w:tcPr>
            <w:tcW w:w="1640" w:type="dxa"/>
            <w:vAlign w:val="bottom"/>
          </w:tcPr>
          <w:p>
            <w:pPr>
              <w:jc w:val="center"/>
              <w:ind w:left="55"/>
              <w:spacing w:after="0"/>
              <w:rPr>
                <w:sz w:val="20"/>
                <w:szCs w:val="20"/>
                <w:color w:val="auto"/>
              </w:rPr>
            </w:pPr>
            <w:r>
              <w:rPr>
                <w:rFonts w:ascii="Arial" w:cs="Arial" w:eastAsia="Arial" w:hAnsi="Arial"/>
                <w:sz w:val="17"/>
                <w:szCs w:val="17"/>
                <w:b w:val="1"/>
                <w:bCs w:val="1"/>
                <w:color w:val="auto"/>
              </w:rPr>
              <w:t>Number</w:t>
            </w:r>
          </w:p>
        </w:tc>
        <w:tc>
          <w:tcPr>
            <w:tcW w:w="260" w:type="dxa"/>
            <w:vAlign w:val="bottom"/>
          </w:tcPr>
          <w:p>
            <w:pPr>
              <w:spacing w:after="0"/>
              <w:rPr>
                <w:sz w:val="17"/>
                <w:szCs w:val="17"/>
                <w:color w:val="auto"/>
              </w:rPr>
            </w:pPr>
          </w:p>
        </w:tc>
        <w:tc>
          <w:tcPr>
            <w:tcW w:w="980" w:type="dxa"/>
            <w:vAlign w:val="bottom"/>
          </w:tcPr>
          <w:p>
            <w:pPr>
              <w:jc w:val="center"/>
              <w:ind w:right="155"/>
              <w:spacing w:after="0"/>
              <w:rPr>
                <w:sz w:val="20"/>
                <w:szCs w:val="20"/>
                <w:color w:val="auto"/>
              </w:rPr>
            </w:pPr>
            <w:r>
              <w:rPr>
                <w:rFonts w:ascii="Arial" w:cs="Arial" w:eastAsia="Arial" w:hAnsi="Arial"/>
                <w:sz w:val="17"/>
                <w:szCs w:val="17"/>
                <w:b w:val="1"/>
                <w:bCs w:val="1"/>
                <w:color w:val="auto"/>
              </w:rPr>
              <w:t>Price</w:t>
            </w:r>
          </w:p>
        </w:tc>
        <w:tc>
          <w:tcPr>
            <w:tcW w:w="1920" w:type="dxa"/>
            <w:vAlign w:val="bottom"/>
          </w:tcPr>
          <w:p>
            <w:pPr>
              <w:jc w:val="center"/>
              <w:ind w:right="75"/>
              <w:spacing w:after="0"/>
              <w:rPr>
                <w:sz w:val="20"/>
                <w:szCs w:val="20"/>
                <w:color w:val="auto"/>
              </w:rPr>
            </w:pPr>
            <w:r>
              <w:rPr>
                <w:rFonts w:ascii="Arial" w:cs="Arial" w:eastAsia="Arial" w:hAnsi="Arial"/>
                <w:sz w:val="17"/>
                <w:szCs w:val="17"/>
                <w:b w:val="1"/>
                <w:bCs w:val="1"/>
                <w:color w:val="auto"/>
              </w:rPr>
              <w:t>Part of Publicly</w:t>
            </w:r>
          </w:p>
        </w:tc>
        <w:tc>
          <w:tcPr>
            <w:tcW w:w="240" w:type="dxa"/>
            <w:vAlign w:val="bottom"/>
          </w:tcPr>
          <w:p>
            <w:pPr>
              <w:spacing w:after="0"/>
              <w:rPr>
                <w:sz w:val="17"/>
                <w:szCs w:val="17"/>
                <w:color w:val="auto"/>
              </w:rPr>
            </w:pPr>
          </w:p>
        </w:tc>
        <w:tc>
          <w:tcPr>
            <w:tcW w:w="1600" w:type="dxa"/>
            <w:vAlign w:val="bottom"/>
          </w:tcPr>
          <w:p>
            <w:pPr>
              <w:jc w:val="center"/>
              <w:ind w:right="95"/>
              <w:spacing w:after="0"/>
              <w:rPr>
                <w:sz w:val="20"/>
                <w:szCs w:val="20"/>
                <w:color w:val="auto"/>
              </w:rPr>
            </w:pPr>
            <w:r>
              <w:rPr>
                <w:rFonts w:ascii="Arial" w:cs="Arial" w:eastAsia="Arial" w:hAnsi="Arial"/>
                <w:sz w:val="17"/>
                <w:szCs w:val="17"/>
                <w:b w:val="1"/>
                <w:bCs w:val="1"/>
                <w:color w:val="auto"/>
              </w:rPr>
              <w:t>yet be Purchased</w:t>
            </w:r>
          </w:p>
        </w:tc>
      </w:tr>
      <w:tr>
        <w:trPr>
          <w:trHeight w:val="216"/>
        </w:trPr>
        <w:tc>
          <w:tcPr>
            <w:tcW w:w="2180" w:type="dxa"/>
            <w:vAlign w:val="bottom"/>
          </w:tcPr>
          <w:p>
            <w:pPr>
              <w:spacing w:after="0"/>
              <w:rPr>
                <w:sz w:val="18"/>
                <w:szCs w:val="18"/>
                <w:color w:val="auto"/>
              </w:rPr>
            </w:pPr>
          </w:p>
        </w:tc>
        <w:tc>
          <w:tcPr>
            <w:tcW w:w="1640" w:type="dxa"/>
            <w:vAlign w:val="bottom"/>
          </w:tcPr>
          <w:p>
            <w:pPr>
              <w:jc w:val="center"/>
              <w:ind w:left="55"/>
              <w:spacing w:after="0"/>
              <w:rPr>
                <w:sz w:val="20"/>
                <w:szCs w:val="20"/>
                <w:color w:val="auto"/>
              </w:rPr>
            </w:pPr>
            <w:r>
              <w:rPr>
                <w:rFonts w:ascii="Arial" w:cs="Arial" w:eastAsia="Arial" w:hAnsi="Arial"/>
                <w:sz w:val="17"/>
                <w:szCs w:val="17"/>
                <w:b w:val="1"/>
                <w:bCs w:val="1"/>
                <w:color w:val="auto"/>
              </w:rPr>
              <w:t>of Shares</w:t>
            </w:r>
          </w:p>
        </w:tc>
        <w:tc>
          <w:tcPr>
            <w:tcW w:w="260" w:type="dxa"/>
            <w:vAlign w:val="bottom"/>
          </w:tcPr>
          <w:p>
            <w:pPr>
              <w:spacing w:after="0"/>
              <w:rPr>
                <w:sz w:val="18"/>
                <w:szCs w:val="18"/>
                <w:color w:val="auto"/>
              </w:rPr>
            </w:pPr>
          </w:p>
        </w:tc>
        <w:tc>
          <w:tcPr>
            <w:tcW w:w="980" w:type="dxa"/>
            <w:vAlign w:val="bottom"/>
          </w:tcPr>
          <w:p>
            <w:pPr>
              <w:jc w:val="center"/>
              <w:ind w:right="175"/>
              <w:spacing w:after="0"/>
              <w:rPr>
                <w:sz w:val="20"/>
                <w:szCs w:val="20"/>
                <w:color w:val="auto"/>
              </w:rPr>
            </w:pPr>
            <w:r>
              <w:rPr>
                <w:rFonts w:ascii="Arial" w:cs="Arial" w:eastAsia="Arial" w:hAnsi="Arial"/>
                <w:sz w:val="17"/>
                <w:szCs w:val="17"/>
                <w:b w:val="1"/>
                <w:bCs w:val="1"/>
                <w:color w:val="auto"/>
                <w:w w:val="99"/>
              </w:rPr>
              <w:t>Paid Per</w:t>
            </w:r>
          </w:p>
        </w:tc>
        <w:tc>
          <w:tcPr>
            <w:tcW w:w="1920" w:type="dxa"/>
            <w:vAlign w:val="bottom"/>
          </w:tcPr>
          <w:p>
            <w:pPr>
              <w:jc w:val="center"/>
              <w:ind w:right="55"/>
              <w:spacing w:after="0"/>
              <w:rPr>
                <w:sz w:val="20"/>
                <w:szCs w:val="20"/>
                <w:color w:val="auto"/>
              </w:rPr>
            </w:pPr>
            <w:r>
              <w:rPr>
                <w:rFonts w:ascii="Arial" w:cs="Arial" w:eastAsia="Arial" w:hAnsi="Arial"/>
                <w:sz w:val="17"/>
                <w:szCs w:val="17"/>
                <w:b w:val="1"/>
                <w:bCs w:val="1"/>
                <w:color w:val="auto"/>
              </w:rPr>
              <w:t>Announced</w:t>
            </w:r>
          </w:p>
        </w:tc>
        <w:tc>
          <w:tcPr>
            <w:tcW w:w="240" w:type="dxa"/>
            <w:vAlign w:val="bottom"/>
          </w:tcPr>
          <w:p>
            <w:pPr>
              <w:spacing w:after="0"/>
              <w:rPr>
                <w:sz w:val="18"/>
                <w:szCs w:val="18"/>
                <w:color w:val="auto"/>
              </w:rPr>
            </w:pPr>
          </w:p>
        </w:tc>
        <w:tc>
          <w:tcPr>
            <w:tcW w:w="1600" w:type="dxa"/>
            <w:vAlign w:val="bottom"/>
          </w:tcPr>
          <w:p>
            <w:pPr>
              <w:jc w:val="center"/>
              <w:ind w:right="115"/>
              <w:spacing w:after="0"/>
              <w:rPr>
                <w:sz w:val="20"/>
                <w:szCs w:val="20"/>
                <w:color w:val="auto"/>
              </w:rPr>
            </w:pPr>
            <w:r>
              <w:rPr>
                <w:rFonts w:ascii="Arial" w:cs="Arial" w:eastAsia="Arial" w:hAnsi="Arial"/>
                <w:sz w:val="17"/>
                <w:szCs w:val="17"/>
                <w:b w:val="1"/>
                <w:bCs w:val="1"/>
                <w:color w:val="auto"/>
              </w:rPr>
              <w:t>Under the</w:t>
            </w:r>
          </w:p>
        </w:tc>
      </w:tr>
      <w:tr>
        <w:trPr>
          <w:trHeight w:val="215"/>
        </w:trPr>
        <w:tc>
          <w:tcPr>
            <w:tcW w:w="21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Date Purchased</w:t>
            </w:r>
          </w:p>
        </w:tc>
        <w:tc>
          <w:tcPr>
            <w:tcW w:w="1640" w:type="dxa"/>
            <w:vAlign w:val="bottom"/>
            <w:tcBorders>
              <w:bottom w:val="single" w:sz="8" w:color="auto"/>
            </w:tcBorders>
          </w:tcPr>
          <w:p>
            <w:pPr>
              <w:jc w:val="center"/>
              <w:ind w:left="55"/>
              <w:spacing w:after="0"/>
              <w:rPr>
                <w:sz w:val="20"/>
                <w:szCs w:val="20"/>
                <w:color w:val="auto"/>
              </w:rPr>
            </w:pPr>
            <w:r>
              <w:rPr>
                <w:rFonts w:ascii="Arial" w:cs="Arial" w:eastAsia="Arial" w:hAnsi="Arial"/>
                <w:sz w:val="17"/>
                <w:szCs w:val="17"/>
                <w:b w:val="1"/>
                <w:bCs w:val="1"/>
                <w:color w:val="auto"/>
              </w:rPr>
              <w:t xml:space="preserve">Purchased </w:t>
            </w:r>
            <w:r>
              <w:rPr>
                <w:rFonts w:ascii="Arial" w:cs="Arial" w:eastAsia="Arial" w:hAnsi="Arial"/>
                <w:sz w:val="8"/>
                <w:szCs w:val="8"/>
                <w:color w:val="auto"/>
              </w:rPr>
              <w:t>(1)</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215"/>
              <w:spacing w:after="0"/>
              <w:rPr>
                <w:sz w:val="20"/>
                <w:szCs w:val="20"/>
                <w:color w:val="auto"/>
              </w:rPr>
            </w:pPr>
            <w:r>
              <w:rPr>
                <w:rFonts w:ascii="Arial" w:cs="Arial" w:eastAsia="Arial" w:hAnsi="Arial"/>
                <w:sz w:val="17"/>
                <w:szCs w:val="17"/>
                <w:b w:val="1"/>
                <w:bCs w:val="1"/>
                <w:color w:val="auto"/>
              </w:rPr>
              <w:t xml:space="preserve">Share </w:t>
            </w:r>
            <w:r>
              <w:rPr>
                <w:rFonts w:ascii="Arial" w:cs="Arial" w:eastAsia="Arial" w:hAnsi="Arial"/>
                <w:sz w:val="8"/>
                <w:szCs w:val="8"/>
                <w:color w:val="auto"/>
              </w:rPr>
              <w:t>(1)</w:t>
            </w:r>
          </w:p>
        </w:tc>
        <w:tc>
          <w:tcPr>
            <w:tcW w:w="192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b w:val="1"/>
                <w:bCs w:val="1"/>
                <w:color w:val="auto"/>
              </w:rPr>
              <w:t xml:space="preserve">Program </w:t>
            </w:r>
            <w:r>
              <w:rPr>
                <w:rFonts w:ascii="Arial" w:cs="Arial" w:eastAsia="Arial" w:hAnsi="Arial"/>
                <w:sz w:val="8"/>
                <w:szCs w:val="8"/>
                <w:color w:val="auto"/>
              </w:rPr>
              <w:t>(2)</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b w:val="1"/>
                <w:bCs w:val="1"/>
                <w:color w:val="auto"/>
              </w:rPr>
              <w:t xml:space="preserve">Program </w:t>
            </w:r>
            <w:r>
              <w:rPr>
                <w:rFonts w:ascii="Arial" w:cs="Arial" w:eastAsia="Arial" w:hAnsi="Arial"/>
                <w:sz w:val="8"/>
                <w:szCs w:val="8"/>
                <w:color w:val="auto"/>
              </w:rPr>
              <w:t>(2)</w:t>
            </w:r>
          </w:p>
        </w:tc>
      </w:tr>
      <w:tr>
        <w:trPr>
          <w:trHeight w:val="210"/>
        </w:trPr>
        <w:tc>
          <w:tcPr>
            <w:tcW w:w="2180" w:type="dxa"/>
            <w:vAlign w:val="bottom"/>
            <w:shd w:val="clear" w:color="auto" w:fill="CCEEFF"/>
          </w:tcPr>
          <w:p>
            <w:pPr>
              <w:spacing w:after="0"/>
              <w:rPr>
                <w:sz w:val="20"/>
                <w:szCs w:val="20"/>
                <w:color w:val="auto"/>
              </w:rPr>
            </w:pPr>
            <w:r>
              <w:rPr>
                <w:rFonts w:ascii="Arial" w:cs="Arial" w:eastAsia="Arial" w:hAnsi="Arial"/>
                <w:sz w:val="17"/>
                <w:szCs w:val="17"/>
                <w:color w:val="auto"/>
              </w:rPr>
              <w:t>Oct. 29 - Nov. 25, 2017</w:t>
            </w:r>
          </w:p>
        </w:tc>
        <w:tc>
          <w:tcPr>
            <w:tcW w:w="16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1,500,000</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30.96</w:t>
            </w:r>
          </w:p>
        </w:tc>
        <w:tc>
          <w:tcPr>
            <w:tcW w:w="19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1,500,000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816,552,335</w:t>
            </w:r>
          </w:p>
        </w:tc>
      </w:tr>
      <w:tr>
        <w:trPr>
          <w:trHeight w:val="230"/>
        </w:trPr>
        <w:tc>
          <w:tcPr>
            <w:tcW w:w="2180" w:type="dxa"/>
            <w:vAlign w:val="bottom"/>
          </w:tcPr>
          <w:p>
            <w:pPr>
              <w:spacing w:after="0"/>
              <w:rPr>
                <w:sz w:val="20"/>
                <w:szCs w:val="20"/>
                <w:color w:val="auto"/>
              </w:rPr>
            </w:pPr>
            <w:r>
              <w:rPr>
                <w:rFonts w:ascii="Arial" w:cs="Arial" w:eastAsia="Arial" w:hAnsi="Arial"/>
                <w:sz w:val="17"/>
                <w:szCs w:val="17"/>
                <w:color w:val="auto"/>
              </w:rPr>
              <w:t>Nov. 26 - Dec. 30, 2017</w:t>
            </w:r>
          </w:p>
        </w:tc>
        <w:tc>
          <w:tcPr>
            <w:tcW w:w="1640" w:type="dxa"/>
            <w:vAlign w:val="bottom"/>
          </w:tcPr>
          <w:p>
            <w:pPr>
              <w:ind w:left="700"/>
              <w:spacing w:after="0"/>
              <w:rPr>
                <w:sz w:val="20"/>
                <w:szCs w:val="20"/>
                <w:color w:val="auto"/>
              </w:rPr>
            </w:pPr>
            <w:r>
              <w:rPr>
                <w:rFonts w:ascii="Arial" w:cs="Arial" w:eastAsia="Arial" w:hAnsi="Arial"/>
                <w:sz w:val="17"/>
                <w:szCs w:val="17"/>
                <w:color w:val="auto"/>
              </w:rPr>
              <w:t>1,333,433</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43.87</w:t>
            </w:r>
          </w:p>
        </w:tc>
        <w:tc>
          <w:tcPr>
            <w:tcW w:w="1920" w:type="dxa"/>
            <w:vAlign w:val="bottom"/>
          </w:tcPr>
          <w:p>
            <w:pPr>
              <w:jc w:val="right"/>
              <w:ind w:right="95"/>
              <w:spacing w:after="0"/>
              <w:rPr>
                <w:sz w:val="20"/>
                <w:szCs w:val="20"/>
                <w:color w:val="auto"/>
              </w:rPr>
            </w:pPr>
            <w:r>
              <w:rPr>
                <w:rFonts w:ascii="Arial" w:cs="Arial" w:eastAsia="Arial" w:hAnsi="Arial"/>
                <w:sz w:val="17"/>
                <w:szCs w:val="17"/>
                <w:color w:val="auto"/>
              </w:rPr>
              <w:t>1,323,930</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758,463,867</w:t>
            </w:r>
          </w:p>
        </w:tc>
      </w:tr>
      <w:tr>
        <w:trPr>
          <w:trHeight w:val="230"/>
        </w:trPr>
        <w:tc>
          <w:tcPr>
            <w:tcW w:w="2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Dec. 31 - Feb. 3, 2018</w:t>
            </w:r>
          </w:p>
        </w:tc>
        <w:tc>
          <w:tcPr>
            <w:tcW w:w="1640" w:type="dxa"/>
            <w:vAlign w:val="bottom"/>
            <w:tcBorders>
              <w:bottom w:val="single" w:sz="8" w:color="auto"/>
            </w:tcBorders>
            <w:shd w:val="clear" w:color="auto" w:fill="CCEEFF"/>
          </w:tcPr>
          <w:p>
            <w:pPr>
              <w:ind w:left="134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9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758,463,867</w:t>
            </w:r>
          </w:p>
        </w:tc>
      </w:tr>
      <w:tr>
        <w:trPr>
          <w:trHeight w:val="210"/>
        </w:trPr>
        <w:tc>
          <w:tcPr>
            <w:tcW w:w="2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ind w:left="700"/>
              <w:spacing w:after="0"/>
              <w:rPr>
                <w:sz w:val="20"/>
                <w:szCs w:val="20"/>
                <w:color w:val="auto"/>
              </w:rPr>
            </w:pPr>
            <w:r>
              <w:rPr>
                <w:rFonts w:ascii="Arial" w:cs="Arial" w:eastAsia="Arial" w:hAnsi="Arial"/>
                <w:sz w:val="17"/>
                <w:szCs w:val="17"/>
                <w:color w:val="auto"/>
              </w:rPr>
              <w:t>2,833,433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37.04</w:t>
            </w:r>
          </w:p>
        </w:tc>
        <w:tc>
          <w:tcPr>
            <w:tcW w:w="19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2,823,930</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r>
    </w:tbl>
    <w:p>
      <w:pPr>
        <w:spacing w:after="0" w:line="134" w:lineRule="exact"/>
        <w:rPr>
          <w:sz w:val="20"/>
          <w:szCs w:val="20"/>
          <w:color w:val="auto"/>
        </w:rPr>
      </w:pPr>
    </w:p>
    <w:p>
      <w:pPr>
        <w:jc w:val="both"/>
        <w:ind w:left="440" w:right="99" w:hanging="335"/>
        <w:spacing w:after="0" w:line="228" w:lineRule="auto"/>
        <w:tabs>
          <w:tab w:leader="none" w:pos="440" w:val="left"/>
        </w:tabs>
        <w:numPr>
          <w:ilvl w:val="0"/>
          <w:numId w:val="5"/>
        </w:numPr>
        <w:rPr>
          <w:rFonts w:ascii="Arial" w:cs="Arial" w:eastAsia="Arial" w:hAnsi="Arial"/>
          <w:sz w:val="12"/>
          <w:szCs w:val="12"/>
          <w:color w:val="auto"/>
        </w:rPr>
      </w:pPr>
      <w:r>
        <w:rPr>
          <w:rFonts w:ascii="Arial" w:cs="Arial" w:eastAsia="Arial" w:hAnsi="Arial"/>
          <w:sz w:val="14"/>
          <w:szCs w:val="14"/>
          <w:color w:val="auto"/>
        </w:rPr>
        <w:t>These columns also reflect shares acquired in satisfaction of the tax withholding obligation of holders of restricted stock awards which vested during the quarter, and shares repurchased pursuant to Rule 10b5-1 under the Securities Exchange Act of 1934. The calculation of the average price paid per share includes all fees, commissions, and other costs associated with the repurchase of such shares.</w:t>
      </w:r>
    </w:p>
    <w:p>
      <w:pPr>
        <w:spacing w:after="0" w:line="67" w:lineRule="exact"/>
        <w:rPr>
          <w:rFonts w:ascii="Arial" w:cs="Arial" w:eastAsia="Arial" w:hAnsi="Arial"/>
          <w:sz w:val="12"/>
          <w:szCs w:val="12"/>
          <w:color w:val="auto"/>
        </w:rPr>
      </w:pPr>
    </w:p>
    <w:p>
      <w:pPr>
        <w:ind w:left="440" w:right="99" w:hanging="335"/>
        <w:spacing w:after="0" w:line="300" w:lineRule="auto"/>
        <w:tabs>
          <w:tab w:leader="none" w:pos="440" w:val="left"/>
        </w:tabs>
        <w:numPr>
          <w:ilvl w:val="0"/>
          <w:numId w:val="5"/>
        </w:numPr>
        <w:rPr>
          <w:rFonts w:ascii="Arial" w:cs="Arial" w:eastAsia="Arial" w:hAnsi="Arial"/>
          <w:sz w:val="11"/>
          <w:szCs w:val="11"/>
          <w:color w:val="auto"/>
        </w:rPr>
      </w:pPr>
      <w:r>
        <w:rPr>
          <w:rFonts w:ascii="Arial" w:cs="Arial" w:eastAsia="Arial" w:hAnsi="Arial"/>
          <w:sz w:val="12"/>
          <w:szCs w:val="12"/>
          <w:color w:val="auto"/>
        </w:rPr>
        <w:t>On February 14, 2017, the Board of Directors approved a 3-year, $1.2 billion share repurchase program extending through January 2020. Through February 3, 2018, 12 million shares of common stock were purchased under this program, for an aggregate cost of $442 million.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13" w:name="page14"/>
    <w:bookmarkEnd w:id="13"/>
    <w:p>
      <w:pPr>
        <w:ind w:left="100"/>
        <w:spacing w:after="0"/>
        <w:rPr>
          <w:sz w:val="20"/>
          <w:szCs w:val="20"/>
          <w:color w:val="auto"/>
        </w:rPr>
      </w:pPr>
      <w:r>
        <w:rPr>
          <w:rFonts w:ascii="Arial" w:cs="Arial" w:eastAsia="Arial" w:hAnsi="Arial"/>
          <w:sz w:val="17"/>
          <w:szCs w:val="17"/>
          <w:b w:val="1"/>
          <w:bCs w:val="1"/>
          <w:color w:val="auto"/>
        </w:rPr>
        <w:t>Performance Graph</w:t>
      </w:r>
    </w:p>
    <w:p>
      <w:pPr>
        <w:spacing w:after="0" w:line="203"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The graph below compares the cumulative five-year total return to shareholders (common stock price appreciation plus dividends, on a reinvested basis) on Foot Locker, Inc.’s common stock relative to the total returns of the S&amp;P 500 Specialty Retailing Index and the S&amp;P 500 Index.</w:t>
      </w:r>
    </w:p>
    <w:p>
      <w:pPr>
        <w:spacing w:after="0" w:line="175"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The following Performance Graph and related information shall not be deemed “soliciting material” or deemed to be filed with the SEC, nor shall such information be incorporated by reference into any future filing under the Securities Act of 1933 or Securities Exchange Act of 1934, each as amended, except to the extent that we specifically incorporate it by reference into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116205</wp:posOffset>
            </wp:positionV>
            <wp:extent cx="5351145" cy="3310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51145" cy="331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7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115"/>
              <w:spacing w:after="0"/>
              <w:rPr>
                <w:sz w:val="20"/>
                <w:szCs w:val="20"/>
                <w:color w:val="auto"/>
              </w:rPr>
            </w:pPr>
            <w:r>
              <w:rPr>
                <w:rFonts w:ascii="Arial" w:cs="Arial" w:eastAsia="Arial" w:hAnsi="Arial"/>
                <w:sz w:val="17"/>
                <w:szCs w:val="17"/>
                <w:color w:val="auto"/>
              </w:rPr>
              <w:t>2/2/2013</w:t>
            </w:r>
          </w:p>
        </w:tc>
        <w:tc>
          <w:tcPr>
            <w:tcW w:w="980" w:type="dxa"/>
            <w:vAlign w:val="bottom"/>
            <w:tcBorders>
              <w:bottom w:val="single" w:sz="8" w:color="auto"/>
            </w:tcBorders>
            <w:gridSpan w:val="2"/>
          </w:tcPr>
          <w:p>
            <w:pPr>
              <w:jc w:val="right"/>
              <w:ind w:right="95"/>
              <w:spacing w:after="0"/>
              <w:rPr>
                <w:sz w:val="20"/>
                <w:szCs w:val="20"/>
                <w:color w:val="auto"/>
              </w:rPr>
            </w:pPr>
            <w:r>
              <w:rPr>
                <w:rFonts w:ascii="Arial" w:cs="Arial" w:eastAsia="Arial" w:hAnsi="Arial"/>
                <w:sz w:val="17"/>
                <w:szCs w:val="17"/>
                <w:color w:val="auto"/>
              </w:rPr>
              <w:t>2/1/2014</w:t>
            </w:r>
          </w:p>
        </w:tc>
        <w:tc>
          <w:tcPr>
            <w:tcW w:w="98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rPr>
              <w:t>1/31/2015</w:t>
            </w:r>
          </w:p>
        </w:tc>
        <w:tc>
          <w:tcPr>
            <w:tcW w:w="98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rPr>
              <w:t>1/30/2016</w:t>
            </w:r>
          </w:p>
        </w:tc>
        <w:tc>
          <w:tcPr>
            <w:tcW w:w="1000" w:type="dxa"/>
            <w:vAlign w:val="bottom"/>
            <w:tcBorders>
              <w:bottom w:val="single" w:sz="8" w:color="auto"/>
            </w:tcBorders>
            <w:gridSpan w:val="2"/>
          </w:tcPr>
          <w:p>
            <w:pPr>
              <w:ind w:left="120"/>
              <w:spacing w:after="0"/>
              <w:rPr>
                <w:sz w:val="20"/>
                <w:szCs w:val="20"/>
                <w:color w:val="auto"/>
              </w:rPr>
            </w:pPr>
            <w:r>
              <w:rPr>
                <w:rFonts w:ascii="Arial" w:cs="Arial" w:eastAsia="Arial" w:hAnsi="Arial"/>
                <w:sz w:val="17"/>
                <w:szCs w:val="17"/>
                <w:color w:val="auto"/>
              </w:rPr>
              <w:t>1/28/2017</w:t>
            </w:r>
          </w:p>
        </w:tc>
        <w:tc>
          <w:tcPr>
            <w:tcW w:w="980" w:type="dxa"/>
            <w:vAlign w:val="bottom"/>
            <w:tcBorders>
              <w:bottom w:val="single" w:sz="8" w:color="auto"/>
            </w:tcBorders>
            <w:gridSpan w:val="2"/>
          </w:tcPr>
          <w:p>
            <w:pPr>
              <w:jc w:val="right"/>
              <w:ind w:right="55"/>
              <w:spacing w:after="0"/>
              <w:rPr>
                <w:sz w:val="20"/>
                <w:szCs w:val="20"/>
                <w:color w:val="auto"/>
              </w:rPr>
            </w:pPr>
            <w:r>
              <w:rPr>
                <w:rFonts w:ascii="Arial" w:cs="Arial" w:eastAsia="Arial" w:hAnsi="Arial"/>
                <w:sz w:val="17"/>
                <w:szCs w:val="17"/>
                <w:b w:val="1"/>
                <w:bCs w:val="1"/>
                <w:color w:val="auto"/>
              </w:rPr>
              <w:t>2/3/2018</w:t>
            </w:r>
          </w:p>
        </w:tc>
      </w:tr>
      <w:tr>
        <w:trPr>
          <w:trHeight w:val="183"/>
        </w:trPr>
        <w:tc>
          <w:tcPr>
            <w:tcW w:w="280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Foot Locker, Inc.</w:t>
            </w:r>
          </w:p>
        </w:tc>
        <w:tc>
          <w:tcPr>
            <w:tcW w:w="3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100.00</w:t>
            </w:r>
          </w:p>
        </w:tc>
        <w:tc>
          <w:tcPr>
            <w:tcW w:w="2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114.24</w:t>
            </w:r>
          </w:p>
        </w:tc>
        <w:tc>
          <w:tcPr>
            <w:tcW w:w="280" w:type="dxa"/>
            <w:vAlign w:val="bottom"/>
            <w:shd w:val="clear" w:color="auto" w:fill="CCEEFF"/>
          </w:tcPr>
          <w:p>
            <w:pPr>
              <w:ind w:left="100"/>
              <w:spacing w:after="0" w:line="183" w:lineRule="exact"/>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160.33</w:t>
            </w:r>
          </w:p>
        </w:tc>
        <w:tc>
          <w:tcPr>
            <w:tcW w:w="280" w:type="dxa"/>
            <w:vAlign w:val="bottom"/>
            <w:shd w:val="clear" w:color="auto" w:fill="CCEEFF"/>
          </w:tcPr>
          <w:p>
            <w:pPr>
              <w:ind w:left="100"/>
              <w:spacing w:after="0" w:line="183" w:lineRule="exact"/>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206.69</w:t>
            </w:r>
          </w:p>
        </w:tc>
        <w:tc>
          <w:tcPr>
            <w:tcW w:w="300" w:type="dxa"/>
            <w:vAlign w:val="bottom"/>
            <w:shd w:val="clear" w:color="auto" w:fill="CCEEFF"/>
          </w:tcPr>
          <w:p>
            <w:pPr>
              <w:ind w:left="100"/>
              <w:spacing w:after="0" w:line="183" w:lineRule="exact"/>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211.63</w:t>
            </w:r>
          </w:p>
        </w:tc>
        <w:tc>
          <w:tcPr>
            <w:tcW w:w="30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w:t>
            </w:r>
          </w:p>
        </w:tc>
        <w:tc>
          <w:tcPr>
            <w:tcW w:w="6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154.65</w:t>
            </w:r>
          </w:p>
        </w:tc>
      </w:tr>
      <w:tr>
        <w:trPr>
          <w:trHeight w:val="203"/>
        </w:trPr>
        <w:tc>
          <w:tcPr>
            <w:tcW w:w="700" w:type="dxa"/>
            <w:vAlign w:val="bottom"/>
          </w:tcPr>
          <w:p>
            <w:pPr>
              <w:spacing w:after="0"/>
              <w:rPr>
                <w:sz w:val="20"/>
                <w:szCs w:val="20"/>
                <w:color w:val="auto"/>
              </w:rPr>
            </w:pPr>
            <w:r>
              <w:rPr>
                <w:rFonts w:ascii="Arial" w:cs="Arial" w:eastAsia="Arial" w:hAnsi="Arial"/>
                <w:sz w:val="17"/>
                <w:szCs w:val="17"/>
                <w:color w:val="auto"/>
              </w:rPr>
              <w:t>S&amp;P 500</w:t>
            </w:r>
          </w:p>
        </w:tc>
        <w:tc>
          <w:tcPr>
            <w:tcW w:w="2100" w:type="dxa"/>
            <w:vAlign w:val="bottom"/>
          </w:tcPr>
          <w:p>
            <w:pPr>
              <w:ind w:left="20"/>
              <w:spacing w:after="0"/>
              <w:rPr>
                <w:sz w:val="20"/>
                <w:szCs w:val="20"/>
                <w:color w:val="auto"/>
              </w:rPr>
            </w:pPr>
            <w:r>
              <w:rPr>
                <w:rFonts w:ascii="Arial" w:cs="Arial" w:eastAsia="Arial" w:hAnsi="Arial"/>
                <w:sz w:val="17"/>
                <w:szCs w:val="17"/>
                <w:color w:val="auto"/>
              </w:rPr>
              <w:t>Index</w:t>
            </w: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100.00</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120.29</w:t>
            </w:r>
          </w:p>
        </w:tc>
        <w:tc>
          <w:tcPr>
            <w:tcW w:w="280" w:type="dxa"/>
            <w:vAlign w:val="bottom"/>
          </w:tcPr>
          <w:p>
            <w:pPr>
              <w:ind w:left="100"/>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15"/>
              <w:spacing w:after="0"/>
              <w:rPr>
                <w:sz w:val="20"/>
                <w:szCs w:val="20"/>
                <w:color w:val="auto"/>
              </w:rPr>
            </w:pPr>
            <w:r>
              <w:rPr>
                <w:rFonts w:ascii="Arial" w:cs="Arial" w:eastAsia="Arial" w:hAnsi="Arial"/>
                <w:sz w:val="17"/>
                <w:szCs w:val="17"/>
                <w:color w:val="auto"/>
              </w:rPr>
              <w:t>137.39</w:t>
            </w:r>
          </w:p>
        </w:tc>
        <w:tc>
          <w:tcPr>
            <w:tcW w:w="280" w:type="dxa"/>
            <w:vAlign w:val="bottom"/>
          </w:tcPr>
          <w:p>
            <w:pPr>
              <w:ind w:left="10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136.47</w:t>
            </w:r>
          </w:p>
        </w:tc>
        <w:tc>
          <w:tcPr>
            <w:tcW w:w="300" w:type="dxa"/>
            <w:vAlign w:val="bottom"/>
          </w:tcPr>
          <w:p>
            <w:pPr>
              <w:ind w:left="100"/>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15"/>
              <w:spacing w:after="0"/>
              <w:rPr>
                <w:sz w:val="20"/>
                <w:szCs w:val="20"/>
                <w:color w:val="auto"/>
              </w:rPr>
            </w:pPr>
            <w:r>
              <w:rPr>
                <w:rFonts w:ascii="Arial" w:cs="Arial" w:eastAsia="Arial" w:hAnsi="Arial"/>
                <w:sz w:val="17"/>
                <w:szCs w:val="17"/>
                <w:color w:val="auto"/>
              </w:rPr>
              <w:t>164.93</w:t>
            </w:r>
          </w:p>
        </w:tc>
        <w:tc>
          <w:tcPr>
            <w:tcW w:w="300" w:type="dxa"/>
            <w:vAlign w:val="bottom"/>
          </w:tcPr>
          <w:p>
            <w:pPr>
              <w:jc w:val="right"/>
              <w:ind w:right="15"/>
              <w:spacing w:after="0"/>
              <w:rPr>
                <w:sz w:val="20"/>
                <w:szCs w:val="20"/>
                <w:color w:val="auto"/>
              </w:rPr>
            </w:pPr>
            <w:r>
              <w:rPr>
                <w:rFonts w:ascii="Arial" w:cs="Arial" w:eastAsia="Arial" w:hAnsi="Arial"/>
                <w:sz w:val="17"/>
                <w:szCs w:val="17"/>
                <w:b w:val="1"/>
                <w:bCs w:val="1"/>
                <w:color w:val="auto"/>
              </w:rPr>
              <w:t>$</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202.57</w:t>
            </w:r>
          </w:p>
        </w:tc>
      </w:tr>
      <w:tr>
        <w:trPr>
          <w:trHeight w:val="203"/>
        </w:trPr>
        <w:tc>
          <w:tcPr>
            <w:tcW w:w="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S&amp;P 500</w:t>
            </w:r>
          </w:p>
        </w:tc>
        <w:tc>
          <w:tcPr>
            <w:tcW w:w="2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Specialty Retailing Index</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100.00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118.15</w:t>
            </w:r>
          </w:p>
        </w:tc>
        <w:tc>
          <w:tcPr>
            <w:tcW w:w="2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157.66</w:t>
            </w:r>
          </w:p>
        </w:tc>
        <w:tc>
          <w:tcPr>
            <w:tcW w:w="2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170.76</w:t>
            </w:r>
          </w:p>
        </w:tc>
        <w:tc>
          <w:tcPr>
            <w:tcW w:w="3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183.70</w:t>
            </w:r>
          </w:p>
        </w:tc>
        <w:tc>
          <w:tcPr>
            <w:tcW w:w="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226.17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56" w:right="1440" w:bottom="1440" w:gutter="0" w:footer="0" w:header="0"/>
        </w:sectPr>
      </w:pPr>
    </w:p>
    <w:bookmarkStart w:id="14" w:name="page15"/>
    <w:bookmarkEnd w:id="14"/>
    <w:p>
      <w:pPr>
        <w:ind w:left="100"/>
        <w:spacing w:after="0"/>
        <w:rPr>
          <w:sz w:val="20"/>
          <w:szCs w:val="20"/>
          <w:color w:val="auto"/>
        </w:rPr>
      </w:pPr>
      <w:r>
        <w:rPr>
          <w:rFonts w:ascii="Arial" w:cs="Arial" w:eastAsia="Arial" w:hAnsi="Arial"/>
          <w:sz w:val="17"/>
          <w:szCs w:val="17"/>
          <w:b w:val="1"/>
          <w:bCs w:val="1"/>
          <w:i w:val="1"/>
          <w:iCs w:val="1"/>
          <w:color w:val="auto"/>
        </w:rPr>
        <w:t>Item 6. Selected Financial Data</w:t>
      </w:r>
    </w:p>
    <w:p>
      <w:pPr>
        <w:spacing w:after="0" w:line="183" w:lineRule="exact"/>
        <w:rPr>
          <w:sz w:val="20"/>
          <w:szCs w:val="20"/>
          <w:color w:val="auto"/>
        </w:rPr>
      </w:pPr>
    </w:p>
    <w:p>
      <w:pPr>
        <w:ind w:left="2240"/>
        <w:spacing w:after="0"/>
        <w:rPr>
          <w:sz w:val="20"/>
          <w:szCs w:val="20"/>
          <w:color w:val="auto"/>
        </w:rPr>
      </w:pPr>
      <w:r>
        <w:rPr>
          <w:rFonts w:ascii="Arial" w:cs="Arial" w:eastAsia="Arial" w:hAnsi="Arial"/>
          <w:sz w:val="17"/>
          <w:szCs w:val="17"/>
          <w:b w:val="1"/>
          <w:bCs w:val="1"/>
          <w:color w:val="auto"/>
        </w:rPr>
        <w:t>FIVE-YEAR SUMMARY OF SELECTED FINANCIAL DATA</w:t>
      </w:r>
    </w:p>
    <w:p>
      <w:pPr>
        <w:spacing w:after="0" w:line="203" w:lineRule="exact"/>
        <w:rPr>
          <w:sz w:val="20"/>
          <w:szCs w:val="20"/>
          <w:color w:val="auto"/>
        </w:rPr>
      </w:pPr>
    </w:p>
    <w:p>
      <w:pPr>
        <w:ind w:left="100" w:right="179"/>
        <w:spacing w:after="0" w:line="243" w:lineRule="auto"/>
        <w:rPr>
          <w:sz w:val="20"/>
          <w:szCs w:val="20"/>
          <w:color w:val="auto"/>
        </w:rPr>
      </w:pPr>
      <w:r>
        <w:rPr>
          <w:rFonts w:ascii="Arial" w:cs="Arial" w:eastAsia="Arial" w:hAnsi="Arial"/>
          <w:sz w:val="17"/>
          <w:szCs w:val="17"/>
          <w:color w:val="auto"/>
        </w:rPr>
        <w:t>The selected financial data below should be read in conjunction with the Consolidated Financial Statements and the Notes thereto and other information contained elsewhere in this report.</w:t>
      </w:r>
    </w:p>
    <w:p>
      <w:pPr>
        <w:spacing w:after="0" w:line="246"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4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 xml:space="preserve">2017 </w:t>
            </w:r>
            <w:r>
              <w:rPr>
                <w:rFonts w:ascii="Arial" w:cs="Arial" w:eastAsia="Arial" w:hAnsi="Arial"/>
                <w:sz w:val="8"/>
                <w:szCs w:val="8"/>
                <w:color w:val="auto"/>
              </w:rPr>
              <w:t>(1)</w:t>
            </w:r>
          </w:p>
        </w:tc>
        <w:tc>
          <w:tcPr>
            <w:tcW w:w="84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2016</w:t>
            </w:r>
          </w:p>
        </w:tc>
        <w:tc>
          <w:tcPr>
            <w:tcW w:w="94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2015</w:t>
            </w:r>
          </w:p>
        </w:tc>
        <w:tc>
          <w:tcPr>
            <w:tcW w:w="98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2014</w:t>
            </w:r>
          </w:p>
        </w:tc>
        <w:tc>
          <w:tcPr>
            <w:tcW w:w="7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2013</w:t>
            </w:r>
          </w:p>
        </w:tc>
      </w:tr>
      <w:tr>
        <w:trPr>
          <w:trHeight w:val="183"/>
        </w:trPr>
        <w:tc>
          <w:tcPr>
            <w:tcW w:w="4120" w:type="dxa"/>
            <w:vAlign w:val="bottom"/>
          </w:tcPr>
          <w:p>
            <w:pPr>
              <w:spacing w:after="0" w:line="183" w:lineRule="exact"/>
              <w:rPr>
                <w:sz w:val="20"/>
                <w:szCs w:val="20"/>
                <w:color w:val="auto"/>
              </w:rPr>
            </w:pPr>
            <w:r>
              <w:rPr>
                <w:rFonts w:ascii="Arial" w:cs="Arial" w:eastAsia="Arial" w:hAnsi="Arial"/>
                <w:sz w:val="17"/>
                <w:szCs w:val="17"/>
                <w:b w:val="1"/>
                <w:bCs w:val="1"/>
                <w:color w:val="auto"/>
              </w:rPr>
              <w:t>Summary of Operations</w:t>
            </w:r>
          </w:p>
        </w:tc>
        <w:tc>
          <w:tcPr>
            <w:tcW w:w="300" w:type="dxa"/>
            <w:vAlign w:val="bottom"/>
          </w:tcPr>
          <w:p>
            <w:pPr>
              <w:spacing w:after="0"/>
              <w:rPr>
                <w:sz w:val="15"/>
                <w:szCs w:val="15"/>
                <w:color w:val="auto"/>
              </w:rPr>
            </w:pPr>
          </w:p>
        </w:tc>
        <w:tc>
          <w:tcPr>
            <w:tcW w:w="3700" w:type="dxa"/>
            <w:vAlign w:val="bottom"/>
            <w:gridSpan w:val="4"/>
          </w:tcPr>
          <w:p>
            <w:pPr>
              <w:jc w:val="right"/>
              <w:ind w:right="75"/>
              <w:spacing w:after="0" w:line="183" w:lineRule="exact"/>
              <w:rPr>
                <w:sz w:val="20"/>
                <w:szCs w:val="20"/>
                <w:color w:val="auto"/>
              </w:rPr>
            </w:pPr>
            <w:r>
              <w:rPr>
                <w:rFonts w:ascii="Arial" w:cs="Arial" w:eastAsia="Arial" w:hAnsi="Arial"/>
                <w:sz w:val="17"/>
                <w:szCs w:val="17"/>
                <w:color w:val="auto"/>
              </w:rPr>
              <w:t>(in millions, except per share amounts)</w:t>
            </w:r>
          </w:p>
        </w:tc>
        <w:tc>
          <w:tcPr>
            <w:tcW w:w="700" w:type="dxa"/>
            <w:vAlign w:val="bottom"/>
          </w:tcPr>
          <w:p>
            <w:pPr>
              <w:spacing w:after="0"/>
              <w:rPr>
                <w:sz w:val="15"/>
                <w:szCs w:val="15"/>
                <w:color w:val="auto"/>
              </w:rPr>
            </w:pPr>
          </w:p>
        </w:tc>
      </w:tr>
      <w:tr>
        <w:trPr>
          <w:trHeight w:val="203"/>
        </w:trPr>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Sales</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40" w:type="dxa"/>
            <w:vAlign w:val="bottom"/>
            <w:shd w:val="clear" w:color="auto" w:fill="CCEEFF"/>
          </w:tcPr>
          <w:p>
            <w:pPr>
              <w:jc w:val="right"/>
              <w:ind w:right="235"/>
              <w:spacing w:after="0"/>
              <w:rPr>
                <w:sz w:val="20"/>
                <w:szCs w:val="20"/>
                <w:color w:val="auto"/>
              </w:rPr>
            </w:pPr>
            <w:r>
              <w:rPr>
                <w:rFonts w:ascii="Arial" w:cs="Arial" w:eastAsia="Arial" w:hAnsi="Arial"/>
                <w:sz w:val="17"/>
                <w:szCs w:val="17"/>
                <w:b w:val="1"/>
                <w:bCs w:val="1"/>
                <w:color w:val="auto"/>
              </w:rPr>
              <w:t>7,782</w:t>
            </w:r>
          </w:p>
        </w:tc>
        <w:tc>
          <w:tcPr>
            <w:tcW w:w="8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7,766</w:t>
            </w:r>
          </w:p>
        </w:tc>
        <w:tc>
          <w:tcPr>
            <w:tcW w:w="9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7,412</w:t>
            </w:r>
          </w:p>
        </w:tc>
        <w:tc>
          <w:tcPr>
            <w:tcW w:w="9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7,151</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6,505</w:t>
            </w:r>
          </w:p>
        </w:tc>
      </w:tr>
      <w:tr>
        <w:trPr>
          <w:trHeight w:val="203"/>
        </w:trPr>
        <w:tc>
          <w:tcPr>
            <w:tcW w:w="4120" w:type="dxa"/>
            <w:vAlign w:val="bottom"/>
          </w:tcPr>
          <w:p>
            <w:pPr>
              <w:spacing w:after="0"/>
              <w:rPr>
                <w:sz w:val="20"/>
                <w:szCs w:val="20"/>
                <w:color w:val="auto"/>
              </w:rPr>
            </w:pPr>
            <w:r>
              <w:rPr>
                <w:rFonts w:ascii="Arial" w:cs="Arial" w:eastAsia="Arial" w:hAnsi="Arial"/>
                <w:sz w:val="17"/>
                <w:szCs w:val="17"/>
                <w:color w:val="auto"/>
              </w:rPr>
              <w:t>Gross margin</w:t>
            </w:r>
          </w:p>
        </w:tc>
        <w:tc>
          <w:tcPr>
            <w:tcW w:w="300" w:type="dxa"/>
            <w:vAlign w:val="bottom"/>
          </w:tcPr>
          <w:p>
            <w:pPr>
              <w:spacing w:after="0"/>
              <w:rPr>
                <w:sz w:val="17"/>
                <w:szCs w:val="17"/>
                <w:color w:val="auto"/>
              </w:rPr>
            </w:pPr>
          </w:p>
        </w:tc>
        <w:tc>
          <w:tcPr>
            <w:tcW w:w="940" w:type="dxa"/>
            <w:vAlign w:val="bottom"/>
          </w:tcPr>
          <w:p>
            <w:pPr>
              <w:jc w:val="right"/>
              <w:ind w:right="235"/>
              <w:spacing w:after="0"/>
              <w:rPr>
                <w:sz w:val="20"/>
                <w:szCs w:val="20"/>
                <w:color w:val="auto"/>
              </w:rPr>
            </w:pPr>
            <w:r>
              <w:rPr>
                <w:rFonts w:ascii="Arial" w:cs="Arial" w:eastAsia="Arial" w:hAnsi="Arial"/>
                <w:sz w:val="17"/>
                <w:szCs w:val="17"/>
                <w:b w:val="1"/>
                <w:bCs w:val="1"/>
                <w:color w:val="auto"/>
              </w:rPr>
              <w:t>2,456</w:t>
            </w:r>
          </w:p>
        </w:tc>
        <w:tc>
          <w:tcPr>
            <w:tcW w:w="840" w:type="dxa"/>
            <w:vAlign w:val="bottom"/>
          </w:tcPr>
          <w:p>
            <w:pPr>
              <w:jc w:val="right"/>
              <w:ind w:right="155"/>
              <w:spacing w:after="0"/>
              <w:rPr>
                <w:sz w:val="20"/>
                <w:szCs w:val="20"/>
                <w:color w:val="auto"/>
              </w:rPr>
            </w:pPr>
            <w:r>
              <w:rPr>
                <w:rFonts w:ascii="Arial" w:cs="Arial" w:eastAsia="Arial" w:hAnsi="Arial"/>
                <w:sz w:val="17"/>
                <w:szCs w:val="17"/>
                <w:color w:val="auto"/>
              </w:rPr>
              <w:t>2,636</w:t>
            </w: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2,505</w:t>
            </w:r>
          </w:p>
        </w:tc>
        <w:tc>
          <w:tcPr>
            <w:tcW w:w="980" w:type="dxa"/>
            <w:vAlign w:val="bottom"/>
          </w:tcPr>
          <w:p>
            <w:pPr>
              <w:jc w:val="right"/>
              <w:ind w:right="195"/>
              <w:spacing w:after="0"/>
              <w:rPr>
                <w:sz w:val="20"/>
                <w:szCs w:val="20"/>
                <w:color w:val="auto"/>
              </w:rPr>
            </w:pPr>
            <w:r>
              <w:rPr>
                <w:rFonts w:ascii="Arial" w:cs="Arial" w:eastAsia="Arial" w:hAnsi="Arial"/>
                <w:sz w:val="17"/>
                <w:szCs w:val="17"/>
                <w:color w:val="auto"/>
              </w:rPr>
              <w:t>2,374</w:t>
            </w:r>
          </w:p>
        </w:tc>
        <w:tc>
          <w:tcPr>
            <w:tcW w:w="700" w:type="dxa"/>
            <w:vAlign w:val="bottom"/>
          </w:tcPr>
          <w:p>
            <w:pPr>
              <w:jc w:val="right"/>
              <w:spacing w:after="0"/>
              <w:rPr>
                <w:sz w:val="20"/>
                <w:szCs w:val="20"/>
                <w:color w:val="auto"/>
              </w:rPr>
            </w:pPr>
            <w:r>
              <w:rPr>
                <w:rFonts w:ascii="Arial" w:cs="Arial" w:eastAsia="Arial" w:hAnsi="Arial"/>
                <w:sz w:val="17"/>
                <w:szCs w:val="17"/>
                <w:color w:val="auto"/>
              </w:rPr>
              <w:t>2,133</w:t>
            </w:r>
          </w:p>
        </w:tc>
      </w:tr>
      <w:tr>
        <w:trPr>
          <w:trHeight w:val="203"/>
        </w:trPr>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 expenses</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35"/>
              <w:spacing w:after="0"/>
              <w:rPr>
                <w:sz w:val="20"/>
                <w:szCs w:val="20"/>
                <w:color w:val="auto"/>
              </w:rPr>
            </w:pPr>
            <w:r>
              <w:rPr>
                <w:rFonts w:ascii="Arial" w:cs="Arial" w:eastAsia="Arial" w:hAnsi="Arial"/>
                <w:sz w:val="17"/>
                <w:szCs w:val="17"/>
                <w:b w:val="1"/>
                <w:bCs w:val="1"/>
                <w:color w:val="auto"/>
              </w:rPr>
              <w:t>1,501</w:t>
            </w:r>
          </w:p>
        </w:tc>
        <w:tc>
          <w:tcPr>
            <w:tcW w:w="8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1,472</w:t>
            </w:r>
          </w:p>
        </w:tc>
        <w:tc>
          <w:tcPr>
            <w:tcW w:w="9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1,415</w:t>
            </w:r>
          </w:p>
        </w:tc>
        <w:tc>
          <w:tcPr>
            <w:tcW w:w="9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1,426</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1,334</w:t>
            </w:r>
          </w:p>
        </w:tc>
      </w:tr>
      <w:tr>
        <w:trPr>
          <w:trHeight w:val="203"/>
        </w:trPr>
        <w:tc>
          <w:tcPr>
            <w:tcW w:w="412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300" w:type="dxa"/>
            <w:vAlign w:val="bottom"/>
          </w:tcPr>
          <w:p>
            <w:pPr>
              <w:spacing w:after="0"/>
              <w:rPr>
                <w:sz w:val="17"/>
                <w:szCs w:val="17"/>
                <w:color w:val="auto"/>
              </w:rPr>
            </w:pPr>
          </w:p>
        </w:tc>
        <w:tc>
          <w:tcPr>
            <w:tcW w:w="940" w:type="dxa"/>
            <w:vAlign w:val="bottom"/>
          </w:tcPr>
          <w:p>
            <w:pPr>
              <w:jc w:val="right"/>
              <w:ind w:right="235"/>
              <w:spacing w:after="0"/>
              <w:rPr>
                <w:sz w:val="20"/>
                <w:szCs w:val="20"/>
                <w:color w:val="auto"/>
              </w:rPr>
            </w:pPr>
            <w:r>
              <w:rPr>
                <w:rFonts w:ascii="Arial" w:cs="Arial" w:eastAsia="Arial" w:hAnsi="Arial"/>
                <w:sz w:val="17"/>
                <w:szCs w:val="17"/>
                <w:b w:val="1"/>
                <w:bCs w:val="1"/>
                <w:color w:val="auto"/>
              </w:rPr>
              <w:t>173</w:t>
            </w:r>
          </w:p>
        </w:tc>
        <w:tc>
          <w:tcPr>
            <w:tcW w:w="840" w:type="dxa"/>
            <w:vAlign w:val="bottom"/>
          </w:tcPr>
          <w:p>
            <w:pPr>
              <w:jc w:val="right"/>
              <w:ind w:right="155"/>
              <w:spacing w:after="0"/>
              <w:rPr>
                <w:sz w:val="20"/>
                <w:szCs w:val="20"/>
                <w:color w:val="auto"/>
              </w:rPr>
            </w:pPr>
            <w:r>
              <w:rPr>
                <w:rFonts w:ascii="Arial" w:cs="Arial" w:eastAsia="Arial" w:hAnsi="Arial"/>
                <w:sz w:val="17"/>
                <w:szCs w:val="17"/>
                <w:color w:val="auto"/>
              </w:rPr>
              <w:t>158</w:t>
            </w: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148</w:t>
            </w:r>
          </w:p>
        </w:tc>
        <w:tc>
          <w:tcPr>
            <w:tcW w:w="980" w:type="dxa"/>
            <w:vAlign w:val="bottom"/>
          </w:tcPr>
          <w:p>
            <w:pPr>
              <w:jc w:val="right"/>
              <w:ind w:right="195"/>
              <w:spacing w:after="0"/>
              <w:rPr>
                <w:sz w:val="20"/>
                <w:szCs w:val="20"/>
                <w:color w:val="auto"/>
              </w:rPr>
            </w:pPr>
            <w:r>
              <w:rPr>
                <w:rFonts w:ascii="Arial" w:cs="Arial" w:eastAsia="Arial" w:hAnsi="Arial"/>
                <w:sz w:val="17"/>
                <w:szCs w:val="17"/>
                <w:color w:val="auto"/>
              </w:rPr>
              <w:t>139</w:t>
            </w:r>
          </w:p>
        </w:tc>
        <w:tc>
          <w:tcPr>
            <w:tcW w:w="700" w:type="dxa"/>
            <w:vAlign w:val="bottom"/>
          </w:tcPr>
          <w:p>
            <w:pPr>
              <w:jc w:val="right"/>
              <w:spacing w:after="0"/>
              <w:rPr>
                <w:sz w:val="20"/>
                <w:szCs w:val="20"/>
                <w:color w:val="auto"/>
              </w:rPr>
            </w:pPr>
            <w:r>
              <w:rPr>
                <w:rFonts w:ascii="Arial" w:cs="Arial" w:eastAsia="Arial" w:hAnsi="Arial"/>
                <w:sz w:val="17"/>
                <w:szCs w:val="17"/>
                <w:color w:val="auto"/>
              </w:rPr>
              <w:t>133</w:t>
            </w:r>
          </w:p>
        </w:tc>
      </w:tr>
      <w:tr>
        <w:trPr>
          <w:trHeight w:val="203"/>
        </w:trPr>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Litigation and other charges</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35"/>
              <w:spacing w:after="0"/>
              <w:rPr>
                <w:sz w:val="20"/>
                <w:szCs w:val="20"/>
                <w:color w:val="auto"/>
              </w:rPr>
            </w:pPr>
            <w:r>
              <w:rPr>
                <w:rFonts w:ascii="Arial" w:cs="Arial" w:eastAsia="Arial" w:hAnsi="Arial"/>
                <w:sz w:val="17"/>
                <w:szCs w:val="17"/>
                <w:b w:val="1"/>
                <w:bCs w:val="1"/>
                <w:color w:val="auto"/>
              </w:rPr>
              <w:t>211</w:t>
            </w:r>
          </w:p>
        </w:tc>
        <w:tc>
          <w:tcPr>
            <w:tcW w:w="8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6</w:t>
            </w:r>
          </w:p>
        </w:tc>
        <w:tc>
          <w:tcPr>
            <w:tcW w:w="9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105</w:t>
            </w:r>
          </w:p>
        </w:tc>
        <w:tc>
          <w:tcPr>
            <w:tcW w:w="9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4</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03"/>
        </w:trPr>
        <w:tc>
          <w:tcPr>
            <w:tcW w:w="4120" w:type="dxa"/>
            <w:vAlign w:val="bottom"/>
          </w:tcPr>
          <w:p>
            <w:pPr>
              <w:spacing w:after="0"/>
              <w:rPr>
                <w:sz w:val="20"/>
                <w:szCs w:val="20"/>
                <w:color w:val="auto"/>
              </w:rPr>
            </w:pPr>
            <w:r>
              <w:rPr>
                <w:rFonts w:ascii="Arial" w:cs="Arial" w:eastAsia="Arial" w:hAnsi="Arial"/>
                <w:sz w:val="17"/>
                <w:szCs w:val="17"/>
                <w:color w:val="auto"/>
              </w:rPr>
              <w:t>Interest (income) / expense, net</w:t>
            </w:r>
          </w:p>
        </w:tc>
        <w:tc>
          <w:tcPr>
            <w:tcW w:w="300" w:type="dxa"/>
            <w:vAlign w:val="bottom"/>
          </w:tcPr>
          <w:p>
            <w:pPr>
              <w:spacing w:after="0"/>
              <w:rPr>
                <w:sz w:val="17"/>
                <w:szCs w:val="17"/>
                <w:color w:val="auto"/>
              </w:rPr>
            </w:pPr>
          </w:p>
        </w:tc>
        <w:tc>
          <w:tcPr>
            <w:tcW w:w="940" w:type="dxa"/>
            <w:vAlign w:val="bottom"/>
          </w:tcPr>
          <w:p>
            <w:pPr>
              <w:jc w:val="right"/>
              <w:ind w:right="175"/>
              <w:spacing w:after="0"/>
              <w:rPr>
                <w:sz w:val="20"/>
                <w:szCs w:val="20"/>
                <w:color w:val="auto"/>
              </w:rPr>
            </w:pPr>
            <w:r>
              <w:rPr>
                <w:rFonts w:ascii="Arial" w:cs="Arial" w:eastAsia="Arial" w:hAnsi="Arial"/>
                <w:sz w:val="17"/>
                <w:szCs w:val="17"/>
                <w:b w:val="1"/>
                <w:bCs w:val="1"/>
                <w:color w:val="auto"/>
              </w:rPr>
              <w:t>(2)</w:t>
            </w:r>
          </w:p>
        </w:tc>
        <w:tc>
          <w:tcPr>
            <w:tcW w:w="840" w:type="dxa"/>
            <w:vAlign w:val="bottom"/>
          </w:tcPr>
          <w:p>
            <w:pPr>
              <w:jc w:val="right"/>
              <w:ind w:right="155"/>
              <w:spacing w:after="0"/>
              <w:rPr>
                <w:sz w:val="20"/>
                <w:szCs w:val="20"/>
                <w:color w:val="auto"/>
              </w:rPr>
            </w:pPr>
            <w:r>
              <w:rPr>
                <w:rFonts w:ascii="Arial" w:cs="Arial" w:eastAsia="Arial" w:hAnsi="Arial"/>
                <w:sz w:val="17"/>
                <w:szCs w:val="17"/>
                <w:color w:val="auto"/>
              </w:rPr>
              <w:t>2</w:t>
            </w: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4</w:t>
            </w:r>
          </w:p>
        </w:tc>
        <w:tc>
          <w:tcPr>
            <w:tcW w:w="980" w:type="dxa"/>
            <w:vAlign w:val="bottom"/>
          </w:tcPr>
          <w:p>
            <w:pPr>
              <w:jc w:val="right"/>
              <w:ind w:right="195"/>
              <w:spacing w:after="0"/>
              <w:rPr>
                <w:sz w:val="20"/>
                <w:szCs w:val="20"/>
                <w:color w:val="auto"/>
              </w:rPr>
            </w:pPr>
            <w:r>
              <w:rPr>
                <w:rFonts w:ascii="Arial" w:cs="Arial" w:eastAsia="Arial" w:hAnsi="Arial"/>
                <w:sz w:val="17"/>
                <w:szCs w:val="17"/>
                <w:color w:val="auto"/>
              </w:rPr>
              <w:t>5</w:t>
            </w:r>
          </w:p>
        </w:tc>
        <w:tc>
          <w:tcPr>
            <w:tcW w:w="70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03"/>
        </w:trPr>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Other income</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(5)</w:t>
            </w:r>
          </w:p>
        </w:tc>
        <w:tc>
          <w:tcPr>
            <w:tcW w:w="8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(6)</w:t>
            </w:r>
          </w:p>
        </w:tc>
        <w:tc>
          <w:tcPr>
            <w:tcW w:w="9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(4)</w:t>
            </w:r>
          </w:p>
        </w:tc>
        <w:tc>
          <w:tcPr>
            <w:tcW w:w="98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(9)</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03"/>
        </w:trPr>
        <w:tc>
          <w:tcPr>
            <w:tcW w:w="4120" w:type="dxa"/>
            <w:vAlign w:val="bottom"/>
          </w:tcPr>
          <w:p>
            <w:pPr>
              <w:spacing w:after="0"/>
              <w:rPr>
                <w:sz w:val="20"/>
                <w:szCs w:val="20"/>
                <w:color w:val="auto"/>
              </w:rPr>
            </w:pPr>
            <w:r>
              <w:rPr>
                <w:rFonts w:ascii="Arial" w:cs="Arial" w:eastAsia="Arial" w:hAnsi="Arial"/>
                <w:sz w:val="17"/>
                <w:szCs w:val="17"/>
                <w:color w:val="auto"/>
              </w:rPr>
              <w:t>Net income</w:t>
            </w:r>
          </w:p>
        </w:tc>
        <w:tc>
          <w:tcPr>
            <w:tcW w:w="300" w:type="dxa"/>
            <w:vAlign w:val="bottom"/>
          </w:tcPr>
          <w:p>
            <w:pPr>
              <w:spacing w:after="0"/>
              <w:rPr>
                <w:sz w:val="17"/>
                <w:szCs w:val="17"/>
                <w:color w:val="auto"/>
              </w:rPr>
            </w:pPr>
          </w:p>
        </w:tc>
        <w:tc>
          <w:tcPr>
            <w:tcW w:w="940" w:type="dxa"/>
            <w:vAlign w:val="bottom"/>
          </w:tcPr>
          <w:p>
            <w:pPr>
              <w:jc w:val="right"/>
              <w:ind w:right="235"/>
              <w:spacing w:after="0"/>
              <w:rPr>
                <w:sz w:val="20"/>
                <w:szCs w:val="20"/>
                <w:color w:val="auto"/>
              </w:rPr>
            </w:pPr>
            <w:r>
              <w:rPr>
                <w:rFonts w:ascii="Arial" w:cs="Arial" w:eastAsia="Arial" w:hAnsi="Arial"/>
                <w:sz w:val="17"/>
                <w:szCs w:val="17"/>
                <w:b w:val="1"/>
                <w:bCs w:val="1"/>
                <w:color w:val="auto"/>
              </w:rPr>
              <w:t>284</w:t>
            </w:r>
          </w:p>
        </w:tc>
        <w:tc>
          <w:tcPr>
            <w:tcW w:w="840" w:type="dxa"/>
            <w:vAlign w:val="bottom"/>
          </w:tcPr>
          <w:p>
            <w:pPr>
              <w:jc w:val="right"/>
              <w:ind w:right="155"/>
              <w:spacing w:after="0"/>
              <w:rPr>
                <w:sz w:val="20"/>
                <w:szCs w:val="20"/>
                <w:color w:val="auto"/>
              </w:rPr>
            </w:pPr>
            <w:r>
              <w:rPr>
                <w:rFonts w:ascii="Arial" w:cs="Arial" w:eastAsia="Arial" w:hAnsi="Arial"/>
                <w:sz w:val="17"/>
                <w:szCs w:val="17"/>
                <w:color w:val="auto"/>
              </w:rPr>
              <w:t>664</w:t>
            </w: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541</w:t>
            </w:r>
          </w:p>
        </w:tc>
        <w:tc>
          <w:tcPr>
            <w:tcW w:w="980" w:type="dxa"/>
            <w:vAlign w:val="bottom"/>
          </w:tcPr>
          <w:p>
            <w:pPr>
              <w:jc w:val="right"/>
              <w:ind w:right="195"/>
              <w:spacing w:after="0"/>
              <w:rPr>
                <w:sz w:val="20"/>
                <w:szCs w:val="20"/>
                <w:color w:val="auto"/>
              </w:rPr>
            </w:pPr>
            <w:r>
              <w:rPr>
                <w:rFonts w:ascii="Arial" w:cs="Arial" w:eastAsia="Arial" w:hAnsi="Arial"/>
                <w:sz w:val="17"/>
                <w:szCs w:val="17"/>
                <w:color w:val="auto"/>
              </w:rPr>
              <w:t>520</w:t>
            </w:r>
          </w:p>
        </w:tc>
        <w:tc>
          <w:tcPr>
            <w:tcW w:w="700" w:type="dxa"/>
            <w:vAlign w:val="bottom"/>
          </w:tcPr>
          <w:p>
            <w:pPr>
              <w:jc w:val="right"/>
              <w:spacing w:after="0"/>
              <w:rPr>
                <w:sz w:val="20"/>
                <w:szCs w:val="20"/>
                <w:color w:val="auto"/>
              </w:rPr>
            </w:pPr>
            <w:r>
              <w:rPr>
                <w:rFonts w:ascii="Arial" w:cs="Arial" w:eastAsia="Arial" w:hAnsi="Arial"/>
                <w:sz w:val="17"/>
                <w:szCs w:val="17"/>
                <w:color w:val="auto"/>
              </w:rPr>
              <w:t>429</w:t>
            </w:r>
          </w:p>
        </w:tc>
      </w:tr>
      <w:tr>
        <w:trPr>
          <w:trHeight w:val="203"/>
        </w:trPr>
        <w:tc>
          <w:tcPr>
            <w:tcW w:w="4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Per Common Share Data</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03"/>
        </w:trPr>
        <w:tc>
          <w:tcPr>
            <w:tcW w:w="4120" w:type="dxa"/>
            <w:vAlign w:val="bottom"/>
          </w:tcPr>
          <w:p>
            <w:pPr>
              <w:ind w:left="100"/>
              <w:spacing w:after="0"/>
              <w:rPr>
                <w:sz w:val="20"/>
                <w:szCs w:val="20"/>
                <w:color w:val="auto"/>
              </w:rPr>
            </w:pPr>
            <w:r>
              <w:rPr>
                <w:rFonts w:ascii="Arial" w:cs="Arial" w:eastAsia="Arial" w:hAnsi="Arial"/>
                <w:sz w:val="17"/>
                <w:szCs w:val="17"/>
                <w:color w:val="auto"/>
              </w:rPr>
              <w:t>Basic earnings</w:t>
            </w:r>
          </w:p>
        </w:tc>
        <w:tc>
          <w:tcPr>
            <w:tcW w:w="300" w:type="dxa"/>
            <w:vAlign w:val="bottom"/>
          </w:tcPr>
          <w:p>
            <w:pPr>
              <w:spacing w:after="0"/>
              <w:rPr>
                <w:sz w:val="17"/>
                <w:szCs w:val="17"/>
                <w:color w:val="auto"/>
              </w:rPr>
            </w:pPr>
          </w:p>
        </w:tc>
        <w:tc>
          <w:tcPr>
            <w:tcW w:w="940" w:type="dxa"/>
            <w:vAlign w:val="bottom"/>
          </w:tcPr>
          <w:p>
            <w:pPr>
              <w:jc w:val="right"/>
              <w:ind w:right="235"/>
              <w:spacing w:after="0"/>
              <w:rPr>
                <w:sz w:val="20"/>
                <w:szCs w:val="20"/>
                <w:color w:val="auto"/>
              </w:rPr>
            </w:pPr>
            <w:r>
              <w:rPr>
                <w:rFonts w:ascii="Arial" w:cs="Arial" w:eastAsia="Arial" w:hAnsi="Arial"/>
                <w:sz w:val="17"/>
                <w:szCs w:val="17"/>
                <w:b w:val="1"/>
                <w:bCs w:val="1"/>
                <w:color w:val="auto"/>
              </w:rPr>
              <w:t>2.23</w:t>
            </w:r>
          </w:p>
        </w:tc>
        <w:tc>
          <w:tcPr>
            <w:tcW w:w="840" w:type="dxa"/>
            <w:vAlign w:val="bottom"/>
          </w:tcPr>
          <w:p>
            <w:pPr>
              <w:jc w:val="right"/>
              <w:ind w:right="155"/>
              <w:spacing w:after="0"/>
              <w:rPr>
                <w:sz w:val="20"/>
                <w:szCs w:val="20"/>
                <w:color w:val="auto"/>
              </w:rPr>
            </w:pPr>
            <w:r>
              <w:rPr>
                <w:rFonts w:ascii="Arial" w:cs="Arial" w:eastAsia="Arial" w:hAnsi="Arial"/>
                <w:sz w:val="17"/>
                <w:szCs w:val="17"/>
                <w:color w:val="auto"/>
              </w:rPr>
              <w:t>4.95</w:t>
            </w: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3.89</w:t>
            </w:r>
          </w:p>
        </w:tc>
        <w:tc>
          <w:tcPr>
            <w:tcW w:w="980" w:type="dxa"/>
            <w:vAlign w:val="bottom"/>
          </w:tcPr>
          <w:p>
            <w:pPr>
              <w:jc w:val="right"/>
              <w:ind w:right="195"/>
              <w:spacing w:after="0"/>
              <w:rPr>
                <w:sz w:val="20"/>
                <w:szCs w:val="20"/>
                <w:color w:val="auto"/>
              </w:rPr>
            </w:pPr>
            <w:r>
              <w:rPr>
                <w:rFonts w:ascii="Arial" w:cs="Arial" w:eastAsia="Arial" w:hAnsi="Arial"/>
                <w:sz w:val="17"/>
                <w:szCs w:val="17"/>
                <w:color w:val="auto"/>
              </w:rPr>
              <w:t>3.61</w:t>
            </w:r>
          </w:p>
        </w:tc>
        <w:tc>
          <w:tcPr>
            <w:tcW w:w="700" w:type="dxa"/>
            <w:vAlign w:val="bottom"/>
          </w:tcPr>
          <w:p>
            <w:pPr>
              <w:jc w:val="right"/>
              <w:spacing w:after="0"/>
              <w:rPr>
                <w:sz w:val="20"/>
                <w:szCs w:val="20"/>
                <w:color w:val="auto"/>
              </w:rPr>
            </w:pPr>
            <w:r>
              <w:rPr>
                <w:rFonts w:ascii="Arial" w:cs="Arial" w:eastAsia="Arial" w:hAnsi="Arial"/>
                <w:sz w:val="17"/>
                <w:szCs w:val="17"/>
                <w:color w:val="auto"/>
              </w:rPr>
              <w:t>2.89</w:t>
            </w:r>
          </w:p>
        </w:tc>
      </w:tr>
      <w:tr>
        <w:trPr>
          <w:trHeight w:val="203"/>
        </w:trPr>
        <w:tc>
          <w:tcPr>
            <w:tcW w:w="41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Diluted earnings</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35"/>
              <w:spacing w:after="0"/>
              <w:rPr>
                <w:sz w:val="20"/>
                <w:szCs w:val="20"/>
                <w:color w:val="auto"/>
              </w:rPr>
            </w:pPr>
            <w:r>
              <w:rPr>
                <w:rFonts w:ascii="Arial" w:cs="Arial" w:eastAsia="Arial" w:hAnsi="Arial"/>
                <w:sz w:val="17"/>
                <w:szCs w:val="17"/>
                <w:b w:val="1"/>
                <w:bCs w:val="1"/>
                <w:color w:val="auto"/>
              </w:rPr>
              <w:t>2.22</w:t>
            </w:r>
          </w:p>
        </w:tc>
        <w:tc>
          <w:tcPr>
            <w:tcW w:w="8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4.91</w:t>
            </w:r>
          </w:p>
        </w:tc>
        <w:tc>
          <w:tcPr>
            <w:tcW w:w="9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3.84</w:t>
            </w:r>
          </w:p>
        </w:tc>
        <w:tc>
          <w:tcPr>
            <w:tcW w:w="9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3.56</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w:t>
            </w:r>
          </w:p>
        </w:tc>
      </w:tr>
      <w:tr>
        <w:trPr>
          <w:trHeight w:val="203"/>
        </w:trPr>
        <w:tc>
          <w:tcPr>
            <w:tcW w:w="4120" w:type="dxa"/>
            <w:vAlign w:val="bottom"/>
          </w:tcPr>
          <w:p>
            <w:pPr>
              <w:ind w:left="100"/>
              <w:spacing w:after="0"/>
              <w:rPr>
                <w:sz w:val="20"/>
                <w:szCs w:val="20"/>
                <w:color w:val="auto"/>
              </w:rPr>
            </w:pPr>
            <w:r>
              <w:rPr>
                <w:rFonts w:ascii="Arial" w:cs="Arial" w:eastAsia="Arial" w:hAnsi="Arial"/>
                <w:sz w:val="17"/>
                <w:szCs w:val="17"/>
                <w:color w:val="auto"/>
              </w:rPr>
              <w:t>Common stock dividends declared per share</w:t>
            </w:r>
          </w:p>
        </w:tc>
        <w:tc>
          <w:tcPr>
            <w:tcW w:w="300" w:type="dxa"/>
            <w:vAlign w:val="bottom"/>
          </w:tcPr>
          <w:p>
            <w:pPr>
              <w:spacing w:after="0"/>
              <w:rPr>
                <w:sz w:val="17"/>
                <w:szCs w:val="17"/>
                <w:color w:val="auto"/>
              </w:rPr>
            </w:pPr>
          </w:p>
        </w:tc>
        <w:tc>
          <w:tcPr>
            <w:tcW w:w="940" w:type="dxa"/>
            <w:vAlign w:val="bottom"/>
          </w:tcPr>
          <w:p>
            <w:pPr>
              <w:jc w:val="right"/>
              <w:ind w:right="235"/>
              <w:spacing w:after="0"/>
              <w:rPr>
                <w:sz w:val="20"/>
                <w:szCs w:val="20"/>
                <w:color w:val="auto"/>
              </w:rPr>
            </w:pPr>
            <w:r>
              <w:rPr>
                <w:rFonts w:ascii="Arial" w:cs="Arial" w:eastAsia="Arial" w:hAnsi="Arial"/>
                <w:sz w:val="17"/>
                <w:szCs w:val="17"/>
                <w:b w:val="1"/>
                <w:bCs w:val="1"/>
                <w:color w:val="auto"/>
              </w:rPr>
              <w:t>1.24</w:t>
            </w:r>
          </w:p>
        </w:tc>
        <w:tc>
          <w:tcPr>
            <w:tcW w:w="840" w:type="dxa"/>
            <w:vAlign w:val="bottom"/>
          </w:tcPr>
          <w:p>
            <w:pPr>
              <w:jc w:val="right"/>
              <w:ind w:right="155"/>
              <w:spacing w:after="0"/>
              <w:rPr>
                <w:sz w:val="20"/>
                <w:szCs w:val="20"/>
                <w:color w:val="auto"/>
              </w:rPr>
            </w:pPr>
            <w:r>
              <w:rPr>
                <w:rFonts w:ascii="Arial" w:cs="Arial" w:eastAsia="Arial" w:hAnsi="Arial"/>
                <w:sz w:val="17"/>
                <w:szCs w:val="17"/>
                <w:color w:val="auto"/>
              </w:rPr>
              <w:t>1.10</w:t>
            </w: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1.00</w:t>
            </w:r>
          </w:p>
        </w:tc>
        <w:tc>
          <w:tcPr>
            <w:tcW w:w="980" w:type="dxa"/>
            <w:vAlign w:val="bottom"/>
          </w:tcPr>
          <w:p>
            <w:pPr>
              <w:jc w:val="right"/>
              <w:ind w:right="195"/>
              <w:spacing w:after="0"/>
              <w:rPr>
                <w:sz w:val="20"/>
                <w:szCs w:val="20"/>
                <w:color w:val="auto"/>
              </w:rPr>
            </w:pPr>
            <w:r>
              <w:rPr>
                <w:rFonts w:ascii="Arial" w:cs="Arial" w:eastAsia="Arial" w:hAnsi="Arial"/>
                <w:sz w:val="17"/>
                <w:szCs w:val="17"/>
                <w:color w:val="auto"/>
              </w:rPr>
              <w:t>0.88</w:t>
            </w:r>
          </w:p>
        </w:tc>
        <w:tc>
          <w:tcPr>
            <w:tcW w:w="700" w:type="dxa"/>
            <w:vAlign w:val="bottom"/>
          </w:tcPr>
          <w:p>
            <w:pPr>
              <w:jc w:val="right"/>
              <w:spacing w:after="0"/>
              <w:rPr>
                <w:sz w:val="20"/>
                <w:szCs w:val="20"/>
                <w:color w:val="auto"/>
              </w:rPr>
            </w:pPr>
            <w:r>
              <w:rPr>
                <w:rFonts w:ascii="Arial" w:cs="Arial" w:eastAsia="Arial" w:hAnsi="Arial"/>
                <w:sz w:val="17"/>
                <w:szCs w:val="17"/>
                <w:color w:val="auto"/>
              </w:rPr>
              <w:t>0.80</w:t>
            </w:r>
          </w:p>
        </w:tc>
      </w:tr>
      <w:tr>
        <w:trPr>
          <w:trHeight w:val="203"/>
        </w:trPr>
        <w:tc>
          <w:tcPr>
            <w:tcW w:w="4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Weighted-average Common Shares Outstanding</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03"/>
        </w:trPr>
        <w:tc>
          <w:tcPr>
            <w:tcW w:w="4120" w:type="dxa"/>
            <w:vAlign w:val="bottom"/>
          </w:tcPr>
          <w:p>
            <w:pPr>
              <w:ind w:left="100"/>
              <w:spacing w:after="0"/>
              <w:rPr>
                <w:sz w:val="20"/>
                <w:szCs w:val="20"/>
                <w:color w:val="auto"/>
              </w:rPr>
            </w:pPr>
            <w:r>
              <w:rPr>
                <w:rFonts w:ascii="Arial" w:cs="Arial" w:eastAsia="Arial" w:hAnsi="Arial"/>
                <w:sz w:val="17"/>
                <w:szCs w:val="17"/>
                <w:color w:val="auto"/>
              </w:rPr>
              <w:t>Basic earnings</w:t>
            </w:r>
          </w:p>
        </w:tc>
        <w:tc>
          <w:tcPr>
            <w:tcW w:w="300" w:type="dxa"/>
            <w:vAlign w:val="bottom"/>
          </w:tcPr>
          <w:p>
            <w:pPr>
              <w:spacing w:after="0"/>
              <w:rPr>
                <w:sz w:val="17"/>
                <w:szCs w:val="17"/>
                <w:color w:val="auto"/>
              </w:rPr>
            </w:pPr>
          </w:p>
        </w:tc>
        <w:tc>
          <w:tcPr>
            <w:tcW w:w="940" w:type="dxa"/>
            <w:vAlign w:val="bottom"/>
          </w:tcPr>
          <w:p>
            <w:pPr>
              <w:jc w:val="right"/>
              <w:ind w:right="235"/>
              <w:spacing w:after="0"/>
              <w:rPr>
                <w:sz w:val="20"/>
                <w:szCs w:val="20"/>
                <w:color w:val="auto"/>
              </w:rPr>
            </w:pPr>
            <w:r>
              <w:rPr>
                <w:rFonts w:ascii="Arial" w:cs="Arial" w:eastAsia="Arial" w:hAnsi="Arial"/>
                <w:sz w:val="17"/>
                <w:szCs w:val="17"/>
                <w:b w:val="1"/>
                <w:bCs w:val="1"/>
                <w:color w:val="auto"/>
              </w:rPr>
              <w:t>127.2</w:t>
            </w:r>
          </w:p>
        </w:tc>
        <w:tc>
          <w:tcPr>
            <w:tcW w:w="840" w:type="dxa"/>
            <w:vAlign w:val="bottom"/>
          </w:tcPr>
          <w:p>
            <w:pPr>
              <w:jc w:val="right"/>
              <w:ind w:right="155"/>
              <w:spacing w:after="0"/>
              <w:rPr>
                <w:sz w:val="20"/>
                <w:szCs w:val="20"/>
                <w:color w:val="auto"/>
              </w:rPr>
            </w:pPr>
            <w:r>
              <w:rPr>
                <w:rFonts w:ascii="Arial" w:cs="Arial" w:eastAsia="Arial" w:hAnsi="Arial"/>
                <w:sz w:val="17"/>
                <w:szCs w:val="17"/>
                <w:color w:val="auto"/>
              </w:rPr>
              <w:t>134.0</w:t>
            </w: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139.1</w:t>
            </w:r>
          </w:p>
        </w:tc>
        <w:tc>
          <w:tcPr>
            <w:tcW w:w="980" w:type="dxa"/>
            <w:vAlign w:val="bottom"/>
          </w:tcPr>
          <w:p>
            <w:pPr>
              <w:jc w:val="right"/>
              <w:ind w:right="195"/>
              <w:spacing w:after="0"/>
              <w:rPr>
                <w:sz w:val="20"/>
                <w:szCs w:val="20"/>
                <w:color w:val="auto"/>
              </w:rPr>
            </w:pPr>
            <w:r>
              <w:rPr>
                <w:rFonts w:ascii="Arial" w:cs="Arial" w:eastAsia="Arial" w:hAnsi="Arial"/>
                <w:sz w:val="17"/>
                <w:szCs w:val="17"/>
                <w:color w:val="auto"/>
              </w:rPr>
              <w:t>143.9</w:t>
            </w:r>
          </w:p>
        </w:tc>
        <w:tc>
          <w:tcPr>
            <w:tcW w:w="700" w:type="dxa"/>
            <w:vAlign w:val="bottom"/>
          </w:tcPr>
          <w:p>
            <w:pPr>
              <w:jc w:val="right"/>
              <w:spacing w:after="0"/>
              <w:rPr>
                <w:sz w:val="20"/>
                <w:szCs w:val="20"/>
                <w:color w:val="auto"/>
              </w:rPr>
            </w:pPr>
            <w:r>
              <w:rPr>
                <w:rFonts w:ascii="Arial" w:cs="Arial" w:eastAsia="Arial" w:hAnsi="Arial"/>
                <w:sz w:val="17"/>
                <w:szCs w:val="17"/>
                <w:color w:val="auto"/>
              </w:rPr>
              <w:t>148.4</w:t>
            </w:r>
          </w:p>
        </w:tc>
      </w:tr>
      <w:tr>
        <w:trPr>
          <w:trHeight w:val="203"/>
        </w:trPr>
        <w:tc>
          <w:tcPr>
            <w:tcW w:w="41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7"/>
                <w:szCs w:val="17"/>
                <w:color w:val="auto"/>
              </w:rPr>
              <w:t>Diluted earnings</w:t>
            </w: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7"/>
                <w:szCs w:val="17"/>
                <w:b w:val="1"/>
                <w:bCs w:val="1"/>
                <w:color w:val="auto"/>
              </w:rPr>
              <w:t>127.9</w:t>
            </w:r>
          </w:p>
        </w:tc>
        <w:tc>
          <w:tcPr>
            <w:tcW w:w="8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135.1</w:t>
            </w:r>
          </w:p>
        </w:tc>
        <w:tc>
          <w:tcPr>
            <w:tcW w:w="9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140.8</w:t>
            </w:r>
          </w:p>
        </w:tc>
        <w:tc>
          <w:tcPr>
            <w:tcW w:w="98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rPr>
              <w:t>146.0</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150.5</w:t>
            </w:r>
          </w:p>
        </w:tc>
      </w:tr>
      <w:tr>
        <w:trPr>
          <w:trHeight w:val="183"/>
        </w:trPr>
        <w:tc>
          <w:tcPr>
            <w:tcW w:w="4120" w:type="dxa"/>
            <w:vAlign w:val="bottom"/>
          </w:tcPr>
          <w:p>
            <w:pPr>
              <w:spacing w:after="0" w:line="183" w:lineRule="exact"/>
              <w:rPr>
                <w:sz w:val="20"/>
                <w:szCs w:val="20"/>
                <w:color w:val="auto"/>
              </w:rPr>
            </w:pPr>
            <w:r>
              <w:rPr>
                <w:rFonts w:ascii="Arial" w:cs="Arial" w:eastAsia="Arial" w:hAnsi="Arial"/>
                <w:sz w:val="17"/>
                <w:szCs w:val="17"/>
                <w:b w:val="1"/>
                <w:bCs w:val="1"/>
                <w:color w:val="auto"/>
              </w:rPr>
              <w:t>Financial Condition</w:t>
            </w: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03"/>
        </w:trPr>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Cash, cash equivalents, and short-term investments</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40" w:type="dxa"/>
            <w:vAlign w:val="bottom"/>
            <w:shd w:val="clear" w:color="auto" w:fill="CCEEFF"/>
          </w:tcPr>
          <w:p>
            <w:pPr>
              <w:jc w:val="right"/>
              <w:ind w:right="235"/>
              <w:spacing w:after="0"/>
              <w:rPr>
                <w:sz w:val="20"/>
                <w:szCs w:val="20"/>
                <w:color w:val="auto"/>
              </w:rPr>
            </w:pPr>
            <w:r>
              <w:rPr>
                <w:rFonts w:ascii="Arial" w:cs="Arial" w:eastAsia="Arial" w:hAnsi="Arial"/>
                <w:sz w:val="17"/>
                <w:szCs w:val="17"/>
                <w:b w:val="1"/>
                <w:bCs w:val="1"/>
                <w:color w:val="auto"/>
              </w:rPr>
              <w:t>849</w:t>
            </w:r>
          </w:p>
        </w:tc>
        <w:tc>
          <w:tcPr>
            <w:tcW w:w="8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1,046</w:t>
            </w:r>
          </w:p>
        </w:tc>
        <w:tc>
          <w:tcPr>
            <w:tcW w:w="9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1,021</w:t>
            </w:r>
          </w:p>
        </w:tc>
        <w:tc>
          <w:tcPr>
            <w:tcW w:w="9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967</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867</w:t>
            </w:r>
          </w:p>
        </w:tc>
      </w:tr>
      <w:tr>
        <w:trPr>
          <w:trHeight w:val="203"/>
        </w:trPr>
        <w:tc>
          <w:tcPr>
            <w:tcW w:w="4120" w:type="dxa"/>
            <w:vAlign w:val="bottom"/>
          </w:tcPr>
          <w:p>
            <w:pPr>
              <w:spacing w:after="0"/>
              <w:rPr>
                <w:sz w:val="20"/>
                <w:szCs w:val="20"/>
                <w:color w:val="auto"/>
              </w:rPr>
            </w:pPr>
            <w:r>
              <w:rPr>
                <w:rFonts w:ascii="Arial" w:cs="Arial" w:eastAsia="Arial" w:hAnsi="Arial"/>
                <w:sz w:val="17"/>
                <w:szCs w:val="17"/>
                <w:color w:val="auto"/>
              </w:rPr>
              <w:t>Merchandise inventories</w:t>
            </w:r>
          </w:p>
        </w:tc>
        <w:tc>
          <w:tcPr>
            <w:tcW w:w="300" w:type="dxa"/>
            <w:vAlign w:val="bottom"/>
          </w:tcPr>
          <w:p>
            <w:pPr>
              <w:spacing w:after="0"/>
              <w:rPr>
                <w:sz w:val="17"/>
                <w:szCs w:val="17"/>
                <w:color w:val="auto"/>
              </w:rPr>
            </w:pPr>
          </w:p>
        </w:tc>
        <w:tc>
          <w:tcPr>
            <w:tcW w:w="940" w:type="dxa"/>
            <w:vAlign w:val="bottom"/>
          </w:tcPr>
          <w:p>
            <w:pPr>
              <w:jc w:val="right"/>
              <w:ind w:right="235"/>
              <w:spacing w:after="0"/>
              <w:rPr>
                <w:sz w:val="20"/>
                <w:szCs w:val="20"/>
                <w:color w:val="auto"/>
              </w:rPr>
            </w:pPr>
            <w:r>
              <w:rPr>
                <w:rFonts w:ascii="Arial" w:cs="Arial" w:eastAsia="Arial" w:hAnsi="Arial"/>
                <w:sz w:val="17"/>
                <w:szCs w:val="17"/>
                <w:b w:val="1"/>
                <w:bCs w:val="1"/>
                <w:color w:val="auto"/>
              </w:rPr>
              <w:t>1,278</w:t>
            </w:r>
          </w:p>
        </w:tc>
        <w:tc>
          <w:tcPr>
            <w:tcW w:w="840" w:type="dxa"/>
            <w:vAlign w:val="bottom"/>
          </w:tcPr>
          <w:p>
            <w:pPr>
              <w:jc w:val="right"/>
              <w:ind w:right="155"/>
              <w:spacing w:after="0"/>
              <w:rPr>
                <w:sz w:val="20"/>
                <w:szCs w:val="20"/>
                <w:color w:val="auto"/>
              </w:rPr>
            </w:pPr>
            <w:r>
              <w:rPr>
                <w:rFonts w:ascii="Arial" w:cs="Arial" w:eastAsia="Arial" w:hAnsi="Arial"/>
                <w:sz w:val="17"/>
                <w:szCs w:val="17"/>
                <w:color w:val="auto"/>
              </w:rPr>
              <w:t>1,307</w:t>
            </w: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1,285</w:t>
            </w:r>
          </w:p>
        </w:tc>
        <w:tc>
          <w:tcPr>
            <w:tcW w:w="980" w:type="dxa"/>
            <w:vAlign w:val="bottom"/>
          </w:tcPr>
          <w:p>
            <w:pPr>
              <w:jc w:val="right"/>
              <w:ind w:right="195"/>
              <w:spacing w:after="0"/>
              <w:rPr>
                <w:sz w:val="20"/>
                <w:szCs w:val="20"/>
                <w:color w:val="auto"/>
              </w:rPr>
            </w:pPr>
            <w:r>
              <w:rPr>
                <w:rFonts w:ascii="Arial" w:cs="Arial" w:eastAsia="Arial" w:hAnsi="Arial"/>
                <w:sz w:val="17"/>
                <w:szCs w:val="17"/>
                <w:color w:val="auto"/>
              </w:rPr>
              <w:t>1,250</w:t>
            </w:r>
          </w:p>
        </w:tc>
        <w:tc>
          <w:tcPr>
            <w:tcW w:w="700" w:type="dxa"/>
            <w:vAlign w:val="bottom"/>
          </w:tcPr>
          <w:p>
            <w:pPr>
              <w:jc w:val="right"/>
              <w:spacing w:after="0"/>
              <w:rPr>
                <w:sz w:val="20"/>
                <w:szCs w:val="20"/>
                <w:color w:val="auto"/>
              </w:rPr>
            </w:pPr>
            <w:r>
              <w:rPr>
                <w:rFonts w:ascii="Arial" w:cs="Arial" w:eastAsia="Arial" w:hAnsi="Arial"/>
                <w:sz w:val="17"/>
                <w:szCs w:val="17"/>
                <w:color w:val="auto"/>
              </w:rPr>
              <w:t>1,220</w:t>
            </w:r>
          </w:p>
        </w:tc>
      </w:tr>
      <w:tr>
        <w:trPr>
          <w:trHeight w:val="203"/>
        </w:trPr>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35"/>
              <w:spacing w:after="0"/>
              <w:rPr>
                <w:sz w:val="20"/>
                <w:szCs w:val="20"/>
                <w:color w:val="auto"/>
              </w:rPr>
            </w:pPr>
            <w:r>
              <w:rPr>
                <w:rFonts w:ascii="Arial" w:cs="Arial" w:eastAsia="Arial" w:hAnsi="Arial"/>
                <w:sz w:val="17"/>
                <w:szCs w:val="17"/>
                <w:b w:val="1"/>
                <w:bCs w:val="1"/>
                <w:color w:val="auto"/>
              </w:rPr>
              <w:t>866</w:t>
            </w:r>
          </w:p>
        </w:tc>
        <w:tc>
          <w:tcPr>
            <w:tcW w:w="8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765</w:t>
            </w:r>
          </w:p>
        </w:tc>
        <w:tc>
          <w:tcPr>
            <w:tcW w:w="9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661</w:t>
            </w:r>
          </w:p>
        </w:tc>
        <w:tc>
          <w:tcPr>
            <w:tcW w:w="9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620</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590</w:t>
            </w:r>
          </w:p>
        </w:tc>
      </w:tr>
      <w:tr>
        <w:trPr>
          <w:trHeight w:val="203"/>
        </w:trPr>
        <w:tc>
          <w:tcPr>
            <w:tcW w:w="4120" w:type="dxa"/>
            <w:vAlign w:val="bottom"/>
          </w:tcPr>
          <w:p>
            <w:pPr>
              <w:spacing w:after="0"/>
              <w:rPr>
                <w:sz w:val="20"/>
                <w:szCs w:val="20"/>
                <w:color w:val="auto"/>
              </w:rPr>
            </w:pPr>
            <w:r>
              <w:rPr>
                <w:rFonts w:ascii="Arial" w:cs="Arial" w:eastAsia="Arial" w:hAnsi="Arial"/>
                <w:sz w:val="17"/>
                <w:szCs w:val="17"/>
                <w:color w:val="auto"/>
              </w:rPr>
              <w:t>Total assets</w:t>
            </w:r>
          </w:p>
        </w:tc>
        <w:tc>
          <w:tcPr>
            <w:tcW w:w="300" w:type="dxa"/>
            <w:vAlign w:val="bottom"/>
          </w:tcPr>
          <w:p>
            <w:pPr>
              <w:spacing w:after="0"/>
              <w:rPr>
                <w:sz w:val="17"/>
                <w:szCs w:val="17"/>
                <w:color w:val="auto"/>
              </w:rPr>
            </w:pPr>
          </w:p>
        </w:tc>
        <w:tc>
          <w:tcPr>
            <w:tcW w:w="940" w:type="dxa"/>
            <w:vAlign w:val="bottom"/>
          </w:tcPr>
          <w:p>
            <w:pPr>
              <w:jc w:val="right"/>
              <w:ind w:right="235"/>
              <w:spacing w:after="0"/>
              <w:rPr>
                <w:sz w:val="20"/>
                <w:szCs w:val="20"/>
                <w:color w:val="auto"/>
              </w:rPr>
            </w:pPr>
            <w:r>
              <w:rPr>
                <w:rFonts w:ascii="Arial" w:cs="Arial" w:eastAsia="Arial" w:hAnsi="Arial"/>
                <w:sz w:val="17"/>
                <w:szCs w:val="17"/>
                <w:b w:val="1"/>
                <w:bCs w:val="1"/>
                <w:color w:val="auto"/>
              </w:rPr>
              <w:t>3,961</w:t>
            </w:r>
          </w:p>
        </w:tc>
        <w:tc>
          <w:tcPr>
            <w:tcW w:w="840" w:type="dxa"/>
            <w:vAlign w:val="bottom"/>
          </w:tcPr>
          <w:p>
            <w:pPr>
              <w:jc w:val="right"/>
              <w:ind w:right="155"/>
              <w:spacing w:after="0"/>
              <w:rPr>
                <w:sz w:val="20"/>
                <w:szCs w:val="20"/>
                <w:color w:val="auto"/>
              </w:rPr>
            </w:pPr>
            <w:r>
              <w:rPr>
                <w:rFonts w:ascii="Arial" w:cs="Arial" w:eastAsia="Arial" w:hAnsi="Arial"/>
                <w:sz w:val="17"/>
                <w:szCs w:val="17"/>
                <w:color w:val="auto"/>
              </w:rPr>
              <w:t>3,840</w:t>
            </w: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3,775</w:t>
            </w:r>
          </w:p>
        </w:tc>
        <w:tc>
          <w:tcPr>
            <w:tcW w:w="980" w:type="dxa"/>
            <w:vAlign w:val="bottom"/>
          </w:tcPr>
          <w:p>
            <w:pPr>
              <w:jc w:val="right"/>
              <w:ind w:right="195"/>
              <w:spacing w:after="0"/>
              <w:rPr>
                <w:sz w:val="20"/>
                <w:szCs w:val="20"/>
                <w:color w:val="auto"/>
              </w:rPr>
            </w:pPr>
            <w:r>
              <w:rPr>
                <w:rFonts w:ascii="Arial" w:cs="Arial" w:eastAsia="Arial" w:hAnsi="Arial"/>
                <w:sz w:val="17"/>
                <w:szCs w:val="17"/>
                <w:color w:val="auto"/>
              </w:rPr>
              <w:t>3,577</w:t>
            </w:r>
          </w:p>
        </w:tc>
        <w:tc>
          <w:tcPr>
            <w:tcW w:w="700" w:type="dxa"/>
            <w:vAlign w:val="bottom"/>
          </w:tcPr>
          <w:p>
            <w:pPr>
              <w:jc w:val="right"/>
              <w:spacing w:after="0"/>
              <w:rPr>
                <w:sz w:val="20"/>
                <w:szCs w:val="20"/>
                <w:color w:val="auto"/>
              </w:rPr>
            </w:pPr>
            <w:r>
              <w:rPr>
                <w:rFonts w:ascii="Arial" w:cs="Arial" w:eastAsia="Arial" w:hAnsi="Arial"/>
                <w:sz w:val="17"/>
                <w:szCs w:val="17"/>
                <w:color w:val="auto"/>
              </w:rPr>
              <w:t>3,487</w:t>
            </w:r>
          </w:p>
        </w:tc>
      </w:tr>
      <w:tr>
        <w:trPr>
          <w:trHeight w:val="203"/>
        </w:trPr>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Long-term debt and obligations under capital leases</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35"/>
              <w:spacing w:after="0"/>
              <w:rPr>
                <w:sz w:val="20"/>
                <w:szCs w:val="20"/>
                <w:color w:val="auto"/>
              </w:rPr>
            </w:pPr>
            <w:r>
              <w:rPr>
                <w:rFonts w:ascii="Arial" w:cs="Arial" w:eastAsia="Arial" w:hAnsi="Arial"/>
                <w:sz w:val="17"/>
                <w:szCs w:val="17"/>
                <w:b w:val="1"/>
                <w:bCs w:val="1"/>
                <w:color w:val="auto"/>
              </w:rPr>
              <w:t>125</w:t>
            </w:r>
          </w:p>
        </w:tc>
        <w:tc>
          <w:tcPr>
            <w:tcW w:w="8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127</w:t>
            </w:r>
          </w:p>
        </w:tc>
        <w:tc>
          <w:tcPr>
            <w:tcW w:w="9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130</w:t>
            </w:r>
          </w:p>
        </w:tc>
        <w:tc>
          <w:tcPr>
            <w:tcW w:w="9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134</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w:t>
            </w:r>
          </w:p>
        </w:tc>
      </w:tr>
      <w:tr>
        <w:trPr>
          <w:trHeight w:val="203"/>
        </w:trPr>
        <w:tc>
          <w:tcPr>
            <w:tcW w:w="4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shareholders’ equity</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2,519</w:t>
            </w: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2,710</w:t>
            </w:r>
          </w:p>
        </w:tc>
        <w:tc>
          <w:tcPr>
            <w:tcW w:w="9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2,553</w:t>
            </w:r>
          </w:p>
        </w:tc>
        <w:tc>
          <w:tcPr>
            <w:tcW w:w="9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2,496</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2,496</w:t>
            </w:r>
          </w:p>
        </w:tc>
      </w:tr>
      <w:tr>
        <w:trPr>
          <w:trHeight w:val="183"/>
        </w:trPr>
        <w:tc>
          <w:tcPr>
            <w:tcW w:w="412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Financial Ratios</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03"/>
        </w:trPr>
        <w:tc>
          <w:tcPr>
            <w:tcW w:w="4120" w:type="dxa"/>
            <w:vAlign w:val="bottom"/>
          </w:tcPr>
          <w:p>
            <w:pPr>
              <w:spacing w:after="0"/>
              <w:rPr>
                <w:sz w:val="20"/>
                <w:szCs w:val="20"/>
                <w:color w:val="auto"/>
              </w:rPr>
            </w:pPr>
            <w:r>
              <w:rPr>
                <w:rFonts w:ascii="Arial" w:cs="Arial" w:eastAsia="Arial" w:hAnsi="Arial"/>
                <w:sz w:val="17"/>
                <w:szCs w:val="17"/>
                <w:color w:val="auto"/>
              </w:rPr>
              <w:t xml:space="preserve">Sales per average gross square foot </w:t>
            </w:r>
            <w:r>
              <w:rPr>
                <w:rFonts w:ascii="Arial" w:cs="Arial" w:eastAsia="Arial" w:hAnsi="Arial"/>
                <w:sz w:val="8"/>
                <w:szCs w:val="8"/>
                <w:color w:val="auto"/>
              </w:rPr>
              <w:t>(2)</w:t>
            </w:r>
          </w:p>
        </w:tc>
        <w:tc>
          <w:tcPr>
            <w:tcW w:w="3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ind w:right="235"/>
              <w:spacing w:after="0"/>
              <w:rPr>
                <w:sz w:val="20"/>
                <w:szCs w:val="20"/>
                <w:color w:val="auto"/>
              </w:rPr>
            </w:pPr>
            <w:r>
              <w:rPr>
                <w:rFonts w:ascii="Arial" w:cs="Arial" w:eastAsia="Arial" w:hAnsi="Arial"/>
                <w:sz w:val="17"/>
                <w:szCs w:val="17"/>
                <w:b w:val="1"/>
                <w:bCs w:val="1"/>
                <w:color w:val="auto"/>
              </w:rPr>
              <w:t>495</w:t>
            </w:r>
          </w:p>
        </w:tc>
        <w:tc>
          <w:tcPr>
            <w:tcW w:w="840" w:type="dxa"/>
            <w:vAlign w:val="bottom"/>
          </w:tcPr>
          <w:p>
            <w:pPr>
              <w:jc w:val="right"/>
              <w:ind w:right="155"/>
              <w:spacing w:after="0"/>
              <w:rPr>
                <w:sz w:val="20"/>
                <w:szCs w:val="20"/>
                <w:color w:val="auto"/>
              </w:rPr>
            </w:pPr>
            <w:r>
              <w:rPr>
                <w:rFonts w:ascii="Arial" w:cs="Arial" w:eastAsia="Arial" w:hAnsi="Arial"/>
                <w:sz w:val="17"/>
                <w:szCs w:val="17"/>
                <w:color w:val="auto"/>
              </w:rPr>
              <w:t>515</w:t>
            </w: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504</w:t>
            </w:r>
          </w:p>
        </w:tc>
        <w:tc>
          <w:tcPr>
            <w:tcW w:w="980" w:type="dxa"/>
            <w:vAlign w:val="bottom"/>
          </w:tcPr>
          <w:p>
            <w:pPr>
              <w:jc w:val="right"/>
              <w:ind w:right="195"/>
              <w:spacing w:after="0"/>
              <w:rPr>
                <w:sz w:val="20"/>
                <w:szCs w:val="20"/>
                <w:color w:val="auto"/>
              </w:rPr>
            </w:pPr>
            <w:r>
              <w:rPr>
                <w:rFonts w:ascii="Arial" w:cs="Arial" w:eastAsia="Arial" w:hAnsi="Arial"/>
                <w:sz w:val="17"/>
                <w:szCs w:val="17"/>
                <w:color w:val="auto"/>
              </w:rPr>
              <w:t>490</w:t>
            </w:r>
          </w:p>
        </w:tc>
        <w:tc>
          <w:tcPr>
            <w:tcW w:w="700" w:type="dxa"/>
            <w:vAlign w:val="bottom"/>
          </w:tcPr>
          <w:p>
            <w:pPr>
              <w:jc w:val="right"/>
              <w:spacing w:after="0"/>
              <w:rPr>
                <w:sz w:val="20"/>
                <w:szCs w:val="20"/>
                <w:color w:val="auto"/>
              </w:rPr>
            </w:pPr>
            <w:r>
              <w:rPr>
                <w:rFonts w:ascii="Arial" w:cs="Arial" w:eastAsia="Arial" w:hAnsi="Arial"/>
                <w:sz w:val="17"/>
                <w:szCs w:val="17"/>
                <w:color w:val="auto"/>
              </w:rPr>
              <w:t>460</w:t>
            </w:r>
          </w:p>
        </w:tc>
      </w:tr>
      <w:tr>
        <w:trPr>
          <w:trHeight w:val="203"/>
        </w:trPr>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SG&amp;A as a percentage of sales</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19.3 %</w:t>
            </w:r>
          </w:p>
        </w:tc>
        <w:tc>
          <w:tcPr>
            <w:tcW w:w="8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19.0</w:t>
            </w:r>
          </w:p>
        </w:tc>
        <w:tc>
          <w:tcPr>
            <w:tcW w:w="9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19.1</w:t>
            </w:r>
          </w:p>
        </w:tc>
        <w:tc>
          <w:tcPr>
            <w:tcW w:w="9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19.9</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w:t>
            </w:r>
          </w:p>
        </w:tc>
      </w:tr>
      <w:tr>
        <w:trPr>
          <w:trHeight w:val="203"/>
        </w:trPr>
        <w:tc>
          <w:tcPr>
            <w:tcW w:w="4120" w:type="dxa"/>
            <w:vAlign w:val="bottom"/>
          </w:tcPr>
          <w:p>
            <w:pPr>
              <w:spacing w:after="0"/>
              <w:rPr>
                <w:sz w:val="20"/>
                <w:szCs w:val="20"/>
                <w:color w:val="auto"/>
              </w:rPr>
            </w:pPr>
            <w:r>
              <w:rPr>
                <w:rFonts w:ascii="Arial" w:cs="Arial" w:eastAsia="Arial" w:hAnsi="Arial"/>
                <w:sz w:val="17"/>
                <w:szCs w:val="17"/>
                <w:color w:val="auto"/>
              </w:rPr>
              <w:t>Net income margin</w:t>
            </w:r>
          </w:p>
        </w:tc>
        <w:tc>
          <w:tcPr>
            <w:tcW w:w="300" w:type="dxa"/>
            <w:vAlign w:val="bottom"/>
          </w:tcPr>
          <w:p>
            <w:pPr>
              <w:spacing w:after="0"/>
              <w:rPr>
                <w:sz w:val="17"/>
                <w:szCs w:val="17"/>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b w:val="1"/>
                <w:bCs w:val="1"/>
                <w:color w:val="auto"/>
              </w:rPr>
              <w:t>3.6 %</w:t>
            </w:r>
          </w:p>
        </w:tc>
        <w:tc>
          <w:tcPr>
            <w:tcW w:w="840" w:type="dxa"/>
            <w:vAlign w:val="bottom"/>
          </w:tcPr>
          <w:p>
            <w:pPr>
              <w:jc w:val="right"/>
              <w:ind w:right="155"/>
              <w:spacing w:after="0"/>
              <w:rPr>
                <w:sz w:val="20"/>
                <w:szCs w:val="20"/>
                <w:color w:val="auto"/>
              </w:rPr>
            </w:pPr>
            <w:r>
              <w:rPr>
                <w:rFonts w:ascii="Arial" w:cs="Arial" w:eastAsia="Arial" w:hAnsi="Arial"/>
                <w:sz w:val="17"/>
                <w:szCs w:val="17"/>
                <w:color w:val="auto"/>
              </w:rPr>
              <w:t>8.6</w:t>
            </w: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7.3</w:t>
            </w:r>
          </w:p>
        </w:tc>
        <w:tc>
          <w:tcPr>
            <w:tcW w:w="980" w:type="dxa"/>
            <w:vAlign w:val="bottom"/>
          </w:tcPr>
          <w:p>
            <w:pPr>
              <w:jc w:val="right"/>
              <w:ind w:right="195"/>
              <w:spacing w:after="0"/>
              <w:rPr>
                <w:sz w:val="20"/>
                <w:szCs w:val="20"/>
                <w:color w:val="auto"/>
              </w:rPr>
            </w:pPr>
            <w:r>
              <w:rPr>
                <w:rFonts w:ascii="Arial" w:cs="Arial" w:eastAsia="Arial" w:hAnsi="Arial"/>
                <w:sz w:val="17"/>
                <w:szCs w:val="17"/>
                <w:color w:val="auto"/>
              </w:rPr>
              <w:t>7.3</w:t>
            </w:r>
          </w:p>
        </w:tc>
        <w:tc>
          <w:tcPr>
            <w:tcW w:w="700" w:type="dxa"/>
            <w:vAlign w:val="bottom"/>
          </w:tcPr>
          <w:p>
            <w:pPr>
              <w:jc w:val="right"/>
              <w:spacing w:after="0"/>
              <w:rPr>
                <w:sz w:val="20"/>
                <w:szCs w:val="20"/>
                <w:color w:val="auto"/>
              </w:rPr>
            </w:pPr>
            <w:r>
              <w:rPr>
                <w:rFonts w:ascii="Arial" w:cs="Arial" w:eastAsia="Arial" w:hAnsi="Arial"/>
                <w:sz w:val="17"/>
                <w:szCs w:val="17"/>
                <w:color w:val="auto"/>
              </w:rPr>
              <w:t>6.6</w:t>
            </w:r>
          </w:p>
        </w:tc>
      </w:tr>
      <w:tr>
        <w:trPr>
          <w:trHeight w:val="203"/>
        </w:trPr>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 xml:space="preserve">Adjusted net income margin </w:t>
            </w:r>
            <w:r>
              <w:rPr>
                <w:rFonts w:ascii="Arial" w:cs="Arial" w:eastAsia="Arial" w:hAnsi="Arial"/>
                <w:sz w:val="8"/>
                <w:szCs w:val="8"/>
                <w:color w:val="auto"/>
              </w:rPr>
              <w:t>(3)</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6.6 %</w:t>
            </w:r>
          </w:p>
        </w:tc>
        <w:tc>
          <w:tcPr>
            <w:tcW w:w="8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8.4</w:t>
            </w:r>
          </w:p>
        </w:tc>
        <w:tc>
          <w:tcPr>
            <w:tcW w:w="9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8.2</w:t>
            </w:r>
          </w:p>
        </w:tc>
        <w:tc>
          <w:tcPr>
            <w:tcW w:w="9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7.3</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r>
      <w:tr>
        <w:trPr>
          <w:trHeight w:val="203"/>
        </w:trPr>
        <w:tc>
          <w:tcPr>
            <w:tcW w:w="4120" w:type="dxa"/>
            <w:vAlign w:val="bottom"/>
          </w:tcPr>
          <w:p>
            <w:pPr>
              <w:spacing w:after="0"/>
              <w:rPr>
                <w:sz w:val="20"/>
                <w:szCs w:val="20"/>
                <w:color w:val="auto"/>
              </w:rPr>
            </w:pPr>
            <w:r>
              <w:rPr>
                <w:rFonts w:ascii="Arial" w:cs="Arial" w:eastAsia="Arial" w:hAnsi="Arial"/>
                <w:sz w:val="17"/>
                <w:szCs w:val="17"/>
                <w:color w:val="auto"/>
              </w:rPr>
              <w:t xml:space="preserve">Earnings before interest and taxes (EBIT) </w:t>
            </w:r>
            <w:r>
              <w:rPr>
                <w:rFonts w:ascii="Arial" w:cs="Arial" w:eastAsia="Arial" w:hAnsi="Arial"/>
                <w:sz w:val="8"/>
                <w:szCs w:val="8"/>
                <w:color w:val="auto"/>
              </w:rPr>
              <w:t>(3)</w:t>
            </w:r>
          </w:p>
        </w:tc>
        <w:tc>
          <w:tcPr>
            <w:tcW w:w="3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ind w:right="235"/>
              <w:spacing w:after="0"/>
              <w:rPr>
                <w:sz w:val="20"/>
                <w:szCs w:val="20"/>
                <w:color w:val="auto"/>
              </w:rPr>
            </w:pPr>
            <w:r>
              <w:rPr>
                <w:rFonts w:ascii="Arial" w:cs="Arial" w:eastAsia="Arial" w:hAnsi="Arial"/>
                <w:sz w:val="17"/>
                <w:szCs w:val="17"/>
                <w:b w:val="1"/>
                <w:bCs w:val="1"/>
                <w:color w:val="auto"/>
              </w:rPr>
              <w:t>576</w:t>
            </w:r>
          </w:p>
        </w:tc>
        <w:tc>
          <w:tcPr>
            <w:tcW w:w="840" w:type="dxa"/>
            <w:vAlign w:val="bottom"/>
          </w:tcPr>
          <w:p>
            <w:pPr>
              <w:jc w:val="right"/>
              <w:ind w:right="155"/>
              <w:spacing w:after="0"/>
              <w:rPr>
                <w:sz w:val="20"/>
                <w:szCs w:val="20"/>
                <w:color w:val="auto"/>
              </w:rPr>
            </w:pPr>
            <w:r>
              <w:rPr>
                <w:rFonts w:ascii="Arial" w:cs="Arial" w:eastAsia="Arial" w:hAnsi="Arial"/>
                <w:sz w:val="17"/>
                <w:szCs w:val="17"/>
                <w:color w:val="auto"/>
              </w:rPr>
              <w:t>1,006</w:t>
            </w: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841</w:t>
            </w:r>
          </w:p>
        </w:tc>
        <w:tc>
          <w:tcPr>
            <w:tcW w:w="980" w:type="dxa"/>
            <w:vAlign w:val="bottom"/>
          </w:tcPr>
          <w:p>
            <w:pPr>
              <w:jc w:val="right"/>
              <w:ind w:right="195"/>
              <w:spacing w:after="0"/>
              <w:rPr>
                <w:sz w:val="20"/>
                <w:szCs w:val="20"/>
                <w:color w:val="auto"/>
              </w:rPr>
            </w:pPr>
            <w:r>
              <w:rPr>
                <w:rFonts w:ascii="Arial" w:cs="Arial" w:eastAsia="Arial" w:hAnsi="Arial"/>
                <w:sz w:val="17"/>
                <w:szCs w:val="17"/>
                <w:color w:val="auto"/>
              </w:rPr>
              <w:t>814</w:t>
            </w:r>
          </w:p>
        </w:tc>
        <w:tc>
          <w:tcPr>
            <w:tcW w:w="700" w:type="dxa"/>
            <w:vAlign w:val="bottom"/>
          </w:tcPr>
          <w:p>
            <w:pPr>
              <w:jc w:val="right"/>
              <w:spacing w:after="0"/>
              <w:rPr>
                <w:sz w:val="20"/>
                <w:szCs w:val="20"/>
                <w:color w:val="auto"/>
              </w:rPr>
            </w:pPr>
            <w:r>
              <w:rPr>
                <w:rFonts w:ascii="Arial" w:cs="Arial" w:eastAsia="Arial" w:hAnsi="Arial"/>
                <w:sz w:val="17"/>
                <w:szCs w:val="17"/>
                <w:color w:val="auto"/>
              </w:rPr>
              <w:t>668</w:t>
            </w:r>
          </w:p>
        </w:tc>
      </w:tr>
      <w:tr>
        <w:trPr>
          <w:trHeight w:val="203"/>
        </w:trPr>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 xml:space="preserve">EBIT margin </w:t>
            </w:r>
            <w:r>
              <w:rPr>
                <w:rFonts w:ascii="Arial" w:cs="Arial" w:eastAsia="Arial" w:hAnsi="Arial"/>
                <w:sz w:val="8"/>
                <w:szCs w:val="8"/>
                <w:color w:val="auto"/>
              </w:rPr>
              <w:t>(3)</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7.4 %</w:t>
            </w:r>
          </w:p>
        </w:tc>
        <w:tc>
          <w:tcPr>
            <w:tcW w:w="8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13.0</w:t>
            </w:r>
          </w:p>
        </w:tc>
        <w:tc>
          <w:tcPr>
            <w:tcW w:w="9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11.3</w:t>
            </w:r>
          </w:p>
        </w:tc>
        <w:tc>
          <w:tcPr>
            <w:tcW w:w="9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11.4</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r>
      <w:tr>
        <w:trPr>
          <w:trHeight w:val="203"/>
        </w:trPr>
        <w:tc>
          <w:tcPr>
            <w:tcW w:w="4120" w:type="dxa"/>
            <w:vAlign w:val="bottom"/>
          </w:tcPr>
          <w:p>
            <w:pPr>
              <w:spacing w:after="0"/>
              <w:rPr>
                <w:sz w:val="20"/>
                <w:szCs w:val="20"/>
                <w:color w:val="auto"/>
              </w:rPr>
            </w:pPr>
            <w:r>
              <w:rPr>
                <w:rFonts w:ascii="Arial" w:cs="Arial" w:eastAsia="Arial" w:hAnsi="Arial"/>
                <w:sz w:val="17"/>
                <w:szCs w:val="17"/>
                <w:color w:val="auto"/>
              </w:rPr>
              <w:t xml:space="preserve">Adjusted EBIT </w:t>
            </w:r>
            <w:r>
              <w:rPr>
                <w:rFonts w:ascii="Arial" w:cs="Arial" w:eastAsia="Arial" w:hAnsi="Arial"/>
                <w:sz w:val="8"/>
                <w:szCs w:val="8"/>
                <w:color w:val="auto"/>
              </w:rPr>
              <w:t>(3)</w:t>
            </w:r>
          </w:p>
        </w:tc>
        <w:tc>
          <w:tcPr>
            <w:tcW w:w="3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ind w:right="235"/>
              <w:spacing w:after="0"/>
              <w:rPr>
                <w:sz w:val="20"/>
                <w:szCs w:val="20"/>
                <w:color w:val="auto"/>
              </w:rPr>
            </w:pPr>
            <w:r>
              <w:rPr>
                <w:rFonts w:ascii="Arial" w:cs="Arial" w:eastAsia="Arial" w:hAnsi="Arial"/>
                <w:sz w:val="17"/>
                <w:szCs w:val="17"/>
                <w:b w:val="1"/>
                <w:bCs w:val="1"/>
                <w:color w:val="auto"/>
              </w:rPr>
              <w:t>762</w:t>
            </w:r>
          </w:p>
        </w:tc>
        <w:tc>
          <w:tcPr>
            <w:tcW w:w="840" w:type="dxa"/>
            <w:vAlign w:val="bottom"/>
          </w:tcPr>
          <w:p>
            <w:pPr>
              <w:jc w:val="right"/>
              <w:ind w:right="155"/>
              <w:spacing w:after="0"/>
              <w:rPr>
                <w:sz w:val="20"/>
                <w:szCs w:val="20"/>
                <w:color w:val="auto"/>
              </w:rPr>
            </w:pPr>
            <w:r>
              <w:rPr>
                <w:rFonts w:ascii="Arial" w:cs="Arial" w:eastAsia="Arial" w:hAnsi="Arial"/>
                <w:sz w:val="17"/>
                <w:szCs w:val="17"/>
                <w:color w:val="auto"/>
              </w:rPr>
              <w:t>1,012</w:t>
            </w: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946</w:t>
            </w:r>
          </w:p>
        </w:tc>
        <w:tc>
          <w:tcPr>
            <w:tcW w:w="980" w:type="dxa"/>
            <w:vAlign w:val="bottom"/>
          </w:tcPr>
          <w:p>
            <w:pPr>
              <w:jc w:val="right"/>
              <w:ind w:right="195"/>
              <w:spacing w:after="0"/>
              <w:rPr>
                <w:sz w:val="20"/>
                <w:szCs w:val="20"/>
                <w:color w:val="auto"/>
              </w:rPr>
            </w:pPr>
            <w:r>
              <w:rPr>
                <w:rFonts w:ascii="Arial" w:cs="Arial" w:eastAsia="Arial" w:hAnsi="Arial"/>
                <w:sz w:val="17"/>
                <w:szCs w:val="17"/>
                <w:color w:val="auto"/>
              </w:rPr>
              <w:t>816</w:t>
            </w:r>
          </w:p>
        </w:tc>
        <w:tc>
          <w:tcPr>
            <w:tcW w:w="700" w:type="dxa"/>
            <w:vAlign w:val="bottom"/>
          </w:tcPr>
          <w:p>
            <w:pPr>
              <w:jc w:val="right"/>
              <w:spacing w:after="0"/>
              <w:rPr>
                <w:sz w:val="20"/>
                <w:szCs w:val="20"/>
                <w:color w:val="auto"/>
              </w:rPr>
            </w:pPr>
            <w:r>
              <w:rPr>
                <w:rFonts w:ascii="Arial" w:cs="Arial" w:eastAsia="Arial" w:hAnsi="Arial"/>
                <w:sz w:val="17"/>
                <w:szCs w:val="17"/>
                <w:color w:val="auto"/>
              </w:rPr>
              <w:t>676</w:t>
            </w:r>
          </w:p>
        </w:tc>
      </w:tr>
      <w:tr>
        <w:trPr>
          <w:trHeight w:val="203"/>
        </w:trPr>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 xml:space="preserve">Adjusted EBIT margin </w:t>
            </w:r>
            <w:r>
              <w:rPr>
                <w:rFonts w:ascii="Arial" w:cs="Arial" w:eastAsia="Arial" w:hAnsi="Arial"/>
                <w:sz w:val="8"/>
                <w:szCs w:val="8"/>
                <w:color w:val="auto"/>
              </w:rPr>
              <w:t>(3)</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9.9 %</w:t>
            </w:r>
          </w:p>
        </w:tc>
        <w:tc>
          <w:tcPr>
            <w:tcW w:w="8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13.0</w:t>
            </w:r>
          </w:p>
        </w:tc>
        <w:tc>
          <w:tcPr>
            <w:tcW w:w="9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12.8</w:t>
            </w:r>
          </w:p>
        </w:tc>
        <w:tc>
          <w:tcPr>
            <w:tcW w:w="9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11.4</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r>
      <w:tr>
        <w:trPr>
          <w:trHeight w:val="203"/>
        </w:trPr>
        <w:tc>
          <w:tcPr>
            <w:tcW w:w="4120" w:type="dxa"/>
            <w:vAlign w:val="bottom"/>
          </w:tcPr>
          <w:p>
            <w:pPr>
              <w:spacing w:after="0"/>
              <w:rPr>
                <w:sz w:val="20"/>
                <w:szCs w:val="20"/>
                <w:color w:val="auto"/>
              </w:rPr>
            </w:pPr>
            <w:r>
              <w:rPr>
                <w:rFonts w:ascii="Arial" w:cs="Arial" w:eastAsia="Arial" w:hAnsi="Arial"/>
                <w:sz w:val="17"/>
                <w:szCs w:val="17"/>
                <w:color w:val="auto"/>
              </w:rPr>
              <w:t>Return on assets (ROA)</w:t>
            </w:r>
          </w:p>
        </w:tc>
        <w:tc>
          <w:tcPr>
            <w:tcW w:w="300" w:type="dxa"/>
            <w:vAlign w:val="bottom"/>
          </w:tcPr>
          <w:p>
            <w:pPr>
              <w:spacing w:after="0"/>
              <w:rPr>
                <w:sz w:val="17"/>
                <w:szCs w:val="17"/>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b w:val="1"/>
                <w:bCs w:val="1"/>
                <w:color w:val="auto"/>
              </w:rPr>
              <w:t>7.3 %</w:t>
            </w:r>
          </w:p>
        </w:tc>
        <w:tc>
          <w:tcPr>
            <w:tcW w:w="840" w:type="dxa"/>
            <w:vAlign w:val="bottom"/>
          </w:tcPr>
          <w:p>
            <w:pPr>
              <w:jc w:val="right"/>
              <w:ind w:right="155"/>
              <w:spacing w:after="0"/>
              <w:rPr>
                <w:sz w:val="20"/>
                <w:szCs w:val="20"/>
                <w:color w:val="auto"/>
              </w:rPr>
            </w:pPr>
            <w:r>
              <w:rPr>
                <w:rFonts w:ascii="Arial" w:cs="Arial" w:eastAsia="Arial" w:hAnsi="Arial"/>
                <w:sz w:val="17"/>
                <w:szCs w:val="17"/>
                <w:color w:val="auto"/>
              </w:rPr>
              <w:t>17.4</w:t>
            </w: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14.7</w:t>
            </w:r>
          </w:p>
        </w:tc>
        <w:tc>
          <w:tcPr>
            <w:tcW w:w="980" w:type="dxa"/>
            <w:vAlign w:val="bottom"/>
          </w:tcPr>
          <w:p>
            <w:pPr>
              <w:jc w:val="right"/>
              <w:ind w:right="195"/>
              <w:spacing w:after="0"/>
              <w:rPr>
                <w:sz w:val="20"/>
                <w:szCs w:val="20"/>
                <w:color w:val="auto"/>
              </w:rPr>
            </w:pPr>
            <w:r>
              <w:rPr>
                <w:rFonts w:ascii="Arial" w:cs="Arial" w:eastAsia="Arial" w:hAnsi="Arial"/>
                <w:sz w:val="17"/>
                <w:szCs w:val="17"/>
                <w:color w:val="auto"/>
              </w:rPr>
              <w:t>14.7</w:t>
            </w:r>
          </w:p>
        </w:tc>
        <w:tc>
          <w:tcPr>
            <w:tcW w:w="700" w:type="dxa"/>
            <w:vAlign w:val="bottom"/>
          </w:tcPr>
          <w:p>
            <w:pPr>
              <w:jc w:val="right"/>
              <w:spacing w:after="0"/>
              <w:rPr>
                <w:sz w:val="20"/>
                <w:szCs w:val="20"/>
                <w:color w:val="auto"/>
              </w:rPr>
            </w:pPr>
            <w:r>
              <w:rPr>
                <w:rFonts w:ascii="Arial" w:cs="Arial" w:eastAsia="Arial" w:hAnsi="Arial"/>
                <w:sz w:val="17"/>
                <w:szCs w:val="17"/>
                <w:color w:val="auto"/>
              </w:rPr>
              <w:t>12.5</w:t>
            </w:r>
          </w:p>
        </w:tc>
      </w:tr>
      <w:tr>
        <w:trPr>
          <w:trHeight w:val="203"/>
        </w:trPr>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 xml:space="preserve">Return on invested capital (ROIC) </w:t>
            </w:r>
            <w:r>
              <w:rPr>
                <w:rFonts w:ascii="Arial" w:cs="Arial" w:eastAsia="Arial" w:hAnsi="Arial"/>
                <w:sz w:val="8"/>
                <w:szCs w:val="8"/>
                <w:color w:val="auto"/>
              </w:rPr>
              <w:t>(3)</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11.0 %</w:t>
            </w:r>
          </w:p>
        </w:tc>
        <w:tc>
          <w:tcPr>
            <w:tcW w:w="8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15.1</w:t>
            </w:r>
          </w:p>
        </w:tc>
        <w:tc>
          <w:tcPr>
            <w:tcW w:w="9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15.8</w:t>
            </w:r>
          </w:p>
        </w:tc>
        <w:tc>
          <w:tcPr>
            <w:tcW w:w="9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15.0</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w:t>
            </w:r>
          </w:p>
        </w:tc>
      </w:tr>
      <w:tr>
        <w:trPr>
          <w:trHeight w:val="203"/>
        </w:trPr>
        <w:tc>
          <w:tcPr>
            <w:tcW w:w="4120" w:type="dxa"/>
            <w:vAlign w:val="bottom"/>
          </w:tcPr>
          <w:p>
            <w:pPr>
              <w:spacing w:after="0"/>
              <w:rPr>
                <w:sz w:val="20"/>
                <w:szCs w:val="20"/>
                <w:color w:val="auto"/>
              </w:rPr>
            </w:pPr>
            <w:r>
              <w:rPr>
                <w:rFonts w:ascii="Arial" w:cs="Arial" w:eastAsia="Arial" w:hAnsi="Arial"/>
                <w:sz w:val="17"/>
                <w:szCs w:val="17"/>
                <w:color w:val="auto"/>
              </w:rPr>
              <w:t xml:space="preserve">Net debt capitalization percent </w:t>
            </w:r>
            <w:r>
              <w:rPr>
                <w:rFonts w:ascii="Arial" w:cs="Arial" w:eastAsia="Arial" w:hAnsi="Arial"/>
                <w:sz w:val="8"/>
                <w:szCs w:val="8"/>
                <w:color w:val="auto"/>
              </w:rPr>
              <w:t>(3), (4)</w:t>
            </w:r>
          </w:p>
        </w:tc>
        <w:tc>
          <w:tcPr>
            <w:tcW w:w="300" w:type="dxa"/>
            <w:vAlign w:val="bottom"/>
          </w:tcPr>
          <w:p>
            <w:pPr>
              <w:spacing w:after="0"/>
              <w:rPr>
                <w:sz w:val="17"/>
                <w:szCs w:val="17"/>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b w:val="1"/>
                <w:bCs w:val="1"/>
                <w:color w:val="auto"/>
              </w:rPr>
              <w:t>54.4 %</w:t>
            </w:r>
          </w:p>
        </w:tc>
        <w:tc>
          <w:tcPr>
            <w:tcW w:w="840" w:type="dxa"/>
            <w:vAlign w:val="bottom"/>
          </w:tcPr>
          <w:p>
            <w:pPr>
              <w:jc w:val="right"/>
              <w:ind w:right="155"/>
              <w:spacing w:after="0"/>
              <w:rPr>
                <w:sz w:val="20"/>
                <w:szCs w:val="20"/>
                <w:color w:val="auto"/>
              </w:rPr>
            </w:pPr>
            <w:r>
              <w:rPr>
                <w:rFonts w:ascii="Arial" w:cs="Arial" w:eastAsia="Arial" w:hAnsi="Arial"/>
                <w:sz w:val="17"/>
                <w:szCs w:val="17"/>
                <w:color w:val="auto"/>
              </w:rPr>
              <w:t>48.5</w:t>
            </w: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47.4</w:t>
            </w:r>
          </w:p>
        </w:tc>
        <w:tc>
          <w:tcPr>
            <w:tcW w:w="980" w:type="dxa"/>
            <w:vAlign w:val="bottom"/>
          </w:tcPr>
          <w:p>
            <w:pPr>
              <w:jc w:val="right"/>
              <w:ind w:right="195"/>
              <w:spacing w:after="0"/>
              <w:rPr>
                <w:sz w:val="20"/>
                <w:szCs w:val="20"/>
                <w:color w:val="auto"/>
              </w:rPr>
            </w:pPr>
            <w:r>
              <w:rPr>
                <w:rFonts w:ascii="Arial" w:cs="Arial" w:eastAsia="Arial" w:hAnsi="Arial"/>
                <w:sz w:val="17"/>
                <w:szCs w:val="17"/>
                <w:color w:val="auto"/>
              </w:rPr>
              <w:t>43.4</w:t>
            </w:r>
          </w:p>
        </w:tc>
        <w:tc>
          <w:tcPr>
            <w:tcW w:w="700" w:type="dxa"/>
            <w:vAlign w:val="bottom"/>
          </w:tcPr>
          <w:p>
            <w:pPr>
              <w:jc w:val="right"/>
              <w:spacing w:after="0"/>
              <w:rPr>
                <w:sz w:val="20"/>
                <w:szCs w:val="20"/>
                <w:color w:val="auto"/>
              </w:rPr>
            </w:pPr>
            <w:r>
              <w:rPr>
                <w:rFonts w:ascii="Arial" w:cs="Arial" w:eastAsia="Arial" w:hAnsi="Arial"/>
                <w:sz w:val="17"/>
                <w:szCs w:val="17"/>
                <w:color w:val="auto"/>
              </w:rPr>
              <w:t>42.5</w:t>
            </w:r>
          </w:p>
        </w:tc>
      </w:tr>
      <w:tr>
        <w:trPr>
          <w:trHeight w:val="203"/>
        </w:trPr>
        <w:tc>
          <w:tcPr>
            <w:tcW w:w="4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Current ratio</w:t>
            </w: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7"/>
                <w:szCs w:val="17"/>
                <w:b w:val="1"/>
                <w:bCs w:val="1"/>
                <w:color w:val="auto"/>
              </w:rPr>
              <w:t>4.1</w:t>
            </w:r>
          </w:p>
        </w:tc>
        <w:tc>
          <w:tcPr>
            <w:tcW w:w="8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4.3</w:t>
            </w:r>
          </w:p>
        </w:tc>
        <w:tc>
          <w:tcPr>
            <w:tcW w:w="9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3.7</w:t>
            </w:r>
          </w:p>
        </w:tc>
        <w:tc>
          <w:tcPr>
            <w:tcW w:w="98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rPr>
              <w:t>3.5</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w:t>
            </w:r>
          </w:p>
        </w:tc>
      </w:tr>
      <w:tr>
        <w:trPr>
          <w:trHeight w:val="183"/>
        </w:trPr>
        <w:tc>
          <w:tcPr>
            <w:tcW w:w="4120" w:type="dxa"/>
            <w:vAlign w:val="bottom"/>
          </w:tcPr>
          <w:p>
            <w:pPr>
              <w:spacing w:after="0" w:line="183" w:lineRule="exact"/>
              <w:rPr>
                <w:sz w:val="20"/>
                <w:szCs w:val="20"/>
                <w:color w:val="auto"/>
              </w:rPr>
            </w:pPr>
            <w:r>
              <w:rPr>
                <w:rFonts w:ascii="Arial" w:cs="Arial" w:eastAsia="Arial" w:hAnsi="Arial"/>
                <w:sz w:val="17"/>
                <w:szCs w:val="17"/>
                <w:b w:val="1"/>
                <w:bCs w:val="1"/>
                <w:color w:val="auto"/>
              </w:rPr>
              <w:t>Other Data</w:t>
            </w: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03"/>
        </w:trPr>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Capital expenditures</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40" w:type="dxa"/>
            <w:vAlign w:val="bottom"/>
            <w:shd w:val="clear" w:color="auto" w:fill="CCEEFF"/>
          </w:tcPr>
          <w:p>
            <w:pPr>
              <w:jc w:val="right"/>
              <w:ind w:right="235"/>
              <w:spacing w:after="0"/>
              <w:rPr>
                <w:sz w:val="20"/>
                <w:szCs w:val="20"/>
                <w:color w:val="auto"/>
              </w:rPr>
            </w:pPr>
            <w:r>
              <w:rPr>
                <w:rFonts w:ascii="Arial" w:cs="Arial" w:eastAsia="Arial" w:hAnsi="Arial"/>
                <w:sz w:val="17"/>
                <w:szCs w:val="17"/>
                <w:b w:val="1"/>
                <w:bCs w:val="1"/>
                <w:color w:val="auto"/>
              </w:rPr>
              <w:t>274</w:t>
            </w:r>
          </w:p>
        </w:tc>
        <w:tc>
          <w:tcPr>
            <w:tcW w:w="8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266</w:t>
            </w:r>
          </w:p>
        </w:tc>
        <w:tc>
          <w:tcPr>
            <w:tcW w:w="9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228</w:t>
            </w:r>
          </w:p>
        </w:tc>
        <w:tc>
          <w:tcPr>
            <w:tcW w:w="9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190</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w:t>
            </w:r>
          </w:p>
        </w:tc>
      </w:tr>
      <w:tr>
        <w:trPr>
          <w:trHeight w:val="203"/>
        </w:trPr>
        <w:tc>
          <w:tcPr>
            <w:tcW w:w="4120" w:type="dxa"/>
            <w:vAlign w:val="bottom"/>
          </w:tcPr>
          <w:p>
            <w:pPr>
              <w:spacing w:after="0"/>
              <w:rPr>
                <w:sz w:val="20"/>
                <w:szCs w:val="20"/>
                <w:color w:val="auto"/>
              </w:rPr>
            </w:pPr>
            <w:r>
              <w:rPr>
                <w:rFonts w:ascii="Arial" w:cs="Arial" w:eastAsia="Arial" w:hAnsi="Arial"/>
                <w:sz w:val="17"/>
                <w:szCs w:val="17"/>
                <w:color w:val="auto"/>
              </w:rPr>
              <w:t>Number of stores at year end</w:t>
            </w:r>
          </w:p>
        </w:tc>
        <w:tc>
          <w:tcPr>
            <w:tcW w:w="300" w:type="dxa"/>
            <w:vAlign w:val="bottom"/>
          </w:tcPr>
          <w:p>
            <w:pPr>
              <w:spacing w:after="0"/>
              <w:rPr>
                <w:sz w:val="17"/>
                <w:szCs w:val="17"/>
                <w:color w:val="auto"/>
              </w:rPr>
            </w:pPr>
          </w:p>
        </w:tc>
        <w:tc>
          <w:tcPr>
            <w:tcW w:w="940" w:type="dxa"/>
            <w:vAlign w:val="bottom"/>
          </w:tcPr>
          <w:p>
            <w:pPr>
              <w:jc w:val="right"/>
              <w:ind w:right="235"/>
              <w:spacing w:after="0"/>
              <w:rPr>
                <w:sz w:val="20"/>
                <w:szCs w:val="20"/>
                <w:color w:val="auto"/>
              </w:rPr>
            </w:pPr>
            <w:r>
              <w:rPr>
                <w:rFonts w:ascii="Arial" w:cs="Arial" w:eastAsia="Arial" w:hAnsi="Arial"/>
                <w:sz w:val="17"/>
                <w:szCs w:val="17"/>
                <w:b w:val="1"/>
                <w:bCs w:val="1"/>
                <w:color w:val="auto"/>
              </w:rPr>
              <w:t>3,310</w:t>
            </w:r>
          </w:p>
        </w:tc>
        <w:tc>
          <w:tcPr>
            <w:tcW w:w="840" w:type="dxa"/>
            <w:vAlign w:val="bottom"/>
          </w:tcPr>
          <w:p>
            <w:pPr>
              <w:jc w:val="right"/>
              <w:ind w:right="155"/>
              <w:spacing w:after="0"/>
              <w:rPr>
                <w:sz w:val="20"/>
                <w:szCs w:val="20"/>
                <w:color w:val="auto"/>
              </w:rPr>
            </w:pPr>
            <w:r>
              <w:rPr>
                <w:rFonts w:ascii="Arial" w:cs="Arial" w:eastAsia="Arial" w:hAnsi="Arial"/>
                <w:sz w:val="17"/>
                <w:szCs w:val="17"/>
                <w:color w:val="auto"/>
              </w:rPr>
              <w:t>3,363</w:t>
            </w: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3,383</w:t>
            </w:r>
          </w:p>
        </w:tc>
        <w:tc>
          <w:tcPr>
            <w:tcW w:w="980" w:type="dxa"/>
            <w:vAlign w:val="bottom"/>
          </w:tcPr>
          <w:p>
            <w:pPr>
              <w:jc w:val="right"/>
              <w:ind w:right="195"/>
              <w:spacing w:after="0"/>
              <w:rPr>
                <w:sz w:val="20"/>
                <w:szCs w:val="20"/>
                <w:color w:val="auto"/>
              </w:rPr>
            </w:pPr>
            <w:r>
              <w:rPr>
                <w:rFonts w:ascii="Arial" w:cs="Arial" w:eastAsia="Arial" w:hAnsi="Arial"/>
                <w:sz w:val="17"/>
                <w:szCs w:val="17"/>
                <w:color w:val="auto"/>
              </w:rPr>
              <w:t>3,423</w:t>
            </w:r>
          </w:p>
        </w:tc>
        <w:tc>
          <w:tcPr>
            <w:tcW w:w="700" w:type="dxa"/>
            <w:vAlign w:val="bottom"/>
          </w:tcPr>
          <w:p>
            <w:pPr>
              <w:jc w:val="right"/>
              <w:spacing w:after="0"/>
              <w:rPr>
                <w:sz w:val="20"/>
                <w:szCs w:val="20"/>
                <w:color w:val="auto"/>
              </w:rPr>
            </w:pPr>
            <w:r>
              <w:rPr>
                <w:rFonts w:ascii="Arial" w:cs="Arial" w:eastAsia="Arial" w:hAnsi="Arial"/>
                <w:sz w:val="17"/>
                <w:szCs w:val="17"/>
                <w:color w:val="auto"/>
              </w:rPr>
              <w:t>3,473</w:t>
            </w:r>
          </w:p>
        </w:tc>
      </w:tr>
      <w:tr>
        <w:trPr>
          <w:trHeight w:val="203"/>
        </w:trPr>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Total selling square footage at year end (in millions)</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35"/>
              <w:spacing w:after="0"/>
              <w:rPr>
                <w:sz w:val="20"/>
                <w:szCs w:val="20"/>
                <w:color w:val="auto"/>
              </w:rPr>
            </w:pPr>
            <w:r>
              <w:rPr>
                <w:rFonts w:ascii="Arial" w:cs="Arial" w:eastAsia="Arial" w:hAnsi="Arial"/>
                <w:sz w:val="17"/>
                <w:szCs w:val="17"/>
                <w:b w:val="1"/>
                <w:bCs w:val="1"/>
                <w:color w:val="auto"/>
              </w:rPr>
              <w:t>7.71</w:t>
            </w:r>
          </w:p>
        </w:tc>
        <w:tc>
          <w:tcPr>
            <w:tcW w:w="8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7.63</w:t>
            </w:r>
          </w:p>
        </w:tc>
        <w:tc>
          <w:tcPr>
            <w:tcW w:w="9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7.58</w:t>
            </w:r>
          </w:p>
        </w:tc>
        <w:tc>
          <w:tcPr>
            <w:tcW w:w="9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7.48</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7.47</w:t>
            </w:r>
          </w:p>
        </w:tc>
      </w:tr>
      <w:tr>
        <w:trPr>
          <w:trHeight w:val="203"/>
        </w:trPr>
        <w:tc>
          <w:tcPr>
            <w:tcW w:w="4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gross square footage at year end (in millions)</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13.30</w:t>
            </w: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13.12</w:t>
            </w:r>
          </w:p>
        </w:tc>
        <w:tc>
          <w:tcPr>
            <w:tcW w:w="9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12.92</w:t>
            </w:r>
          </w:p>
        </w:tc>
        <w:tc>
          <w:tcPr>
            <w:tcW w:w="9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12.73</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12.71</w:t>
            </w:r>
          </w:p>
        </w:tc>
      </w:tr>
    </w:tbl>
    <w:p>
      <w:pPr>
        <w:spacing w:after="0" w:line="162" w:lineRule="exact"/>
        <w:rPr>
          <w:sz w:val="20"/>
          <w:szCs w:val="20"/>
          <w:color w:val="auto"/>
        </w:rPr>
      </w:pPr>
    </w:p>
    <w:p>
      <w:pPr>
        <w:ind w:left="620" w:hanging="399"/>
        <w:spacing w:after="0"/>
        <w:tabs>
          <w:tab w:leader="none" w:pos="620" w:val="left"/>
        </w:tabs>
        <w:numPr>
          <w:ilvl w:val="0"/>
          <w:numId w:val="6"/>
        </w:numPr>
        <w:rPr>
          <w:rFonts w:ascii="Arial" w:cs="Arial" w:eastAsia="Arial" w:hAnsi="Arial"/>
          <w:sz w:val="12"/>
          <w:szCs w:val="12"/>
          <w:color w:val="auto"/>
        </w:rPr>
      </w:pPr>
      <w:r>
        <w:rPr>
          <w:rFonts w:ascii="Arial" w:cs="Arial" w:eastAsia="Arial" w:hAnsi="Arial"/>
          <w:sz w:val="14"/>
          <w:szCs w:val="14"/>
          <w:color w:val="auto"/>
        </w:rPr>
        <w:t>2017 represents the 53 weeks ended February 3, 2018.</w:t>
      </w:r>
    </w:p>
    <w:p>
      <w:pPr>
        <w:jc w:val="both"/>
        <w:ind w:left="620" w:right="219" w:hanging="399"/>
        <w:spacing w:after="0" w:line="228" w:lineRule="auto"/>
        <w:tabs>
          <w:tab w:leader="none" w:pos="620" w:val="left"/>
        </w:tabs>
        <w:numPr>
          <w:ilvl w:val="0"/>
          <w:numId w:val="6"/>
        </w:numPr>
        <w:rPr>
          <w:rFonts w:ascii="Arial" w:cs="Arial" w:eastAsia="Arial" w:hAnsi="Arial"/>
          <w:sz w:val="12"/>
          <w:szCs w:val="12"/>
          <w:color w:val="auto"/>
        </w:rPr>
      </w:pPr>
      <w:r>
        <w:rPr>
          <w:rFonts w:ascii="Arial" w:cs="Arial" w:eastAsia="Arial" w:hAnsi="Arial"/>
          <w:sz w:val="14"/>
          <w:szCs w:val="14"/>
          <w:color w:val="auto"/>
        </w:rPr>
        <w:t>Calculated as Athletic Store sales divided by the average monthly ending gross square footage of the last thirteen months. The computation for each of the years presented reflects the foreign exchange rate in effect for such year. The 2017 amount has been calculated excluding the sales of the 53rd week.</w:t>
      </w:r>
    </w:p>
    <w:p>
      <w:pPr>
        <w:spacing w:after="0" w:line="13" w:lineRule="exact"/>
        <w:rPr>
          <w:rFonts w:ascii="Arial" w:cs="Arial" w:eastAsia="Arial" w:hAnsi="Arial"/>
          <w:sz w:val="12"/>
          <w:szCs w:val="12"/>
          <w:color w:val="auto"/>
        </w:rPr>
      </w:pPr>
    </w:p>
    <w:p>
      <w:pPr>
        <w:ind w:left="620" w:right="239" w:hanging="399"/>
        <w:spacing w:after="0" w:line="231" w:lineRule="auto"/>
        <w:tabs>
          <w:tab w:leader="none" w:pos="620" w:val="left"/>
        </w:tabs>
        <w:numPr>
          <w:ilvl w:val="0"/>
          <w:numId w:val="6"/>
        </w:numPr>
        <w:rPr>
          <w:rFonts w:ascii="Arial" w:cs="Arial" w:eastAsia="Arial" w:hAnsi="Arial"/>
          <w:sz w:val="12"/>
          <w:szCs w:val="12"/>
          <w:color w:val="auto"/>
        </w:rPr>
      </w:pPr>
      <w:r>
        <w:rPr>
          <w:rFonts w:ascii="Arial" w:cs="Arial" w:eastAsia="Arial" w:hAnsi="Arial"/>
          <w:sz w:val="14"/>
          <w:szCs w:val="14"/>
          <w:color w:val="auto"/>
        </w:rPr>
        <w:t>These represent non-GAAP measures, see Item 7, “Management’s Discussion and Analysis of Financial Condition and Results of Operations” for additional information and calculation.</w:t>
      </w:r>
    </w:p>
    <w:p>
      <w:pPr>
        <w:spacing w:after="0" w:line="27" w:lineRule="exact"/>
        <w:rPr>
          <w:rFonts w:ascii="Arial" w:cs="Arial" w:eastAsia="Arial" w:hAnsi="Arial"/>
          <w:sz w:val="12"/>
          <w:szCs w:val="12"/>
          <w:color w:val="auto"/>
        </w:rPr>
      </w:pPr>
    </w:p>
    <w:p>
      <w:pPr>
        <w:ind w:left="620" w:right="239" w:hanging="399"/>
        <w:spacing w:after="0" w:line="231" w:lineRule="auto"/>
        <w:tabs>
          <w:tab w:leader="none" w:pos="620" w:val="left"/>
        </w:tabs>
        <w:numPr>
          <w:ilvl w:val="0"/>
          <w:numId w:val="6"/>
        </w:numPr>
        <w:rPr>
          <w:rFonts w:ascii="Arial" w:cs="Arial" w:eastAsia="Arial" w:hAnsi="Arial"/>
          <w:sz w:val="12"/>
          <w:szCs w:val="12"/>
          <w:color w:val="auto"/>
        </w:rPr>
      </w:pPr>
      <w:r>
        <w:rPr>
          <w:rFonts w:ascii="Arial" w:cs="Arial" w:eastAsia="Arial" w:hAnsi="Arial"/>
          <w:sz w:val="14"/>
          <w:szCs w:val="14"/>
          <w:color w:val="auto"/>
        </w:rPr>
        <w:t>Represents total debt and obligations under capital leases, net of cash, cash equivalents, and short-term investments. This calculation includes the present value of operating leases and therefore is considered a non-GAAP measure.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56" w:right="1440" w:bottom="1440" w:gutter="0" w:footer="0" w:header="0"/>
        </w:sectPr>
      </w:pPr>
    </w:p>
    <w:bookmarkStart w:id="15" w:name="page16"/>
    <w:bookmarkEnd w:id="15"/>
    <w:p>
      <w:pPr>
        <w:ind w:left="100" w:right="1059"/>
        <w:spacing w:after="0" w:line="476" w:lineRule="auto"/>
        <w:rPr>
          <w:sz w:val="20"/>
          <w:szCs w:val="20"/>
          <w:color w:val="auto"/>
        </w:rPr>
      </w:pPr>
      <w:r>
        <w:rPr>
          <w:rFonts w:ascii="Arial" w:cs="Arial" w:eastAsia="Arial" w:hAnsi="Arial"/>
          <w:sz w:val="17"/>
          <w:szCs w:val="17"/>
          <w:b w:val="1"/>
          <w:bCs w:val="1"/>
          <w:i w:val="1"/>
          <w:iCs w:val="1"/>
          <w:color w:val="auto"/>
        </w:rPr>
        <w:t xml:space="preserve">Item 7. Management’s Discussion and Analysis of Financial Condition and Results of Operations </w:t>
      </w:r>
      <w:r>
        <w:rPr>
          <w:rFonts w:ascii="Arial" w:cs="Arial" w:eastAsia="Arial" w:hAnsi="Arial"/>
          <w:sz w:val="17"/>
          <w:szCs w:val="17"/>
          <w:b w:val="1"/>
          <w:bCs w:val="1"/>
          <w:color w:val="auto"/>
        </w:rPr>
        <w:t>Disclosure Regarding Forward-Looking Statements</w:t>
      </w:r>
    </w:p>
    <w:p>
      <w:pPr>
        <w:spacing w:after="0" w:line="1"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This report contains forward-looking statements within the meaning of the federal securities laws. Other than statements of historical facts, all statements which address activities, events, or developments that the Company anticipates will or may occur in the future, including, but not limited to, such things as future capital expenditures, expansion, strategic plans, financial objectives, dividend payments, stock repurchases, growth of the Company’s business and operations, including future cash flows, revenues, and earnings, and other such matters, are forward-looking statements. These forward-looking statements are based on many assumptions and factors which are detailed in the Company’s filings with the U.S. Securities and Exchange Commission.</w:t>
      </w:r>
    </w:p>
    <w:p>
      <w:pPr>
        <w:spacing w:after="0" w:line="178"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These forward-looking statements are based largely on our expectations and judgments and are subject to a number of risks and uncertainties, many of which are unforeseeable and beyond our control. For additional discussion on risks and uncertainties that may affect forward-looking statements, see “Risk Factors” in Part I, Item 1A. Any changes in such assumptions or factors could produce significantly different results. The Company undertakes no obligation to update forward-looking statements, whether as a result of new information, future events, or otherwise.</w:t>
      </w:r>
    </w:p>
    <w:p>
      <w:pPr>
        <w:spacing w:after="0" w:line="15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Business Overview</w:t>
      </w:r>
    </w:p>
    <w:p>
      <w:pPr>
        <w:spacing w:after="0" w:line="203"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Foot Locker, Inc., through its subsidiaries, operates in two reportable segments — Athletic Stores and Direct-to-Customers. The Athletic Stores segment is one of the largest athletic footwear and apparel retailers in the world, with formats that include Foot Locker, Kids Foot Locker, Lady Foot Locker, Champs Sports, Footaction, Runners Point, Sidestep, and SIX:02. The Direct-to-Customers segment includes Footlocker.com, Inc. and other affiliates, including Eastbay, Inc., and our international e-commerce businesses, which sell to customers through their Internet and mobile sites and catalogs.</w:t>
      </w:r>
    </w:p>
    <w:p>
      <w:pPr>
        <w:spacing w:after="0" w:line="175"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 xml:space="preserve">The Foot Locker brand is one of the most widely recognized names in the markets in which we operate, epitomizing premium quality for the active lifestyle customer. This brand equity has aided our ability to successfully develop and increase our portfolio of complementary retail store formats, such as Lady Foot Locker and Kids Foot Locker, as well as Footlocker.com, part of our direct-to-customer business. Through various marketing channels and experiences, including social, digital, broadcast, and print media, as well as various sports sponsorships and events, we reinforce our image with a consistent message </w:t>
      </w:r>
      <w:r>
        <w:rPr>
          <w:rFonts w:ascii="Arial" w:cs="Arial" w:eastAsia="Arial" w:hAnsi="Arial"/>
          <w:sz w:val="17"/>
          <w:szCs w:val="17"/>
          <w:i w:val="1"/>
          <w:iCs w:val="1"/>
          <w:color w:val="auto"/>
        </w:rPr>
        <w:t>—</w:t>
      </w:r>
      <w:r>
        <w:rPr>
          <w:rFonts w:ascii="Arial" w:cs="Arial" w:eastAsia="Arial" w:hAnsi="Arial"/>
          <w:sz w:val="17"/>
          <w:szCs w:val="17"/>
          <w:color w:val="auto"/>
        </w:rPr>
        <w:t xml:space="preserve"> namely, that we are the destination for premium athletically-inspired shoes and apparel with a wide selection of merchandise in a full-service environment.</w:t>
      </w:r>
    </w:p>
    <w:p>
      <w:pPr>
        <w:spacing w:after="0" w:line="151" w:lineRule="exact"/>
        <w:rPr>
          <w:sz w:val="20"/>
          <w:szCs w:val="20"/>
          <w:color w:val="auto"/>
        </w:rPr>
      </w:pPr>
    </w:p>
    <w:tbl>
      <w:tblPr>
        <w:tblLayout w:type="fixed"/>
        <w:tblInd w:w="100" w:type="dxa"/>
        <w:tblCellMar>
          <w:top w:w="0" w:type="dxa"/>
          <w:left w:w="0" w:type="dxa"/>
          <w:bottom w:w="0" w:type="dxa"/>
          <w:right w:w="0" w:type="dxa"/>
        </w:tblCellMar>
      </w:tblPr>
      <w:tr>
        <w:trPr>
          <w:trHeight w:val="195"/>
        </w:trPr>
        <w:tc>
          <w:tcPr>
            <w:tcW w:w="1820" w:type="dxa"/>
            <w:vAlign w:val="bottom"/>
            <w:gridSpan w:val="2"/>
          </w:tcPr>
          <w:p>
            <w:pPr>
              <w:spacing w:after="0"/>
              <w:rPr>
                <w:sz w:val="20"/>
                <w:szCs w:val="20"/>
                <w:color w:val="auto"/>
              </w:rPr>
            </w:pPr>
            <w:r>
              <w:rPr>
                <w:rFonts w:ascii="Arial" w:cs="Arial" w:eastAsia="Arial" w:hAnsi="Arial"/>
                <w:sz w:val="17"/>
                <w:szCs w:val="17"/>
                <w:i w:val="1"/>
                <w:iCs w:val="1"/>
                <w:color w:val="auto"/>
              </w:rPr>
              <w:t>Store Profile</w:t>
            </w:r>
          </w:p>
        </w:tc>
        <w:tc>
          <w:tcPr>
            <w:tcW w:w="1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940" w:type="dxa"/>
            <w:vAlign w:val="bottom"/>
            <w:tcBorders>
              <w:top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right"/>
              <w:ind w:right="135"/>
              <w:spacing w:after="0"/>
              <w:rPr>
                <w:sz w:val="20"/>
                <w:szCs w:val="20"/>
                <w:color w:val="auto"/>
              </w:rPr>
            </w:pPr>
            <w:r>
              <w:rPr>
                <w:rFonts w:ascii="Arial" w:cs="Arial" w:eastAsia="Arial" w:hAnsi="Arial"/>
                <w:sz w:val="17"/>
                <w:szCs w:val="17"/>
                <w:b w:val="1"/>
                <w:bCs w:val="1"/>
                <w:color w:val="auto"/>
              </w:rPr>
              <w:t>Square Footage</w:t>
            </w:r>
          </w:p>
        </w:tc>
        <w:tc>
          <w:tcPr>
            <w:tcW w:w="0" w:type="dxa"/>
            <w:vAlign w:val="bottom"/>
          </w:tcPr>
          <w:p>
            <w:pPr>
              <w:spacing w:after="0"/>
              <w:rPr>
                <w:sz w:val="1"/>
                <w:szCs w:val="1"/>
                <w:color w:val="auto"/>
              </w:rPr>
            </w:pPr>
          </w:p>
        </w:tc>
      </w:tr>
      <w:tr>
        <w:trPr>
          <w:trHeight w:val="219"/>
        </w:trPr>
        <w:tc>
          <w:tcPr>
            <w:tcW w:w="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January 28,</w:t>
            </w: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b w:val="1"/>
                <w:bCs w:val="1"/>
                <w:color w:val="auto"/>
              </w:rPr>
              <w:t>February 3,</w:t>
            </w:r>
          </w:p>
        </w:tc>
        <w:tc>
          <w:tcPr>
            <w:tcW w:w="120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8"/>
              </w:rPr>
              <w:t>Relocations/</w:t>
            </w:r>
          </w:p>
        </w:tc>
        <w:tc>
          <w:tcPr>
            <w:tcW w:w="1680" w:type="dxa"/>
            <w:vAlign w:val="bottom"/>
            <w:gridSpan w:val="2"/>
          </w:tcPr>
          <w:p>
            <w:pPr>
              <w:jc w:val="right"/>
              <w:ind w:right="195"/>
              <w:spacing w:after="0"/>
              <w:rPr>
                <w:sz w:val="20"/>
                <w:szCs w:val="20"/>
                <w:color w:val="auto"/>
              </w:rPr>
            </w:pPr>
            <w:r>
              <w:rPr>
                <w:rFonts w:ascii="Arial" w:cs="Arial" w:eastAsia="Arial" w:hAnsi="Arial"/>
                <w:sz w:val="17"/>
                <w:szCs w:val="17"/>
                <w:b w:val="1"/>
                <w:bCs w:val="1"/>
                <w:color w:val="auto"/>
              </w:rPr>
              <w:t>(in thousands)</w:t>
            </w:r>
          </w:p>
        </w:tc>
        <w:tc>
          <w:tcPr>
            <w:tcW w:w="0" w:type="dxa"/>
            <w:vAlign w:val="bottom"/>
          </w:tcPr>
          <w:p>
            <w:pPr>
              <w:spacing w:after="0"/>
              <w:rPr>
                <w:sz w:val="1"/>
                <w:szCs w:val="1"/>
                <w:color w:val="auto"/>
              </w:rPr>
            </w:pPr>
          </w:p>
        </w:tc>
      </w:tr>
      <w:tr>
        <w:trPr>
          <w:trHeight w:val="220"/>
        </w:trPr>
        <w:tc>
          <w:tcPr>
            <w:tcW w:w="9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2017</w:t>
            </w:r>
          </w:p>
        </w:tc>
        <w:tc>
          <w:tcPr>
            <w:tcW w:w="9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Opened</w:t>
            </w:r>
          </w:p>
        </w:tc>
        <w:tc>
          <w:tcPr>
            <w:tcW w:w="8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Closed</w:t>
            </w:r>
          </w:p>
        </w:tc>
        <w:tc>
          <w:tcPr>
            <w:tcW w:w="110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2018</w:t>
            </w:r>
          </w:p>
        </w:tc>
        <w:tc>
          <w:tcPr>
            <w:tcW w:w="12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7"/>
                <w:szCs w:val="17"/>
                <w:b w:val="1"/>
                <w:bCs w:val="1"/>
                <w:color w:val="auto"/>
                <w:w w:val="98"/>
              </w:rPr>
              <w:t>Remodels</w:t>
            </w:r>
          </w:p>
        </w:tc>
        <w:tc>
          <w:tcPr>
            <w:tcW w:w="8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Selling</w:t>
            </w:r>
          </w:p>
        </w:tc>
        <w:tc>
          <w:tcPr>
            <w:tcW w:w="8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Gross</w:t>
            </w:r>
          </w:p>
        </w:tc>
        <w:tc>
          <w:tcPr>
            <w:tcW w:w="0" w:type="dxa"/>
            <w:vAlign w:val="bottom"/>
          </w:tcPr>
          <w:p>
            <w:pPr>
              <w:spacing w:after="0"/>
              <w:rPr>
                <w:sz w:val="1"/>
                <w:szCs w:val="1"/>
                <w:color w:val="auto"/>
              </w:rPr>
            </w:pPr>
          </w:p>
        </w:tc>
      </w:tr>
      <w:tr>
        <w:trPr>
          <w:trHeight w:val="210"/>
        </w:trPr>
        <w:tc>
          <w:tcPr>
            <w:tcW w:w="1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Foot Locker U.S.</w:t>
            </w:r>
          </w:p>
        </w:tc>
        <w:tc>
          <w:tcPr>
            <w:tcW w:w="1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948</w:t>
            </w: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4</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910</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44</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2,430</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4,225</w:t>
            </w:r>
          </w:p>
        </w:tc>
        <w:tc>
          <w:tcPr>
            <w:tcW w:w="0" w:type="dxa"/>
            <w:vAlign w:val="bottom"/>
          </w:tcPr>
          <w:p>
            <w:pPr>
              <w:spacing w:after="0"/>
              <w:rPr>
                <w:sz w:val="1"/>
                <w:szCs w:val="1"/>
                <w:color w:val="auto"/>
              </w:rPr>
            </w:pPr>
          </w:p>
        </w:tc>
      </w:tr>
      <w:tr>
        <w:trPr>
          <w:trHeight w:val="230"/>
        </w:trPr>
        <w:tc>
          <w:tcPr>
            <w:tcW w:w="1820" w:type="dxa"/>
            <w:vAlign w:val="bottom"/>
            <w:gridSpan w:val="2"/>
          </w:tcPr>
          <w:p>
            <w:pPr>
              <w:spacing w:after="0"/>
              <w:rPr>
                <w:sz w:val="20"/>
                <w:szCs w:val="20"/>
                <w:color w:val="auto"/>
              </w:rPr>
            </w:pPr>
            <w:r>
              <w:rPr>
                <w:rFonts w:ascii="Arial" w:cs="Arial" w:eastAsia="Arial" w:hAnsi="Arial"/>
                <w:sz w:val="17"/>
                <w:szCs w:val="17"/>
                <w:color w:val="auto"/>
              </w:rPr>
              <w:t>Foot Locker Europe</w:t>
            </w: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622</w:t>
            </w:r>
          </w:p>
        </w:tc>
        <w:tc>
          <w:tcPr>
            <w:tcW w:w="940" w:type="dxa"/>
            <w:vAlign w:val="bottom"/>
          </w:tcPr>
          <w:p>
            <w:pPr>
              <w:jc w:val="right"/>
              <w:ind w:right="55"/>
              <w:spacing w:after="0"/>
              <w:rPr>
                <w:sz w:val="20"/>
                <w:szCs w:val="20"/>
                <w:color w:val="auto"/>
              </w:rPr>
            </w:pPr>
            <w:r>
              <w:rPr>
                <w:rFonts w:ascii="Arial" w:cs="Arial" w:eastAsia="Arial" w:hAnsi="Arial"/>
                <w:sz w:val="17"/>
                <w:szCs w:val="17"/>
                <w:color w:val="auto"/>
              </w:rPr>
              <w:t>24</w:t>
            </w:r>
          </w:p>
        </w:tc>
        <w:tc>
          <w:tcPr>
            <w:tcW w:w="820" w:type="dxa"/>
            <w:vAlign w:val="bottom"/>
          </w:tcPr>
          <w:p>
            <w:pPr>
              <w:jc w:val="right"/>
              <w:spacing w:after="0"/>
              <w:rPr>
                <w:sz w:val="20"/>
                <w:szCs w:val="20"/>
                <w:color w:val="auto"/>
              </w:rPr>
            </w:pPr>
            <w:r>
              <w:rPr>
                <w:rFonts w:ascii="Arial" w:cs="Arial" w:eastAsia="Arial" w:hAnsi="Arial"/>
                <w:sz w:val="17"/>
                <w:szCs w:val="17"/>
                <w:color w:val="auto"/>
              </w:rPr>
              <w:t>10</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636</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47</w:t>
            </w:r>
          </w:p>
        </w:tc>
        <w:tc>
          <w:tcPr>
            <w:tcW w:w="8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b w:val="1"/>
                <w:bCs w:val="1"/>
                <w:color w:val="auto"/>
              </w:rPr>
              <w:t>957</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2,071</w:t>
            </w:r>
          </w:p>
        </w:tc>
        <w:tc>
          <w:tcPr>
            <w:tcW w:w="0" w:type="dxa"/>
            <w:vAlign w:val="bottom"/>
          </w:tcPr>
          <w:p>
            <w:pPr>
              <w:spacing w:after="0"/>
              <w:rPr>
                <w:sz w:val="1"/>
                <w:szCs w:val="1"/>
                <w:color w:val="auto"/>
              </w:rPr>
            </w:pPr>
          </w:p>
        </w:tc>
      </w:tr>
      <w:tr>
        <w:trPr>
          <w:trHeight w:val="230"/>
        </w:trPr>
        <w:tc>
          <w:tcPr>
            <w:tcW w:w="1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Foot Locker Canada</w:t>
            </w:r>
          </w:p>
        </w:tc>
        <w:tc>
          <w:tcPr>
            <w:tcW w:w="1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119</w:t>
            </w: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111</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264</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431</w:t>
            </w:r>
          </w:p>
        </w:tc>
        <w:tc>
          <w:tcPr>
            <w:tcW w:w="0" w:type="dxa"/>
            <w:vAlign w:val="bottom"/>
          </w:tcPr>
          <w:p>
            <w:pPr>
              <w:spacing w:after="0"/>
              <w:rPr>
                <w:sz w:val="1"/>
                <w:szCs w:val="1"/>
                <w:color w:val="auto"/>
              </w:rPr>
            </w:pPr>
          </w:p>
        </w:tc>
      </w:tr>
      <w:tr>
        <w:trPr>
          <w:trHeight w:val="183"/>
        </w:trPr>
        <w:tc>
          <w:tcPr>
            <w:tcW w:w="1820" w:type="dxa"/>
            <w:vAlign w:val="bottom"/>
            <w:gridSpan w:val="2"/>
          </w:tcPr>
          <w:p>
            <w:pPr>
              <w:spacing w:after="0" w:line="183" w:lineRule="exact"/>
              <w:rPr>
                <w:sz w:val="20"/>
                <w:szCs w:val="20"/>
                <w:color w:val="auto"/>
              </w:rPr>
            </w:pPr>
            <w:r>
              <w:rPr>
                <w:rFonts w:ascii="Arial" w:cs="Arial" w:eastAsia="Arial" w:hAnsi="Arial"/>
                <w:sz w:val="17"/>
                <w:szCs w:val="17"/>
                <w:color w:val="auto"/>
              </w:rPr>
              <w:t>Foot Locker Asia</w:t>
            </w:r>
          </w:p>
        </w:tc>
        <w:tc>
          <w:tcPr>
            <w:tcW w:w="1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98</w:t>
            </w:r>
          </w:p>
        </w:tc>
        <w:tc>
          <w:tcPr>
            <w:tcW w:w="11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9</w:t>
            </w:r>
          </w:p>
        </w:tc>
        <w:tc>
          <w:tcPr>
            <w:tcW w:w="80" w:type="dxa"/>
            <w:vAlign w:val="bottom"/>
          </w:tcPr>
          <w:p>
            <w:pPr>
              <w:spacing w:after="0"/>
              <w:rPr>
                <w:sz w:val="15"/>
                <w:szCs w:val="15"/>
                <w:color w:val="auto"/>
              </w:rPr>
            </w:pPr>
          </w:p>
        </w:tc>
        <w:tc>
          <w:tcPr>
            <w:tcW w:w="88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140</w:t>
            </w:r>
          </w:p>
        </w:tc>
        <w:tc>
          <w:tcPr>
            <w:tcW w:w="8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230</w:t>
            </w:r>
          </w:p>
        </w:tc>
        <w:tc>
          <w:tcPr>
            <w:tcW w:w="0" w:type="dxa"/>
            <w:vAlign w:val="bottom"/>
          </w:tcPr>
          <w:p>
            <w:pPr>
              <w:spacing w:after="0"/>
              <w:rPr>
                <w:sz w:val="1"/>
                <w:szCs w:val="1"/>
                <w:color w:val="auto"/>
              </w:rPr>
            </w:pPr>
          </w:p>
        </w:tc>
      </w:tr>
      <w:tr>
        <w:trPr>
          <w:trHeight w:val="195"/>
        </w:trPr>
        <w:tc>
          <w:tcPr>
            <w:tcW w:w="1820" w:type="dxa"/>
            <w:vAlign w:val="bottom"/>
            <w:gridSpan w:val="2"/>
          </w:tcPr>
          <w:p>
            <w:pPr>
              <w:spacing w:after="0"/>
              <w:rPr>
                <w:sz w:val="20"/>
                <w:szCs w:val="20"/>
                <w:color w:val="auto"/>
              </w:rPr>
            </w:pPr>
            <w:r>
              <w:rPr>
                <w:rFonts w:ascii="Arial" w:cs="Arial" w:eastAsia="Arial" w:hAnsi="Arial"/>
                <w:sz w:val="17"/>
                <w:szCs w:val="17"/>
                <w:color w:val="auto"/>
              </w:rPr>
              <w:t>Pacific</w:t>
            </w: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95</w:t>
            </w:r>
          </w:p>
        </w:tc>
        <w:tc>
          <w:tcPr>
            <w:tcW w:w="940" w:type="dxa"/>
            <w:vAlign w:val="bottom"/>
          </w:tcPr>
          <w:p>
            <w:pPr>
              <w:jc w:val="right"/>
              <w:ind w:right="55"/>
              <w:spacing w:after="0"/>
              <w:rPr>
                <w:sz w:val="20"/>
                <w:szCs w:val="20"/>
                <w:color w:val="auto"/>
              </w:rPr>
            </w:pPr>
            <w:r>
              <w:rPr>
                <w:rFonts w:ascii="Arial" w:cs="Arial" w:eastAsia="Arial" w:hAnsi="Arial"/>
                <w:sz w:val="17"/>
                <w:szCs w:val="17"/>
                <w:color w:val="auto"/>
              </w:rPr>
              <w:t>5</w:t>
            </w:r>
          </w:p>
        </w:tc>
        <w:tc>
          <w:tcPr>
            <w:tcW w:w="820" w:type="dxa"/>
            <w:vAlign w:val="bottom"/>
          </w:tcPr>
          <w:p>
            <w:pPr>
              <w:jc w:val="right"/>
              <w:spacing w:after="0"/>
              <w:rPr>
                <w:sz w:val="20"/>
                <w:szCs w:val="20"/>
                <w:color w:val="auto"/>
              </w:rPr>
            </w:pPr>
            <w:r>
              <w:rPr>
                <w:rFonts w:ascii="Arial" w:cs="Arial" w:eastAsia="Arial" w:hAnsi="Arial"/>
                <w:sz w:val="17"/>
                <w:szCs w:val="17"/>
                <w:color w:val="auto"/>
              </w:rPr>
              <w:t>2</w:t>
            </w:r>
          </w:p>
        </w:tc>
        <w:tc>
          <w:tcPr>
            <w:tcW w:w="110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Kids Foot Locker</w:t>
            </w:r>
          </w:p>
        </w:tc>
        <w:tc>
          <w:tcPr>
            <w:tcW w:w="1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411</w:t>
            </w: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39</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436</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25</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747</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1,285</w:t>
            </w:r>
          </w:p>
        </w:tc>
        <w:tc>
          <w:tcPr>
            <w:tcW w:w="0" w:type="dxa"/>
            <w:vAlign w:val="bottom"/>
          </w:tcPr>
          <w:p>
            <w:pPr>
              <w:spacing w:after="0"/>
              <w:rPr>
                <w:sz w:val="1"/>
                <w:szCs w:val="1"/>
                <w:color w:val="auto"/>
              </w:rPr>
            </w:pPr>
          </w:p>
        </w:tc>
      </w:tr>
      <w:tr>
        <w:trPr>
          <w:trHeight w:val="230"/>
        </w:trPr>
        <w:tc>
          <w:tcPr>
            <w:tcW w:w="1820" w:type="dxa"/>
            <w:vAlign w:val="bottom"/>
            <w:gridSpan w:val="2"/>
          </w:tcPr>
          <w:p>
            <w:pPr>
              <w:spacing w:after="0"/>
              <w:rPr>
                <w:sz w:val="20"/>
                <w:szCs w:val="20"/>
                <w:color w:val="auto"/>
              </w:rPr>
            </w:pPr>
            <w:r>
              <w:rPr>
                <w:rFonts w:ascii="Arial" w:cs="Arial" w:eastAsia="Arial" w:hAnsi="Arial"/>
                <w:sz w:val="17"/>
                <w:szCs w:val="17"/>
                <w:color w:val="auto"/>
              </w:rPr>
              <w:t>Lady Foot Locker</w:t>
            </w: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124</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39</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85</w:t>
            </w:r>
          </w:p>
        </w:tc>
        <w:tc>
          <w:tcPr>
            <w:tcW w:w="1200" w:type="dxa"/>
            <w:vAlign w:val="bottom"/>
            <w:gridSpan w:val="2"/>
          </w:tcPr>
          <w:p>
            <w:pPr>
              <w:ind w:left="960"/>
              <w:spacing w:after="0"/>
              <w:rPr>
                <w:sz w:val="20"/>
                <w:szCs w:val="20"/>
                <w:color w:val="auto"/>
              </w:rPr>
            </w:pPr>
            <w:r>
              <w:rPr>
                <w:rFonts w:ascii="Arial" w:cs="Arial" w:eastAsia="Arial" w:hAnsi="Arial"/>
                <w:sz w:val="17"/>
                <w:szCs w:val="17"/>
                <w:b w:val="1"/>
                <w:bCs w:val="1"/>
                <w:color w:val="auto"/>
              </w:rPr>
              <w:t>—</w:t>
            </w:r>
          </w:p>
        </w:tc>
        <w:tc>
          <w:tcPr>
            <w:tcW w:w="880" w:type="dxa"/>
            <w:vAlign w:val="bottom"/>
          </w:tcPr>
          <w:p>
            <w:pPr>
              <w:jc w:val="right"/>
              <w:ind w:right="35"/>
              <w:spacing w:after="0"/>
              <w:rPr>
                <w:sz w:val="20"/>
                <w:szCs w:val="20"/>
                <w:color w:val="auto"/>
              </w:rPr>
            </w:pPr>
            <w:r>
              <w:rPr>
                <w:rFonts w:ascii="Arial" w:cs="Arial" w:eastAsia="Arial" w:hAnsi="Arial"/>
                <w:sz w:val="17"/>
                <w:szCs w:val="17"/>
                <w:b w:val="1"/>
                <w:bCs w:val="1"/>
                <w:color w:val="auto"/>
              </w:rPr>
              <w:t>115</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195</w:t>
            </w:r>
          </w:p>
        </w:tc>
        <w:tc>
          <w:tcPr>
            <w:tcW w:w="0" w:type="dxa"/>
            <w:vAlign w:val="bottom"/>
          </w:tcPr>
          <w:p>
            <w:pPr>
              <w:spacing w:after="0"/>
              <w:rPr>
                <w:sz w:val="1"/>
                <w:szCs w:val="1"/>
                <w:color w:val="auto"/>
              </w:rPr>
            </w:pPr>
          </w:p>
        </w:tc>
      </w:tr>
      <w:tr>
        <w:trPr>
          <w:trHeight w:val="230"/>
        </w:trPr>
        <w:tc>
          <w:tcPr>
            <w:tcW w:w="1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Champs Sports</w:t>
            </w:r>
          </w:p>
        </w:tc>
        <w:tc>
          <w:tcPr>
            <w:tcW w:w="1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545</w:t>
            </w: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4</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541</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23</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1,934</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2,994</w:t>
            </w:r>
          </w:p>
        </w:tc>
        <w:tc>
          <w:tcPr>
            <w:tcW w:w="0" w:type="dxa"/>
            <w:vAlign w:val="bottom"/>
          </w:tcPr>
          <w:p>
            <w:pPr>
              <w:spacing w:after="0"/>
              <w:rPr>
                <w:sz w:val="1"/>
                <w:szCs w:val="1"/>
                <w:color w:val="auto"/>
              </w:rPr>
            </w:pPr>
          </w:p>
        </w:tc>
      </w:tr>
      <w:tr>
        <w:trPr>
          <w:trHeight w:val="230"/>
        </w:trPr>
        <w:tc>
          <w:tcPr>
            <w:tcW w:w="1820" w:type="dxa"/>
            <w:vAlign w:val="bottom"/>
            <w:gridSpan w:val="2"/>
          </w:tcPr>
          <w:p>
            <w:pPr>
              <w:spacing w:after="0"/>
              <w:rPr>
                <w:sz w:val="20"/>
                <w:szCs w:val="20"/>
                <w:color w:val="auto"/>
              </w:rPr>
            </w:pPr>
            <w:r>
              <w:rPr>
                <w:rFonts w:ascii="Arial" w:cs="Arial" w:eastAsia="Arial" w:hAnsi="Arial"/>
                <w:sz w:val="17"/>
                <w:szCs w:val="17"/>
                <w:color w:val="auto"/>
              </w:rPr>
              <w:t>Footaction</w:t>
            </w: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261</w:t>
            </w:r>
          </w:p>
        </w:tc>
        <w:tc>
          <w:tcPr>
            <w:tcW w:w="940" w:type="dxa"/>
            <w:vAlign w:val="bottom"/>
          </w:tcPr>
          <w:p>
            <w:pPr>
              <w:jc w:val="right"/>
              <w:ind w:right="55"/>
              <w:spacing w:after="0"/>
              <w:rPr>
                <w:sz w:val="20"/>
                <w:szCs w:val="20"/>
                <w:color w:val="auto"/>
              </w:rPr>
            </w:pPr>
            <w:r>
              <w:rPr>
                <w:rFonts w:ascii="Arial" w:cs="Arial" w:eastAsia="Arial" w:hAnsi="Arial"/>
                <w:sz w:val="17"/>
                <w:szCs w:val="17"/>
                <w:color w:val="auto"/>
              </w:rPr>
              <w:t>13</w:t>
            </w:r>
          </w:p>
        </w:tc>
        <w:tc>
          <w:tcPr>
            <w:tcW w:w="820" w:type="dxa"/>
            <w:vAlign w:val="bottom"/>
          </w:tcPr>
          <w:p>
            <w:pPr>
              <w:jc w:val="right"/>
              <w:spacing w:after="0"/>
              <w:rPr>
                <w:sz w:val="20"/>
                <w:szCs w:val="20"/>
                <w:color w:val="auto"/>
              </w:rPr>
            </w:pPr>
            <w:r>
              <w:rPr>
                <w:rFonts w:ascii="Arial" w:cs="Arial" w:eastAsia="Arial" w:hAnsi="Arial"/>
                <w:sz w:val="17"/>
                <w:szCs w:val="17"/>
                <w:color w:val="auto"/>
              </w:rPr>
              <w:t>14</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260</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21</w:t>
            </w:r>
          </w:p>
        </w:tc>
        <w:tc>
          <w:tcPr>
            <w:tcW w:w="8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b w:val="1"/>
                <w:bCs w:val="1"/>
                <w:color w:val="auto"/>
              </w:rPr>
              <w:t>829</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1,374</w:t>
            </w:r>
          </w:p>
        </w:tc>
        <w:tc>
          <w:tcPr>
            <w:tcW w:w="0" w:type="dxa"/>
            <w:vAlign w:val="bottom"/>
          </w:tcPr>
          <w:p>
            <w:pPr>
              <w:spacing w:after="0"/>
              <w:rPr>
                <w:sz w:val="1"/>
                <w:szCs w:val="1"/>
                <w:color w:val="auto"/>
              </w:rPr>
            </w:pPr>
          </w:p>
        </w:tc>
      </w:tr>
      <w:tr>
        <w:trPr>
          <w:trHeight w:val="230"/>
        </w:trPr>
        <w:tc>
          <w:tcPr>
            <w:tcW w:w="1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Runners Point</w:t>
            </w:r>
          </w:p>
        </w:tc>
        <w:tc>
          <w:tcPr>
            <w:tcW w:w="1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122</w:t>
            </w: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118</w:t>
            </w:r>
          </w:p>
        </w:tc>
        <w:tc>
          <w:tcPr>
            <w:tcW w:w="1200" w:type="dxa"/>
            <w:vAlign w:val="bottom"/>
            <w:gridSpan w:val="2"/>
            <w:shd w:val="clear" w:color="auto" w:fill="CCEEFF"/>
          </w:tcPr>
          <w:p>
            <w:pPr>
              <w:ind w:left="960"/>
              <w:spacing w:after="0"/>
              <w:rPr>
                <w:sz w:val="20"/>
                <w:szCs w:val="20"/>
                <w:color w:val="auto"/>
              </w:rPr>
            </w:pPr>
            <w:r>
              <w:rPr>
                <w:rFonts w:ascii="Arial" w:cs="Arial" w:eastAsia="Arial" w:hAnsi="Arial"/>
                <w:sz w:val="17"/>
                <w:szCs w:val="17"/>
                <w:b w:val="1"/>
                <w:bCs w:val="1"/>
                <w:color w:val="auto"/>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150</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258</w:t>
            </w:r>
          </w:p>
        </w:tc>
        <w:tc>
          <w:tcPr>
            <w:tcW w:w="0" w:type="dxa"/>
            <w:vAlign w:val="bottom"/>
          </w:tcPr>
          <w:p>
            <w:pPr>
              <w:spacing w:after="0"/>
              <w:rPr>
                <w:sz w:val="1"/>
                <w:szCs w:val="1"/>
                <w:color w:val="auto"/>
              </w:rPr>
            </w:pPr>
          </w:p>
        </w:tc>
      </w:tr>
      <w:tr>
        <w:trPr>
          <w:trHeight w:val="230"/>
        </w:trPr>
        <w:tc>
          <w:tcPr>
            <w:tcW w:w="1820" w:type="dxa"/>
            <w:vAlign w:val="bottom"/>
            <w:gridSpan w:val="2"/>
          </w:tcPr>
          <w:p>
            <w:pPr>
              <w:spacing w:after="0"/>
              <w:rPr>
                <w:sz w:val="20"/>
                <w:szCs w:val="20"/>
                <w:color w:val="auto"/>
              </w:rPr>
            </w:pPr>
            <w:r>
              <w:rPr>
                <w:rFonts w:ascii="Arial" w:cs="Arial" w:eastAsia="Arial" w:hAnsi="Arial"/>
                <w:sz w:val="17"/>
                <w:szCs w:val="17"/>
                <w:color w:val="auto"/>
              </w:rPr>
              <w:t>Sidestep</w:t>
            </w: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86</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83</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8</w:t>
            </w:r>
          </w:p>
        </w:tc>
        <w:tc>
          <w:tcPr>
            <w:tcW w:w="8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b w:val="1"/>
                <w:bCs w:val="1"/>
                <w:color w:val="auto"/>
              </w:rPr>
              <w:t>76</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131</w:t>
            </w:r>
          </w:p>
        </w:tc>
        <w:tc>
          <w:tcPr>
            <w:tcW w:w="0" w:type="dxa"/>
            <w:vAlign w:val="bottom"/>
          </w:tcPr>
          <w:p>
            <w:pPr>
              <w:spacing w:after="0"/>
              <w:rPr>
                <w:sz w:val="1"/>
                <w:szCs w:val="1"/>
                <w:color w:val="auto"/>
              </w:rPr>
            </w:pPr>
          </w:p>
        </w:tc>
      </w:tr>
      <w:tr>
        <w:trPr>
          <w:trHeight w:val="230"/>
        </w:trPr>
        <w:tc>
          <w:tcPr>
            <w:tcW w:w="18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SIX:02</w:t>
            </w:r>
          </w:p>
        </w:tc>
        <w:tc>
          <w:tcPr>
            <w:tcW w:w="1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30</w:t>
            </w:r>
          </w:p>
        </w:tc>
        <w:tc>
          <w:tcPr>
            <w:tcW w:w="9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3</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32</w:t>
            </w:r>
          </w:p>
        </w:tc>
        <w:tc>
          <w:tcPr>
            <w:tcW w:w="1200" w:type="dxa"/>
            <w:vAlign w:val="bottom"/>
            <w:tcBorders>
              <w:bottom w:val="single" w:sz="8" w:color="auto"/>
            </w:tcBorders>
            <w:gridSpan w:val="2"/>
            <w:shd w:val="clear" w:color="auto" w:fill="CCEEFF"/>
          </w:tcPr>
          <w:p>
            <w:pPr>
              <w:ind w:left="960"/>
              <w:spacing w:after="0"/>
              <w:rPr>
                <w:sz w:val="20"/>
                <w:szCs w:val="20"/>
                <w:color w:val="auto"/>
              </w:rPr>
            </w:pPr>
            <w:r>
              <w:rPr>
                <w:rFonts w:ascii="Arial" w:cs="Arial" w:eastAsia="Arial" w:hAnsi="Arial"/>
                <w:sz w:val="17"/>
                <w:szCs w:val="17"/>
                <w:b w:val="1"/>
                <w:bCs w:val="1"/>
                <w:color w:val="auto"/>
              </w:rPr>
              <w:t>—</w:t>
            </w: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65</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109</w:t>
            </w:r>
          </w:p>
        </w:tc>
        <w:tc>
          <w:tcPr>
            <w:tcW w:w="0" w:type="dxa"/>
            <w:vAlign w:val="bottom"/>
          </w:tcPr>
          <w:p>
            <w:pPr>
              <w:spacing w:after="0"/>
              <w:rPr>
                <w:sz w:val="1"/>
                <w:szCs w:val="1"/>
                <w:color w:val="auto"/>
              </w:rPr>
            </w:pPr>
          </w:p>
        </w:tc>
      </w:tr>
      <w:tr>
        <w:trPr>
          <w:trHeight w:val="203"/>
        </w:trPr>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Total</w:t>
            </w:r>
          </w:p>
        </w:tc>
        <w:tc>
          <w:tcPr>
            <w:tcW w:w="12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3,363</w:t>
            </w: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94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3,310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183</w:t>
            </w: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7,707</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13,303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56" w:right="1440" w:bottom="1440" w:gutter="0" w:footer="0" w:header="0"/>
        </w:sectPr>
      </w:pPr>
    </w:p>
    <w:bookmarkStart w:id="16" w:name="page17"/>
    <w:bookmarkEnd w:id="16"/>
    <w:p>
      <w:pPr>
        <w:ind w:left="100"/>
        <w:spacing w:after="0"/>
        <w:rPr>
          <w:sz w:val="20"/>
          <w:szCs w:val="20"/>
          <w:color w:val="auto"/>
        </w:rPr>
      </w:pPr>
      <w:r>
        <w:rPr>
          <w:rFonts w:ascii="Arial" w:cs="Arial" w:eastAsia="Arial" w:hAnsi="Arial"/>
          <w:sz w:val="17"/>
          <w:szCs w:val="17"/>
          <w:i w:val="1"/>
          <w:iCs w:val="1"/>
          <w:u w:val="single" w:color="auto"/>
          <w:color w:val="auto"/>
        </w:rPr>
        <w:t>Athletic Stores</w:t>
      </w:r>
    </w:p>
    <w:p>
      <w:pPr>
        <w:spacing w:after="0" w:line="201"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We operated 3,310 stores in the Athletic Stores segment as of the end of 2017. The following is a brief description of the Athletic Stores segment’s operating businesses:</w:t>
      </w:r>
    </w:p>
    <w:p>
      <w:pPr>
        <w:spacing w:after="0" w:line="153"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i w:val="1"/>
          <w:iCs w:val="1"/>
          <w:color w:val="auto"/>
        </w:rPr>
        <w:t xml:space="preserve">Foot Locker — </w:t>
      </w:r>
      <w:r>
        <w:rPr>
          <w:rFonts w:ascii="Arial" w:cs="Arial" w:eastAsia="Arial" w:hAnsi="Arial"/>
          <w:sz w:val="17"/>
          <w:szCs w:val="17"/>
          <w:color w:val="auto"/>
        </w:rPr>
        <w:t>Foot Locker is a leading global youth culture brand that connects the sneaker obsessed consumer</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most innovative and culturally relevant sneakers and apparel. Across all of our consumer touchpoints (stores, websites, mobile apps, social media), Foot Locker enables consumers to fulfill their desire to be part of sneaker and youth culture. We curate special product assortments and marketing content that supports our premium position – from leading global brands such as Nike, Jordan, adidas, and Puma, as well as new and emerging brands in the athletic and lifestyle space. We connect emotionally with our consumers through a combination of global brand events and highly targeted and personalized experiences in local markets. Foot Locker’s 1,755 stores are located in 24 countries including 910 in the United States, Puerto Rico, U.S. Virgin Islands, and Guam, 111 in Canada, 636 in Europe, and a combined 98 in Australia and New Zealand. Our domestic stores have an average of 2,700 selling square feet and our international stores have an average of 1,600 selling square feet.</w:t>
      </w:r>
    </w:p>
    <w:p>
      <w:pPr>
        <w:spacing w:after="0" w:line="158" w:lineRule="exact"/>
        <w:rPr>
          <w:sz w:val="20"/>
          <w:szCs w:val="20"/>
          <w:color w:val="auto"/>
        </w:rPr>
      </w:pPr>
    </w:p>
    <w:p>
      <w:pPr>
        <w:jc w:val="both"/>
        <w:ind w:left="100" w:right="99"/>
        <w:spacing w:after="0"/>
        <w:rPr>
          <w:sz w:val="20"/>
          <w:szCs w:val="20"/>
          <w:color w:val="auto"/>
        </w:rPr>
      </w:pPr>
      <w:r>
        <w:rPr>
          <w:rFonts w:ascii="Arial" w:cs="Arial" w:eastAsia="Arial" w:hAnsi="Arial"/>
          <w:sz w:val="17"/>
          <w:szCs w:val="17"/>
          <w:i w:val="1"/>
          <w:iCs w:val="1"/>
          <w:color w:val="auto"/>
        </w:rPr>
        <w:t xml:space="preserve">Kids Foot Locker — </w:t>
      </w:r>
      <w:r>
        <w:rPr>
          <w:rFonts w:ascii="Arial" w:cs="Arial" w:eastAsia="Arial" w:hAnsi="Arial"/>
          <w:sz w:val="17"/>
          <w:szCs w:val="17"/>
          <w:color w:val="auto"/>
        </w:rPr>
        <w:t>Kids Foot Locker offers the largest selection of brand-name athletic footwear, apparel and</w:t>
      </w:r>
      <w:r>
        <w:rPr>
          <w:rFonts w:ascii="Arial" w:cs="Arial" w:eastAsia="Arial" w:hAnsi="Arial"/>
          <w:sz w:val="17"/>
          <w:szCs w:val="17"/>
          <w:i w:val="1"/>
          <w:iCs w:val="1"/>
          <w:color w:val="auto"/>
        </w:rPr>
        <w:t xml:space="preserve"> </w:t>
      </w:r>
      <w:r>
        <w:rPr>
          <w:rFonts w:ascii="Arial" w:cs="Arial" w:eastAsia="Arial" w:hAnsi="Arial"/>
          <w:sz w:val="17"/>
          <w:szCs w:val="17"/>
          <w:color w:val="auto"/>
        </w:rPr>
        <w:t>accessories for children. Our stores, websites and social media channels feature products, content and experiences geared toward youth sneaker culture. Of our 436 stores, 375 are located in the United States, Puerto Rico, and the U.S. Virgin Islands, 40 in Europe, 19 in Canada, and a combined 2 in Australia and New Zealand. These stores have an average of 1,700 selling square feet.</w:t>
      </w:r>
    </w:p>
    <w:p>
      <w:pPr>
        <w:spacing w:after="0" w:line="157"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i w:val="1"/>
          <w:iCs w:val="1"/>
          <w:color w:val="auto"/>
        </w:rPr>
        <w:t xml:space="preserve">Lady Foot Locker — </w:t>
      </w:r>
      <w:r>
        <w:rPr>
          <w:rFonts w:ascii="Arial" w:cs="Arial" w:eastAsia="Arial" w:hAnsi="Arial"/>
          <w:sz w:val="17"/>
          <w:szCs w:val="17"/>
          <w:color w:val="auto"/>
        </w:rPr>
        <w:t>Lady Foot Locker is a U.S. retailer of athletic footwear, apparel, and accessories dedicated to</w:t>
      </w:r>
      <w:r>
        <w:rPr>
          <w:rFonts w:ascii="Arial" w:cs="Arial" w:eastAsia="Arial" w:hAnsi="Arial"/>
          <w:sz w:val="17"/>
          <w:szCs w:val="17"/>
          <w:i w:val="1"/>
          <w:iCs w:val="1"/>
          <w:color w:val="auto"/>
        </w:rPr>
        <w:t xml:space="preserve"> </w:t>
      </w:r>
      <w:r>
        <w:rPr>
          <w:rFonts w:ascii="Arial" w:cs="Arial" w:eastAsia="Arial" w:hAnsi="Arial"/>
          <w:sz w:val="17"/>
          <w:szCs w:val="17"/>
          <w:color w:val="auto"/>
        </w:rPr>
        <w:t>sneaker-obsessed young women. Our stores provide premium sneakers and apparel, carefully selected to reflect the latest styles. Lady Foot Locker operates 85 stores that are located in the United States and Puerto Rico. These stores have an average of 1,400 selling square feet.</w:t>
      </w:r>
    </w:p>
    <w:p>
      <w:pPr>
        <w:spacing w:after="0" w:line="154" w:lineRule="exact"/>
        <w:rPr>
          <w:sz w:val="20"/>
          <w:szCs w:val="20"/>
          <w:color w:val="auto"/>
        </w:rPr>
      </w:pPr>
    </w:p>
    <w:p>
      <w:pPr>
        <w:jc w:val="both"/>
        <w:ind w:left="100" w:right="99"/>
        <w:spacing w:after="0" w:line="239" w:lineRule="auto"/>
        <w:rPr>
          <w:sz w:val="20"/>
          <w:szCs w:val="20"/>
          <w:color w:val="auto"/>
        </w:rPr>
      </w:pPr>
      <w:r>
        <w:rPr>
          <w:rFonts w:ascii="Arial" w:cs="Arial" w:eastAsia="Arial" w:hAnsi="Arial"/>
          <w:sz w:val="17"/>
          <w:szCs w:val="17"/>
          <w:i w:val="1"/>
          <w:iCs w:val="1"/>
          <w:color w:val="auto"/>
        </w:rPr>
        <w:t xml:space="preserve">Champs Sports — </w:t>
      </w:r>
      <w:r>
        <w:rPr>
          <w:rFonts w:ascii="Arial" w:cs="Arial" w:eastAsia="Arial" w:hAnsi="Arial"/>
          <w:sz w:val="17"/>
          <w:szCs w:val="17"/>
          <w:color w:val="auto"/>
        </w:rPr>
        <w:t>Champs Sports is one of the largest mall -based specialty athletic footwear and apparel retailers</w:t>
      </w:r>
      <w:r>
        <w:rPr>
          <w:rFonts w:ascii="Arial" w:cs="Arial" w:eastAsia="Arial" w:hAnsi="Arial"/>
          <w:sz w:val="17"/>
          <w:szCs w:val="17"/>
          <w:i w:val="1"/>
          <w:iCs w:val="1"/>
          <w:color w:val="auto"/>
        </w:rPr>
        <w:t xml:space="preserve"> </w:t>
      </w:r>
      <w:r>
        <w:rPr>
          <w:rFonts w:ascii="Arial" w:cs="Arial" w:eastAsia="Arial" w:hAnsi="Arial"/>
          <w:sz w:val="17"/>
          <w:szCs w:val="17"/>
          <w:color w:val="auto"/>
        </w:rPr>
        <w:t>in North America. With a focus on the lifestyle expression of sport, Champs Sports’ product categories include athletic footwear and apparel, and sport-lifestyle inspired accessories. This assortment allows Champs Sports to offer the best head-to-toe fashion stories representing the most powerful athletic brands, sports teams, and athletes in North America. Of our 541 stores, 512 are located throughout the United States, Puerto Rico, and the U.S. Virgin Islands and 29 in Canada. The Champs Sports stores have an average of 3,600 selling square feet.</w:t>
      </w:r>
    </w:p>
    <w:p>
      <w:pPr>
        <w:spacing w:after="0" w:line="156" w:lineRule="exact"/>
        <w:rPr>
          <w:sz w:val="20"/>
          <w:szCs w:val="20"/>
          <w:color w:val="auto"/>
        </w:rPr>
      </w:pPr>
    </w:p>
    <w:p>
      <w:pPr>
        <w:jc w:val="both"/>
        <w:ind w:left="100" w:right="99"/>
        <w:spacing w:after="0"/>
        <w:rPr>
          <w:sz w:val="20"/>
          <w:szCs w:val="20"/>
          <w:color w:val="auto"/>
        </w:rPr>
      </w:pPr>
      <w:r>
        <w:rPr>
          <w:rFonts w:ascii="Arial" w:cs="Arial" w:eastAsia="Arial" w:hAnsi="Arial"/>
          <w:sz w:val="17"/>
          <w:szCs w:val="17"/>
          <w:i w:val="1"/>
          <w:iCs w:val="1"/>
          <w:color w:val="auto"/>
        </w:rPr>
        <w:t xml:space="preserve">Footaction — </w:t>
      </w:r>
      <w:r>
        <w:rPr>
          <w:rFonts w:ascii="Arial" w:cs="Arial" w:eastAsia="Arial" w:hAnsi="Arial"/>
          <w:sz w:val="17"/>
          <w:szCs w:val="17"/>
          <w:color w:val="auto"/>
        </w:rPr>
        <w:t>Footaction is a North American athletic footwear and apparel retailer that offers the freshest, best</w:t>
      </w:r>
      <w:r>
        <w:rPr>
          <w:rFonts w:ascii="Arial" w:cs="Arial" w:eastAsia="Arial" w:hAnsi="Arial"/>
          <w:sz w:val="17"/>
          <w:szCs w:val="17"/>
          <w:i w:val="1"/>
          <w:iCs w:val="1"/>
          <w:color w:val="auto"/>
        </w:rPr>
        <w:t xml:space="preserve"> </w:t>
      </w:r>
      <w:r>
        <w:rPr>
          <w:rFonts w:ascii="Arial" w:cs="Arial" w:eastAsia="Arial" w:hAnsi="Arial"/>
          <w:sz w:val="17"/>
          <w:szCs w:val="17"/>
          <w:color w:val="auto"/>
        </w:rPr>
        <w:t>edited selection of athletic lifestyle brands and looks. This banner is uniquely positioned at the intersection of sport and style, with a focus on authentic, premium product. The primary consumer is a style-obsessed, confident, influential young male who is always dressed to impress. Of our 260 stores, 258 are located throughout the United States and Puerto Rico and 2 are in Canada. The Footaction stores have an average of 3,200 selling square feet.</w:t>
      </w:r>
    </w:p>
    <w:p>
      <w:pPr>
        <w:spacing w:after="0" w:line="157" w:lineRule="exact"/>
        <w:rPr>
          <w:sz w:val="20"/>
          <w:szCs w:val="20"/>
          <w:color w:val="auto"/>
        </w:rPr>
      </w:pPr>
    </w:p>
    <w:p>
      <w:pPr>
        <w:jc w:val="both"/>
        <w:ind w:left="100" w:right="99"/>
        <w:spacing w:after="0"/>
        <w:rPr>
          <w:sz w:val="20"/>
          <w:szCs w:val="20"/>
          <w:color w:val="auto"/>
        </w:rPr>
      </w:pPr>
      <w:r>
        <w:rPr>
          <w:rFonts w:ascii="Arial" w:cs="Arial" w:eastAsia="Arial" w:hAnsi="Arial"/>
          <w:sz w:val="17"/>
          <w:szCs w:val="17"/>
          <w:i w:val="1"/>
          <w:iCs w:val="1"/>
          <w:color w:val="auto"/>
        </w:rPr>
        <w:t xml:space="preserve">Runners Point — </w:t>
      </w:r>
      <w:r>
        <w:rPr>
          <w:rFonts w:ascii="Arial" w:cs="Arial" w:eastAsia="Arial" w:hAnsi="Arial"/>
          <w:sz w:val="17"/>
          <w:szCs w:val="17"/>
          <w:color w:val="auto"/>
        </w:rPr>
        <w:t>Runners Point specializes in running footwear, apparel, and equipment for both performance and</w:t>
      </w:r>
      <w:r>
        <w:rPr>
          <w:rFonts w:ascii="Arial" w:cs="Arial" w:eastAsia="Arial" w:hAnsi="Arial"/>
          <w:sz w:val="17"/>
          <w:szCs w:val="17"/>
          <w:i w:val="1"/>
          <w:iCs w:val="1"/>
          <w:color w:val="auto"/>
        </w:rPr>
        <w:t xml:space="preserve"> </w:t>
      </w:r>
      <w:r>
        <w:rPr>
          <w:rFonts w:ascii="Arial" w:cs="Arial" w:eastAsia="Arial" w:hAnsi="Arial"/>
          <w:sz w:val="17"/>
          <w:szCs w:val="17"/>
          <w:color w:val="auto"/>
        </w:rPr>
        <w:t>lifestyle purposes. This banner offers athletically inspired premium products and personalized service. Runners Point also caters to local running communities providing technical products, training tips and access to local running and group events, while also serving their lifestyle running needs. Our 118 stores are located in Germany, Austria, and Switzerland. Runners Point stores have an average of 1,300 selling square feet.</w:t>
      </w:r>
    </w:p>
    <w:p>
      <w:pPr>
        <w:spacing w:after="0" w:line="157" w:lineRule="exact"/>
        <w:rPr>
          <w:sz w:val="20"/>
          <w:szCs w:val="20"/>
          <w:color w:val="auto"/>
        </w:rPr>
      </w:pPr>
    </w:p>
    <w:p>
      <w:pPr>
        <w:jc w:val="both"/>
        <w:ind w:left="100" w:right="99"/>
        <w:spacing w:after="0" w:line="248" w:lineRule="auto"/>
        <w:rPr>
          <w:sz w:val="20"/>
          <w:szCs w:val="20"/>
          <w:color w:val="auto"/>
        </w:rPr>
      </w:pPr>
      <w:r>
        <w:rPr>
          <w:rFonts w:ascii="Arial" w:cs="Arial" w:eastAsia="Arial" w:hAnsi="Arial"/>
          <w:sz w:val="17"/>
          <w:szCs w:val="17"/>
          <w:i w:val="1"/>
          <w:iCs w:val="1"/>
          <w:color w:val="auto"/>
        </w:rPr>
        <w:t xml:space="preserve">Sidestep — </w:t>
      </w:r>
      <w:r>
        <w:rPr>
          <w:rFonts w:ascii="Arial" w:cs="Arial" w:eastAsia="Arial" w:hAnsi="Arial"/>
          <w:sz w:val="17"/>
          <w:szCs w:val="17"/>
          <w:color w:val="auto"/>
        </w:rPr>
        <w:t>Sidestep is a predominantly athletic fashion footwear banner. Our 83 stores are located in Germany,</w:t>
      </w:r>
      <w:r>
        <w:rPr>
          <w:rFonts w:ascii="Arial" w:cs="Arial" w:eastAsia="Arial" w:hAnsi="Arial"/>
          <w:sz w:val="17"/>
          <w:szCs w:val="17"/>
          <w:i w:val="1"/>
          <w:iCs w:val="1"/>
          <w:color w:val="auto"/>
        </w:rPr>
        <w:t xml:space="preserve"> </w:t>
      </w:r>
      <w:r>
        <w:rPr>
          <w:rFonts w:ascii="Arial" w:cs="Arial" w:eastAsia="Arial" w:hAnsi="Arial"/>
          <w:sz w:val="17"/>
          <w:szCs w:val="17"/>
          <w:color w:val="auto"/>
        </w:rPr>
        <w:t>Austria, the Netherlands, and Switzerland. Sidestep caters to a more discerning, fashion forward consumer. Sidestep stores have an average of 900 selling square feet.</w:t>
      </w:r>
    </w:p>
    <w:p>
      <w:pPr>
        <w:spacing w:after="0" w:line="150" w:lineRule="exact"/>
        <w:rPr>
          <w:sz w:val="20"/>
          <w:szCs w:val="20"/>
          <w:color w:val="auto"/>
        </w:rPr>
      </w:pPr>
    </w:p>
    <w:p>
      <w:pPr>
        <w:jc w:val="both"/>
        <w:ind w:left="100" w:right="99"/>
        <w:spacing w:after="0" w:line="239" w:lineRule="auto"/>
        <w:rPr>
          <w:sz w:val="20"/>
          <w:szCs w:val="20"/>
          <w:color w:val="auto"/>
        </w:rPr>
      </w:pPr>
      <w:r>
        <w:rPr>
          <w:rFonts w:ascii="Arial" w:cs="Arial" w:eastAsia="Arial" w:hAnsi="Arial"/>
          <w:sz w:val="17"/>
          <w:szCs w:val="17"/>
          <w:i w:val="1"/>
          <w:iCs w:val="1"/>
          <w:color w:val="auto"/>
        </w:rPr>
        <w:t xml:space="preserve">SIX:02 — </w:t>
      </w:r>
      <w:r>
        <w:rPr>
          <w:rFonts w:ascii="Arial" w:cs="Arial" w:eastAsia="Arial" w:hAnsi="Arial"/>
          <w:sz w:val="17"/>
          <w:szCs w:val="17"/>
          <w:color w:val="auto"/>
        </w:rPr>
        <w:t>SIX:02 is for women who want to look and feel great both at the gym and in everyday life. This banner</w:t>
      </w:r>
      <w:r>
        <w:rPr>
          <w:rFonts w:ascii="Arial" w:cs="Arial" w:eastAsia="Arial" w:hAnsi="Arial"/>
          <w:sz w:val="17"/>
          <w:szCs w:val="17"/>
          <w:i w:val="1"/>
          <w:iCs w:val="1"/>
          <w:color w:val="auto"/>
        </w:rPr>
        <w:t xml:space="preserve"> </w:t>
      </w:r>
      <w:r>
        <w:rPr>
          <w:rFonts w:ascii="Arial" w:cs="Arial" w:eastAsia="Arial" w:hAnsi="Arial"/>
          <w:sz w:val="17"/>
          <w:szCs w:val="17"/>
          <w:color w:val="auto"/>
        </w:rPr>
        <w:t>provides stylish casual and fitness looks for women on the go. SIX:02 is unique in the market place because of the ability to feature both footwear and apparel assortments across many brands – from traditional athletic brands, such as Nike, adidas and Puma – to new up-and-coming brands. Whether she is working out, going out or just hanging out, SIX:02 has an expansive selection of apparel, footwear, and accessories to choose from. SIX:02 operates 32 stores in the United States and have an average of 2,000 selling square feet.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58" w:right="1440" w:bottom="1440" w:gutter="0" w:footer="0" w:header="0"/>
        </w:sectPr>
      </w:pPr>
    </w:p>
    <w:bookmarkStart w:id="17" w:name="page18"/>
    <w:bookmarkEnd w:id="17"/>
    <w:p>
      <w:pPr>
        <w:ind w:left="100"/>
        <w:spacing w:after="0"/>
        <w:rPr>
          <w:sz w:val="20"/>
          <w:szCs w:val="20"/>
          <w:color w:val="auto"/>
        </w:rPr>
      </w:pPr>
      <w:r>
        <w:rPr>
          <w:rFonts w:ascii="Arial" w:cs="Arial" w:eastAsia="Arial" w:hAnsi="Arial"/>
          <w:sz w:val="17"/>
          <w:szCs w:val="17"/>
          <w:i w:val="1"/>
          <w:iCs w:val="1"/>
          <w:u w:val="single" w:color="auto"/>
          <w:color w:val="auto"/>
        </w:rPr>
        <w:t>Direct-to-Customers</w:t>
      </w:r>
    </w:p>
    <w:p>
      <w:pPr>
        <w:spacing w:after="0" w:line="201"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Our Direct-to-Customers segment is multi-branded and sells directly to customers through Internet and mobile sites and catalogs. The Direct-to-Customers segment operates the websites for eastbay.com, final-score.com, and eastbayteamsales.com. Additionally, this segment includes the websites, both desktop and mobile, aligned with the brand names of our store banners (footlocker.com, ladyfootlocker.com, six02.com, kidsfootlocker.com, champssports.com, footaction.com, footlocker.ca, footlocker.eu, footlocker.au, runnerspoint.com, and sidestep-shoes.com). These sites offer some of the largest online selections of athletically inspired shoes and apparel, while providing a seamless link between e-commerce and physical stores.</w:t>
      </w:r>
    </w:p>
    <w:p>
      <w:pPr>
        <w:spacing w:after="0" w:line="160" w:lineRule="exact"/>
        <w:rPr>
          <w:sz w:val="20"/>
          <w:szCs w:val="20"/>
          <w:color w:val="auto"/>
        </w:rPr>
      </w:pPr>
    </w:p>
    <w:p>
      <w:pPr>
        <w:jc w:val="both"/>
        <w:ind w:left="100" w:right="99"/>
        <w:spacing w:after="0" w:line="248" w:lineRule="auto"/>
        <w:rPr>
          <w:sz w:val="20"/>
          <w:szCs w:val="20"/>
          <w:color w:val="auto"/>
        </w:rPr>
      </w:pPr>
      <w:r>
        <w:rPr>
          <w:rFonts w:ascii="Arial" w:cs="Arial" w:eastAsia="Arial" w:hAnsi="Arial"/>
          <w:sz w:val="17"/>
          <w:szCs w:val="17"/>
          <w:i w:val="1"/>
          <w:iCs w:val="1"/>
          <w:color w:val="auto"/>
        </w:rPr>
        <w:t xml:space="preserve">Eastbay — </w:t>
      </w:r>
      <w:r>
        <w:rPr>
          <w:rFonts w:ascii="Arial" w:cs="Arial" w:eastAsia="Arial" w:hAnsi="Arial"/>
          <w:sz w:val="17"/>
          <w:szCs w:val="17"/>
          <w:color w:val="auto"/>
        </w:rPr>
        <w:t>Eastbay is among the largest direct marketers in the United States, providing serious high school and</w:t>
      </w:r>
      <w:r>
        <w:rPr>
          <w:rFonts w:ascii="Arial" w:cs="Arial" w:eastAsia="Arial" w:hAnsi="Arial"/>
          <w:sz w:val="17"/>
          <w:szCs w:val="17"/>
          <w:i w:val="1"/>
          <w:iCs w:val="1"/>
          <w:color w:val="auto"/>
        </w:rPr>
        <w:t xml:space="preserve"> </w:t>
      </w:r>
      <w:r>
        <w:rPr>
          <w:rFonts w:ascii="Arial" w:cs="Arial" w:eastAsia="Arial" w:hAnsi="Arial"/>
          <w:sz w:val="17"/>
          <w:szCs w:val="17"/>
          <w:color w:val="auto"/>
        </w:rPr>
        <w:t>other athletes with a complete sports solution including athletic footwear, apparel, equipment, and team licensed merchandise for a broad range of sports.</w:t>
      </w:r>
    </w:p>
    <w:p>
      <w:pPr>
        <w:spacing w:after="0" w:line="150" w:lineRule="exact"/>
        <w:rPr>
          <w:sz w:val="20"/>
          <w:szCs w:val="20"/>
          <w:color w:val="auto"/>
        </w:rPr>
      </w:pPr>
    </w:p>
    <w:p>
      <w:pPr>
        <w:ind w:left="100"/>
        <w:spacing w:after="0"/>
        <w:rPr>
          <w:sz w:val="20"/>
          <w:szCs w:val="20"/>
          <w:color w:val="auto"/>
        </w:rPr>
      </w:pPr>
      <w:r>
        <w:rPr>
          <w:rFonts w:ascii="Arial" w:cs="Arial" w:eastAsia="Arial" w:hAnsi="Arial"/>
          <w:sz w:val="17"/>
          <w:szCs w:val="17"/>
          <w:i w:val="1"/>
          <w:iCs w:val="1"/>
          <w:u w:val="single" w:color="auto"/>
          <w:color w:val="auto"/>
        </w:rPr>
        <w:t>Franchise Operations</w:t>
      </w:r>
    </w:p>
    <w:p>
      <w:pPr>
        <w:spacing w:after="0" w:line="201"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The Company operates franchised Foot Locker stores located within the Middle East, as well as franchised stores in Germany under the Runners Point banner. In addition, we entered into a franchise agreement during 2017 with Fox-Wizel Ltd for franchised stores operating in Israel. Also during 2017, we terminated our franchise agreement with the third party that operated stores in the Republic of Korea.</w:t>
      </w:r>
    </w:p>
    <w:p>
      <w:pPr>
        <w:spacing w:after="0" w:line="177"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A total of 112 franchised stores were operating at February 3, 2018, 14 were operating in Germany and 98 were operating in the Middle East, of which 25 are in Israel.</w:t>
      </w:r>
    </w:p>
    <w:p>
      <w:pPr>
        <w:spacing w:after="0" w:line="151"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U.S. Tax Reform</w:t>
      </w:r>
    </w:p>
    <w:p>
      <w:pPr>
        <w:spacing w:after="0" w:line="203"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On December 22, 2017, the United States enacted tax reform legislation (“Tax Act”) that included a broad range of business tax provisions, including but not limited to a reduction in the U.S. corporate income tax rate from 35 percent to 21 percent as well as provisions that limit or eliminate various deductions or credits. The legislation also results in certain U.S. allocated expenses (e.g. interest and general administrative expenses) to be taxed and imposes a new tax on U.S. cross-border payments. Furthermore, the legislation includes a one-time transition tax on accumulated foreign earnings and profits.</w:t>
      </w:r>
    </w:p>
    <w:p>
      <w:pPr>
        <w:spacing w:after="0" w:line="175"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In response to the enactment of the Tax Act, the SEC issued Staff Accounting Bulletin No. 118 which provides guidance to address the complexity in accounting for this new legislation. When the initial accounting for items under the new legislation is incomplete, the guidance allows us to recognize provisional amounts when reasonable estimates can be made or to continue to apply the prior tax law if a reasonable estimate cannot be made. The SEC has provided up to a one-year window for companies to finalize the accounting for the effect of this new legislation and we anticipate finalizing our accounting during 2018. While our accounting for the new U.S. tax legislation is not complete, we have made reasonable estimates for some provisions and recognized a $99 million tax liability for the mandatory deemed repatriation of foreign sourced net earnings and a change in our permanent reinvestment assertion. The remeasurement of our deferred tax assets and liabilities was not significant. The 2017 charge for these provisions reflects our best estimate based on information currently available and our current interpretation of the Tax Act.</w:t>
      </w:r>
    </w:p>
    <w:p>
      <w:pPr>
        <w:spacing w:after="0" w:line="190"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The Tax Act includes a provision effective in 2018, to tax global intangible low-taxed income ("GILTI") of the Company’s foreign subsidiaries. Under generally accepted accounting principles (“GAAP”), we can make an accounting policy election to either treat taxes due on the GILTI inclusion as a current period expense, or factor such amounts into our measurement of deferred taxes. Due to the complexity of the new GILTI rules, we are continuing to evaluate this provision of the Tax Act and the application of GAAP and we have not yet elected an accounting policy.</w:t>
      </w:r>
    </w:p>
    <w:p>
      <w:pPr>
        <w:spacing w:after="0" w:line="177"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 xml:space="preserve">As of the date of this Form 10-K, we are continuing to evaluate the accounting for this legislation. We continue to assemble and analyze all the information required to prepare and analyze these effects and await additional guidance from the U.S. Treasury Department, the IRS or other standard-setting bodies. Additionally, we continue to analyze other information. Accordingly, we may record additional provisional amounts or adjustments to provisional amounts. Any subsequent adjustments will be recorded to tax expense in the quarter when the analysis is complete. See </w:t>
      </w:r>
      <w:r>
        <w:rPr>
          <w:rFonts w:ascii="Arial" w:cs="Arial" w:eastAsia="Arial" w:hAnsi="Arial"/>
          <w:sz w:val="17"/>
          <w:szCs w:val="17"/>
          <w:i w:val="1"/>
          <w:iCs w:val="1"/>
          <w:color w:val="auto"/>
        </w:rPr>
        <w:t>Critical Accounting Policies</w:t>
      </w:r>
      <w:r>
        <w:rPr>
          <w:rFonts w:ascii="Arial" w:cs="Arial" w:eastAsia="Arial" w:hAnsi="Arial"/>
          <w:sz w:val="17"/>
          <w:szCs w:val="17"/>
          <w:color w:val="auto"/>
        </w:rPr>
        <w:t xml:space="preserve"> within this item and Note 17,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in “Item 8. Consolidated Financial Statements and Supplementary Data” for further details on U.S. tax reform.</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58" w:right="1440" w:bottom="1440" w:gutter="0" w:footer="0" w:header="0"/>
        </w:sectPr>
      </w:pPr>
    </w:p>
    <w:bookmarkStart w:id="18" w:name="page19"/>
    <w:bookmarkEnd w:id="18"/>
    <w:p>
      <w:pPr>
        <w:ind w:left="100"/>
        <w:spacing w:after="0"/>
        <w:rPr>
          <w:sz w:val="20"/>
          <w:szCs w:val="20"/>
          <w:color w:val="auto"/>
        </w:rPr>
      </w:pPr>
      <w:r>
        <w:rPr>
          <w:rFonts w:ascii="Arial" w:cs="Arial" w:eastAsia="Arial" w:hAnsi="Arial"/>
          <w:sz w:val="17"/>
          <w:szCs w:val="17"/>
          <w:b w:val="1"/>
          <w:bCs w:val="1"/>
          <w:color w:val="auto"/>
        </w:rPr>
        <w:t>Reconciliation of Non-GAAP Measures</w:t>
      </w:r>
    </w:p>
    <w:p>
      <w:pPr>
        <w:spacing w:after="0" w:line="203"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In addition to reporting the Company’s financial results in accordance with GAAP, the Company reports certain financial results that differ from what is reported under GAAP. In the following tables, we have presented certain financial measures and ratios identified as non-GAAP such as sales excluding 53</w:t>
      </w:r>
      <w:r>
        <w:rPr>
          <w:rFonts w:ascii="Arial" w:cs="Arial" w:eastAsia="Arial" w:hAnsi="Arial"/>
          <w:sz w:val="8"/>
          <w:szCs w:val="8"/>
          <w:color w:val="auto"/>
        </w:rPr>
        <w:t>rd</w:t>
      </w:r>
      <w:r>
        <w:rPr>
          <w:rFonts w:ascii="Arial" w:cs="Arial" w:eastAsia="Arial" w:hAnsi="Arial"/>
          <w:sz w:val="17"/>
          <w:szCs w:val="17"/>
          <w:color w:val="auto"/>
        </w:rPr>
        <w:t xml:space="preserve"> week, Earnings Before Interest and Taxes (“EBIT”), adjusted EBIT, adjusted EBIT margin, adjusted income before income taxes, adjusted net income, adjusted net income margin, adjusted diluted earnings per share, Return on Invested Capital (“ROIC”), free cash flow, and net debt capitalization. We present these non-GAAP measures because we believe they assist investors in comparing our performance across reporting periods on a consistent basis by excluding items that are not indicative of our core business or which affect comparability. In addition, these non-GAAP measures are useful in assessing our progress in achieving our long-term financial objectives.</w:t>
      </w:r>
    </w:p>
    <w:p>
      <w:pPr>
        <w:spacing w:after="0" w:line="175"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Additionally, we present certain amounts as excluding the effects of foreign currency fluctuations, which are also considered non-GAAP measures. Throughout the following discussions, where amounts are expressed as excluding the effects of foreign currency fluctuations, such changes are determined by translating all amounts in both years using the prior-year average foreign exchange rates. Presenting amounts on a constant currency basis is useful to investors because it enables them to better understand the changes in our businesses that are not related to currency movements.</w:t>
      </w:r>
    </w:p>
    <w:p>
      <w:pPr>
        <w:spacing w:after="0" w:line="175"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Fiscal year 2017 represents the fifty-three weeks ended February 3, 2018. Accordingly, certain non-GAAP results have also been adjusted to exclude the effects of the 53</w:t>
      </w:r>
      <w:r>
        <w:rPr>
          <w:rFonts w:ascii="Arial" w:cs="Arial" w:eastAsia="Arial" w:hAnsi="Arial"/>
          <w:sz w:val="8"/>
          <w:szCs w:val="8"/>
          <w:color w:val="auto"/>
        </w:rPr>
        <w:t>rd</w:t>
      </w:r>
      <w:r>
        <w:rPr>
          <w:rFonts w:ascii="Arial" w:cs="Arial" w:eastAsia="Arial" w:hAnsi="Arial"/>
          <w:sz w:val="17"/>
          <w:szCs w:val="17"/>
          <w:color w:val="auto"/>
        </w:rPr>
        <w:t xml:space="preserve"> week to assist in comparability.</w:t>
      </w:r>
    </w:p>
    <w:p>
      <w:pPr>
        <w:spacing w:after="0" w:line="165" w:lineRule="exact"/>
        <w:rPr>
          <w:sz w:val="20"/>
          <w:szCs w:val="20"/>
          <w:color w:val="auto"/>
        </w:rPr>
      </w:pPr>
    </w:p>
    <w:p>
      <w:pPr>
        <w:ind w:left="100"/>
        <w:spacing w:after="0"/>
        <w:rPr>
          <w:sz w:val="20"/>
          <w:szCs w:val="20"/>
          <w:color w:val="auto"/>
        </w:rPr>
      </w:pPr>
      <w:r>
        <w:rPr>
          <w:rFonts w:ascii="Arial" w:cs="Arial" w:eastAsia="Arial" w:hAnsi="Arial"/>
          <w:sz w:val="17"/>
          <w:szCs w:val="17"/>
          <w:color w:val="auto"/>
        </w:rPr>
        <w:t>We estimate the tax effect of the non-GAAP adjustments by applying a marginal rate to each of the respective items.</w:t>
      </w:r>
    </w:p>
    <w:p>
      <w:pPr>
        <w:ind w:left="100"/>
        <w:spacing w:after="0"/>
        <w:rPr>
          <w:sz w:val="20"/>
          <w:szCs w:val="20"/>
          <w:color w:val="auto"/>
        </w:rPr>
      </w:pPr>
      <w:r>
        <w:rPr>
          <w:rFonts w:ascii="Arial" w:cs="Arial" w:eastAsia="Arial" w:hAnsi="Arial"/>
          <w:sz w:val="17"/>
          <w:szCs w:val="17"/>
          <w:color w:val="auto"/>
        </w:rPr>
        <w:t>The income tax items represent the discrete amount that affected the period.</w:t>
      </w:r>
    </w:p>
    <w:p>
      <w:pPr>
        <w:spacing w:after="0" w:line="183"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The non-GAAP financial information is provided in addition to, and not as an alternative to, our reported results prepared in accordance with GAAP. Presented below is a reconciliation of GAAP and non-GAAP results discussed throughout this Annual Report on Form 10-K. Please see the non-GAAP reconciliations for free cash flow and net debt capitalization in the “</w:t>
      </w:r>
      <w:r>
        <w:rPr>
          <w:rFonts w:ascii="Arial" w:cs="Arial" w:eastAsia="Arial" w:hAnsi="Arial"/>
          <w:sz w:val="17"/>
          <w:szCs w:val="17"/>
          <w:i w:val="1"/>
          <w:iCs w:val="1"/>
          <w:color w:val="auto"/>
        </w:rPr>
        <w:t>Liquidity and Capital Resources</w:t>
      </w:r>
      <w:r>
        <w:rPr>
          <w:rFonts w:ascii="Arial" w:cs="Arial" w:eastAsia="Arial" w:hAnsi="Arial"/>
          <w:sz w:val="17"/>
          <w:szCs w:val="17"/>
          <w:color w:val="auto"/>
        </w:rPr>
        <w:t>” section.</w:t>
      </w:r>
    </w:p>
    <w:p>
      <w:pPr>
        <w:spacing w:after="0" w:line="211"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47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2017</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color w:val="auto"/>
              </w:rPr>
              <w:t>2016</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color w:val="auto"/>
              </w:rPr>
              <w:t>2015</w:t>
            </w:r>
          </w:p>
        </w:tc>
        <w:tc>
          <w:tcPr>
            <w:tcW w:w="40" w:type="dxa"/>
            <w:vAlign w:val="bottom"/>
          </w:tcPr>
          <w:p>
            <w:pPr>
              <w:spacing w:after="0"/>
              <w:rPr>
                <w:sz w:val="18"/>
                <w:szCs w:val="18"/>
                <w:color w:val="auto"/>
              </w:rPr>
            </w:pPr>
          </w:p>
        </w:tc>
      </w:tr>
      <w:tr>
        <w:trPr>
          <w:trHeight w:val="210"/>
        </w:trPr>
        <w:tc>
          <w:tcPr>
            <w:tcW w:w="4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60" w:type="dxa"/>
            <w:vAlign w:val="bottom"/>
            <w:gridSpan w:val="2"/>
          </w:tcPr>
          <w:p>
            <w:pPr>
              <w:jc w:val="right"/>
              <w:ind w:right="255"/>
              <w:spacing w:after="0"/>
              <w:rPr>
                <w:sz w:val="20"/>
                <w:szCs w:val="20"/>
                <w:color w:val="auto"/>
              </w:rPr>
            </w:pPr>
            <w:r>
              <w:rPr>
                <w:rFonts w:ascii="Arial" w:cs="Arial" w:eastAsia="Arial" w:hAnsi="Arial"/>
                <w:sz w:val="17"/>
                <w:szCs w:val="17"/>
                <w:color w:val="auto"/>
                <w:w w:val="99"/>
              </w:rPr>
              <w:t>($ in millions)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Sales</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7,782</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7,766</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7,412</w:t>
            </w:r>
          </w:p>
        </w:tc>
        <w:tc>
          <w:tcPr>
            <w:tcW w:w="40" w:type="dxa"/>
            <w:vAlign w:val="bottom"/>
          </w:tcPr>
          <w:p>
            <w:pPr>
              <w:spacing w:after="0"/>
              <w:rPr>
                <w:sz w:val="19"/>
                <w:szCs w:val="19"/>
                <w:color w:val="auto"/>
              </w:rPr>
            </w:pPr>
          </w:p>
        </w:tc>
      </w:tr>
      <w:tr>
        <w:trPr>
          <w:trHeight w:val="230"/>
        </w:trPr>
        <w:tc>
          <w:tcPr>
            <w:tcW w:w="47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53</w:t>
            </w:r>
            <w:r>
              <w:rPr>
                <w:rFonts w:ascii="Arial" w:cs="Arial" w:eastAsia="Arial" w:hAnsi="Arial"/>
                <w:sz w:val="8"/>
                <w:szCs w:val="8"/>
                <w:color w:val="auto"/>
              </w:rPr>
              <w:t>rd</w:t>
            </w:r>
            <w:r>
              <w:rPr>
                <w:rFonts w:ascii="Arial" w:cs="Arial" w:eastAsia="Arial" w:hAnsi="Arial"/>
                <w:sz w:val="17"/>
                <w:szCs w:val="17"/>
                <w:color w:val="auto"/>
              </w:rPr>
              <w:t xml:space="preserve"> week</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95</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r>
      <w:tr>
        <w:trPr>
          <w:trHeight w:val="203"/>
        </w:trPr>
        <w:tc>
          <w:tcPr>
            <w:tcW w:w="4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Sales excluding 53</w:t>
            </w:r>
            <w:r>
              <w:rPr>
                <w:rFonts w:ascii="Arial" w:cs="Arial" w:eastAsia="Arial" w:hAnsi="Arial"/>
                <w:sz w:val="8"/>
                <w:szCs w:val="8"/>
                <w:color w:val="auto"/>
              </w:rPr>
              <w:t>rd</w:t>
            </w:r>
            <w:r>
              <w:rPr>
                <w:rFonts w:ascii="Arial" w:cs="Arial" w:eastAsia="Arial" w:hAnsi="Arial"/>
                <w:sz w:val="17"/>
                <w:szCs w:val="17"/>
                <w:color w:val="auto"/>
              </w:rPr>
              <w:t xml:space="preserve"> week (non-GAAP)</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7,687</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rPr>
              <w:t>7,766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7,412</w:t>
            </w:r>
          </w:p>
        </w:tc>
        <w:tc>
          <w:tcPr>
            <w:tcW w:w="40" w:type="dxa"/>
            <w:vAlign w:val="bottom"/>
          </w:tcPr>
          <w:p>
            <w:pPr>
              <w:spacing w:after="0"/>
              <w:rPr>
                <w:sz w:val="17"/>
                <w:szCs w:val="17"/>
                <w:color w:val="auto"/>
              </w:rPr>
            </w:pPr>
          </w:p>
        </w:tc>
      </w:tr>
      <w:tr>
        <w:trPr>
          <w:trHeight w:val="216"/>
        </w:trPr>
        <w:tc>
          <w:tcPr>
            <w:tcW w:w="4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7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Pre-tax income:</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7"/>
                <w:szCs w:val="17"/>
                <w:color w:val="auto"/>
              </w:rPr>
              <w:t>Income before income taxes</w:t>
            </w:r>
          </w:p>
        </w:tc>
        <w:tc>
          <w:tcPr>
            <w:tcW w:w="4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ind w:right="155"/>
              <w:spacing w:after="0"/>
              <w:rPr>
                <w:sz w:val="20"/>
                <w:szCs w:val="20"/>
                <w:color w:val="auto"/>
              </w:rPr>
            </w:pPr>
            <w:r>
              <w:rPr>
                <w:rFonts w:ascii="Arial" w:cs="Arial" w:eastAsia="Arial" w:hAnsi="Arial"/>
                <w:sz w:val="17"/>
                <w:szCs w:val="17"/>
                <w:b w:val="1"/>
                <w:bCs w:val="1"/>
                <w:color w:val="auto"/>
              </w:rPr>
              <w:t>578</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95"/>
              <w:spacing w:after="0"/>
              <w:rPr>
                <w:sz w:val="20"/>
                <w:szCs w:val="20"/>
                <w:color w:val="auto"/>
              </w:rPr>
            </w:pPr>
            <w:r>
              <w:rPr>
                <w:rFonts w:ascii="Arial" w:cs="Arial" w:eastAsia="Arial" w:hAnsi="Arial"/>
                <w:sz w:val="17"/>
                <w:szCs w:val="17"/>
                <w:color w:val="auto"/>
              </w:rPr>
              <w:t>1,004</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75"/>
              <w:spacing w:after="0"/>
              <w:rPr>
                <w:sz w:val="20"/>
                <w:szCs w:val="20"/>
                <w:color w:val="auto"/>
              </w:rPr>
            </w:pPr>
            <w:r>
              <w:rPr>
                <w:rFonts w:ascii="Arial" w:cs="Arial" w:eastAsia="Arial" w:hAnsi="Arial"/>
                <w:sz w:val="17"/>
                <w:szCs w:val="17"/>
                <w:color w:val="auto"/>
              </w:rPr>
              <w:t>837</w:t>
            </w:r>
          </w:p>
        </w:tc>
        <w:tc>
          <w:tcPr>
            <w:tcW w:w="40" w:type="dxa"/>
            <w:vAlign w:val="bottom"/>
          </w:tcPr>
          <w:p>
            <w:pPr>
              <w:spacing w:after="0"/>
              <w:rPr>
                <w:sz w:val="19"/>
                <w:szCs w:val="19"/>
                <w:color w:val="auto"/>
              </w:rPr>
            </w:pPr>
          </w:p>
        </w:tc>
      </w:tr>
      <w:tr>
        <w:trPr>
          <w:trHeight w:val="230"/>
        </w:trPr>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Pre-tax adjustments excluded from GAAP:</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780" w:type="dxa"/>
            <w:vAlign w:val="bottom"/>
          </w:tcPr>
          <w:p>
            <w:pPr>
              <w:ind w:left="220"/>
              <w:spacing w:after="0"/>
              <w:rPr>
                <w:sz w:val="20"/>
                <w:szCs w:val="20"/>
                <w:color w:val="auto"/>
              </w:rPr>
            </w:pPr>
            <w:r>
              <w:rPr>
                <w:rFonts w:ascii="Arial" w:cs="Arial" w:eastAsia="Arial" w:hAnsi="Arial"/>
                <w:sz w:val="17"/>
                <w:szCs w:val="17"/>
                <w:color w:val="auto"/>
              </w:rPr>
              <w:t xml:space="preserve">Litigation and other charges </w:t>
            </w:r>
            <w:r>
              <w:rPr>
                <w:rFonts w:ascii="Arial" w:cs="Arial" w:eastAsia="Arial" w:hAnsi="Arial"/>
                <w:sz w:val="8"/>
                <w:szCs w:val="8"/>
                <w:color w:val="auto"/>
              </w:rPr>
              <w:t>(1)</w:t>
            </w:r>
          </w:p>
        </w:tc>
        <w:tc>
          <w:tcPr>
            <w:tcW w:w="420" w:type="dxa"/>
            <w:vAlign w:val="bottom"/>
          </w:tcPr>
          <w:p>
            <w:pPr>
              <w:spacing w:after="0"/>
              <w:rPr>
                <w:sz w:val="19"/>
                <w:szCs w:val="19"/>
                <w:color w:val="auto"/>
              </w:rPr>
            </w:pPr>
          </w:p>
        </w:tc>
        <w:tc>
          <w:tcPr>
            <w:tcW w:w="1000" w:type="dxa"/>
            <w:vAlign w:val="bottom"/>
          </w:tcPr>
          <w:p>
            <w:pPr>
              <w:jc w:val="right"/>
              <w:ind w:right="155"/>
              <w:spacing w:after="0"/>
              <w:rPr>
                <w:sz w:val="20"/>
                <w:szCs w:val="20"/>
                <w:color w:val="auto"/>
              </w:rPr>
            </w:pPr>
            <w:r>
              <w:rPr>
                <w:rFonts w:ascii="Arial" w:cs="Arial" w:eastAsia="Arial" w:hAnsi="Arial"/>
                <w:sz w:val="17"/>
                <w:szCs w:val="17"/>
                <w:b w:val="1"/>
                <w:bCs w:val="1"/>
                <w:color w:val="auto"/>
              </w:rPr>
              <w:t>211</w:t>
            </w:r>
          </w:p>
        </w:tc>
        <w:tc>
          <w:tcPr>
            <w:tcW w:w="340" w:type="dxa"/>
            <w:vAlign w:val="bottom"/>
          </w:tcPr>
          <w:p>
            <w:pPr>
              <w:spacing w:after="0"/>
              <w:rPr>
                <w:sz w:val="19"/>
                <w:szCs w:val="19"/>
                <w:color w:val="auto"/>
              </w:rPr>
            </w:pPr>
          </w:p>
        </w:tc>
        <w:tc>
          <w:tcPr>
            <w:tcW w:w="1020" w:type="dxa"/>
            <w:vAlign w:val="bottom"/>
          </w:tcPr>
          <w:p>
            <w:pPr>
              <w:jc w:val="right"/>
              <w:ind w:right="195"/>
              <w:spacing w:after="0"/>
              <w:rPr>
                <w:sz w:val="20"/>
                <w:szCs w:val="20"/>
                <w:color w:val="auto"/>
              </w:rPr>
            </w:pPr>
            <w:r>
              <w:rPr>
                <w:rFonts w:ascii="Arial" w:cs="Arial" w:eastAsia="Arial" w:hAnsi="Arial"/>
                <w:sz w:val="17"/>
                <w:szCs w:val="17"/>
                <w:color w:val="auto"/>
              </w:rPr>
              <w:t>6</w:t>
            </w:r>
          </w:p>
        </w:tc>
        <w:tc>
          <w:tcPr>
            <w:tcW w:w="260" w:type="dxa"/>
            <w:vAlign w:val="bottom"/>
          </w:tcPr>
          <w:p>
            <w:pPr>
              <w:spacing w:after="0"/>
              <w:rPr>
                <w:sz w:val="19"/>
                <w:szCs w:val="19"/>
                <w:color w:val="auto"/>
              </w:rPr>
            </w:pPr>
          </w:p>
        </w:tc>
        <w:tc>
          <w:tcPr>
            <w:tcW w:w="1000" w:type="dxa"/>
            <w:vAlign w:val="bottom"/>
          </w:tcPr>
          <w:p>
            <w:pPr>
              <w:jc w:val="right"/>
              <w:ind w:right="175"/>
              <w:spacing w:after="0"/>
              <w:rPr>
                <w:sz w:val="20"/>
                <w:szCs w:val="20"/>
                <w:color w:val="auto"/>
              </w:rPr>
            </w:pPr>
            <w:r>
              <w:rPr>
                <w:rFonts w:ascii="Arial" w:cs="Arial" w:eastAsia="Arial" w:hAnsi="Arial"/>
                <w:sz w:val="17"/>
                <w:szCs w:val="17"/>
                <w:color w:val="auto"/>
              </w:rPr>
              <w:t>105</w:t>
            </w:r>
          </w:p>
        </w:tc>
        <w:tc>
          <w:tcPr>
            <w:tcW w:w="40" w:type="dxa"/>
            <w:vAlign w:val="bottom"/>
          </w:tcPr>
          <w:p>
            <w:pPr>
              <w:spacing w:after="0"/>
              <w:rPr>
                <w:sz w:val="19"/>
                <w:szCs w:val="19"/>
                <w:color w:val="auto"/>
              </w:rPr>
            </w:pPr>
          </w:p>
        </w:tc>
      </w:tr>
      <w:tr>
        <w:trPr>
          <w:trHeight w:val="230"/>
        </w:trPr>
        <w:tc>
          <w:tcPr>
            <w:tcW w:w="47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53</w:t>
            </w:r>
            <w:r>
              <w:rPr>
                <w:rFonts w:ascii="Arial" w:cs="Arial" w:eastAsia="Arial" w:hAnsi="Arial"/>
                <w:sz w:val="8"/>
                <w:szCs w:val="8"/>
                <w:color w:val="auto"/>
              </w:rPr>
              <w:t>rd</w:t>
            </w:r>
            <w:r>
              <w:rPr>
                <w:rFonts w:ascii="Arial" w:cs="Arial" w:eastAsia="Arial" w:hAnsi="Arial"/>
                <w:sz w:val="17"/>
                <w:szCs w:val="17"/>
                <w:color w:val="auto"/>
              </w:rPr>
              <w:t xml:space="preserve"> week</w:t>
            </w: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(25)</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r>
      <w:tr>
        <w:trPr>
          <w:trHeight w:val="203"/>
        </w:trPr>
        <w:tc>
          <w:tcPr>
            <w:tcW w:w="47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Adjusted income before income taxes (non-GAAP)</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764</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1,010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942</w:t>
            </w:r>
          </w:p>
        </w:tc>
        <w:tc>
          <w:tcPr>
            <w:tcW w:w="40" w:type="dxa"/>
            <w:vAlign w:val="bottom"/>
          </w:tcPr>
          <w:p>
            <w:pPr>
              <w:spacing w:after="0"/>
              <w:rPr>
                <w:sz w:val="17"/>
                <w:szCs w:val="17"/>
                <w:color w:val="auto"/>
              </w:rPr>
            </w:pPr>
          </w:p>
        </w:tc>
      </w:tr>
      <w:tr>
        <w:trPr>
          <w:trHeight w:val="216"/>
        </w:trPr>
        <w:tc>
          <w:tcPr>
            <w:tcW w:w="4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7"/>
                <w:szCs w:val="17"/>
                <w:color w:val="auto"/>
              </w:rPr>
              <w:t>Calculation of Earnings Before Interest and Taxes (EBIT):</w:t>
            </w: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Income before income taxes</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578</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1,004</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837</w:t>
            </w:r>
          </w:p>
        </w:tc>
        <w:tc>
          <w:tcPr>
            <w:tcW w:w="40" w:type="dxa"/>
            <w:vAlign w:val="bottom"/>
          </w:tcPr>
          <w:p>
            <w:pPr>
              <w:spacing w:after="0"/>
              <w:rPr>
                <w:sz w:val="19"/>
                <w:szCs w:val="19"/>
                <w:color w:val="auto"/>
              </w:rPr>
            </w:pPr>
          </w:p>
        </w:tc>
      </w:tr>
      <w:tr>
        <w:trPr>
          <w:trHeight w:val="230"/>
        </w:trPr>
        <w:tc>
          <w:tcPr>
            <w:tcW w:w="47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Interest (income) / expense, net</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(2)</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2</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4</w:t>
            </w:r>
          </w:p>
        </w:tc>
        <w:tc>
          <w:tcPr>
            <w:tcW w:w="40" w:type="dxa"/>
            <w:vAlign w:val="bottom"/>
          </w:tcPr>
          <w:p>
            <w:pPr>
              <w:spacing w:after="0"/>
              <w:rPr>
                <w:sz w:val="19"/>
                <w:szCs w:val="19"/>
                <w:color w:val="auto"/>
              </w:rPr>
            </w:pPr>
          </w:p>
        </w:tc>
      </w:tr>
      <w:tr>
        <w:trPr>
          <w:trHeight w:val="210"/>
        </w:trPr>
        <w:tc>
          <w:tcPr>
            <w:tcW w:w="4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EBIT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576</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rPr>
              <w:t>1,006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841</w:t>
            </w:r>
          </w:p>
        </w:tc>
        <w:tc>
          <w:tcPr>
            <w:tcW w:w="40" w:type="dxa"/>
            <w:vAlign w:val="bottom"/>
          </w:tcPr>
          <w:p>
            <w:pPr>
              <w:spacing w:after="0"/>
              <w:rPr>
                <w:sz w:val="18"/>
                <w:szCs w:val="18"/>
                <w:color w:val="auto"/>
              </w:rPr>
            </w:pPr>
          </w:p>
        </w:tc>
      </w:tr>
      <w:tr>
        <w:trPr>
          <w:trHeight w:val="210"/>
        </w:trPr>
        <w:tc>
          <w:tcPr>
            <w:tcW w:w="4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Adjusted income before income taxes</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764</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1,010</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942</w:t>
            </w:r>
          </w:p>
        </w:tc>
        <w:tc>
          <w:tcPr>
            <w:tcW w:w="40" w:type="dxa"/>
            <w:vAlign w:val="bottom"/>
          </w:tcPr>
          <w:p>
            <w:pPr>
              <w:spacing w:after="0"/>
              <w:rPr>
                <w:sz w:val="19"/>
                <w:szCs w:val="19"/>
                <w:color w:val="auto"/>
              </w:rPr>
            </w:pPr>
          </w:p>
        </w:tc>
      </w:tr>
      <w:tr>
        <w:trPr>
          <w:trHeight w:val="230"/>
        </w:trPr>
        <w:tc>
          <w:tcPr>
            <w:tcW w:w="47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Interest (income) / expense, net</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(2)</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2</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4</w:t>
            </w:r>
          </w:p>
        </w:tc>
        <w:tc>
          <w:tcPr>
            <w:tcW w:w="40" w:type="dxa"/>
            <w:vAlign w:val="bottom"/>
          </w:tcPr>
          <w:p>
            <w:pPr>
              <w:spacing w:after="0"/>
              <w:rPr>
                <w:sz w:val="19"/>
                <w:szCs w:val="19"/>
                <w:color w:val="auto"/>
              </w:rPr>
            </w:pPr>
          </w:p>
        </w:tc>
      </w:tr>
      <w:tr>
        <w:trPr>
          <w:trHeight w:val="210"/>
        </w:trPr>
        <w:tc>
          <w:tcPr>
            <w:tcW w:w="4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Adjusted EBIT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762</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rPr>
              <w:t>1,012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946</w:t>
            </w:r>
          </w:p>
        </w:tc>
        <w:tc>
          <w:tcPr>
            <w:tcW w:w="40" w:type="dxa"/>
            <w:vAlign w:val="bottom"/>
          </w:tcPr>
          <w:p>
            <w:pPr>
              <w:spacing w:after="0"/>
              <w:rPr>
                <w:sz w:val="18"/>
                <w:szCs w:val="18"/>
                <w:color w:val="auto"/>
              </w:rPr>
            </w:pPr>
          </w:p>
        </w:tc>
      </w:tr>
      <w:tr>
        <w:trPr>
          <w:trHeight w:val="210"/>
        </w:trPr>
        <w:tc>
          <w:tcPr>
            <w:tcW w:w="4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EBIT margin %</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7.4 %</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13.0 %</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11.3 %</w:t>
            </w:r>
          </w:p>
        </w:tc>
        <w:tc>
          <w:tcPr>
            <w:tcW w:w="40" w:type="dxa"/>
            <w:vAlign w:val="bottom"/>
          </w:tcPr>
          <w:p>
            <w:pPr>
              <w:spacing w:after="0"/>
              <w:rPr>
                <w:sz w:val="19"/>
                <w:szCs w:val="19"/>
                <w:color w:val="auto"/>
              </w:rPr>
            </w:pPr>
          </w:p>
        </w:tc>
      </w:tr>
      <w:tr>
        <w:trPr>
          <w:trHeight w:val="230"/>
        </w:trPr>
        <w:tc>
          <w:tcPr>
            <w:tcW w:w="47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Adjusted EBIT margin %</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9.9 %</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13.0 %</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12.8 %</w:t>
            </w:r>
          </w:p>
        </w:tc>
        <w:tc>
          <w:tcPr>
            <w:tcW w:w="40" w:type="dxa"/>
            <w:vAlign w:val="bottom"/>
          </w:tcPr>
          <w:p>
            <w:pPr>
              <w:spacing w:after="0"/>
              <w:rPr>
                <w:sz w:val="19"/>
                <w:szCs w:val="19"/>
                <w:color w:val="auto"/>
              </w:rPr>
            </w:pPr>
          </w:p>
        </w:tc>
      </w:tr>
      <w:tr>
        <w:trPr>
          <w:trHeight w:val="881"/>
        </w:trPr>
        <w:tc>
          <w:tcPr>
            <w:tcW w:w="4780" w:type="dxa"/>
            <w:vAlign w:val="bottom"/>
          </w:tcPr>
          <w:p>
            <w:pPr>
              <w:ind w:left="4320"/>
              <w:spacing w:after="0"/>
              <w:rPr>
                <w:sz w:val="20"/>
                <w:szCs w:val="20"/>
                <w:color w:val="auto"/>
              </w:rPr>
            </w:pPr>
            <w:r>
              <w:rPr>
                <w:rFonts w:ascii="Arial" w:cs="Arial" w:eastAsia="Arial" w:hAnsi="Arial"/>
                <w:sz w:val="17"/>
                <w:szCs w:val="17"/>
                <w:color w:val="auto"/>
              </w:rPr>
              <w:t>17</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2"/>
        </w:trPr>
        <w:tc>
          <w:tcPr>
            <w:tcW w:w="47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r>
        <w:trPr>
          <w:trHeight w:val="20"/>
        </w:trPr>
        <w:tc>
          <w:tcPr>
            <w:tcW w:w="478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56" w:right="1440" w:bottom="1440" w:gutter="0" w:footer="0" w:header="0"/>
        </w:sectPr>
      </w:pPr>
    </w:p>
    <w:bookmarkStart w:id="19" w:name="page20"/>
    <w:bookmarkEnd w:id="19"/>
    <w:tbl>
      <w:tblPr>
        <w:tblLayout w:type="fixed"/>
        <w:tblInd w:w="100" w:type="dxa"/>
        <w:tblCellMar>
          <w:top w:w="0" w:type="dxa"/>
          <w:left w:w="0" w:type="dxa"/>
          <w:bottom w:w="0" w:type="dxa"/>
          <w:right w:w="0" w:type="dxa"/>
        </w:tblCellMar>
      </w:tblPr>
      <w:tr>
        <w:trPr>
          <w:trHeight w:val="215"/>
        </w:trPr>
        <w:tc>
          <w:tcPr>
            <w:tcW w:w="48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ind w:right="515"/>
              <w:spacing w:after="0"/>
              <w:rPr>
                <w:sz w:val="20"/>
                <w:szCs w:val="20"/>
                <w:color w:val="auto"/>
              </w:rPr>
            </w:pPr>
            <w:r>
              <w:rPr>
                <w:rFonts w:ascii="Arial" w:cs="Arial" w:eastAsia="Arial" w:hAnsi="Arial"/>
                <w:sz w:val="17"/>
                <w:szCs w:val="17"/>
                <w:b w:val="1"/>
                <w:bCs w:val="1"/>
                <w:color w:val="auto"/>
              </w:rPr>
              <w:t>2017</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color w:val="auto"/>
              </w:rPr>
              <w:t>2016</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color w:val="auto"/>
              </w:rPr>
              <w:t>2015</w:t>
            </w: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3460" w:type="dxa"/>
            <w:vAlign w:val="bottom"/>
            <w:gridSpan w:val="5"/>
          </w:tcPr>
          <w:p>
            <w:pPr>
              <w:jc w:val="right"/>
              <w:ind w:right="475"/>
              <w:spacing w:after="0"/>
              <w:rPr>
                <w:sz w:val="20"/>
                <w:szCs w:val="20"/>
                <w:color w:val="auto"/>
              </w:rPr>
            </w:pPr>
            <w:r>
              <w:rPr>
                <w:rFonts w:ascii="Arial" w:cs="Arial" w:eastAsia="Arial" w:hAnsi="Arial"/>
                <w:sz w:val="17"/>
                <w:szCs w:val="17"/>
                <w:color w:val="auto"/>
              </w:rPr>
              <w:t>in millions, except per share amounts)</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After-tax income:</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7"/>
                <w:szCs w:val="17"/>
                <w:color w:val="auto"/>
              </w:rPr>
              <w:t>Net income</w:t>
            </w:r>
          </w:p>
        </w:tc>
        <w:tc>
          <w:tcPr>
            <w:tcW w:w="540" w:type="dxa"/>
            <w:vAlign w:val="bottom"/>
          </w:tcPr>
          <w:p>
            <w:pPr>
              <w:jc w:val="right"/>
              <w:ind w:right="135"/>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ind w:right="215"/>
              <w:spacing w:after="0"/>
              <w:rPr>
                <w:sz w:val="20"/>
                <w:szCs w:val="20"/>
                <w:color w:val="auto"/>
              </w:rPr>
            </w:pPr>
            <w:r>
              <w:rPr>
                <w:rFonts w:ascii="Arial" w:cs="Arial" w:eastAsia="Arial" w:hAnsi="Arial"/>
                <w:sz w:val="17"/>
                <w:szCs w:val="17"/>
                <w:b w:val="1"/>
                <w:bCs w:val="1"/>
                <w:color w:val="auto"/>
              </w:rPr>
              <w:t>284</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95"/>
              <w:spacing w:after="0"/>
              <w:rPr>
                <w:sz w:val="20"/>
                <w:szCs w:val="20"/>
                <w:color w:val="auto"/>
              </w:rPr>
            </w:pPr>
            <w:r>
              <w:rPr>
                <w:rFonts w:ascii="Arial" w:cs="Arial" w:eastAsia="Arial" w:hAnsi="Arial"/>
                <w:sz w:val="17"/>
                <w:szCs w:val="17"/>
                <w:color w:val="auto"/>
              </w:rPr>
              <w:t>664</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75"/>
              <w:spacing w:after="0"/>
              <w:rPr>
                <w:sz w:val="20"/>
                <w:szCs w:val="20"/>
                <w:color w:val="auto"/>
              </w:rPr>
            </w:pPr>
            <w:r>
              <w:rPr>
                <w:rFonts w:ascii="Arial" w:cs="Arial" w:eastAsia="Arial" w:hAnsi="Arial"/>
                <w:sz w:val="17"/>
                <w:szCs w:val="17"/>
                <w:color w:val="auto"/>
              </w:rPr>
              <w:t>541</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After-tax adjustments excluded from GAAP:</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20"/>
              <w:spacing w:after="0"/>
              <w:rPr>
                <w:sz w:val="20"/>
                <w:szCs w:val="20"/>
                <w:color w:val="auto"/>
              </w:rPr>
            </w:pPr>
            <w:r>
              <w:rPr>
                <w:rFonts w:ascii="Arial" w:cs="Arial" w:eastAsia="Arial" w:hAnsi="Arial"/>
                <w:sz w:val="17"/>
                <w:szCs w:val="17"/>
                <w:color w:val="auto"/>
              </w:rPr>
              <w:t>Litigation and other charges, net of income tax benefit of</w:t>
            </w:r>
          </w:p>
        </w:tc>
        <w:tc>
          <w:tcPr>
            <w:tcW w:w="540" w:type="dxa"/>
            <w:vAlign w:val="bottom"/>
          </w:tcPr>
          <w:p>
            <w:pPr>
              <w:spacing w:after="0"/>
              <w:rPr>
                <w:sz w:val="19"/>
                <w:szCs w:val="19"/>
                <w:color w:val="auto"/>
              </w:rPr>
            </w:pPr>
          </w:p>
        </w:tc>
        <w:tc>
          <w:tcPr>
            <w:tcW w:w="900" w:type="dxa"/>
            <w:vAlign w:val="bottom"/>
            <w:vMerge w:val="restart"/>
          </w:tcPr>
          <w:p>
            <w:pPr>
              <w:jc w:val="right"/>
              <w:ind w:right="215"/>
              <w:spacing w:after="0"/>
              <w:rPr>
                <w:sz w:val="20"/>
                <w:szCs w:val="20"/>
                <w:color w:val="auto"/>
              </w:rPr>
            </w:pPr>
            <w:r>
              <w:rPr>
                <w:rFonts w:ascii="Arial" w:cs="Arial" w:eastAsia="Arial" w:hAnsi="Arial"/>
                <w:sz w:val="17"/>
                <w:szCs w:val="17"/>
                <w:b w:val="1"/>
                <w:bCs w:val="1"/>
                <w:color w:val="auto"/>
              </w:rPr>
              <w:t>133</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820" w:type="dxa"/>
            <w:vAlign w:val="bottom"/>
          </w:tcPr>
          <w:p>
            <w:pPr>
              <w:ind w:left="320"/>
              <w:spacing w:after="0"/>
              <w:rPr>
                <w:sz w:val="20"/>
                <w:szCs w:val="20"/>
                <w:color w:val="auto"/>
              </w:rPr>
            </w:pPr>
            <w:r>
              <w:rPr>
                <w:rFonts w:ascii="Arial" w:cs="Arial" w:eastAsia="Arial" w:hAnsi="Arial"/>
                <w:sz w:val="17"/>
                <w:szCs w:val="17"/>
                <w:color w:val="auto"/>
              </w:rPr>
              <w:t xml:space="preserve">$78, $1, and $40 million, respectively </w:t>
            </w:r>
            <w:r>
              <w:rPr>
                <w:rFonts w:ascii="Arial" w:cs="Arial" w:eastAsia="Arial" w:hAnsi="Arial"/>
                <w:sz w:val="8"/>
                <w:szCs w:val="8"/>
                <w:color w:val="auto"/>
              </w:rPr>
              <w:t>(1)</w:t>
            </w:r>
          </w:p>
        </w:tc>
        <w:tc>
          <w:tcPr>
            <w:tcW w:w="5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195"/>
              <w:spacing w:after="0"/>
              <w:rPr>
                <w:sz w:val="20"/>
                <w:szCs w:val="20"/>
                <w:color w:val="auto"/>
              </w:rPr>
            </w:pPr>
            <w:r>
              <w:rPr>
                <w:rFonts w:ascii="Arial" w:cs="Arial" w:eastAsia="Arial" w:hAnsi="Arial"/>
                <w:sz w:val="17"/>
                <w:szCs w:val="17"/>
                <w:color w:val="auto"/>
              </w:rPr>
              <w:t>5</w:t>
            </w:r>
          </w:p>
        </w:tc>
        <w:tc>
          <w:tcPr>
            <w:tcW w:w="260" w:type="dxa"/>
            <w:vAlign w:val="bottom"/>
          </w:tcPr>
          <w:p>
            <w:pPr>
              <w:spacing w:after="0"/>
              <w:rPr>
                <w:sz w:val="16"/>
                <w:szCs w:val="16"/>
                <w:color w:val="auto"/>
              </w:rPr>
            </w:pPr>
          </w:p>
        </w:tc>
        <w:tc>
          <w:tcPr>
            <w:tcW w:w="1000" w:type="dxa"/>
            <w:vAlign w:val="bottom"/>
          </w:tcPr>
          <w:p>
            <w:pPr>
              <w:jc w:val="right"/>
              <w:ind w:right="175"/>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 xml:space="preserve">U.S. tax reform </w:t>
            </w:r>
            <w:r>
              <w:rPr>
                <w:rFonts w:ascii="Arial" w:cs="Arial" w:eastAsia="Arial" w:hAnsi="Arial"/>
                <w:sz w:val="8"/>
                <w:szCs w:val="8"/>
                <w:color w:val="auto"/>
              </w:rPr>
              <w:t>(2)</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5"/>
              <w:spacing w:after="0"/>
              <w:rPr>
                <w:sz w:val="20"/>
                <w:szCs w:val="20"/>
                <w:color w:val="auto"/>
              </w:rPr>
            </w:pPr>
            <w:r>
              <w:rPr>
                <w:rFonts w:ascii="Arial" w:cs="Arial" w:eastAsia="Arial" w:hAnsi="Arial"/>
                <w:sz w:val="17"/>
                <w:szCs w:val="17"/>
                <w:b w:val="1"/>
                <w:bCs w:val="1"/>
                <w:color w:val="auto"/>
              </w:rPr>
              <w:t>99</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4820" w:type="dxa"/>
            <w:vAlign w:val="bottom"/>
          </w:tcPr>
          <w:p>
            <w:pPr>
              <w:ind w:left="220"/>
              <w:spacing w:after="0"/>
              <w:rPr>
                <w:sz w:val="20"/>
                <w:szCs w:val="20"/>
                <w:color w:val="auto"/>
              </w:rPr>
            </w:pPr>
            <w:r>
              <w:rPr>
                <w:rFonts w:ascii="Arial" w:cs="Arial" w:eastAsia="Arial" w:hAnsi="Arial"/>
                <w:sz w:val="17"/>
                <w:szCs w:val="17"/>
                <w:color w:val="auto"/>
              </w:rPr>
              <w:t xml:space="preserve">Income tax valuation allowances </w:t>
            </w:r>
            <w:r>
              <w:rPr>
                <w:rFonts w:ascii="Arial" w:cs="Arial" w:eastAsia="Arial" w:hAnsi="Arial"/>
                <w:sz w:val="8"/>
                <w:szCs w:val="8"/>
                <w:color w:val="auto"/>
              </w:rPr>
              <w:t>(3)</w:t>
            </w:r>
          </w:p>
        </w:tc>
        <w:tc>
          <w:tcPr>
            <w:tcW w:w="540" w:type="dxa"/>
            <w:vAlign w:val="bottom"/>
          </w:tcPr>
          <w:p>
            <w:pPr>
              <w:spacing w:after="0"/>
              <w:rPr>
                <w:sz w:val="18"/>
                <w:szCs w:val="18"/>
                <w:color w:val="auto"/>
              </w:rPr>
            </w:pPr>
          </w:p>
        </w:tc>
        <w:tc>
          <w:tcPr>
            <w:tcW w:w="900" w:type="dxa"/>
            <w:vAlign w:val="bottom"/>
          </w:tcPr>
          <w:p>
            <w:pPr>
              <w:jc w:val="right"/>
              <w:ind w:right="215"/>
              <w:spacing w:after="0"/>
              <w:rPr>
                <w:sz w:val="20"/>
                <w:szCs w:val="20"/>
                <w:color w:val="auto"/>
              </w:rPr>
            </w:pPr>
            <w:r>
              <w:rPr>
                <w:rFonts w:ascii="Arial" w:cs="Arial" w:eastAsia="Arial" w:hAnsi="Arial"/>
                <w:sz w:val="17"/>
                <w:szCs w:val="17"/>
                <w:b w:val="1"/>
                <w:bCs w:val="1"/>
                <w:color w:val="auto"/>
              </w:rPr>
              <w:t>8</w:t>
            </w:r>
          </w:p>
        </w:tc>
        <w:tc>
          <w:tcPr>
            <w:tcW w:w="280" w:type="dxa"/>
            <w:vAlign w:val="bottom"/>
          </w:tcPr>
          <w:p>
            <w:pPr>
              <w:spacing w:after="0"/>
              <w:rPr>
                <w:sz w:val="18"/>
                <w:szCs w:val="18"/>
                <w:color w:val="auto"/>
              </w:rPr>
            </w:pPr>
          </w:p>
        </w:tc>
        <w:tc>
          <w:tcPr>
            <w:tcW w:w="102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00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 xml:space="preserve">Tax expense related to French tax rate change </w:t>
            </w:r>
            <w:r>
              <w:rPr>
                <w:rFonts w:ascii="Arial" w:cs="Arial" w:eastAsia="Arial" w:hAnsi="Arial"/>
                <w:sz w:val="8"/>
                <w:szCs w:val="8"/>
                <w:color w:val="auto"/>
              </w:rPr>
              <w:t>(4)</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5"/>
              <w:spacing w:after="0"/>
              <w:rPr>
                <w:sz w:val="20"/>
                <w:szCs w:val="20"/>
                <w:color w:val="auto"/>
              </w:rPr>
            </w:pPr>
            <w:r>
              <w:rPr>
                <w:rFonts w:ascii="Arial" w:cs="Arial" w:eastAsia="Arial" w:hAnsi="Arial"/>
                <w:sz w:val="17"/>
                <w:szCs w:val="17"/>
                <w:b w:val="1"/>
                <w:bCs w:val="1"/>
                <w:color w:val="auto"/>
              </w:rPr>
              <w:t>2</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2</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4820" w:type="dxa"/>
            <w:vAlign w:val="bottom"/>
          </w:tcPr>
          <w:p>
            <w:pPr>
              <w:ind w:left="220"/>
              <w:spacing w:after="0"/>
              <w:rPr>
                <w:sz w:val="20"/>
                <w:szCs w:val="20"/>
                <w:color w:val="auto"/>
              </w:rPr>
            </w:pPr>
            <w:r>
              <w:rPr>
                <w:rFonts w:ascii="Arial" w:cs="Arial" w:eastAsia="Arial" w:hAnsi="Arial"/>
                <w:sz w:val="17"/>
                <w:szCs w:val="17"/>
                <w:color w:val="auto"/>
              </w:rPr>
              <w:t>Tax benefit related to enacted change in foreign branch</w:t>
            </w:r>
          </w:p>
        </w:tc>
        <w:tc>
          <w:tcPr>
            <w:tcW w:w="540" w:type="dxa"/>
            <w:vAlign w:val="bottom"/>
          </w:tcPr>
          <w:p>
            <w:pPr>
              <w:spacing w:after="0"/>
              <w:rPr>
                <w:sz w:val="19"/>
                <w:szCs w:val="19"/>
                <w:color w:val="auto"/>
              </w:rPr>
            </w:pPr>
          </w:p>
        </w:tc>
        <w:tc>
          <w:tcPr>
            <w:tcW w:w="900" w:type="dxa"/>
            <w:vAlign w:val="bottom"/>
            <w:vMerge w:val="restart"/>
          </w:tcPr>
          <w:p>
            <w:pPr>
              <w:jc w:val="right"/>
              <w:ind w:right="155"/>
              <w:spacing w:after="0"/>
              <w:rPr>
                <w:sz w:val="20"/>
                <w:szCs w:val="20"/>
                <w:color w:val="auto"/>
              </w:rPr>
            </w:pPr>
            <w:r>
              <w:rPr>
                <w:rFonts w:ascii="Arial" w:cs="Arial" w:eastAsia="Arial" w:hAnsi="Arial"/>
                <w:sz w:val="17"/>
                <w:szCs w:val="17"/>
                <w:b w:val="1"/>
                <w:bCs w:val="1"/>
                <w:color w:val="auto"/>
              </w:rPr>
              <w:t>—</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820" w:type="dxa"/>
            <w:vAlign w:val="bottom"/>
          </w:tcPr>
          <w:p>
            <w:pPr>
              <w:ind w:left="320"/>
              <w:spacing w:after="0"/>
              <w:rPr>
                <w:sz w:val="20"/>
                <w:szCs w:val="20"/>
                <w:color w:val="auto"/>
              </w:rPr>
            </w:pPr>
            <w:r>
              <w:rPr>
                <w:rFonts w:ascii="Arial" w:cs="Arial" w:eastAsia="Arial" w:hAnsi="Arial"/>
                <w:sz w:val="17"/>
                <w:szCs w:val="17"/>
                <w:color w:val="auto"/>
              </w:rPr>
              <w:t xml:space="preserve">currency regulations </w:t>
            </w:r>
            <w:r>
              <w:rPr>
                <w:rFonts w:ascii="Arial" w:cs="Arial" w:eastAsia="Arial" w:hAnsi="Arial"/>
                <w:sz w:val="8"/>
                <w:szCs w:val="8"/>
                <w:color w:val="auto"/>
              </w:rPr>
              <w:t>(5)</w:t>
            </w:r>
          </w:p>
        </w:tc>
        <w:tc>
          <w:tcPr>
            <w:tcW w:w="5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155"/>
              <w:spacing w:after="0"/>
              <w:rPr>
                <w:sz w:val="20"/>
                <w:szCs w:val="20"/>
                <w:color w:val="auto"/>
              </w:rPr>
            </w:pPr>
            <w:r>
              <w:rPr>
                <w:rFonts w:ascii="Arial" w:cs="Arial" w:eastAsia="Arial" w:hAnsi="Arial"/>
                <w:sz w:val="17"/>
                <w:szCs w:val="17"/>
                <w:color w:val="auto"/>
              </w:rPr>
              <w:t>(9)</w:t>
            </w:r>
          </w:p>
        </w:tc>
        <w:tc>
          <w:tcPr>
            <w:tcW w:w="260" w:type="dxa"/>
            <w:vAlign w:val="bottom"/>
          </w:tcPr>
          <w:p>
            <w:pPr>
              <w:spacing w:after="0"/>
              <w:rPr>
                <w:sz w:val="16"/>
                <w:szCs w:val="16"/>
                <w:color w:val="auto"/>
              </w:rPr>
            </w:pPr>
          </w:p>
        </w:tc>
        <w:tc>
          <w:tcPr>
            <w:tcW w:w="100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 xml:space="preserve">Tax benefit related to intellectual property reassessment </w:t>
            </w:r>
            <w:r>
              <w:rPr>
                <w:rFonts w:ascii="Arial" w:cs="Arial" w:eastAsia="Arial" w:hAnsi="Arial"/>
                <w:sz w:val="8"/>
                <w:szCs w:val="8"/>
                <w:color w:val="auto"/>
              </w:rPr>
              <w:t>(6)</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(10)</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482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53</w:t>
            </w:r>
            <w:r>
              <w:rPr>
                <w:rFonts w:ascii="Arial" w:cs="Arial" w:eastAsia="Arial" w:hAnsi="Arial"/>
                <w:sz w:val="8"/>
                <w:szCs w:val="8"/>
                <w:color w:val="auto"/>
              </w:rPr>
              <w:t>rd</w:t>
            </w:r>
            <w:r>
              <w:rPr>
                <w:rFonts w:ascii="Arial" w:cs="Arial" w:eastAsia="Arial" w:hAnsi="Arial"/>
                <w:sz w:val="17"/>
                <w:szCs w:val="17"/>
                <w:color w:val="auto"/>
              </w:rPr>
              <w:t xml:space="preserve"> week, net of income tax expense of $9 million</w:t>
            </w: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(16)</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0"/>
        </w:trPr>
        <w:tc>
          <w:tcPr>
            <w:tcW w:w="482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Adjusted net income (non-GAAP)</w:t>
            </w:r>
          </w:p>
        </w:tc>
        <w:tc>
          <w:tcPr>
            <w:tcW w:w="540" w:type="dxa"/>
            <w:vAlign w:val="bottom"/>
            <w:tcBorders>
              <w:bottom w:val="single" w:sz="8" w:color="auto"/>
            </w:tcBorders>
            <w:shd w:val="clear" w:color="auto" w:fill="CCEEFF"/>
          </w:tcPr>
          <w:p>
            <w:pPr>
              <w:jc w:val="right"/>
              <w:ind w:right="135"/>
              <w:spacing w:after="0" w:line="183" w:lineRule="exact"/>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shd w:val="clear" w:color="auto" w:fill="CCEEFF"/>
          </w:tcPr>
          <w:p>
            <w:pPr>
              <w:jc w:val="right"/>
              <w:ind w:right="215"/>
              <w:spacing w:after="0" w:line="183" w:lineRule="exact"/>
              <w:rPr>
                <w:sz w:val="20"/>
                <w:szCs w:val="20"/>
                <w:color w:val="auto"/>
              </w:rPr>
            </w:pPr>
            <w:r>
              <w:rPr>
                <w:rFonts w:ascii="Arial" w:cs="Arial" w:eastAsia="Arial" w:hAnsi="Arial"/>
                <w:sz w:val="17"/>
                <w:szCs w:val="17"/>
                <w:b w:val="1"/>
                <w:bCs w:val="1"/>
                <w:color w:val="auto"/>
              </w:rPr>
              <w:t>510</w:t>
            </w:r>
          </w:p>
        </w:tc>
        <w:tc>
          <w:tcPr>
            <w:tcW w:w="2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195"/>
              <w:spacing w:after="0" w:line="183" w:lineRule="exact"/>
              <w:rPr>
                <w:sz w:val="20"/>
                <w:szCs w:val="20"/>
                <w:color w:val="auto"/>
              </w:rPr>
            </w:pPr>
            <w:r>
              <w:rPr>
                <w:rFonts w:ascii="Arial" w:cs="Arial" w:eastAsia="Arial" w:hAnsi="Arial"/>
                <w:sz w:val="17"/>
                <w:szCs w:val="17"/>
                <w:color w:val="auto"/>
              </w:rPr>
              <w:t>652</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175"/>
              <w:spacing w:after="0" w:line="183" w:lineRule="exact"/>
              <w:rPr>
                <w:sz w:val="20"/>
                <w:szCs w:val="20"/>
                <w:color w:val="auto"/>
              </w:rPr>
            </w:pPr>
            <w:r>
              <w:rPr>
                <w:rFonts w:ascii="Arial" w:cs="Arial" w:eastAsia="Arial" w:hAnsi="Arial"/>
                <w:sz w:val="17"/>
                <w:szCs w:val="17"/>
                <w:color w:val="auto"/>
              </w:rPr>
              <w:t>606</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Earnings per share:</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7"/>
                <w:szCs w:val="17"/>
                <w:color w:val="auto"/>
              </w:rPr>
              <w:t>Diluted EPS</w:t>
            </w:r>
          </w:p>
        </w:tc>
        <w:tc>
          <w:tcPr>
            <w:tcW w:w="540" w:type="dxa"/>
            <w:vAlign w:val="bottom"/>
          </w:tcPr>
          <w:p>
            <w:pPr>
              <w:jc w:val="right"/>
              <w:ind w:right="135"/>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ind w:right="215"/>
              <w:spacing w:after="0"/>
              <w:rPr>
                <w:sz w:val="20"/>
                <w:szCs w:val="20"/>
                <w:color w:val="auto"/>
              </w:rPr>
            </w:pPr>
            <w:r>
              <w:rPr>
                <w:rFonts w:ascii="Arial" w:cs="Arial" w:eastAsia="Arial" w:hAnsi="Arial"/>
                <w:sz w:val="17"/>
                <w:szCs w:val="17"/>
                <w:b w:val="1"/>
                <w:bCs w:val="1"/>
                <w:color w:val="auto"/>
              </w:rPr>
              <w:t>2.22</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95"/>
              <w:spacing w:after="0"/>
              <w:rPr>
                <w:sz w:val="20"/>
                <w:szCs w:val="20"/>
                <w:color w:val="auto"/>
              </w:rPr>
            </w:pPr>
            <w:r>
              <w:rPr>
                <w:rFonts w:ascii="Arial" w:cs="Arial" w:eastAsia="Arial" w:hAnsi="Arial"/>
                <w:sz w:val="17"/>
                <w:szCs w:val="17"/>
                <w:color w:val="auto"/>
              </w:rPr>
              <w:t>4.91</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75"/>
              <w:spacing w:after="0"/>
              <w:rPr>
                <w:sz w:val="20"/>
                <w:szCs w:val="20"/>
                <w:color w:val="auto"/>
              </w:rPr>
            </w:pPr>
            <w:r>
              <w:rPr>
                <w:rFonts w:ascii="Arial" w:cs="Arial" w:eastAsia="Arial" w:hAnsi="Arial"/>
                <w:sz w:val="17"/>
                <w:szCs w:val="17"/>
                <w:color w:val="auto"/>
              </w:rPr>
              <w:t>3.84</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Diluted EPS amounts excluded from GAAP:</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220"/>
              <w:spacing w:after="0"/>
              <w:rPr>
                <w:sz w:val="20"/>
                <w:szCs w:val="20"/>
                <w:color w:val="auto"/>
              </w:rPr>
            </w:pPr>
            <w:r>
              <w:rPr>
                <w:rFonts w:ascii="Arial" w:cs="Arial" w:eastAsia="Arial" w:hAnsi="Arial"/>
                <w:sz w:val="17"/>
                <w:szCs w:val="17"/>
                <w:color w:val="auto"/>
              </w:rPr>
              <w:t xml:space="preserve">Litigation and other charges </w:t>
            </w:r>
            <w:r>
              <w:rPr>
                <w:rFonts w:ascii="Arial" w:cs="Arial" w:eastAsia="Arial" w:hAnsi="Arial"/>
                <w:sz w:val="8"/>
                <w:szCs w:val="8"/>
                <w:color w:val="auto"/>
              </w:rPr>
              <w:t>(1)</w:t>
            </w:r>
          </w:p>
        </w:tc>
        <w:tc>
          <w:tcPr>
            <w:tcW w:w="540" w:type="dxa"/>
            <w:vAlign w:val="bottom"/>
          </w:tcPr>
          <w:p>
            <w:pPr>
              <w:spacing w:after="0"/>
              <w:rPr>
                <w:sz w:val="18"/>
                <w:szCs w:val="18"/>
                <w:color w:val="auto"/>
              </w:rPr>
            </w:pPr>
          </w:p>
        </w:tc>
        <w:tc>
          <w:tcPr>
            <w:tcW w:w="900" w:type="dxa"/>
            <w:vAlign w:val="bottom"/>
          </w:tcPr>
          <w:p>
            <w:pPr>
              <w:jc w:val="right"/>
              <w:ind w:right="215"/>
              <w:spacing w:after="0"/>
              <w:rPr>
                <w:sz w:val="20"/>
                <w:szCs w:val="20"/>
                <w:color w:val="auto"/>
              </w:rPr>
            </w:pPr>
            <w:r>
              <w:rPr>
                <w:rFonts w:ascii="Arial" w:cs="Arial" w:eastAsia="Arial" w:hAnsi="Arial"/>
                <w:sz w:val="17"/>
                <w:szCs w:val="17"/>
                <w:b w:val="1"/>
                <w:bCs w:val="1"/>
                <w:color w:val="auto"/>
              </w:rPr>
              <w:t>1.02</w:t>
            </w:r>
          </w:p>
        </w:tc>
        <w:tc>
          <w:tcPr>
            <w:tcW w:w="280" w:type="dxa"/>
            <w:vAlign w:val="bottom"/>
          </w:tcPr>
          <w:p>
            <w:pPr>
              <w:spacing w:after="0"/>
              <w:rPr>
                <w:sz w:val="18"/>
                <w:szCs w:val="18"/>
                <w:color w:val="auto"/>
              </w:rPr>
            </w:pPr>
          </w:p>
        </w:tc>
        <w:tc>
          <w:tcPr>
            <w:tcW w:w="1020" w:type="dxa"/>
            <w:vAlign w:val="bottom"/>
          </w:tcPr>
          <w:p>
            <w:pPr>
              <w:jc w:val="right"/>
              <w:ind w:right="195"/>
              <w:spacing w:after="0"/>
              <w:rPr>
                <w:sz w:val="20"/>
                <w:szCs w:val="20"/>
                <w:color w:val="auto"/>
              </w:rPr>
            </w:pPr>
            <w:r>
              <w:rPr>
                <w:rFonts w:ascii="Arial" w:cs="Arial" w:eastAsia="Arial" w:hAnsi="Arial"/>
                <w:sz w:val="17"/>
                <w:szCs w:val="17"/>
                <w:color w:val="auto"/>
              </w:rPr>
              <w:t>0.03</w:t>
            </w:r>
          </w:p>
        </w:tc>
        <w:tc>
          <w:tcPr>
            <w:tcW w:w="260" w:type="dxa"/>
            <w:vAlign w:val="bottom"/>
          </w:tcPr>
          <w:p>
            <w:pPr>
              <w:spacing w:after="0"/>
              <w:rPr>
                <w:sz w:val="18"/>
                <w:szCs w:val="18"/>
                <w:color w:val="auto"/>
              </w:rPr>
            </w:pPr>
          </w:p>
        </w:tc>
        <w:tc>
          <w:tcPr>
            <w:tcW w:w="1000" w:type="dxa"/>
            <w:vAlign w:val="bottom"/>
          </w:tcPr>
          <w:p>
            <w:pPr>
              <w:jc w:val="right"/>
              <w:ind w:right="175"/>
              <w:spacing w:after="0"/>
              <w:rPr>
                <w:sz w:val="20"/>
                <w:szCs w:val="20"/>
                <w:color w:val="auto"/>
              </w:rPr>
            </w:pPr>
            <w:r>
              <w:rPr>
                <w:rFonts w:ascii="Arial" w:cs="Arial" w:eastAsia="Arial" w:hAnsi="Arial"/>
                <w:sz w:val="17"/>
                <w:szCs w:val="17"/>
                <w:color w:val="auto"/>
              </w:rPr>
              <w:t>0.45</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 xml:space="preserve">U.S. tax reform </w:t>
            </w:r>
            <w:r>
              <w:rPr>
                <w:rFonts w:ascii="Arial" w:cs="Arial" w:eastAsia="Arial" w:hAnsi="Arial"/>
                <w:sz w:val="8"/>
                <w:szCs w:val="8"/>
                <w:color w:val="auto"/>
              </w:rPr>
              <w:t>(2)</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5"/>
              <w:spacing w:after="0"/>
              <w:rPr>
                <w:sz w:val="20"/>
                <w:szCs w:val="20"/>
                <w:color w:val="auto"/>
              </w:rPr>
            </w:pPr>
            <w:r>
              <w:rPr>
                <w:rFonts w:ascii="Arial" w:cs="Arial" w:eastAsia="Arial" w:hAnsi="Arial"/>
                <w:sz w:val="17"/>
                <w:szCs w:val="17"/>
                <w:b w:val="1"/>
                <w:bCs w:val="1"/>
                <w:color w:val="auto"/>
              </w:rPr>
              <w:t>0.78</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4820" w:type="dxa"/>
            <w:vAlign w:val="bottom"/>
          </w:tcPr>
          <w:p>
            <w:pPr>
              <w:ind w:left="220"/>
              <w:spacing w:after="0"/>
              <w:rPr>
                <w:sz w:val="20"/>
                <w:szCs w:val="20"/>
                <w:color w:val="auto"/>
              </w:rPr>
            </w:pPr>
            <w:r>
              <w:rPr>
                <w:rFonts w:ascii="Arial" w:cs="Arial" w:eastAsia="Arial" w:hAnsi="Arial"/>
                <w:sz w:val="17"/>
                <w:szCs w:val="17"/>
                <w:color w:val="auto"/>
              </w:rPr>
              <w:t xml:space="preserve">Income tax valuation allowances </w:t>
            </w:r>
            <w:r>
              <w:rPr>
                <w:rFonts w:ascii="Arial" w:cs="Arial" w:eastAsia="Arial" w:hAnsi="Arial"/>
                <w:sz w:val="8"/>
                <w:szCs w:val="8"/>
                <w:color w:val="auto"/>
              </w:rPr>
              <w:t>(3)</w:t>
            </w:r>
          </w:p>
        </w:tc>
        <w:tc>
          <w:tcPr>
            <w:tcW w:w="540" w:type="dxa"/>
            <w:vAlign w:val="bottom"/>
          </w:tcPr>
          <w:p>
            <w:pPr>
              <w:spacing w:after="0"/>
              <w:rPr>
                <w:sz w:val="18"/>
                <w:szCs w:val="18"/>
                <w:color w:val="auto"/>
              </w:rPr>
            </w:pPr>
          </w:p>
        </w:tc>
        <w:tc>
          <w:tcPr>
            <w:tcW w:w="900" w:type="dxa"/>
            <w:vAlign w:val="bottom"/>
          </w:tcPr>
          <w:p>
            <w:pPr>
              <w:jc w:val="right"/>
              <w:ind w:right="215"/>
              <w:spacing w:after="0"/>
              <w:rPr>
                <w:sz w:val="20"/>
                <w:szCs w:val="20"/>
                <w:color w:val="auto"/>
              </w:rPr>
            </w:pPr>
            <w:r>
              <w:rPr>
                <w:rFonts w:ascii="Arial" w:cs="Arial" w:eastAsia="Arial" w:hAnsi="Arial"/>
                <w:sz w:val="17"/>
                <w:szCs w:val="17"/>
                <w:b w:val="1"/>
                <w:bCs w:val="1"/>
                <w:color w:val="auto"/>
              </w:rPr>
              <w:t>0.07</w:t>
            </w:r>
          </w:p>
        </w:tc>
        <w:tc>
          <w:tcPr>
            <w:tcW w:w="280" w:type="dxa"/>
            <w:vAlign w:val="bottom"/>
          </w:tcPr>
          <w:p>
            <w:pPr>
              <w:spacing w:after="0"/>
              <w:rPr>
                <w:sz w:val="18"/>
                <w:szCs w:val="18"/>
                <w:color w:val="auto"/>
              </w:rPr>
            </w:pPr>
          </w:p>
        </w:tc>
        <w:tc>
          <w:tcPr>
            <w:tcW w:w="102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00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 xml:space="preserve">Tax expense related to French tax rate change </w:t>
            </w:r>
            <w:r>
              <w:rPr>
                <w:rFonts w:ascii="Arial" w:cs="Arial" w:eastAsia="Arial" w:hAnsi="Arial"/>
                <w:sz w:val="8"/>
                <w:szCs w:val="8"/>
                <w:color w:val="auto"/>
              </w:rPr>
              <w:t>(4)</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5"/>
              <w:spacing w:after="0"/>
              <w:rPr>
                <w:sz w:val="20"/>
                <w:szCs w:val="20"/>
                <w:color w:val="auto"/>
              </w:rPr>
            </w:pPr>
            <w:r>
              <w:rPr>
                <w:rFonts w:ascii="Arial" w:cs="Arial" w:eastAsia="Arial" w:hAnsi="Arial"/>
                <w:sz w:val="17"/>
                <w:szCs w:val="17"/>
                <w:b w:val="1"/>
                <w:bCs w:val="1"/>
                <w:color w:val="auto"/>
              </w:rPr>
              <w:t>0.02</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0.02</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4820" w:type="dxa"/>
            <w:vAlign w:val="bottom"/>
          </w:tcPr>
          <w:p>
            <w:pPr>
              <w:ind w:left="220"/>
              <w:spacing w:after="0"/>
              <w:rPr>
                <w:sz w:val="20"/>
                <w:szCs w:val="20"/>
                <w:color w:val="auto"/>
              </w:rPr>
            </w:pPr>
            <w:r>
              <w:rPr>
                <w:rFonts w:ascii="Arial" w:cs="Arial" w:eastAsia="Arial" w:hAnsi="Arial"/>
                <w:sz w:val="17"/>
                <w:szCs w:val="17"/>
                <w:color w:val="auto"/>
              </w:rPr>
              <w:t>Tax benefit related to enacted change in foreign branch</w:t>
            </w:r>
          </w:p>
        </w:tc>
        <w:tc>
          <w:tcPr>
            <w:tcW w:w="540" w:type="dxa"/>
            <w:vAlign w:val="bottom"/>
          </w:tcPr>
          <w:p>
            <w:pPr>
              <w:spacing w:after="0"/>
              <w:rPr>
                <w:sz w:val="19"/>
                <w:szCs w:val="19"/>
                <w:color w:val="auto"/>
              </w:rPr>
            </w:pPr>
          </w:p>
        </w:tc>
        <w:tc>
          <w:tcPr>
            <w:tcW w:w="900" w:type="dxa"/>
            <w:vAlign w:val="bottom"/>
            <w:vMerge w:val="restart"/>
          </w:tcPr>
          <w:p>
            <w:pPr>
              <w:jc w:val="right"/>
              <w:ind w:right="155"/>
              <w:spacing w:after="0"/>
              <w:rPr>
                <w:sz w:val="20"/>
                <w:szCs w:val="20"/>
                <w:color w:val="auto"/>
              </w:rPr>
            </w:pPr>
            <w:r>
              <w:rPr>
                <w:rFonts w:ascii="Arial" w:cs="Arial" w:eastAsia="Arial" w:hAnsi="Arial"/>
                <w:sz w:val="17"/>
                <w:szCs w:val="17"/>
                <w:b w:val="1"/>
                <w:bCs w:val="1"/>
                <w:color w:val="auto"/>
              </w:rPr>
              <w:t>—</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820" w:type="dxa"/>
            <w:vAlign w:val="bottom"/>
          </w:tcPr>
          <w:p>
            <w:pPr>
              <w:ind w:left="320"/>
              <w:spacing w:after="0"/>
              <w:rPr>
                <w:sz w:val="20"/>
                <w:szCs w:val="20"/>
                <w:color w:val="auto"/>
              </w:rPr>
            </w:pPr>
            <w:r>
              <w:rPr>
                <w:rFonts w:ascii="Arial" w:cs="Arial" w:eastAsia="Arial" w:hAnsi="Arial"/>
                <w:sz w:val="17"/>
                <w:szCs w:val="17"/>
                <w:color w:val="auto"/>
              </w:rPr>
              <w:t xml:space="preserve">currency regulations </w:t>
            </w:r>
            <w:r>
              <w:rPr>
                <w:rFonts w:ascii="Arial" w:cs="Arial" w:eastAsia="Arial" w:hAnsi="Arial"/>
                <w:sz w:val="8"/>
                <w:szCs w:val="8"/>
                <w:color w:val="auto"/>
              </w:rPr>
              <w:t>(5)</w:t>
            </w:r>
          </w:p>
        </w:tc>
        <w:tc>
          <w:tcPr>
            <w:tcW w:w="5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155"/>
              <w:spacing w:after="0"/>
              <w:rPr>
                <w:sz w:val="20"/>
                <w:szCs w:val="20"/>
                <w:color w:val="auto"/>
              </w:rPr>
            </w:pPr>
            <w:r>
              <w:rPr>
                <w:rFonts w:ascii="Arial" w:cs="Arial" w:eastAsia="Arial" w:hAnsi="Arial"/>
                <w:sz w:val="17"/>
                <w:szCs w:val="17"/>
                <w:color w:val="auto"/>
              </w:rPr>
              <w:t>(0.07)</w:t>
            </w:r>
          </w:p>
        </w:tc>
        <w:tc>
          <w:tcPr>
            <w:tcW w:w="260" w:type="dxa"/>
            <w:vAlign w:val="bottom"/>
          </w:tcPr>
          <w:p>
            <w:pPr>
              <w:spacing w:after="0"/>
              <w:rPr>
                <w:sz w:val="16"/>
                <w:szCs w:val="16"/>
                <w:color w:val="auto"/>
              </w:rPr>
            </w:pPr>
          </w:p>
        </w:tc>
        <w:tc>
          <w:tcPr>
            <w:tcW w:w="100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 xml:space="preserve">Tax benefit related to intellectual property reassessment </w:t>
            </w:r>
            <w:r>
              <w:rPr>
                <w:rFonts w:ascii="Arial" w:cs="Arial" w:eastAsia="Arial" w:hAnsi="Arial"/>
                <w:sz w:val="8"/>
                <w:szCs w:val="8"/>
                <w:color w:val="auto"/>
              </w:rPr>
              <w:t>(6)</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(0.07)</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482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53</w:t>
            </w:r>
            <w:r>
              <w:rPr>
                <w:rFonts w:ascii="Arial" w:cs="Arial" w:eastAsia="Arial" w:hAnsi="Arial"/>
                <w:sz w:val="8"/>
                <w:szCs w:val="8"/>
                <w:color w:val="auto"/>
              </w:rPr>
              <w:t>rd</w:t>
            </w:r>
            <w:r>
              <w:rPr>
                <w:rFonts w:ascii="Arial" w:cs="Arial" w:eastAsia="Arial" w:hAnsi="Arial"/>
                <w:sz w:val="17"/>
                <w:szCs w:val="17"/>
                <w:color w:val="auto"/>
              </w:rPr>
              <w:t xml:space="preserve"> week</w:t>
            </w: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(0.12)</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0"/>
        </w:trPr>
        <w:tc>
          <w:tcPr>
            <w:tcW w:w="482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Adjusted diluted EPS (non-GAAP)</w:t>
            </w:r>
          </w:p>
        </w:tc>
        <w:tc>
          <w:tcPr>
            <w:tcW w:w="540" w:type="dxa"/>
            <w:vAlign w:val="bottom"/>
            <w:tcBorders>
              <w:bottom w:val="single" w:sz="8" w:color="auto"/>
            </w:tcBorders>
            <w:shd w:val="clear" w:color="auto" w:fill="CCEEFF"/>
          </w:tcPr>
          <w:p>
            <w:pPr>
              <w:jc w:val="right"/>
              <w:ind w:right="135"/>
              <w:spacing w:after="0" w:line="183" w:lineRule="exact"/>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shd w:val="clear" w:color="auto" w:fill="CCEEFF"/>
          </w:tcPr>
          <w:p>
            <w:pPr>
              <w:jc w:val="right"/>
              <w:ind w:right="215"/>
              <w:spacing w:after="0" w:line="183" w:lineRule="exact"/>
              <w:rPr>
                <w:sz w:val="20"/>
                <w:szCs w:val="20"/>
                <w:color w:val="auto"/>
              </w:rPr>
            </w:pPr>
            <w:r>
              <w:rPr>
                <w:rFonts w:ascii="Arial" w:cs="Arial" w:eastAsia="Arial" w:hAnsi="Arial"/>
                <w:sz w:val="17"/>
                <w:szCs w:val="17"/>
                <w:b w:val="1"/>
                <w:bCs w:val="1"/>
                <w:color w:val="auto"/>
              </w:rPr>
              <w:t>3.99</w:t>
            </w:r>
          </w:p>
        </w:tc>
        <w:tc>
          <w:tcPr>
            <w:tcW w:w="2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195"/>
              <w:spacing w:after="0" w:line="183" w:lineRule="exact"/>
              <w:rPr>
                <w:sz w:val="20"/>
                <w:szCs w:val="20"/>
                <w:color w:val="auto"/>
              </w:rPr>
            </w:pPr>
            <w:r>
              <w:rPr>
                <w:rFonts w:ascii="Arial" w:cs="Arial" w:eastAsia="Arial" w:hAnsi="Arial"/>
                <w:sz w:val="17"/>
                <w:szCs w:val="17"/>
                <w:color w:val="auto"/>
              </w:rPr>
              <w:t>4.82</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175"/>
              <w:spacing w:after="0" w:line="183" w:lineRule="exact"/>
              <w:rPr>
                <w:sz w:val="20"/>
                <w:szCs w:val="20"/>
                <w:color w:val="auto"/>
              </w:rPr>
            </w:pPr>
            <w:r>
              <w:rPr>
                <w:rFonts w:ascii="Arial" w:cs="Arial" w:eastAsia="Arial" w:hAnsi="Arial"/>
                <w:sz w:val="17"/>
                <w:szCs w:val="17"/>
                <w:color w:val="auto"/>
              </w:rPr>
              <w:t>4.29</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Net income margin %</w:t>
            </w: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3.6 %</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8.6 %</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7.3 %</w:t>
            </w:r>
          </w:p>
        </w:tc>
        <w:tc>
          <w:tcPr>
            <w:tcW w:w="0" w:type="dxa"/>
            <w:vAlign w:val="bottom"/>
          </w:tcPr>
          <w:p>
            <w:pPr>
              <w:spacing w:after="0"/>
              <w:rPr>
                <w:sz w:val="1"/>
                <w:szCs w:val="1"/>
                <w:color w:val="auto"/>
              </w:rPr>
            </w:pPr>
          </w:p>
        </w:tc>
      </w:tr>
      <w:tr>
        <w:trPr>
          <w:trHeight w:val="216"/>
        </w:trPr>
        <w:tc>
          <w:tcPr>
            <w:tcW w:w="48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Adjusted net income margin %</w:t>
            </w: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6.6 %</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8.4 %</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8.2 %</w:t>
            </w: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left="800" w:right="219" w:hanging="384"/>
        <w:spacing w:after="0" w:line="272" w:lineRule="auto"/>
        <w:tabs>
          <w:tab w:leader="none" w:pos="800" w:val="left"/>
        </w:tabs>
        <w:numPr>
          <w:ilvl w:val="0"/>
          <w:numId w:val="7"/>
        </w:numPr>
        <w:rPr>
          <w:rFonts w:ascii="Arial" w:cs="Arial" w:eastAsia="Arial" w:hAnsi="Arial"/>
          <w:sz w:val="11"/>
          <w:szCs w:val="11"/>
          <w:color w:val="auto"/>
        </w:rPr>
      </w:pPr>
      <w:r>
        <w:rPr>
          <w:rFonts w:ascii="Arial" w:cs="Arial" w:eastAsia="Arial" w:hAnsi="Arial"/>
          <w:sz w:val="12"/>
          <w:szCs w:val="12"/>
          <w:color w:val="auto"/>
        </w:rPr>
        <w:t>Litigation and other charges for 2017 includes a pension litigation charge ($178 million, or $111 million after-tax), severance and related costs ($13 million, or $8 million after-tax), and non-cash impairment charges ($20 million, or $14 million after-tax). The 2016 amount represents non-cash impairment charges of $6 million, or $5 million after-tax. The 2015 amount includes a charge of $100 million related to the pension litigation ($61 million after-tax) and non-cash impairment charges of $5 million ($4 million after-tax).</w:t>
      </w:r>
    </w:p>
    <w:p>
      <w:pPr>
        <w:spacing w:after="0" w:line="211" w:lineRule="exact"/>
        <w:rPr>
          <w:rFonts w:ascii="Arial" w:cs="Arial" w:eastAsia="Arial" w:hAnsi="Arial"/>
          <w:sz w:val="11"/>
          <w:szCs w:val="11"/>
          <w:color w:val="auto"/>
        </w:rPr>
      </w:pPr>
    </w:p>
    <w:p>
      <w:pPr>
        <w:jc w:val="both"/>
        <w:ind w:left="800" w:right="239"/>
        <w:spacing w:after="0" w:line="225" w:lineRule="auto"/>
        <w:rPr>
          <w:rFonts w:ascii="Arial" w:cs="Arial" w:eastAsia="Arial" w:hAnsi="Arial"/>
          <w:sz w:val="11"/>
          <w:szCs w:val="11"/>
          <w:color w:val="auto"/>
        </w:rPr>
      </w:pPr>
      <w:r>
        <w:rPr>
          <w:rFonts w:ascii="Arial" w:cs="Arial" w:eastAsia="Arial" w:hAnsi="Arial"/>
          <w:sz w:val="14"/>
          <w:szCs w:val="14"/>
          <w:u w:val="single" w:color="auto"/>
          <w:color w:val="auto"/>
        </w:rPr>
        <w:t>Pension litigation</w:t>
      </w:r>
      <w:r>
        <w:rPr>
          <w:rFonts w:ascii="Arial" w:cs="Arial" w:eastAsia="Arial" w:hAnsi="Arial"/>
          <w:sz w:val="14"/>
          <w:szCs w:val="14"/>
          <w:color w:val="auto"/>
        </w:rPr>
        <w:t xml:space="preserve"> - The Company recorded pre-tax charges of $50 million and $128 million in connection with its U.S. retirement plan litigation during the second and fourth quarters of 2017, respectively. The Company had previously recorded a pre-tax charge for $100 million during 2015. These charges reflect the Company’s revised estimate of its exposure for this matter, bringing the total pre-tax amount accrued to $278 million. The Company has exhausted all of its legal remedies and will reform the pension plan as required by the court rulings.</w:t>
      </w:r>
    </w:p>
    <w:p>
      <w:pPr>
        <w:spacing w:after="0" w:line="231" w:lineRule="exact"/>
        <w:rPr>
          <w:rFonts w:ascii="Arial" w:cs="Arial" w:eastAsia="Arial" w:hAnsi="Arial"/>
          <w:sz w:val="11"/>
          <w:szCs w:val="11"/>
          <w:color w:val="auto"/>
        </w:rPr>
      </w:pPr>
    </w:p>
    <w:p>
      <w:pPr>
        <w:ind w:left="800" w:right="219"/>
        <w:spacing w:after="0" w:line="231" w:lineRule="auto"/>
        <w:rPr>
          <w:rFonts w:ascii="Arial" w:cs="Arial" w:eastAsia="Arial" w:hAnsi="Arial"/>
          <w:sz w:val="11"/>
          <w:szCs w:val="11"/>
          <w:color w:val="auto"/>
        </w:rPr>
      </w:pPr>
      <w:r>
        <w:rPr>
          <w:rFonts w:ascii="Arial" w:cs="Arial" w:eastAsia="Arial" w:hAnsi="Arial"/>
          <w:sz w:val="14"/>
          <w:szCs w:val="14"/>
          <w:u w:val="single" w:color="auto"/>
          <w:color w:val="auto"/>
        </w:rPr>
        <w:t>Severance and related costs</w:t>
      </w:r>
      <w:r>
        <w:rPr>
          <w:rFonts w:ascii="Arial" w:cs="Arial" w:eastAsia="Arial" w:hAnsi="Arial"/>
          <w:sz w:val="14"/>
          <w:szCs w:val="14"/>
          <w:color w:val="auto"/>
        </w:rPr>
        <w:t xml:space="preserve"> – The Company recorded a pre-tax charge of $13 million during the third quarter of 2017 associated with the reorganization and the reduction of staff taken to improve efficiency.</w:t>
      </w:r>
    </w:p>
    <w:p>
      <w:pPr>
        <w:spacing w:after="0" w:line="230" w:lineRule="exact"/>
        <w:rPr>
          <w:rFonts w:ascii="Arial" w:cs="Arial" w:eastAsia="Arial" w:hAnsi="Arial"/>
          <w:sz w:val="11"/>
          <w:szCs w:val="11"/>
          <w:color w:val="auto"/>
        </w:rPr>
      </w:pPr>
    </w:p>
    <w:p>
      <w:pPr>
        <w:jc w:val="both"/>
        <w:ind w:left="800" w:right="219"/>
        <w:spacing w:after="0" w:line="258" w:lineRule="auto"/>
        <w:rPr>
          <w:rFonts w:ascii="Arial" w:cs="Arial" w:eastAsia="Arial" w:hAnsi="Arial"/>
          <w:sz w:val="11"/>
          <w:szCs w:val="11"/>
          <w:color w:val="auto"/>
        </w:rPr>
      </w:pPr>
      <w:r>
        <w:rPr>
          <w:rFonts w:ascii="Arial" w:cs="Arial" w:eastAsia="Arial" w:hAnsi="Arial"/>
          <w:sz w:val="12"/>
          <w:szCs w:val="12"/>
          <w:u w:val="single" w:color="auto"/>
          <w:color w:val="auto"/>
        </w:rPr>
        <w:t>Impairment charges</w:t>
      </w:r>
      <w:r>
        <w:rPr>
          <w:rFonts w:ascii="Arial" w:cs="Arial" w:eastAsia="Arial" w:hAnsi="Arial"/>
          <w:sz w:val="12"/>
          <w:szCs w:val="12"/>
          <w:color w:val="auto"/>
        </w:rPr>
        <w:t xml:space="preserve"> – The Company recognized pre-tax non-cash impairment charges totaling $20 million during the fourth quarter of 2017. These charges were associated with our SIX:02, Runners Point, and Sidestep businesses and primarily represented the write-down of store fixtures and leasehold improvements. The 2016 and 2015 amounts related to Runners Point and Sidestep.</w:t>
      </w:r>
    </w:p>
    <w:p>
      <w:pPr>
        <w:jc w:val="both"/>
        <w:ind w:left="840" w:right="219" w:hanging="424"/>
        <w:spacing w:after="0" w:line="266" w:lineRule="auto"/>
        <w:tabs>
          <w:tab w:leader="none" w:pos="840" w:val="left"/>
        </w:tabs>
        <w:numPr>
          <w:ilvl w:val="0"/>
          <w:numId w:val="7"/>
        </w:numPr>
        <w:rPr>
          <w:rFonts w:ascii="Arial" w:cs="Arial" w:eastAsia="Arial" w:hAnsi="Arial"/>
          <w:sz w:val="11"/>
          <w:szCs w:val="11"/>
          <w:color w:val="auto"/>
        </w:rPr>
      </w:pPr>
      <w:r>
        <w:rPr>
          <w:rFonts w:ascii="Arial" w:cs="Arial" w:eastAsia="Arial" w:hAnsi="Arial"/>
          <w:sz w:val="12"/>
          <w:szCs w:val="12"/>
          <w:color w:val="auto"/>
        </w:rPr>
        <w:t>On December 22, 2017, the United States enacted tax reform legislation that included a broad range of business tax provisions. The recognized charge was based on current interpretation of the tax law changes and includes a $99 million tax liability for the mandatory deemed repatriation of foreign sourced net earnings and a corresponding change in our permanent reinvestment assertion under ASC 740-30. The effect of remeasurement of our deferred tax assets and liabilities was not significant. Our accounting for the new legislation is not complete and we have made reasonable estimates for some tax provisions. We exclude the discrete U.S. tax reform effect from our Adjusted diluted EPS as it does not reflect our ongoing tax obligations under U.S. tax reform.</w:t>
      </w:r>
    </w:p>
    <w:p>
      <w:pPr>
        <w:spacing w:after="0" w:line="54" w:lineRule="exact"/>
        <w:rPr>
          <w:rFonts w:ascii="Arial" w:cs="Arial" w:eastAsia="Arial" w:hAnsi="Arial"/>
          <w:sz w:val="11"/>
          <w:szCs w:val="11"/>
          <w:color w:val="auto"/>
        </w:rPr>
      </w:pPr>
    </w:p>
    <w:p>
      <w:pPr>
        <w:ind w:left="840" w:right="219" w:hanging="424"/>
        <w:spacing w:after="0" w:line="231" w:lineRule="auto"/>
        <w:tabs>
          <w:tab w:leader="none" w:pos="840" w:val="left"/>
        </w:tabs>
        <w:numPr>
          <w:ilvl w:val="0"/>
          <w:numId w:val="7"/>
        </w:numPr>
        <w:rPr>
          <w:rFonts w:ascii="Arial" w:cs="Arial" w:eastAsia="Arial" w:hAnsi="Arial"/>
          <w:sz w:val="12"/>
          <w:szCs w:val="12"/>
          <w:color w:val="auto"/>
        </w:rPr>
      </w:pPr>
      <w:r>
        <w:rPr>
          <w:rFonts w:ascii="Arial" w:cs="Arial" w:eastAsia="Arial" w:hAnsi="Arial"/>
          <w:sz w:val="14"/>
          <w:szCs w:val="14"/>
          <w:color w:val="auto"/>
        </w:rPr>
        <w:t>During the fourth quarter of 2017, the Company determined that certain valuation allowances should be established against deferred tax assets associated with the Runners Point and Sidestep stores and e-commerce businesses.</w:t>
      </w:r>
    </w:p>
    <w:p>
      <w:pPr>
        <w:spacing w:after="0" w:line="54" w:lineRule="exact"/>
        <w:rPr>
          <w:rFonts w:ascii="Arial" w:cs="Arial" w:eastAsia="Arial" w:hAnsi="Arial"/>
          <w:sz w:val="12"/>
          <w:szCs w:val="12"/>
          <w:color w:val="auto"/>
        </w:rPr>
      </w:pPr>
    </w:p>
    <w:p>
      <w:pPr>
        <w:ind w:left="840" w:right="219" w:hanging="424"/>
        <w:spacing w:after="0" w:line="231" w:lineRule="auto"/>
        <w:tabs>
          <w:tab w:leader="none" w:pos="840" w:val="left"/>
        </w:tabs>
        <w:numPr>
          <w:ilvl w:val="0"/>
          <w:numId w:val="7"/>
        </w:numPr>
        <w:rPr>
          <w:rFonts w:ascii="Arial" w:cs="Arial" w:eastAsia="Arial" w:hAnsi="Arial"/>
          <w:sz w:val="12"/>
          <w:szCs w:val="12"/>
          <w:color w:val="auto"/>
        </w:rPr>
      </w:pPr>
      <w:r>
        <w:rPr>
          <w:rFonts w:ascii="Arial" w:cs="Arial" w:eastAsia="Arial" w:hAnsi="Arial"/>
          <w:sz w:val="14"/>
          <w:szCs w:val="14"/>
          <w:color w:val="auto"/>
        </w:rPr>
        <w:t>During the fourth quarters of 2017 and 2016, the Company recognized tax expense of $2 million in both periods in connection to two separate tax rate reductions in France.</w:t>
      </w:r>
    </w:p>
    <w:p>
      <w:pPr>
        <w:spacing w:after="0" w:line="54" w:lineRule="exact"/>
        <w:rPr>
          <w:rFonts w:ascii="Arial" w:cs="Arial" w:eastAsia="Arial" w:hAnsi="Arial"/>
          <w:sz w:val="12"/>
          <w:szCs w:val="12"/>
          <w:color w:val="auto"/>
        </w:rPr>
      </w:pPr>
    </w:p>
    <w:p>
      <w:pPr>
        <w:jc w:val="both"/>
        <w:ind w:left="840" w:right="219" w:hanging="424"/>
        <w:spacing w:after="0" w:line="226" w:lineRule="auto"/>
        <w:tabs>
          <w:tab w:leader="none" w:pos="840" w:val="left"/>
        </w:tabs>
        <w:numPr>
          <w:ilvl w:val="0"/>
          <w:numId w:val="7"/>
        </w:numPr>
        <w:rPr>
          <w:rFonts w:ascii="Arial" w:cs="Arial" w:eastAsia="Arial" w:hAnsi="Arial"/>
          <w:sz w:val="12"/>
          <w:szCs w:val="12"/>
          <w:color w:val="auto"/>
        </w:rPr>
      </w:pPr>
      <w:r>
        <w:rPr>
          <w:rFonts w:ascii="Arial" w:cs="Arial" w:eastAsia="Arial" w:hAnsi="Arial"/>
          <w:sz w:val="14"/>
          <w:szCs w:val="14"/>
          <w:color w:val="auto"/>
        </w:rPr>
        <w:t>In the fourth quarter of 2016, the U.S. Treasury issued regulations under Internal Revenue Code Section 987, which required us to change our method for determining the tax effects of foreign currency translation gains and losses for our foreign businesses that are operated as branches and are reported in a currency other than the currency of their parent. This change resulted in an increase to deferred tax assets and a corresponding reduction in our income tax provision in the amount of $9 million.</w:t>
      </w:r>
    </w:p>
    <w:p>
      <w:pPr>
        <w:spacing w:after="0" w:line="41" w:lineRule="exact"/>
        <w:rPr>
          <w:rFonts w:ascii="Arial" w:cs="Arial" w:eastAsia="Arial" w:hAnsi="Arial"/>
          <w:sz w:val="12"/>
          <w:szCs w:val="12"/>
          <w:color w:val="auto"/>
        </w:rPr>
      </w:pPr>
    </w:p>
    <w:p>
      <w:pPr>
        <w:jc w:val="both"/>
        <w:ind w:left="840" w:right="219" w:hanging="424"/>
        <w:spacing w:after="0" w:line="228" w:lineRule="auto"/>
        <w:tabs>
          <w:tab w:leader="none" w:pos="840" w:val="left"/>
        </w:tabs>
        <w:numPr>
          <w:ilvl w:val="0"/>
          <w:numId w:val="7"/>
        </w:numPr>
        <w:rPr>
          <w:rFonts w:ascii="Arial" w:cs="Arial" w:eastAsia="Arial" w:hAnsi="Arial"/>
          <w:sz w:val="12"/>
          <w:szCs w:val="12"/>
          <w:color w:val="auto"/>
        </w:rPr>
      </w:pPr>
      <w:r>
        <w:rPr>
          <w:rFonts w:ascii="Arial" w:cs="Arial" w:eastAsia="Arial" w:hAnsi="Arial"/>
          <w:sz w:val="14"/>
          <w:szCs w:val="14"/>
          <w:color w:val="auto"/>
        </w:rPr>
        <w:t>During the third quarter of 2016, we performed a scheduled reassessment of the value of the intellectual property provided to our European business by Foot Locker in the U.S. during the fourth quarter of 2012. The new, higher valuation resulted in catch-up deductions that reduced tax expense by $10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83" w:right="1440" w:bottom="1440" w:gutter="0" w:footer="0" w:header="0"/>
        </w:sectPr>
      </w:pPr>
    </w:p>
    <w:bookmarkStart w:id="20" w:name="page21"/>
    <w:bookmarkEnd w:id="20"/>
    <w:p>
      <w:pPr>
        <w:jc w:val="both"/>
        <w:ind w:left="100" w:right="99"/>
        <w:spacing w:after="0" w:line="234" w:lineRule="auto"/>
        <w:rPr>
          <w:sz w:val="20"/>
          <w:szCs w:val="20"/>
          <w:color w:val="auto"/>
        </w:rPr>
      </w:pPr>
      <w:r>
        <w:rPr>
          <w:rFonts w:ascii="Arial" w:cs="Arial" w:eastAsia="Arial" w:hAnsi="Arial"/>
          <w:sz w:val="17"/>
          <w:szCs w:val="17"/>
          <w:color w:val="auto"/>
        </w:rPr>
        <w:t>ROIC is presented below and represents a non-GAAP measure. We believe it is a meaningful measure because it quantifies how efficiently we generated operating income relative to the capital we have invested in the business. In order to calculate ROIC, we adjust our results to reflect our operating leases as if they qualified for capital lease treatment. Operating leases are the primary financing vehicle used to fund store expansion and, therefore, we believe that the presentation of these leases as if they were capital leases is appropriate. Accordingly, the asset base and net income amounts are adjusted to reflect this in the calculation of ROIC. ROIC, subject to certain adjustments, is also used as a measure in executive long-term incentive compensation.</w:t>
      </w:r>
    </w:p>
    <w:p>
      <w:pPr>
        <w:spacing w:after="0" w:line="178"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The closest U.S. GAAP measure to ROIC is Return on Assets (“ROA”) and is also represented below. ROA decreased to 7.3 percent as compared to 17.4 percent in the prior year, with the decline primarily due to litigation and other charges recorded during 2017, as well as a provisional charge of $99 million relating to tax reform as discussed earlier in this section.</w:t>
      </w:r>
    </w:p>
    <w:p>
      <w:pPr>
        <w:spacing w:after="0" w:line="177"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Our ROIC decreased to 11.0 percent in 2017, as compared to 15.1 percent in the prior year. Average invested capital increased compared with the prior year and earnings declined, which resulted in the overall decrease in ROIC. Average invested capital increased as a result of the effect of opening larger stores, as well as signing certain high-profile leases with longer lease terms. The earnings decline is more fully discussed on the following pages.</w:t>
      </w:r>
    </w:p>
    <w:p>
      <w:pPr>
        <w:spacing w:after="0" w:line="211"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296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tcPr>
          <w:p>
            <w:pPr>
              <w:jc w:val="right"/>
              <w:ind w:right="635"/>
              <w:spacing w:after="0"/>
              <w:rPr>
                <w:sz w:val="20"/>
                <w:szCs w:val="20"/>
                <w:color w:val="auto"/>
              </w:rPr>
            </w:pPr>
            <w:r>
              <w:rPr>
                <w:rFonts w:ascii="Arial" w:cs="Arial" w:eastAsia="Arial" w:hAnsi="Arial"/>
                <w:sz w:val="17"/>
                <w:szCs w:val="17"/>
                <w:b w:val="1"/>
                <w:bCs w:val="1"/>
                <w:color w:val="auto"/>
              </w:rPr>
              <w:t>2017</w:t>
            </w:r>
          </w:p>
        </w:tc>
        <w:tc>
          <w:tcPr>
            <w:tcW w:w="1360" w:type="dxa"/>
            <w:vAlign w:val="bottom"/>
            <w:tcBorders>
              <w:bottom w:val="single" w:sz="8" w:color="auto"/>
            </w:tcBorders>
          </w:tcPr>
          <w:p>
            <w:pPr>
              <w:jc w:val="right"/>
              <w:ind w:right="675"/>
              <w:spacing w:after="0"/>
              <w:rPr>
                <w:sz w:val="20"/>
                <w:szCs w:val="20"/>
                <w:color w:val="auto"/>
              </w:rPr>
            </w:pPr>
            <w:r>
              <w:rPr>
                <w:rFonts w:ascii="Arial" w:cs="Arial" w:eastAsia="Arial" w:hAnsi="Arial"/>
                <w:sz w:val="17"/>
                <w:szCs w:val="17"/>
                <w:color w:val="auto"/>
              </w:rPr>
              <w:t>2016</w:t>
            </w:r>
          </w:p>
        </w:tc>
        <w:tc>
          <w:tcPr>
            <w:tcW w:w="108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rPr>
              <w:t>2015</w:t>
            </w:r>
          </w:p>
        </w:tc>
      </w:tr>
      <w:tr>
        <w:trPr>
          <w:trHeight w:val="210"/>
        </w:trPr>
        <w:tc>
          <w:tcPr>
            <w:tcW w:w="2960" w:type="dxa"/>
            <w:vAlign w:val="bottom"/>
            <w:shd w:val="clear" w:color="auto" w:fill="CCEEFF"/>
          </w:tcPr>
          <w:p>
            <w:pPr>
              <w:spacing w:after="0" w:line="210" w:lineRule="exact"/>
              <w:rPr>
                <w:sz w:val="20"/>
                <w:szCs w:val="20"/>
                <w:color w:val="auto"/>
              </w:rPr>
            </w:pPr>
            <w:r>
              <w:rPr>
                <w:rFonts w:ascii="Arial" w:cs="Arial" w:eastAsia="Arial" w:hAnsi="Arial"/>
                <w:sz w:val="24"/>
                <w:szCs w:val="24"/>
                <w:color w:val="auto"/>
                <w:vertAlign w:val="subscript"/>
              </w:rPr>
              <w:t>ROA</w:t>
            </w:r>
            <w:r>
              <w:rPr>
                <w:rFonts w:ascii="Arial" w:cs="Arial" w:eastAsia="Arial" w:hAnsi="Arial"/>
                <w:sz w:val="8"/>
                <w:szCs w:val="8"/>
                <w:color w:val="auto"/>
              </w:rPr>
              <w:t xml:space="preserve"> (1)</w:t>
            </w:r>
          </w:p>
        </w:tc>
        <w:tc>
          <w:tcPr>
            <w:tcW w:w="3420" w:type="dxa"/>
            <w:vAlign w:val="bottom"/>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7.3 %</w:t>
            </w:r>
          </w:p>
        </w:tc>
        <w:tc>
          <w:tcPr>
            <w:tcW w:w="1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17.4 %</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14.7 %</w:t>
            </w:r>
          </w:p>
        </w:tc>
      </w:tr>
      <w:tr>
        <w:trPr>
          <w:trHeight w:val="230"/>
        </w:trPr>
        <w:tc>
          <w:tcPr>
            <w:tcW w:w="2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ROIC %</w:t>
            </w:r>
          </w:p>
        </w:tc>
        <w:tc>
          <w:tcPr>
            <w:tcW w:w="34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11.0 %</w:t>
            </w:r>
          </w:p>
        </w:tc>
        <w:tc>
          <w:tcPr>
            <w:tcW w:w="13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15.1 %</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15.8 %</w:t>
            </w:r>
          </w:p>
        </w:tc>
      </w:tr>
    </w:tbl>
    <w:p>
      <w:pPr>
        <w:spacing w:after="0" w:line="148" w:lineRule="exact"/>
        <w:rPr>
          <w:sz w:val="20"/>
          <w:szCs w:val="20"/>
          <w:color w:val="auto"/>
        </w:rPr>
      </w:pPr>
    </w:p>
    <w:p>
      <w:pPr>
        <w:ind w:left="840" w:right="619" w:hanging="424"/>
        <w:spacing w:after="0" w:line="231" w:lineRule="auto"/>
        <w:tabs>
          <w:tab w:leader="none" w:pos="840" w:val="left"/>
        </w:tabs>
        <w:numPr>
          <w:ilvl w:val="0"/>
          <w:numId w:val="8"/>
        </w:numPr>
        <w:rPr>
          <w:rFonts w:ascii="Arial" w:cs="Arial" w:eastAsia="Arial" w:hAnsi="Arial"/>
          <w:sz w:val="12"/>
          <w:szCs w:val="12"/>
          <w:color w:val="auto"/>
        </w:rPr>
      </w:pPr>
      <w:r>
        <w:rPr>
          <w:rFonts w:ascii="Arial" w:cs="Arial" w:eastAsia="Arial" w:hAnsi="Arial"/>
          <w:sz w:val="14"/>
          <w:szCs w:val="14"/>
          <w:color w:val="auto"/>
        </w:rPr>
        <w:t>Represents net income of $284 million, $664 million, and $541 million divided by average total assets of $3,901 million, $3,808 million, and $3,676 million for 2017, 2016, and 2015, respectively.</w:t>
      </w:r>
    </w:p>
    <w:p>
      <w:pPr>
        <w:spacing w:after="0" w:line="225" w:lineRule="exact"/>
        <w:rPr>
          <w:sz w:val="20"/>
          <w:szCs w:val="20"/>
          <w:color w:val="auto"/>
        </w:rPr>
      </w:pPr>
    </w:p>
    <w:tbl>
      <w:tblPr>
        <w:tblLayout w:type="fixed"/>
        <w:tblInd w:w="100" w:type="dxa"/>
        <w:tblCellMar>
          <w:top w:w="0" w:type="dxa"/>
          <w:left w:w="0" w:type="dxa"/>
          <w:bottom w:w="0" w:type="dxa"/>
          <w:right w:w="0" w:type="dxa"/>
        </w:tblCellMar>
      </w:tblPr>
      <w:tr>
        <w:trPr>
          <w:trHeight w:val="205"/>
        </w:trPr>
        <w:tc>
          <w:tcPr>
            <w:tcW w:w="4920" w:type="dxa"/>
            <w:vAlign w:val="bottom"/>
          </w:tcPr>
          <w:p>
            <w:pPr>
              <w:spacing w:after="0"/>
              <w:rPr>
                <w:sz w:val="20"/>
                <w:szCs w:val="20"/>
                <w:color w:val="auto"/>
              </w:rPr>
            </w:pPr>
            <w:r>
              <w:rPr>
                <w:rFonts w:ascii="Arial" w:cs="Arial" w:eastAsia="Arial" w:hAnsi="Arial"/>
                <w:sz w:val="17"/>
                <w:szCs w:val="17"/>
                <w:color w:val="auto"/>
              </w:rPr>
              <w:t>Calculation of ROIC:</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4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2017</w:t>
            </w: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color w:val="auto"/>
              </w:rPr>
              <w:t>2016</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color w:val="auto"/>
              </w:rPr>
              <w:t>2015</w:t>
            </w:r>
          </w:p>
        </w:tc>
        <w:tc>
          <w:tcPr>
            <w:tcW w:w="0" w:type="dxa"/>
            <w:vAlign w:val="bottom"/>
          </w:tcPr>
          <w:p>
            <w:pPr>
              <w:spacing w:after="0"/>
              <w:rPr>
                <w:sz w:val="1"/>
                <w:szCs w:val="1"/>
                <w:color w:val="auto"/>
              </w:rPr>
            </w:pPr>
          </w:p>
        </w:tc>
      </w:tr>
      <w:tr>
        <w:trPr>
          <w:trHeight w:val="210"/>
        </w:trPr>
        <w:tc>
          <w:tcPr>
            <w:tcW w:w="4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215"/>
              <w:spacing w:after="0"/>
              <w:rPr>
                <w:sz w:val="20"/>
                <w:szCs w:val="20"/>
                <w:color w:val="auto"/>
              </w:rPr>
            </w:pPr>
            <w:r>
              <w:rPr>
                <w:rFonts w:ascii="Arial" w:cs="Arial" w:eastAsia="Arial" w:hAnsi="Arial"/>
                <w:sz w:val="17"/>
                <w:szCs w:val="17"/>
                <w:color w:val="auto"/>
                <w:w w:val="97"/>
              </w:rPr>
              <w:t>in millions)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Adjusted EBIT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20" w:type="dxa"/>
            <w:vAlign w:val="bottom"/>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762</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1,012</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946</w:t>
            </w: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7"/>
                <w:szCs w:val="17"/>
                <w:color w:val="auto"/>
              </w:rPr>
              <w:t>+ Rent expense</w:t>
            </w:r>
          </w:p>
        </w:tc>
        <w:tc>
          <w:tcPr>
            <w:tcW w:w="280" w:type="dxa"/>
            <w:vAlign w:val="bottom"/>
          </w:tcPr>
          <w:p>
            <w:pPr>
              <w:spacing w:after="0"/>
              <w:rPr>
                <w:sz w:val="19"/>
                <w:szCs w:val="19"/>
                <w:color w:val="auto"/>
              </w:rPr>
            </w:pPr>
          </w:p>
        </w:tc>
        <w:tc>
          <w:tcPr>
            <w:tcW w:w="1020" w:type="dxa"/>
            <w:vAlign w:val="bottom"/>
          </w:tcPr>
          <w:p>
            <w:pPr>
              <w:jc w:val="right"/>
              <w:ind w:right="175"/>
              <w:spacing w:after="0"/>
              <w:rPr>
                <w:sz w:val="20"/>
                <w:szCs w:val="20"/>
                <w:color w:val="auto"/>
              </w:rPr>
            </w:pPr>
            <w:r>
              <w:rPr>
                <w:rFonts w:ascii="Arial" w:cs="Arial" w:eastAsia="Arial" w:hAnsi="Arial"/>
                <w:sz w:val="17"/>
                <w:szCs w:val="17"/>
                <w:b w:val="1"/>
                <w:bCs w:val="1"/>
                <w:color w:val="auto"/>
              </w:rPr>
              <w:t>735</w:t>
            </w:r>
          </w:p>
        </w:tc>
        <w:tc>
          <w:tcPr>
            <w:tcW w:w="240" w:type="dxa"/>
            <w:vAlign w:val="bottom"/>
          </w:tcPr>
          <w:p>
            <w:pPr>
              <w:spacing w:after="0"/>
              <w:rPr>
                <w:sz w:val="19"/>
                <w:szCs w:val="19"/>
                <w:color w:val="auto"/>
              </w:rPr>
            </w:pPr>
          </w:p>
        </w:tc>
        <w:tc>
          <w:tcPr>
            <w:tcW w:w="1100" w:type="dxa"/>
            <w:vAlign w:val="bottom"/>
          </w:tcPr>
          <w:p>
            <w:pPr>
              <w:jc w:val="right"/>
              <w:ind w:right="195"/>
              <w:spacing w:after="0"/>
              <w:rPr>
                <w:sz w:val="20"/>
                <w:szCs w:val="20"/>
                <w:color w:val="auto"/>
              </w:rPr>
            </w:pPr>
            <w:r>
              <w:rPr>
                <w:rFonts w:ascii="Arial" w:cs="Arial" w:eastAsia="Arial" w:hAnsi="Arial"/>
                <w:sz w:val="17"/>
                <w:szCs w:val="17"/>
                <w:color w:val="auto"/>
              </w:rPr>
              <w:t>690</w:t>
            </w:r>
          </w:p>
        </w:tc>
        <w:tc>
          <w:tcPr>
            <w:tcW w:w="260" w:type="dxa"/>
            <w:vAlign w:val="bottom"/>
          </w:tcPr>
          <w:p>
            <w:pPr>
              <w:spacing w:after="0"/>
              <w:rPr>
                <w:sz w:val="19"/>
                <w:szCs w:val="19"/>
                <w:color w:val="auto"/>
              </w:rPr>
            </w:pPr>
          </w:p>
        </w:tc>
        <w:tc>
          <w:tcPr>
            <w:tcW w:w="1000" w:type="dxa"/>
            <w:vAlign w:val="bottom"/>
          </w:tcPr>
          <w:p>
            <w:pPr>
              <w:jc w:val="right"/>
              <w:ind w:right="175"/>
              <w:spacing w:after="0"/>
              <w:rPr>
                <w:sz w:val="20"/>
                <w:szCs w:val="20"/>
                <w:color w:val="auto"/>
              </w:rPr>
            </w:pPr>
            <w:r>
              <w:rPr>
                <w:rFonts w:ascii="Arial" w:cs="Arial" w:eastAsia="Arial" w:hAnsi="Arial"/>
                <w:sz w:val="17"/>
                <w:szCs w:val="17"/>
                <w:color w:val="auto"/>
              </w:rPr>
              <w:t>640</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 xml:space="preserve">- Estimated depreciation on capitalized operating leases </w:t>
            </w:r>
            <w:r>
              <w:rPr>
                <w:rFonts w:ascii="Arial" w:cs="Arial" w:eastAsia="Arial" w:hAnsi="Arial"/>
                <w:sz w:val="8"/>
                <w:szCs w:val="8"/>
                <w:color w:val="auto"/>
              </w:rPr>
              <w:t>(1)</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(593)</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(552)</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(498)</w:t>
            </w:r>
          </w:p>
        </w:tc>
        <w:tc>
          <w:tcPr>
            <w:tcW w:w="0" w:type="dxa"/>
            <w:vAlign w:val="bottom"/>
          </w:tcPr>
          <w:p>
            <w:pPr>
              <w:spacing w:after="0"/>
              <w:rPr>
                <w:sz w:val="1"/>
                <w:szCs w:val="1"/>
                <w:color w:val="auto"/>
              </w:rPr>
            </w:pPr>
          </w:p>
        </w:tc>
      </w:tr>
      <w:tr>
        <w:trPr>
          <w:trHeight w:val="210"/>
        </w:trPr>
        <w:tc>
          <w:tcPr>
            <w:tcW w:w="4920" w:type="dxa"/>
            <w:vAlign w:val="bottom"/>
          </w:tcPr>
          <w:p>
            <w:pPr>
              <w:spacing w:after="0"/>
              <w:rPr>
                <w:sz w:val="20"/>
                <w:szCs w:val="20"/>
                <w:color w:val="auto"/>
              </w:rPr>
            </w:pPr>
            <w:r>
              <w:rPr>
                <w:rFonts w:ascii="Arial" w:cs="Arial" w:eastAsia="Arial" w:hAnsi="Arial"/>
                <w:sz w:val="17"/>
                <w:szCs w:val="17"/>
                <w:color w:val="auto"/>
              </w:rPr>
              <w:t>Adjusted net operating profit</w:t>
            </w:r>
          </w:p>
        </w:tc>
        <w:tc>
          <w:tcPr>
            <w:tcW w:w="280" w:type="dxa"/>
            <w:vAlign w:val="bottom"/>
          </w:tcPr>
          <w:p>
            <w:pPr>
              <w:spacing w:after="0"/>
              <w:rPr>
                <w:sz w:val="18"/>
                <w:szCs w:val="18"/>
                <w:color w:val="auto"/>
              </w:rPr>
            </w:pPr>
          </w:p>
        </w:tc>
        <w:tc>
          <w:tcPr>
            <w:tcW w:w="1020" w:type="dxa"/>
            <w:vAlign w:val="bottom"/>
          </w:tcPr>
          <w:p>
            <w:pPr>
              <w:jc w:val="right"/>
              <w:ind w:right="175"/>
              <w:spacing w:after="0"/>
              <w:rPr>
                <w:sz w:val="20"/>
                <w:szCs w:val="20"/>
                <w:color w:val="auto"/>
              </w:rPr>
            </w:pPr>
            <w:r>
              <w:rPr>
                <w:rFonts w:ascii="Arial" w:cs="Arial" w:eastAsia="Arial" w:hAnsi="Arial"/>
                <w:sz w:val="17"/>
                <w:szCs w:val="17"/>
                <w:b w:val="1"/>
                <w:bCs w:val="1"/>
                <w:color w:val="auto"/>
              </w:rPr>
              <w:t>904</w:t>
            </w:r>
          </w:p>
        </w:tc>
        <w:tc>
          <w:tcPr>
            <w:tcW w:w="240" w:type="dxa"/>
            <w:vAlign w:val="bottom"/>
          </w:tcPr>
          <w:p>
            <w:pPr>
              <w:spacing w:after="0"/>
              <w:rPr>
                <w:sz w:val="18"/>
                <w:szCs w:val="18"/>
                <w:color w:val="auto"/>
              </w:rPr>
            </w:pPr>
          </w:p>
        </w:tc>
        <w:tc>
          <w:tcPr>
            <w:tcW w:w="1100" w:type="dxa"/>
            <w:vAlign w:val="bottom"/>
          </w:tcPr>
          <w:p>
            <w:pPr>
              <w:jc w:val="right"/>
              <w:ind w:right="195"/>
              <w:spacing w:after="0"/>
              <w:rPr>
                <w:sz w:val="20"/>
                <w:szCs w:val="20"/>
                <w:color w:val="auto"/>
              </w:rPr>
            </w:pPr>
            <w:r>
              <w:rPr>
                <w:rFonts w:ascii="Arial" w:cs="Arial" w:eastAsia="Arial" w:hAnsi="Arial"/>
                <w:sz w:val="17"/>
                <w:szCs w:val="17"/>
                <w:color w:val="auto"/>
              </w:rPr>
              <w:t>1,150</w:t>
            </w:r>
          </w:p>
        </w:tc>
        <w:tc>
          <w:tcPr>
            <w:tcW w:w="260" w:type="dxa"/>
            <w:vAlign w:val="bottom"/>
          </w:tcPr>
          <w:p>
            <w:pPr>
              <w:spacing w:after="0"/>
              <w:rPr>
                <w:sz w:val="18"/>
                <w:szCs w:val="18"/>
                <w:color w:val="auto"/>
              </w:rPr>
            </w:pPr>
          </w:p>
        </w:tc>
        <w:tc>
          <w:tcPr>
            <w:tcW w:w="1000" w:type="dxa"/>
            <w:vAlign w:val="bottom"/>
          </w:tcPr>
          <w:p>
            <w:pPr>
              <w:jc w:val="right"/>
              <w:ind w:right="175"/>
              <w:spacing w:after="0"/>
              <w:rPr>
                <w:sz w:val="20"/>
                <w:szCs w:val="20"/>
                <w:color w:val="auto"/>
              </w:rPr>
            </w:pPr>
            <w:r>
              <w:rPr>
                <w:rFonts w:ascii="Arial" w:cs="Arial" w:eastAsia="Arial" w:hAnsi="Arial"/>
                <w:sz w:val="17"/>
                <w:szCs w:val="17"/>
                <w:color w:val="auto"/>
              </w:rPr>
              <w:t>1,088</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 xml:space="preserve">- Adjusted income tax expense </w:t>
            </w:r>
            <w:r>
              <w:rPr>
                <w:rFonts w:ascii="Arial" w:cs="Arial" w:eastAsia="Arial" w:hAnsi="Arial"/>
                <w:sz w:val="8"/>
                <w:szCs w:val="8"/>
                <w:color w:val="auto"/>
              </w:rPr>
              <w:t>(2)</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(304)</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(409)</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(391)</w:t>
            </w:r>
          </w:p>
        </w:tc>
        <w:tc>
          <w:tcPr>
            <w:tcW w:w="0" w:type="dxa"/>
            <w:vAlign w:val="bottom"/>
          </w:tcPr>
          <w:p>
            <w:pPr>
              <w:spacing w:after="0"/>
              <w:rPr>
                <w:sz w:val="1"/>
                <w:szCs w:val="1"/>
                <w:color w:val="auto"/>
              </w:rPr>
            </w:pPr>
          </w:p>
        </w:tc>
      </w:tr>
      <w:tr>
        <w:trPr>
          <w:trHeight w:val="203"/>
        </w:trPr>
        <w:tc>
          <w:tcPr>
            <w:tcW w:w="4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xml:space="preserve">= Adjusted return after taxes </w:t>
            </w:r>
            <w:r>
              <w:rPr>
                <w:rFonts w:ascii="Arial" w:cs="Arial" w:eastAsia="Arial" w:hAnsi="Arial"/>
                <w:sz w:val="8"/>
                <w:szCs w:val="8"/>
                <w:color w:val="auto"/>
              </w:rPr>
              <w:t>(3)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600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741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697</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Average total assets</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20" w:type="dxa"/>
            <w:vAlign w:val="bottom"/>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3,901</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3,808</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3,676</w:t>
            </w: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7"/>
                <w:szCs w:val="17"/>
                <w:color w:val="auto"/>
              </w:rPr>
              <w:t>- Average cash and cash equivalents</w:t>
            </w:r>
          </w:p>
        </w:tc>
        <w:tc>
          <w:tcPr>
            <w:tcW w:w="280" w:type="dxa"/>
            <w:vAlign w:val="bottom"/>
          </w:tcPr>
          <w:p>
            <w:pPr>
              <w:spacing w:after="0"/>
              <w:rPr>
                <w:sz w:val="19"/>
                <w:szCs w:val="19"/>
                <w:color w:val="auto"/>
              </w:rPr>
            </w:pPr>
          </w:p>
        </w:tc>
        <w:tc>
          <w:tcPr>
            <w:tcW w:w="1020" w:type="dxa"/>
            <w:vAlign w:val="bottom"/>
          </w:tcPr>
          <w:p>
            <w:pPr>
              <w:jc w:val="right"/>
              <w:ind w:right="115"/>
              <w:spacing w:after="0"/>
              <w:rPr>
                <w:sz w:val="20"/>
                <w:szCs w:val="20"/>
                <w:color w:val="auto"/>
              </w:rPr>
            </w:pPr>
            <w:r>
              <w:rPr>
                <w:rFonts w:ascii="Arial" w:cs="Arial" w:eastAsia="Arial" w:hAnsi="Arial"/>
                <w:sz w:val="17"/>
                <w:szCs w:val="17"/>
                <w:b w:val="1"/>
                <w:bCs w:val="1"/>
                <w:color w:val="auto"/>
              </w:rPr>
              <w:t>(948)</w:t>
            </w:r>
          </w:p>
        </w:tc>
        <w:tc>
          <w:tcPr>
            <w:tcW w:w="24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7"/>
                <w:szCs w:val="17"/>
                <w:color w:val="auto"/>
              </w:rPr>
              <w:t>(1,034)</w:t>
            </w:r>
          </w:p>
        </w:tc>
        <w:tc>
          <w:tcPr>
            <w:tcW w:w="260" w:type="dxa"/>
            <w:vAlign w:val="bottom"/>
          </w:tcPr>
          <w:p>
            <w:pPr>
              <w:spacing w:after="0"/>
              <w:rPr>
                <w:sz w:val="19"/>
                <w:szCs w:val="19"/>
                <w:color w:val="auto"/>
              </w:rPr>
            </w:pPr>
          </w:p>
        </w:tc>
        <w:tc>
          <w:tcPr>
            <w:tcW w:w="1000" w:type="dxa"/>
            <w:vAlign w:val="bottom"/>
          </w:tcPr>
          <w:p>
            <w:pPr>
              <w:jc w:val="right"/>
              <w:ind w:right="135"/>
              <w:spacing w:after="0"/>
              <w:rPr>
                <w:sz w:val="20"/>
                <w:szCs w:val="20"/>
                <w:color w:val="auto"/>
              </w:rPr>
            </w:pPr>
            <w:r>
              <w:rPr>
                <w:rFonts w:ascii="Arial" w:cs="Arial" w:eastAsia="Arial" w:hAnsi="Arial"/>
                <w:sz w:val="17"/>
                <w:szCs w:val="17"/>
                <w:color w:val="auto"/>
              </w:rPr>
              <w:t>(994)</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 Average non-interest bearing current liabilities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(614)</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(656)</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(697)</w:t>
            </w: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7"/>
                <w:szCs w:val="17"/>
                <w:color w:val="auto"/>
              </w:rPr>
              <w:t>- Average merchandise inventories</w:t>
            </w:r>
          </w:p>
        </w:tc>
        <w:tc>
          <w:tcPr>
            <w:tcW w:w="280" w:type="dxa"/>
            <w:vAlign w:val="bottom"/>
          </w:tcPr>
          <w:p>
            <w:pPr>
              <w:spacing w:after="0"/>
              <w:rPr>
                <w:sz w:val="19"/>
                <w:szCs w:val="19"/>
                <w:color w:val="auto"/>
              </w:rPr>
            </w:pPr>
          </w:p>
        </w:tc>
        <w:tc>
          <w:tcPr>
            <w:tcW w:w="1020" w:type="dxa"/>
            <w:vAlign w:val="bottom"/>
          </w:tcPr>
          <w:p>
            <w:pPr>
              <w:jc w:val="right"/>
              <w:ind w:right="115"/>
              <w:spacing w:after="0"/>
              <w:rPr>
                <w:sz w:val="20"/>
                <w:szCs w:val="20"/>
                <w:color w:val="auto"/>
              </w:rPr>
            </w:pPr>
            <w:r>
              <w:rPr>
                <w:rFonts w:ascii="Arial" w:cs="Arial" w:eastAsia="Arial" w:hAnsi="Arial"/>
                <w:sz w:val="17"/>
                <w:szCs w:val="17"/>
                <w:b w:val="1"/>
                <w:bCs w:val="1"/>
                <w:color w:val="auto"/>
              </w:rPr>
              <w:t>(1,293)</w:t>
            </w:r>
          </w:p>
        </w:tc>
        <w:tc>
          <w:tcPr>
            <w:tcW w:w="24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7"/>
                <w:szCs w:val="17"/>
                <w:color w:val="auto"/>
              </w:rPr>
              <w:t>(1,296)</w:t>
            </w:r>
          </w:p>
        </w:tc>
        <w:tc>
          <w:tcPr>
            <w:tcW w:w="260" w:type="dxa"/>
            <w:vAlign w:val="bottom"/>
          </w:tcPr>
          <w:p>
            <w:pPr>
              <w:spacing w:after="0"/>
              <w:rPr>
                <w:sz w:val="19"/>
                <w:szCs w:val="19"/>
                <w:color w:val="auto"/>
              </w:rPr>
            </w:pPr>
          </w:p>
        </w:tc>
        <w:tc>
          <w:tcPr>
            <w:tcW w:w="1000" w:type="dxa"/>
            <w:vAlign w:val="bottom"/>
          </w:tcPr>
          <w:p>
            <w:pPr>
              <w:jc w:val="right"/>
              <w:ind w:right="135"/>
              <w:spacing w:after="0"/>
              <w:rPr>
                <w:sz w:val="20"/>
                <w:szCs w:val="20"/>
                <w:color w:val="auto"/>
              </w:rPr>
            </w:pPr>
            <w:r>
              <w:rPr>
                <w:rFonts w:ascii="Arial" w:cs="Arial" w:eastAsia="Arial" w:hAnsi="Arial"/>
                <w:sz w:val="17"/>
                <w:szCs w:val="17"/>
                <w:color w:val="auto"/>
              </w:rPr>
              <w:t>(1,268)</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 Average estimated asset base of capitalized operating leases</w:t>
            </w:r>
          </w:p>
        </w:tc>
        <w:tc>
          <w:tcPr>
            <w:tcW w:w="280" w:type="dxa"/>
            <w:vAlign w:val="bottom"/>
            <w:shd w:val="clear" w:color="auto" w:fill="CCEEFF"/>
          </w:tcPr>
          <w:p>
            <w:pPr>
              <w:spacing w:after="0"/>
              <w:rPr>
                <w:sz w:val="23"/>
                <w:szCs w:val="23"/>
                <w:color w:val="auto"/>
              </w:rPr>
            </w:pPr>
          </w:p>
        </w:tc>
        <w:tc>
          <w:tcPr>
            <w:tcW w:w="1020" w:type="dxa"/>
            <w:vAlign w:val="bottom"/>
            <w:vMerge w:val="restart"/>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2,978</w:t>
            </w:r>
          </w:p>
        </w:tc>
        <w:tc>
          <w:tcPr>
            <w:tcW w:w="240" w:type="dxa"/>
            <w:vAlign w:val="bottom"/>
            <w:shd w:val="clear" w:color="auto" w:fill="CCEEFF"/>
          </w:tcPr>
          <w:p>
            <w:pPr>
              <w:spacing w:after="0"/>
              <w:rPr>
                <w:sz w:val="23"/>
                <w:szCs w:val="23"/>
                <w:color w:val="auto"/>
              </w:rPr>
            </w:pPr>
          </w:p>
        </w:tc>
        <w:tc>
          <w:tcPr>
            <w:tcW w:w="1100" w:type="dxa"/>
            <w:vAlign w:val="bottom"/>
            <w:vMerge w:val="restart"/>
            <w:shd w:val="clear" w:color="auto" w:fill="CCEEFF"/>
          </w:tcPr>
          <w:p>
            <w:pPr>
              <w:jc w:val="right"/>
              <w:ind w:right="195"/>
              <w:spacing w:after="0"/>
              <w:rPr>
                <w:sz w:val="20"/>
                <w:szCs w:val="20"/>
                <w:color w:val="auto"/>
              </w:rPr>
            </w:pPr>
            <w:r>
              <w:rPr>
                <w:rFonts w:ascii="Arial" w:cs="Arial" w:eastAsia="Arial" w:hAnsi="Arial"/>
                <w:sz w:val="17"/>
                <w:szCs w:val="17"/>
                <w:color w:val="auto"/>
              </w:rPr>
              <w:t>2,687</w:t>
            </w:r>
          </w:p>
        </w:tc>
        <w:tc>
          <w:tcPr>
            <w:tcW w:w="260" w:type="dxa"/>
            <w:vAlign w:val="bottom"/>
            <w:shd w:val="clear" w:color="auto" w:fill="CCEEFF"/>
          </w:tcPr>
          <w:p>
            <w:pPr>
              <w:spacing w:after="0"/>
              <w:rPr>
                <w:sz w:val="23"/>
                <w:szCs w:val="23"/>
                <w:color w:val="auto"/>
              </w:rPr>
            </w:pPr>
          </w:p>
        </w:tc>
        <w:tc>
          <w:tcPr>
            <w:tcW w:w="1000" w:type="dxa"/>
            <w:vAlign w:val="bottom"/>
            <w:vMerge w:val="restart"/>
            <w:shd w:val="clear" w:color="auto" w:fill="CCEEFF"/>
          </w:tcPr>
          <w:p>
            <w:pPr>
              <w:jc w:val="right"/>
              <w:ind w:right="175"/>
              <w:spacing w:after="0"/>
              <w:rPr>
                <w:sz w:val="20"/>
                <w:szCs w:val="20"/>
                <w:color w:val="auto"/>
              </w:rPr>
            </w:pPr>
            <w:r>
              <w:rPr>
                <w:rFonts w:ascii="Arial" w:cs="Arial" w:eastAsia="Arial" w:hAnsi="Arial"/>
                <w:sz w:val="17"/>
                <w:szCs w:val="17"/>
                <w:color w:val="auto"/>
              </w:rPr>
              <w:t>2,346</w:t>
            </w:r>
          </w:p>
        </w:tc>
        <w:tc>
          <w:tcPr>
            <w:tcW w:w="0" w:type="dxa"/>
            <w:vAlign w:val="bottom"/>
          </w:tcPr>
          <w:p>
            <w:pPr>
              <w:spacing w:after="0"/>
              <w:rPr>
                <w:sz w:val="1"/>
                <w:szCs w:val="1"/>
                <w:color w:val="auto"/>
              </w:rPr>
            </w:pPr>
          </w:p>
        </w:tc>
      </w:tr>
      <w:tr>
        <w:trPr>
          <w:trHeight w:val="149"/>
        </w:trPr>
        <w:tc>
          <w:tcPr>
            <w:tcW w:w="4920" w:type="dxa"/>
            <w:vAlign w:val="bottom"/>
            <w:shd w:val="clear" w:color="auto" w:fill="CCEEFF"/>
          </w:tcPr>
          <w:p>
            <w:pPr>
              <w:ind w:left="240"/>
              <w:spacing w:after="0"/>
              <w:rPr>
                <w:sz w:val="20"/>
                <w:szCs w:val="20"/>
                <w:color w:val="auto"/>
              </w:rPr>
            </w:pPr>
            <w:r>
              <w:rPr>
                <w:rFonts w:ascii="Arial" w:cs="Arial" w:eastAsia="Arial" w:hAnsi="Arial"/>
                <w:sz w:val="9"/>
                <w:szCs w:val="9"/>
                <w:color w:val="auto"/>
              </w:rPr>
              <w:t>(1)</w:t>
            </w:r>
          </w:p>
        </w:tc>
        <w:tc>
          <w:tcPr>
            <w:tcW w:w="280" w:type="dxa"/>
            <w:vAlign w:val="bottom"/>
            <w:shd w:val="clear" w:color="auto" w:fill="CCEEFF"/>
          </w:tcPr>
          <w:p>
            <w:pPr>
              <w:spacing w:after="0"/>
              <w:rPr>
                <w:sz w:val="12"/>
                <w:szCs w:val="12"/>
                <w:color w:val="auto"/>
              </w:rPr>
            </w:pPr>
          </w:p>
        </w:tc>
        <w:tc>
          <w:tcPr>
            <w:tcW w:w="1020" w:type="dxa"/>
            <w:vAlign w:val="bottom"/>
            <w:vMerge w:val="continue"/>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+ 13-month average merchandise inventories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1,413</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1,388</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1,337</w:t>
            </w:r>
          </w:p>
        </w:tc>
        <w:tc>
          <w:tcPr>
            <w:tcW w:w="0" w:type="dxa"/>
            <w:vAlign w:val="bottom"/>
          </w:tcPr>
          <w:p>
            <w:pPr>
              <w:spacing w:after="0"/>
              <w:rPr>
                <w:sz w:val="1"/>
                <w:szCs w:val="1"/>
                <w:color w:val="auto"/>
              </w:rPr>
            </w:pPr>
          </w:p>
        </w:tc>
      </w:tr>
      <w:tr>
        <w:trPr>
          <w:trHeight w:val="203"/>
        </w:trPr>
        <w:tc>
          <w:tcPr>
            <w:tcW w:w="4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 Average invested capital</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5,437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rPr>
              <w:t>4,897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4,400</w:t>
            </w:r>
          </w:p>
        </w:tc>
        <w:tc>
          <w:tcPr>
            <w:tcW w:w="0" w:type="dxa"/>
            <w:vAlign w:val="bottom"/>
          </w:tcPr>
          <w:p>
            <w:pPr>
              <w:spacing w:after="0"/>
              <w:rPr>
                <w:sz w:val="1"/>
                <w:szCs w:val="1"/>
                <w:color w:val="auto"/>
              </w:rPr>
            </w:pPr>
          </w:p>
        </w:tc>
      </w:tr>
      <w:tr>
        <w:trPr>
          <w:trHeight w:val="216"/>
        </w:trPr>
        <w:tc>
          <w:tcPr>
            <w:tcW w:w="4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ROIC %</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11.0 %</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15.1 %</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15.8 %</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880" w:right="219" w:hanging="562"/>
        <w:spacing w:after="0" w:line="266" w:lineRule="auto"/>
        <w:tabs>
          <w:tab w:leader="none" w:pos="880" w:val="left"/>
        </w:tabs>
        <w:numPr>
          <w:ilvl w:val="0"/>
          <w:numId w:val="9"/>
        </w:numPr>
        <w:rPr>
          <w:rFonts w:ascii="Arial" w:cs="Arial" w:eastAsia="Arial" w:hAnsi="Arial"/>
          <w:sz w:val="11"/>
          <w:szCs w:val="11"/>
          <w:color w:val="auto"/>
        </w:rPr>
      </w:pPr>
      <w:r>
        <w:rPr>
          <w:rFonts w:ascii="Arial" w:cs="Arial" w:eastAsia="Arial" w:hAnsi="Arial"/>
          <w:sz w:val="12"/>
          <w:szCs w:val="12"/>
          <w:color w:val="auto"/>
        </w:rPr>
        <w:t xml:space="preserve">The determination of the capitalized operating leases and the adjustments to income have been calculated on a lease-by-lease basis and have been consistently calculated in each of the years presented above. Capitalized operating leases represent the best estimate of the asset base that would be recorded for operating leases as if they had been classified as capital or as if the property were purchased. The present value of operating leases is discounted using various interest rates ranging from 2.5 percent to 14.5 percent, which represents our incremental borrowing rate at inception of the lease. The capitalized operating leases and related income statement amounts disclosed above do not reflect the requirements of Accounting Standards Update 2016-02, </w:t>
      </w:r>
      <w:r>
        <w:rPr>
          <w:rFonts w:ascii="Arial" w:cs="Arial" w:eastAsia="Arial" w:hAnsi="Arial"/>
          <w:sz w:val="12"/>
          <w:szCs w:val="12"/>
          <w:i w:val="1"/>
          <w:iCs w:val="1"/>
          <w:color w:val="auto"/>
        </w:rPr>
        <w:t>Leases.</w:t>
      </w:r>
    </w:p>
    <w:p>
      <w:pPr>
        <w:spacing w:after="0" w:line="41" w:lineRule="exact"/>
        <w:rPr>
          <w:rFonts w:ascii="Arial" w:cs="Arial" w:eastAsia="Arial" w:hAnsi="Arial"/>
          <w:sz w:val="11"/>
          <w:szCs w:val="11"/>
          <w:color w:val="auto"/>
        </w:rPr>
      </w:pPr>
    </w:p>
    <w:p>
      <w:pPr>
        <w:ind w:left="880" w:hanging="562"/>
        <w:spacing w:after="0"/>
        <w:tabs>
          <w:tab w:leader="none" w:pos="880" w:val="left"/>
        </w:tabs>
        <w:numPr>
          <w:ilvl w:val="0"/>
          <w:numId w:val="9"/>
        </w:numPr>
        <w:rPr>
          <w:rFonts w:ascii="Arial" w:cs="Arial" w:eastAsia="Arial" w:hAnsi="Arial"/>
          <w:sz w:val="11"/>
          <w:szCs w:val="11"/>
          <w:color w:val="auto"/>
        </w:rPr>
      </w:pPr>
      <w:r>
        <w:rPr>
          <w:rFonts w:ascii="Arial" w:cs="Arial" w:eastAsia="Arial" w:hAnsi="Arial"/>
          <w:sz w:val="12"/>
          <w:szCs w:val="12"/>
          <w:color w:val="auto"/>
        </w:rPr>
        <w:t>The adjusted income tax expense represents the marginal tax rate applied to net operating profit for each of the periods presented.</w:t>
      </w:r>
    </w:p>
    <w:p>
      <w:pPr>
        <w:spacing w:after="0" w:line="78" w:lineRule="exact"/>
        <w:rPr>
          <w:rFonts w:ascii="Arial" w:cs="Arial" w:eastAsia="Arial" w:hAnsi="Arial"/>
          <w:sz w:val="11"/>
          <w:szCs w:val="11"/>
          <w:color w:val="auto"/>
        </w:rPr>
      </w:pPr>
    </w:p>
    <w:p>
      <w:pPr>
        <w:ind w:left="880" w:hanging="562"/>
        <w:spacing w:after="0"/>
        <w:tabs>
          <w:tab w:leader="none" w:pos="880" w:val="left"/>
        </w:tabs>
        <w:numPr>
          <w:ilvl w:val="0"/>
          <w:numId w:val="9"/>
        </w:numPr>
        <w:rPr>
          <w:rFonts w:ascii="Arial" w:cs="Arial" w:eastAsia="Arial" w:hAnsi="Arial"/>
          <w:sz w:val="12"/>
          <w:szCs w:val="12"/>
          <w:color w:val="auto"/>
        </w:rPr>
      </w:pPr>
      <w:r>
        <w:rPr>
          <w:rFonts w:ascii="Arial" w:cs="Arial" w:eastAsia="Arial" w:hAnsi="Arial"/>
          <w:sz w:val="14"/>
          <w:szCs w:val="14"/>
          <w:color w:val="auto"/>
        </w:rPr>
        <w:t>The adjusted return after taxes does not include interest expense that would be recorded on a capital lease.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76" w:right="1440" w:bottom="1440" w:gutter="0" w:footer="0" w:header="0"/>
        </w:sectPr>
      </w:pPr>
    </w:p>
    <w:bookmarkStart w:id="21" w:name="page22"/>
    <w:bookmarkEnd w:id="21"/>
    <w:p>
      <w:pPr>
        <w:ind w:left="100"/>
        <w:spacing w:after="0"/>
        <w:rPr>
          <w:sz w:val="20"/>
          <w:szCs w:val="20"/>
          <w:color w:val="auto"/>
        </w:rPr>
      </w:pPr>
      <w:r>
        <w:rPr>
          <w:rFonts w:ascii="Arial" w:cs="Arial" w:eastAsia="Arial" w:hAnsi="Arial"/>
          <w:sz w:val="17"/>
          <w:szCs w:val="17"/>
          <w:b w:val="1"/>
          <w:bCs w:val="1"/>
          <w:color w:val="auto"/>
        </w:rPr>
        <w:t>Overview of Consolidated Results</w:t>
      </w:r>
    </w:p>
    <w:p>
      <w:pPr>
        <w:spacing w:after="0" w:line="203"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The following represents our long-term objectives and our progress towards meeting those objectives. Non-GAAP results are presented for all the periods. Please see “</w:t>
      </w:r>
      <w:r>
        <w:rPr>
          <w:rFonts w:ascii="Arial" w:cs="Arial" w:eastAsia="Arial" w:hAnsi="Arial"/>
          <w:sz w:val="17"/>
          <w:szCs w:val="17"/>
          <w:i w:val="1"/>
          <w:iCs w:val="1"/>
          <w:color w:val="auto"/>
        </w:rPr>
        <w:t>Reconciliation of Non-GAAP Measures</w:t>
      </w:r>
      <w:r>
        <w:rPr>
          <w:rFonts w:ascii="Arial" w:cs="Arial" w:eastAsia="Arial" w:hAnsi="Arial"/>
          <w:sz w:val="17"/>
          <w:szCs w:val="17"/>
          <w:color w:val="auto"/>
        </w:rPr>
        <w:t>” earlier in this section for further information relating to non-GAAP measures, including why we believe they are useful and how they are calculated.</w:t>
      </w:r>
    </w:p>
    <w:p>
      <w:pPr>
        <w:spacing w:after="0" w:line="21" w:lineRule="exact"/>
        <w:rPr>
          <w:sz w:val="20"/>
          <w:szCs w:val="20"/>
          <w:color w:val="auto"/>
        </w:rPr>
      </w:pPr>
    </w:p>
    <w:tbl>
      <w:tblPr>
        <w:tblLayout w:type="fixed"/>
        <w:tblInd w:w="100" w:type="dxa"/>
        <w:tblCellMar>
          <w:top w:w="0" w:type="dxa"/>
          <w:left w:w="0" w:type="dxa"/>
          <w:bottom w:w="0" w:type="dxa"/>
          <w:right w:w="0" w:type="dxa"/>
        </w:tblCellMar>
      </w:tblPr>
      <w:tr>
        <w:trPr>
          <w:trHeight w:val="225"/>
        </w:trPr>
        <w:tc>
          <w:tcPr>
            <w:tcW w:w="3340" w:type="dxa"/>
            <w:vAlign w:val="bottom"/>
          </w:tcPr>
          <w:p>
            <w:pPr>
              <w:spacing w:after="0"/>
              <w:rPr>
                <w:sz w:val="19"/>
                <w:szCs w:val="19"/>
                <w:color w:val="auto"/>
              </w:rPr>
            </w:pPr>
          </w:p>
        </w:tc>
        <w:tc>
          <w:tcPr>
            <w:tcW w:w="2160" w:type="dxa"/>
            <w:vAlign w:val="bottom"/>
            <w:gridSpan w:val="2"/>
          </w:tcPr>
          <w:p>
            <w:pPr>
              <w:jc w:val="right"/>
              <w:ind w:right="195"/>
              <w:spacing w:after="0"/>
              <w:rPr>
                <w:sz w:val="20"/>
                <w:szCs w:val="20"/>
                <w:color w:val="auto"/>
              </w:rPr>
            </w:pPr>
            <w:r>
              <w:rPr>
                <w:rFonts w:ascii="Arial" w:cs="Arial" w:eastAsia="Arial" w:hAnsi="Arial"/>
                <w:sz w:val="17"/>
                <w:szCs w:val="17"/>
                <w:b w:val="1"/>
                <w:bCs w:val="1"/>
                <w:color w:val="auto"/>
              </w:rPr>
              <w:t>Long-term</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0"/>
        </w:trPr>
        <w:tc>
          <w:tcPr>
            <w:tcW w:w="33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2"/>
          </w:tcPr>
          <w:p>
            <w:pPr>
              <w:jc w:val="right"/>
              <w:ind w:right="195"/>
              <w:spacing w:after="0"/>
              <w:rPr>
                <w:sz w:val="20"/>
                <w:szCs w:val="20"/>
                <w:color w:val="auto"/>
              </w:rPr>
            </w:pPr>
            <w:r>
              <w:rPr>
                <w:rFonts w:ascii="Arial" w:cs="Arial" w:eastAsia="Arial" w:hAnsi="Arial"/>
                <w:sz w:val="17"/>
                <w:szCs w:val="17"/>
                <w:b w:val="1"/>
                <w:bCs w:val="1"/>
                <w:color w:val="auto"/>
              </w:rPr>
              <w:t>Objectives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2017</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rPr>
              <w:t>2016</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rPr>
              <w:t>2015</w:t>
            </w: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Sales ($ in millions)</w:t>
            </w:r>
          </w:p>
        </w:tc>
        <w:tc>
          <w:tcPr>
            <w:tcW w:w="126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10,000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20" w:type="dxa"/>
            <w:vAlign w:val="bottom"/>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7,782</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7,766</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7,412</w:t>
            </w:r>
          </w:p>
        </w:tc>
      </w:tr>
      <w:tr>
        <w:trPr>
          <w:trHeight w:val="230"/>
        </w:trPr>
        <w:tc>
          <w:tcPr>
            <w:tcW w:w="3340" w:type="dxa"/>
            <w:vAlign w:val="bottom"/>
          </w:tcPr>
          <w:p>
            <w:pPr>
              <w:spacing w:after="0"/>
              <w:rPr>
                <w:sz w:val="20"/>
                <w:szCs w:val="20"/>
                <w:color w:val="auto"/>
              </w:rPr>
            </w:pPr>
            <w:r>
              <w:rPr>
                <w:rFonts w:ascii="Arial" w:cs="Arial" w:eastAsia="Arial" w:hAnsi="Arial"/>
                <w:sz w:val="17"/>
                <w:szCs w:val="17"/>
                <w:color w:val="auto"/>
              </w:rPr>
              <w:t>Sales per gross square foot</w:t>
            </w:r>
          </w:p>
        </w:tc>
        <w:tc>
          <w:tcPr>
            <w:tcW w:w="1260" w:type="dxa"/>
            <w:vAlign w:val="bottom"/>
          </w:tcPr>
          <w:p>
            <w:pPr>
              <w:jc w:val="right"/>
              <w:ind w:right="15"/>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ind w:right="195"/>
              <w:spacing w:after="0"/>
              <w:rPr>
                <w:sz w:val="20"/>
                <w:szCs w:val="20"/>
                <w:color w:val="auto"/>
              </w:rPr>
            </w:pPr>
            <w:r>
              <w:rPr>
                <w:rFonts w:ascii="Arial" w:cs="Arial" w:eastAsia="Arial" w:hAnsi="Arial"/>
                <w:sz w:val="17"/>
                <w:szCs w:val="17"/>
                <w:b w:val="1"/>
                <w:bCs w:val="1"/>
                <w:color w:val="auto"/>
              </w:rPr>
              <w:t>600</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20" w:type="dxa"/>
            <w:vAlign w:val="bottom"/>
          </w:tcPr>
          <w:p>
            <w:pPr>
              <w:jc w:val="right"/>
              <w:ind w:right="175"/>
              <w:spacing w:after="0"/>
              <w:rPr>
                <w:sz w:val="20"/>
                <w:szCs w:val="20"/>
                <w:color w:val="auto"/>
              </w:rPr>
            </w:pPr>
            <w:r>
              <w:rPr>
                <w:rFonts w:ascii="Arial" w:cs="Arial" w:eastAsia="Arial" w:hAnsi="Arial"/>
                <w:sz w:val="17"/>
                <w:szCs w:val="17"/>
                <w:b w:val="1"/>
                <w:bCs w:val="1"/>
                <w:color w:val="auto"/>
              </w:rPr>
              <w:t>495</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35"/>
              <w:spacing w:after="0"/>
              <w:rPr>
                <w:sz w:val="20"/>
                <w:szCs w:val="20"/>
                <w:color w:val="auto"/>
              </w:rPr>
            </w:pPr>
            <w:r>
              <w:rPr>
                <w:rFonts w:ascii="Arial" w:cs="Arial" w:eastAsia="Arial" w:hAnsi="Arial"/>
                <w:sz w:val="17"/>
                <w:szCs w:val="17"/>
                <w:color w:val="auto"/>
              </w:rPr>
              <w:t>515</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55"/>
              <w:spacing w:after="0"/>
              <w:rPr>
                <w:sz w:val="20"/>
                <w:szCs w:val="20"/>
                <w:color w:val="auto"/>
              </w:rPr>
            </w:pPr>
            <w:r>
              <w:rPr>
                <w:rFonts w:ascii="Arial" w:cs="Arial" w:eastAsia="Arial" w:hAnsi="Arial"/>
                <w:sz w:val="17"/>
                <w:szCs w:val="17"/>
                <w:color w:val="auto"/>
              </w:rPr>
              <w:t>504</w:t>
            </w:r>
          </w:p>
        </w:tc>
      </w:tr>
      <w:tr>
        <w:trPr>
          <w:trHeight w:val="230"/>
        </w:trPr>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Adjusted net income margin %</w:t>
            </w:r>
          </w:p>
        </w:tc>
        <w:tc>
          <w:tcPr>
            <w:tcW w:w="1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8.5 %</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6.6 %</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8.4 %</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8.2 %</w:t>
            </w:r>
          </w:p>
        </w:tc>
      </w:tr>
      <w:tr>
        <w:trPr>
          <w:trHeight w:val="230"/>
        </w:trPr>
        <w:tc>
          <w:tcPr>
            <w:tcW w:w="3340" w:type="dxa"/>
            <w:vAlign w:val="bottom"/>
          </w:tcPr>
          <w:p>
            <w:pPr>
              <w:spacing w:after="0"/>
              <w:rPr>
                <w:sz w:val="20"/>
                <w:szCs w:val="20"/>
                <w:color w:val="auto"/>
              </w:rPr>
            </w:pPr>
            <w:r>
              <w:rPr>
                <w:rFonts w:ascii="Arial" w:cs="Arial" w:eastAsia="Arial" w:hAnsi="Arial"/>
                <w:sz w:val="17"/>
                <w:szCs w:val="17"/>
                <w:color w:val="auto"/>
              </w:rPr>
              <w:t>Adjusted EBIT margin %</w:t>
            </w:r>
          </w:p>
        </w:tc>
        <w:tc>
          <w:tcPr>
            <w:tcW w:w="1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12.5 %</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9.9 %</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13.0 %</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12.8 %</w:t>
            </w:r>
          </w:p>
        </w:tc>
      </w:tr>
      <w:tr>
        <w:trPr>
          <w:trHeight w:val="230"/>
        </w:trPr>
        <w:tc>
          <w:tcPr>
            <w:tcW w:w="3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ROIC %</w:t>
            </w:r>
          </w:p>
        </w:tc>
        <w:tc>
          <w:tcPr>
            <w:tcW w:w="1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17.0 %</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11.0 %</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15.1 %</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15.8 %</w:t>
            </w:r>
          </w:p>
        </w:tc>
      </w:tr>
    </w:tbl>
    <w:p>
      <w:pPr>
        <w:spacing w:after="0" w:line="12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Highlights of our 2017 financial performance include:</w:t>
      </w:r>
    </w:p>
    <w:p>
      <w:pPr>
        <w:ind w:left="740" w:right="99" w:hanging="311"/>
        <w:spacing w:after="0" w:line="232" w:lineRule="auto"/>
        <w:tabs>
          <w:tab w:leader="none" w:pos="740" w:val="left"/>
        </w:tabs>
        <w:numPr>
          <w:ilvl w:val="0"/>
          <w:numId w:val="10"/>
        </w:numPr>
        <w:rPr>
          <w:rFonts w:ascii="Arial" w:cs="Arial" w:eastAsia="Arial" w:hAnsi="Arial"/>
          <w:sz w:val="16"/>
          <w:szCs w:val="16"/>
          <w:color w:val="auto"/>
        </w:rPr>
      </w:pPr>
      <w:r>
        <w:rPr>
          <w:rFonts w:ascii="Arial" w:cs="Arial" w:eastAsia="Arial" w:hAnsi="Arial"/>
          <w:sz w:val="17"/>
          <w:szCs w:val="17"/>
          <w:color w:val="auto"/>
        </w:rPr>
        <w:t>Despite a challenging retail year, the Company remained highly profitable and our financial position is strong. We are well positioned for the future.</w:t>
      </w:r>
    </w:p>
    <w:p>
      <w:pPr>
        <w:jc w:val="both"/>
        <w:ind w:left="740" w:right="99" w:hanging="311"/>
        <w:spacing w:after="0" w:line="235" w:lineRule="auto"/>
        <w:tabs>
          <w:tab w:leader="none" w:pos="740" w:val="left"/>
        </w:tabs>
        <w:numPr>
          <w:ilvl w:val="0"/>
          <w:numId w:val="10"/>
        </w:numPr>
        <w:rPr>
          <w:rFonts w:ascii="Arial" w:cs="Arial" w:eastAsia="Arial" w:hAnsi="Arial"/>
          <w:sz w:val="16"/>
          <w:szCs w:val="16"/>
          <w:color w:val="auto"/>
        </w:rPr>
      </w:pPr>
      <w:r>
        <w:rPr>
          <w:rFonts w:ascii="Arial" w:cs="Arial" w:eastAsia="Arial" w:hAnsi="Arial"/>
          <w:sz w:val="17"/>
          <w:szCs w:val="17"/>
          <w:color w:val="auto"/>
        </w:rPr>
        <w:t>Total sales increased 0.2 percent to a record $7,782 million, with the 53</w:t>
      </w:r>
      <w:r>
        <w:rPr>
          <w:rFonts w:ascii="Arial" w:cs="Arial" w:eastAsia="Arial" w:hAnsi="Arial"/>
          <w:sz w:val="8"/>
          <w:szCs w:val="8"/>
          <w:color w:val="auto"/>
        </w:rPr>
        <w:t>rd</w:t>
      </w:r>
      <w:r>
        <w:rPr>
          <w:rFonts w:ascii="Arial" w:cs="Arial" w:eastAsia="Arial" w:hAnsi="Arial"/>
          <w:sz w:val="17"/>
          <w:szCs w:val="17"/>
          <w:color w:val="auto"/>
        </w:rPr>
        <w:t xml:space="preserve"> week contributing $95 million of sales. Footwear sales represented 82 percent of total sales for all periods presented. The overall comparable-sales gains of 6.9 percent in our Direct-to-Customer segment was not enough to offset the declines experienced by our Athletic Store Segment, which experienced a comparable-store sales decline of 4.7 percent.</w:t>
      </w:r>
    </w:p>
    <w:p>
      <w:pPr>
        <w:spacing w:after="0" w:line="22" w:lineRule="exact"/>
        <w:rPr>
          <w:sz w:val="20"/>
          <w:szCs w:val="20"/>
          <w:color w:val="auto"/>
        </w:rPr>
      </w:pPr>
    </w:p>
    <w:tbl>
      <w:tblPr>
        <w:tblLayout w:type="fixed"/>
        <w:tblInd w:w="760" w:type="dxa"/>
        <w:tblCellMar>
          <w:top w:w="0" w:type="dxa"/>
          <w:left w:w="0" w:type="dxa"/>
          <w:bottom w:w="0" w:type="dxa"/>
          <w:right w:w="0" w:type="dxa"/>
        </w:tblCellMar>
      </w:tblPr>
      <w:tr>
        <w:trPr>
          <w:trHeight w:val="215"/>
        </w:trPr>
        <w:tc>
          <w:tcPr>
            <w:tcW w:w="36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2017</w:t>
            </w: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color w:val="auto"/>
              </w:rPr>
              <w:t>2016</w:t>
            </w: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rPr>
              <w:t>2015</w:t>
            </w: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7"/>
                <w:szCs w:val="17"/>
                <w:color w:val="auto"/>
              </w:rPr>
              <w:t>Sales increase</w:t>
            </w:r>
          </w:p>
        </w:tc>
        <w:tc>
          <w:tcPr>
            <w:tcW w:w="1120" w:type="dxa"/>
            <w:vAlign w:val="bottom"/>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0.2 %</w:t>
            </w:r>
          </w:p>
        </w:tc>
        <w:tc>
          <w:tcPr>
            <w:tcW w:w="11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4.8 %</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3.6 %</w:t>
            </w:r>
          </w:p>
        </w:tc>
      </w:tr>
      <w:tr>
        <w:trPr>
          <w:trHeight w:val="230"/>
        </w:trPr>
        <w:tc>
          <w:tcPr>
            <w:tcW w:w="36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Comparable-store sales (decrease) / increase</w:t>
            </w:r>
          </w:p>
        </w:tc>
        <w:tc>
          <w:tcPr>
            <w:tcW w:w="11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(3.1)%</w:t>
            </w:r>
          </w:p>
        </w:tc>
        <w:tc>
          <w:tcPr>
            <w:tcW w:w="11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4.3 %</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8.5 %</w:t>
            </w:r>
          </w:p>
        </w:tc>
      </w:tr>
    </w:tbl>
    <w:p>
      <w:pPr>
        <w:spacing w:after="0" w:line="129" w:lineRule="exact"/>
        <w:rPr>
          <w:sz w:val="20"/>
          <w:szCs w:val="20"/>
          <w:color w:val="auto"/>
        </w:rPr>
      </w:pPr>
    </w:p>
    <w:p>
      <w:pPr>
        <w:jc w:val="both"/>
        <w:ind w:left="740" w:right="99" w:hanging="311"/>
        <w:spacing w:after="0" w:line="232" w:lineRule="auto"/>
        <w:tabs>
          <w:tab w:leader="none" w:pos="740" w:val="left"/>
        </w:tabs>
        <w:numPr>
          <w:ilvl w:val="0"/>
          <w:numId w:val="11"/>
        </w:numPr>
        <w:rPr>
          <w:rFonts w:ascii="Arial" w:cs="Arial" w:eastAsia="Arial" w:hAnsi="Arial"/>
          <w:sz w:val="16"/>
          <w:szCs w:val="16"/>
          <w:color w:val="auto"/>
        </w:rPr>
      </w:pPr>
      <w:r>
        <w:rPr>
          <w:rFonts w:ascii="Arial" w:cs="Arial" w:eastAsia="Arial" w:hAnsi="Arial"/>
          <w:sz w:val="17"/>
          <w:szCs w:val="17"/>
          <w:color w:val="auto"/>
        </w:rPr>
        <w:t>Sales of the Direct-to-Customers segment increased by 8.5 percent to $1,109 million, compared with $1,022 million in 2016 and increased 110 basis points as a percentage of total sales to 14.3 percent. The direct business has been steadily increasing as a percentage of total sales over the last several years, led by the continued growth and expansion into new geographies of our store banners’ e-commerce businesses.</w:t>
      </w:r>
    </w:p>
    <w:p>
      <w:pPr>
        <w:jc w:val="both"/>
        <w:ind w:left="740" w:right="99" w:hanging="311"/>
        <w:spacing w:after="0" w:line="232" w:lineRule="auto"/>
        <w:tabs>
          <w:tab w:leader="none" w:pos="740" w:val="left"/>
        </w:tabs>
        <w:numPr>
          <w:ilvl w:val="0"/>
          <w:numId w:val="11"/>
        </w:numPr>
        <w:rPr>
          <w:rFonts w:ascii="Arial" w:cs="Arial" w:eastAsia="Arial" w:hAnsi="Arial"/>
          <w:sz w:val="16"/>
          <w:szCs w:val="16"/>
          <w:color w:val="auto"/>
        </w:rPr>
      </w:pPr>
      <w:r>
        <w:rPr>
          <w:rFonts w:ascii="Arial" w:cs="Arial" w:eastAsia="Arial" w:hAnsi="Arial"/>
          <w:sz w:val="17"/>
          <w:szCs w:val="17"/>
          <w:color w:val="auto"/>
        </w:rPr>
        <w:t>Gross margin, as a percentage of sales, decreased by 230 basis points to 31.6 percent in 2017. The decline was primarily driven by a decrease in our merchandise margin rate, reflecting a higher markdown rate as compared with the prior year. The 53</w:t>
      </w:r>
      <w:r>
        <w:rPr>
          <w:rFonts w:ascii="Arial" w:cs="Arial" w:eastAsia="Arial" w:hAnsi="Arial"/>
          <w:sz w:val="8"/>
          <w:szCs w:val="8"/>
          <w:color w:val="auto"/>
        </w:rPr>
        <w:t>rd</w:t>
      </w:r>
      <w:r>
        <w:rPr>
          <w:rFonts w:ascii="Arial" w:cs="Arial" w:eastAsia="Arial" w:hAnsi="Arial"/>
          <w:sz w:val="17"/>
          <w:szCs w:val="17"/>
          <w:color w:val="auto"/>
        </w:rPr>
        <w:t xml:space="preserve"> week contributed an improvement to the gross margin rate of 20 basis points.</w:t>
      </w:r>
    </w:p>
    <w:p>
      <w:pPr>
        <w:jc w:val="both"/>
        <w:ind w:left="740" w:right="99" w:hanging="311"/>
        <w:spacing w:after="0" w:line="232" w:lineRule="auto"/>
        <w:tabs>
          <w:tab w:leader="none" w:pos="740" w:val="left"/>
        </w:tabs>
        <w:numPr>
          <w:ilvl w:val="0"/>
          <w:numId w:val="11"/>
        </w:numPr>
        <w:rPr>
          <w:rFonts w:ascii="Arial" w:cs="Arial" w:eastAsia="Arial" w:hAnsi="Arial"/>
          <w:sz w:val="16"/>
          <w:szCs w:val="16"/>
          <w:color w:val="auto"/>
        </w:rPr>
      </w:pPr>
      <w:r>
        <w:rPr>
          <w:rFonts w:ascii="Arial" w:cs="Arial" w:eastAsia="Arial" w:hAnsi="Arial"/>
          <w:sz w:val="17"/>
          <w:szCs w:val="17"/>
          <w:color w:val="auto"/>
        </w:rPr>
        <w:t>SG&amp;A expenses were 19.3 percent of sales, an increase of 30 basis points as compared with the prior year, and primarily reflected store wage pressures. The 53</w:t>
      </w:r>
      <w:r>
        <w:rPr>
          <w:rFonts w:ascii="Arial" w:cs="Arial" w:eastAsia="Arial" w:hAnsi="Arial"/>
          <w:sz w:val="8"/>
          <w:szCs w:val="8"/>
          <w:color w:val="auto"/>
        </w:rPr>
        <w:t>rd</w:t>
      </w:r>
      <w:r>
        <w:rPr>
          <w:rFonts w:ascii="Arial" w:cs="Arial" w:eastAsia="Arial" w:hAnsi="Arial"/>
          <w:sz w:val="17"/>
          <w:szCs w:val="17"/>
          <w:color w:val="auto"/>
        </w:rPr>
        <w:t xml:space="preserve"> week did not significantly affect the SG&amp;A expense rate.</w:t>
      </w:r>
    </w:p>
    <w:p>
      <w:pPr>
        <w:jc w:val="both"/>
        <w:ind w:left="740" w:right="99" w:hanging="311"/>
        <w:spacing w:after="0" w:line="232" w:lineRule="auto"/>
        <w:tabs>
          <w:tab w:leader="none" w:pos="740" w:val="left"/>
        </w:tabs>
        <w:numPr>
          <w:ilvl w:val="0"/>
          <w:numId w:val="11"/>
        </w:numPr>
        <w:rPr>
          <w:rFonts w:ascii="Arial" w:cs="Arial" w:eastAsia="Arial" w:hAnsi="Arial"/>
          <w:sz w:val="16"/>
          <w:szCs w:val="16"/>
          <w:color w:val="auto"/>
        </w:rPr>
      </w:pPr>
      <w:r>
        <w:rPr>
          <w:rFonts w:ascii="Arial" w:cs="Arial" w:eastAsia="Arial" w:hAnsi="Arial"/>
          <w:sz w:val="17"/>
          <w:szCs w:val="17"/>
          <w:color w:val="auto"/>
        </w:rPr>
        <w:t>EBIT margin was 7.4 percent and our adjusted EBIT margin was 9.9 percent in 2017. As compared with the prior year, the decline in the adjusted EBIT margin from 13.0 percent to 9.9 percent reflected lower pre-tax income, which was primarily due to lower gross margin and higher SG&amp;A expenses described above.</w:t>
      </w:r>
    </w:p>
    <w:p>
      <w:pPr>
        <w:jc w:val="both"/>
        <w:ind w:left="740" w:right="99" w:hanging="311"/>
        <w:spacing w:after="0" w:line="232" w:lineRule="auto"/>
        <w:tabs>
          <w:tab w:leader="none" w:pos="740" w:val="left"/>
        </w:tabs>
        <w:numPr>
          <w:ilvl w:val="0"/>
          <w:numId w:val="11"/>
        </w:numPr>
        <w:rPr>
          <w:rFonts w:ascii="Arial" w:cs="Arial" w:eastAsia="Arial" w:hAnsi="Arial"/>
          <w:sz w:val="16"/>
          <w:szCs w:val="16"/>
          <w:color w:val="auto"/>
        </w:rPr>
      </w:pPr>
      <w:r>
        <w:rPr>
          <w:rFonts w:ascii="Arial" w:cs="Arial" w:eastAsia="Arial" w:hAnsi="Arial"/>
          <w:sz w:val="17"/>
          <w:szCs w:val="17"/>
          <w:color w:val="auto"/>
        </w:rPr>
        <w:t>Net income was $284 million, or $2.22 diluted earnings per share, a decrease of 54.8 percent from the prior-year period. Adjusted net income was $510 million, or $3.99 diluted earnings per share, a decline of 17.2 percent from the corresponding non-GAAP prior-year period.</w:t>
      </w:r>
    </w:p>
    <w:p>
      <w:pPr>
        <w:ind w:left="740" w:right="99" w:hanging="311"/>
        <w:spacing w:after="0" w:line="243" w:lineRule="auto"/>
        <w:tabs>
          <w:tab w:leader="none" w:pos="740" w:val="left"/>
        </w:tabs>
        <w:numPr>
          <w:ilvl w:val="0"/>
          <w:numId w:val="11"/>
        </w:numPr>
        <w:rPr>
          <w:rFonts w:ascii="Arial" w:cs="Arial" w:eastAsia="Arial" w:hAnsi="Arial"/>
          <w:sz w:val="16"/>
          <w:szCs w:val="16"/>
          <w:color w:val="auto"/>
        </w:rPr>
      </w:pPr>
      <w:r>
        <w:rPr>
          <w:rFonts w:ascii="Arial" w:cs="Arial" w:eastAsia="Arial" w:hAnsi="Arial"/>
          <w:sz w:val="17"/>
          <w:szCs w:val="17"/>
          <w:color w:val="auto"/>
        </w:rPr>
        <w:t>Net income margin decreased to 3.6 percent as compared with 8.6 percent in the prior year. Our adjusted net income margin declined to 6.6 percent in 2017 as compared to 8.4 percent in the prior year.</w:t>
      </w:r>
    </w:p>
    <w:p>
      <w:pPr>
        <w:spacing w:after="0" w:line="11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Highlights of our financial position for the period ended February 3, 2018 include:</w:t>
      </w:r>
    </w:p>
    <w:p>
      <w:pPr>
        <w:ind w:left="740" w:right="99" w:hanging="311"/>
        <w:spacing w:after="0" w:line="232" w:lineRule="auto"/>
        <w:tabs>
          <w:tab w:leader="none" w:pos="740" w:val="left"/>
        </w:tabs>
        <w:numPr>
          <w:ilvl w:val="0"/>
          <w:numId w:val="12"/>
        </w:numPr>
        <w:rPr>
          <w:rFonts w:ascii="Arial" w:cs="Arial" w:eastAsia="Arial" w:hAnsi="Arial"/>
          <w:sz w:val="16"/>
          <w:szCs w:val="16"/>
          <w:color w:val="auto"/>
        </w:rPr>
      </w:pPr>
      <w:r>
        <w:rPr>
          <w:rFonts w:ascii="Arial" w:cs="Arial" w:eastAsia="Arial" w:hAnsi="Arial"/>
          <w:sz w:val="17"/>
          <w:szCs w:val="17"/>
          <w:color w:val="auto"/>
        </w:rPr>
        <w:t>We ended the year in a strong financial position. At year end, we had $724 million of cash and cash equivalents, net of debt. Cash and cash equivalents at February 3, 2018 were $849 million.</w:t>
      </w:r>
    </w:p>
    <w:p>
      <w:pPr>
        <w:ind w:left="740" w:right="99" w:hanging="311"/>
        <w:spacing w:after="0" w:line="232" w:lineRule="auto"/>
        <w:tabs>
          <w:tab w:leader="none" w:pos="740" w:val="left"/>
        </w:tabs>
        <w:numPr>
          <w:ilvl w:val="0"/>
          <w:numId w:val="12"/>
        </w:numPr>
        <w:rPr>
          <w:rFonts w:ascii="Arial" w:cs="Arial" w:eastAsia="Arial" w:hAnsi="Arial"/>
          <w:sz w:val="16"/>
          <w:szCs w:val="16"/>
          <w:color w:val="auto"/>
        </w:rPr>
      </w:pPr>
      <w:r>
        <w:rPr>
          <w:rFonts w:ascii="Arial" w:cs="Arial" w:eastAsia="Arial" w:hAnsi="Arial"/>
          <w:sz w:val="17"/>
          <w:szCs w:val="17"/>
          <w:color w:val="auto"/>
        </w:rPr>
        <w:t>Net cash provided by operating activities was $813 million, representing a $31 million decrease over last year, related to the earnings decline partially offset by substantial working capital improvements.</w:t>
      </w:r>
    </w:p>
    <w:p>
      <w:pPr>
        <w:jc w:val="both"/>
        <w:ind w:left="740" w:right="99" w:hanging="311"/>
        <w:spacing w:after="0" w:line="232" w:lineRule="auto"/>
        <w:tabs>
          <w:tab w:leader="none" w:pos="740" w:val="left"/>
        </w:tabs>
        <w:numPr>
          <w:ilvl w:val="0"/>
          <w:numId w:val="12"/>
        </w:numPr>
        <w:rPr>
          <w:rFonts w:ascii="Arial" w:cs="Arial" w:eastAsia="Arial" w:hAnsi="Arial"/>
          <w:sz w:val="16"/>
          <w:szCs w:val="16"/>
          <w:color w:val="auto"/>
        </w:rPr>
      </w:pPr>
      <w:r>
        <w:rPr>
          <w:rFonts w:ascii="Arial" w:cs="Arial" w:eastAsia="Arial" w:hAnsi="Arial"/>
          <w:sz w:val="17"/>
          <w:szCs w:val="17"/>
          <w:color w:val="auto"/>
        </w:rPr>
        <w:t>Cash capital expenditures during 2017 totaled $274 million and were primarily directed to the remodeling or relocation of 183 stores, the build-out of 94 new stores, as well as other technology and infrastructure projects.</w:t>
      </w:r>
    </w:p>
    <w:p>
      <w:pPr>
        <w:jc w:val="both"/>
        <w:ind w:left="740" w:right="99" w:hanging="311"/>
        <w:spacing w:after="0" w:line="238" w:lineRule="auto"/>
        <w:tabs>
          <w:tab w:leader="none" w:pos="740" w:val="left"/>
        </w:tabs>
        <w:numPr>
          <w:ilvl w:val="0"/>
          <w:numId w:val="12"/>
        </w:numPr>
        <w:rPr>
          <w:rFonts w:ascii="Arial" w:cs="Arial" w:eastAsia="Arial" w:hAnsi="Arial"/>
          <w:sz w:val="16"/>
          <w:szCs w:val="16"/>
          <w:color w:val="auto"/>
        </w:rPr>
      </w:pPr>
      <w:r>
        <w:rPr>
          <w:rFonts w:ascii="Arial" w:cs="Arial" w:eastAsia="Arial" w:hAnsi="Arial"/>
          <w:sz w:val="17"/>
          <w:szCs w:val="17"/>
          <w:color w:val="auto"/>
        </w:rPr>
        <w:t>During 2017 we returned significant amounts of cash to our shareholders. Dividends totaling $157 million were declared and paid during 2017, and 12.4 million shares were repurchased under our share repurchase program at a cost of $467 million.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56" w:right="1440" w:bottom="1440" w:gutter="0" w:footer="0" w:header="0"/>
        </w:sectPr>
      </w:pPr>
    </w:p>
    <w:bookmarkStart w:id="22" w:name="page23"/>
    <w:bookmarkEnd w:id="22"/>
    <w:tbl>
      <w:tblPr>
        <w:tblLayout w:type="fixed"/>
        <w:tblInd w:w="100" w:type="dxa"/>
        <w:tblCellMar>
          <w:top w:w="0" w:type="dxa"/>
          <w:left w:w="0" w:type="dxa"/>
          <w:bottom w:w="0" w:type="dxa"/>
          <w:right w:w="0" w:type="dxa"/>
        </w:tblCellMar>
      </w:tblPr>
      <w:tr>
        <w:trPr>
          <w:trHeight w:val="225"/>
        </w:trPr>
        <w:tc>
          <w:tcPr>
            <w:tcW w:w="4500" w:type="dxa"/>
            <w:vAlign w:val="bottom"/>
          </w:tcPr>
          <w:p>
            <w:pPr>
              <w:spacing w:after="0"/>
              <w:rPr>
                <w:sz w:val="20"/>
                <w:szCs w:val="20"/>
                <w:color w:val="auto"/>
              </w:rPr>
            </w:pPr>
            <w:r>
              <w:rPr>
                <w:rFonts w:ascii="Arial" w:cs="Arial" w:eastAsia="Arial" w:hAnsi="Arial"/>
                <w:sz w:val="17"/>
                <w:szCs w:val="17"/>
                <w:b w:val="1"/>
                <w:bCs w:val="1"/>
                <w:color w:val="auto"/>
              </w:rPr>
              <w:t>Summary of Consolidated Statements of Operations</w:t>
            </w: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88"/>
        </w:trPr>
        <w:tc>
          <w:tcPr>
            <w:tcW w:w="45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2017</w:t>
            </w: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color w:val="auto"/>
              </w:rPr>
              <w:t>2016</w:t>
            </w: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rPr>
              <w:t>2015</w:t>
            </w:r>
          </w:p>
        </w:tc>
      </w:tr>
      <w:tr>
        <w:trPr>
          <w:trHeight w:val="210"/>
        </w:trPr>
        <w:tc>
          <w:tcPr>
            <w:tcW w:w="4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900" w:type="dxa"/>
            <w:vAlign w:val="bottom"/>
            <w:gridSpan w:val="5"/>
          </w:tcPr>
          <w:p>
            <w:pPr>
              <w:jc w:val="right"/>
              <w:ind w:right="715"/>
              <w:spacing w:after="0"/>
              <w:rPr>
                <w:sz w:val="20"/>
                <w:szCs w:val="20"/>
                <w:color w:val="auto"/>
              </w:rPr>
            </w:pPr>
            <w:r>
              <w:rPr>
                <w:rFonts w:ascii="Arial" w:cs="Arial" w:eastAsia="Arial" w:hAnsi="Arial"/>
                <w:sz w:val="17"/>
                <w:szCs w:val="17"/>
                <w:color w:val="auto"/>
              </w:rPr>
              <w:t>(in millions, except per share data)</w:t>
            </w:r>
          </w:p>
        </w:tc>
      </w:tr>
      <w:tr>
        <w:trPr>
          <w:trHeight w:val="230"/>
        </w:trPr>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Sales</w:t>
            </w:r>
          </w:p>
        </w:tc>
        <w:tc>
          <w:tcPr>
            <w:tcW w:w="42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w:t>
            </w:r>
          </w:p>
        </w:tc>
        <w:tc>
          <w:tcPr>
            <w:tcW w:w="1100" w:type="dxa"/>
            <w:vAlign w:val="bottom"/>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7,782</w:t>
            </w:r>
          </w:p>
        </w:tc>
        <w:tc>
          <w:tcPr>
            <w:tcW w:w="4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7,766</w:t>
            </w:r>
          </w:p>
        </w:tc>
        <w:tc>
          <w:tcPr>
            <w:tcW w:w="4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7,412</w:t>
            </w:r>
          </w:p>
        </w:tc>
      </w:tr>
      <w:tr>
        <w:trPr>
          <w:trHeight w:val="230"/>
        </w:trPr>
        <w:tc>
          <w:tcPr>
            <w:tcW w:w="4500" w:type="dxa"/>
            <w:vAlign w:val="bottom"/>
          </w:tcPr>
          <w:p>
            <w:pPr>
              <w:spacing w:after="0"/>
              <w:rPr>
                <w:sz w:val="20"/>
                <w:szCs w:val="20"/>
                <w:color w:val="auto"/>
              </w:rPr>
            </w:pPr>
            <w:r>
              <w:rPr>
                <w:rFonts w:ascii="Arial" w:cs="Arial" w:eastAsia="Arial" w:hAnsi="Arial"/>
                <w:sz w:val="17"/>
                <w:szCs w:val="17"/>
                <w:color w:val="auto"/>
              </w:rPr>
              <w:t>Gross margin</w:t>
            </w:r>
          </w:p>
        </w:tc>
        <w:tc>
          <w:tcPr>
            <w:tcW w:w="42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7"/>
                <w:szCs w:val="17"/>
                <w:b w:val="1"/>
                <w:bCs w:val="1"/>
                <w:color w:val="auto"/>
              </w:rPr>
              <w:t>2,456</w:t>
            </w:r>
          </w:p>
        </w:tc>
        <w:tc>
          <w:tcPr>
            <w:tcW w:w="400" w:type="dxa"/>
            <w:vAlign w:val="bottom"/>
          </w:tcPr>
          <w:p>
            <w:pPr>
              <w:spacing w:after="0"/>
              <w:rPr>
                <w:sz w:val="19"/>
                <w:szCs w:val="19"/>
                <w:color w:val="auto"/>
              </w:rPr>
            </w:pPr>
          </w:p>
        </w:tc>
        <w:tc>
          <w:tcPr>
            <w:tcW w:w="1080" w:type="dxa"/>
            <w:vAlign w:val="bottom"/>
          </w:tcPr>
          <w:p>
            <w:pPr>
              <w:jc w:val="right"/>
              <w:ind w:right="115"/>
              <w:spacing w:after="0"/>
              <w:rPr>
                <w:sz w:val="20"/>
                <w:szCs w:val="20"/>
                <w:color w:val="auto"/>
              </w:rPr>
            </w:pPr>
            <w:r>
              <w:rPr>
                <w:rFonts w:ascii="Arial" w:cs="Arial" w:eastAsia="Arial" w:hAnsi="Arial"/>
                <w:sz w:val="17"/>
                <w:szCs w:val="17"/>
                <w:color w:val="auto"/>
              </w:rPr>
              <w:t>2,636</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2,505</w:t>
            </w:r>
          </w:p>
        </w:tc>
      </w:tr>
      <w:tr>
        <w:trPr>
          <w:trHeight w:val="230"/>
        </w:trPr>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 expenses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1,501</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1,472</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1,415</w:t>
            </w:r>
          </w:p>
        </w:tc>
      </w:tr>
      <w:tr>
        <w:trPr>
          <w:trHeight w:val="230"/>
        </w:trPr>
        <w:tc>
          <w:tcPr>
            <w:tcW w:w="450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42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7"/>
                <w:szCs w:val="17"/>
                <w:b w:val="1"/>
                <w:bCs w:val="1"/>
                <w:color w:val="auto"/>
              </w:rPr>
              <w:t>173</w:t>
            </w:r>
          </w:p>
        </w:tc>
        <w:tc>
          <w:tcPr>
            <w:tcW w:w="400" w:type="dxa"/>
            <w:vAlign w:val="bottom"/>
          </w:tcPr>
          <w:p>
            <w:pPr>
              <w:spacing w:after="0"/>
              <w:rPr>
                <w:sz w:val="19"/>
                <w:szCs w:val="19"/>
                <w:color w:val="auto"/>
              </w:rPr>
            </w:pPr>
          </w:p>
        </w:tc>
        <w:tc>
          <w:tcPr>
            <w:tcW w:w="1080" w:type="dxa"/>
            <w:vAlign w:val="bottom"/>
          </w:tcPr>
          <w:p>
            <w:pPr>
              <w:jc w:val="right"/>
              <w:ind w:right="115"/>
              <w:spacing w:after="0"/>
              <w:rPr>
                <w:sz w:val="20"/>
                <w:szCs w:val="20"/>
                <w:color w:val="auto"/>
              </w:rPr>
            </w:pPr>
            <w:r>
              <w:rPr>
                <w:rFonts w:ascii="Arial" w:cs="Arial" w:eastAsia="Arial" w:hAnsi="Arial"/>
                <w:sz w:val="17"/>
                <w:szCs w:val="17"/>
                <w:color w:val="auto"/>
              </w:rPr>
              <w:t>158</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148</w:t>
            </w:r>
          </w:p>
        </w:tc>
      </w:tr>
      <w:tr>
        <w:trPr>
          <w:trHeight w:val="230"/>
        </w:trPr>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 / expense, net</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(2)</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30"/>
        </w:trPr>
        <w:tc>
          <w:tcPr>
            <w:tcW w:w="4500" w:type="dxa"/>
            <w:vAlign w:val="bottom"/>
          </w:tcPr>
          <w:p>
            <w:pPr>
              <w:spacing w:after="0"/>
              <w:rPr>
                <w:sz w:val="20"/>
                <w:szCs w:val="20"/>
                <w:color w:val="auto"/>
              </w:rPr>
            </w:pPr>
            <w:r>
              <w:rPr>
                <w:rFonts w:ascii="Arial" w:cs="Arial" w:eastAsia="Arial" w:hAnsi="Arial"/>
                <w:sz w:val="17"/>
                <w:szCs w:val="17"/>
                <w:color w:val="auto"/>
              </w:rPr>
              <w:t>Net income</w:t>
            </w:r>
          </w:p>
        </w:tc>
        <w:tc>
          <w:tcPr>
            <w:tcW w:w="420" w:type="dxa"/>
            <w:vAlign w:val="bottom"/>
          </w:tcPr>
          <w:p>
            <w:pPr>
              <w:jc w:val="right"/>
              <w:ind w:right="15"/>
              <w:spacing w:after="0"/>
              <w:rPr>
                <w:sz w:val="20"/>
                <w:szCs w:val="20"/>
                <w:color w:val="auto"/>
              </w:rPr>
            </w:pPr>
            <w:r>
              <w:rPr>
                <w:rFonts w:ascii="Arial" w:cs="Arial" w:eastAsia="Arial" w:hAnsi="Arial"/>
                <w:sz w:val="17"/>
                <w:szCs w:val="17"/>
                <w:b w:val="1"/>
                <w:bCs w:val="1"/>
                <w:color w:val="auto"/>
              </w:rPr>
              <w:t>$</w:t>
            </w:r>
          </w:p>
        </w:tc>
        <w:tc>
          <w:tcPr>
            <w:tcW w:w="1100" w:type="dxa"/>
            <w:vAlign w:val="bottom"/>
          </w:tcPr>
          <w:p>
            <w:pPr>
              <w:jc w:val="right"/>
              <w:ind w:right="155"/>
              <w:spacing w:after="0"/>
              <w:rPr>
                <w:sz w:val="20"/>
                <w:szCs w:val="20"/>
                <w:color w:val="auto"/>
              </w:rPr>
            </w:pPr>
            <w:r>
              <w:rPr>
                <w:rFonts w:ascii="Arial" w:cs="Arial" w:eastAsia="Arial" w:hAnsi="Arial"/>
                <w:sz w:val="17"/>
                <w:szCs w:val="17"/>
                <w:b w:val="1"/>
                <w:bCs w:val="1"/>
                <w:color w:val="auto"/>
              </w:rPr>
              <w:t>284</w:t>
            </w:r>
          </w:p>
        </w:tc>
        <w:tc>
          <w:tcPr>
            <w:tcW w:w="4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15"/>
              <w:spacing w:after="0"/>
              <w:rPr>
                <w:sz w:val="20"/>
                <w:szCs w:val="20"/>
                <w:color w:val="auto"/>
              </w:rPr>
            </w:pPr>
            <w:r>
              <w:rPr>
                <w:rFonts w:ascii="Arial" w:cs="Arial" w:eastAsia="Arial" w:hAnsi="Arial"/>
                <w:sz w:val="17"/>
                <w:szCs w:val="17"/>
                <w:color w:val="auto"/>
              </w:rPr>
              <w:t>664</w:t>
            </w:r>
          </w:p>
        </w:tc>
        <w:tc>
          <w:tcPr>
            <w:tcW w:w="4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541</w:t>
            </w:r>
          </w:p>
        </w:tc>
      </w:tr>
      <w:tr>
        <w:trPr>
          <w:trHeight w:val="230"/>
        </w:trPr>
        <w:tc>
          <w:tcPr>
            <w:tcW w:w="4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Diluted earnings per share</w:t>
            </w:r>
          </w:p>
        </w:tc>
        <w:tc>
          <w:tcPr>
            <w:tcW w:w="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2.22</w:t>
            </w:r>
          </w:p>
        </w:tc>
        <w:tc>
          <w:tcPr>
            <w:tcW w:w="4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4.91</w:t>
            </w:r>
          </w:p>
        </w:tc>
        <w:tc>
          <w:tcPr>
            <w:tcW w:w="4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3.84</w:t>
            </w:r>
          </w:p>
        </w:tc>
      </w:tr>
    </w:tbl>
    <w:p>
      <w:pPr>
        <w:spacing w:after="0" w:line="111" w:lineRule="exact"/>
        <w:rPr>
          <w:sz w:val="20"/>
          <w:szCs w:val="20"/>
          <w:color w:val="auto"/>
        </w:rPr>
      </w:pPr>
    </w:p>
    <w:p>
      <w:pPr>
        <w:ind w:left="100"/>
        <w:spacing w:after="0"/>
        <w:rPr>
          <w:sz w:val="20"/>
          <w:szCs w:val="20"/>
          <w:color w:val="auto"/>
        </w:rPr>
      </w:pPr>
      <w:r>
        <w:rPr>
          <w:rFonts w:ascii="Arial" w:cs="Arial" w:eastAsia="Arial" w:hAnsi="Arial"/>
          <w:sz w:val="17"/>
          <w:szCs w:val="17"/>
          <w:i w:val="1"/>
          <w:iCs w:val="1"/>
          <w:u w:val="single" w:color="auto"/>
          <w:color w:val="auto"/>
        </w:rPr>
        <w:t>Sales</w:t>
      </w:r>
    </w:p>
    <w:p>
      <w:pPr>
        <w:spacing w:after="0" w:line="201"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All references to comparable-store sales for a given period relate to sales of stores that were open at the period-end and had been open for more than one year. The computation of consolidated comparable-store sales also includes the sales of the Direct-to-Customers segment. Stores opened or closed during the period are not included in the comparable-store base; however, stores closed temporarily for relocation or remodeling are included. Computations exclude the effect of foreign currency fluctuations. Comparable-store sales for 2017 does not include the sales from the 53</w:t>
      </w:r>
      <w:r>
        <w:rPr>
          <w:rFonts w:ascii="Arial" w:cs="Arial" w:eastAsia="Arial" w:hAnsi="Arial"/>
          <w:sz w:val="8"/>
          <w:szCs w:val="8"/>
          <w:color w:val="auto"/>
        </w:rPr>
        <w:t>rd</w:t>
      </w:r>
      <w:r>
        <w:rPr>
          <w:rFonts w:ascii="Arial" w:cs="Arial" w:eastAsia="Arial" w:hAnsi="Arial"/>
          <w:sz w:val="17"/>
          <w:szCs w:val="17"/>
          <w:color w:val="auto"/>
        </w:rPr>
        <w:t xml:space="preserve"> week.</w:t>
      </w:r>
    </w:p>
    <w:p>
      <w:pPr>
        <w:spacing w:after="0" w:line="175"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Sales of $7,782 million in 2017 increased by 0.2 percent from sales of $7,766 million in 2016. Results from 2017 include the effect of the 53</w:t>
      </w:r>
      <w:r>
        <w:rPr>
          <w:rFonts w:ascii="Arial" w:cs="Arial" w:eastAsia="Arial" w:hAnsi="Arial"/>
          <w:sz w:val="8"/>
          <w:szCs w:val="8"/>
          <w:color w:val="auto"/>
        </w:rPr>
        <w:t>rd</w:t>
      </w:r>
      <w:r>
        <w:rPr>
          <w:rFonts w:ascii="Arial" w:cs="Arial" w:eastAsia="Arial" w:hAnsi="Arial"/>
          <w:sz w:val="17"/>
          <w:szCs w:val="17"/>
          <w:color w:val="auto"/>
        </w:rPr>
        <w:t xml:space="preserve"> week, which represented sales of $95 million. Excluding the effect of foreign currency fluctuations, sales declined 0.5 percent as compared with 2016. Comparable-store sales declined 3.1 percent during 2017 as compared with 2016. Sales of $7,766 million in 2016 increased by 4.8 percent from sales of $7,412 million in 2015, this represented a comparable-store sales increase of 4.3 percent. Excluding the effect of foreign currency fluctuations, sales increased 5.2 percent as compared with 2015.</w:t>
      </w:r>
    </w:p>
    <w:p>
      <w:pPr>
        <w:spacing w:after="0" w:line="148" w:lineRule="exact"/>
        <w:rPr>
          <w:sz w:val="20"/>
          <w:szCs w:val="20"/>
          <w:color w:val="auto"/>
        </w:rPr>
      </w:pPr>
    </w:p>
    <w:tbl>
      <w:tblPr>
        <w:tblLayout w:type="fixed"/>
        <w:tblInd w:w="100" w:type="dxa"/>
        <w:tblCellMar>
          <w:top w:w="0" w:type="dxa"/>
          <w:left w:w="0" w:type="dxa"/>
          <w:bottom w:w="0" w:type="dxa"/>
          <w:right w:w="0" w:type="dxa"/>
        </w:tblCellMar>
      </w:tblPr>
      <w:tr>
        <w:trPr>
          <w:trHeight w:val="195"/>
        </w:trPr>
        <w:tc>
          <w:tcPr>
            <w:tcW w:w="1040" w:type="dxa"/>
            <w:vAlign w:val="bottom"/>
            <w:tcBorders>
              <w:bottom w:val="single" w:sz="8" w:color="auto"/>
            </w:tcBorders>
          </w:tcPr>
          <w:p>
            <w:pPr>
              <w:spacing w:after="0"/>
              <w:rPr>
                <w:sz w:val="20"/>
                <w:szCs w:val="20"/>
                <w:color w:val="auto"/>
              </w:rPr>
            </w:pPr>
            <w:r>
              <w:rPr>
                <w:rFonts w:ascii="Arial" w:cs="Arial" w:eastAsia="Arial" w:hAnsi="Arial"/>
                <w:sz w:val="17"/>
                <w:szCs w:val="17"/>
                <w:i w:val="1"/>
                <w:iCs w:val="1"/>
                <w:color w:val="auto"/>
                <w:w w:val="99"/>
              </w:rPr>
              <w:t>Gross Margin</w:t>
            </w:r>
          </w:p>
        </w:tc>
        <w:tc>
          <w:tcPr>
            <w:tcW w:w="4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5240" w:type="dxa"/>
            <w:vAlign w:val="bottom"/>
            <w:tcBorders>
              <w:bottom w:val="single" w:sz="8" w:color="auto"/>
            </w:tcBorders>
            <w:gridSpan w:val="2"/>
          </w:tcPr>
          <w:p>
            <w:pPr>
              <w:ind w:left="4840"/>
              <w:spacing w:after="0"/>
              <w:rPr>
                <w:sz w:val="20"/>
                <w:szCs w:val="20"/>
                <w:color w:val="auto"/>
              </w:rPr>
            </w:pPr>
            <w:r>
              <w:rPr>
                <w:rFonts w:ascii="Arial" w:cs="Arial" w:eastAsia="Arial" w:hAnsi="Arial"/>
                <w:sz w:val="17"/>
                <w:szCs w:val="17"/>
                <w:b w:val="1"/>
                <w:bCs w:val="1"/>
                <w:color w:val="auto"/>
              </w:rPr>
              <w:t>2017</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2016</w:t>
            </w:r>
          </w:p>
        </w:tc>
        <w:tc>
          <w:tcPr>
            <w:tcW w:w="8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color w:val="auto"/>
              </w:rPr>
              <w:t>2015</w:t>
            </w:r>
          </w:p>
        </w:tc>
        <w:tc>
          <w:tcPr>
            <w:tcW w:w="0" w:type="dxa"/>
            <w:vAlign w:val="bottom"/>
          </w:tcPr>
          <w:p>
            <w:pPr>
              <w:spacing w:after="0"/>
              <w:rPr>
                <w:sz w:val="1"/>
                <w:szCs w:val="1"/>
                <w:color w:val="auto"/>
              </w:rPr>
            </w:pPr>
          </w:p>
        </w:tc>
      </w:tr>
      <w:tr>
        <w:trPr>
          <w:trHeight w:val="210"/>
        </w:trPr>
        <w:tc>
          <w:tcPr>
            <w:tcW w:w="5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Gross margin rate</w:t>
            </w:r>
          </w:p>
        </w:tc>
        <w:tc>
          <w:tcPr>
            <w:tcW w:w="1500" w:type="dxa"/>
            <w:vAlign w:val="bottom"/>
            <w:shd w:val="clear" w:color="auto" w:fill="CCEEFF"/>
          </w:tcPr>
          <w:p>
            <w:pPr>
              <w:jc w:val="right"/>
              <w:ind w:right="855"/>
              <w:spacing w:after="0"/>
              <w:rPr>
                <w:sz w:val="20"/>
                <w:szCs w:val="20"/>
                <w:color w:val="auto"/>
              </w:rPr>
            </w:pPr>
            <w:r>
              <w:rPr>
                <w:rFonts w:ascii="Arial" w:cs="Arial" w:eastAsia="Arial" w:hAnsi="Arial"/>
                <w:sz w:val="17"/>
                <w:szCs w:val="17"/>
                <w:b w:val="1"/>
                <w:bCs w:val="1"/>
                <w:color w:val="auto"/>
              </w:rPr>
              <w:t>31.6 %</w:t>
            </w:r>
          </w:p>
        </w:tc>
        <w:tc>
          <w:tcPr>
            <w:tcW w:w="80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98"/>
              </w:rPr>
              <w:t>33.9 %</w:t>
            </w:r>
          </w:p>
        </w:tc>
        <w:tc>
          <w:tcPr>
            <w:tcW w:w="12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33.8 %</w:t>
            </w:r>
          </w:p>
        </w:tc>
        <w:tc>
          <w:tcPr>
            <w:tcW w:w="0" w:type="dxa"/>
            <w:vAlign w:val="bottom"/>
          </w:tcPr>
          <w:p>
            <w:pPr>
              <w:spacing w:after="0"/>
              <w:rPr>
                <w:sz w:val="1"/>
                <w:szCs w:val="1"/>
                <w:color w:val="auto"/>
              </w:rPr>
            </w:pPr>
          </w:p>
        </w:tc>
      </w:tr>
      <w:tr>
        <w:trPr>
          <w:trHeight w:val="230"/>
        </w:trPr>
        <w:tc>
          <w:tcPr>
            <w:tcW w:w="5240" w:type="dxa"/>
            <w:vAlign w:val="bottom"/>
            <w:gridSpan w:val="2"/>
          </w:tcPr>
          <w:p>
            <w:pPr>
              <w:spacing w:after="0"/>
              <w:rPr>
                <w:sz w:val="20"/>
                <w:szCs w:val="20"/>
                <w:color w:val="auto"/>
              </w:rPr>
            </w:pPr>
            <w:r>
              <w:rPr>
                <w:rFonts w:ascii="Arial" w:cs="Arial" w:eastAsia="Arial" w:hAnsi="Arial"/>
                <w:sz w:val="17"/>
                <w:szCs w:val="17"/>
                <w:color w:val="auto"/>
              </w:rPr>
              <w:t>Basis point (decrease) / increase in the gross margin rate</w:t>
            </w:r>
          </w:p>
        </w:tc>
        <w:tc>
          <w:tcPr>
            <w:tcW w:w="1500" w:type="dxa"/>
            <w:vAlign w:val="bottom"/>
          </w:tcPr>
          <w:p>
            <w:pPr>
              <w:jc w:val="right"/>
              <w:ind w:right="995"/>
              <w:spacing w:after="0"/>
              <w:rPr>
                <w:sz w:val="20"/>
                <w:szCs w:val="20"/>
                <w:color w:val="auto"/>
              </w:rPr>
            </w:pPr>
            <w:r>
              <w:rPr>
                <w:rFonts w:ascii="Arial" w:cs="Arial" w:eastAsia="Arial" w:hAnsi="Arial"/>
                <w:sz w:val="17"/>
                <w:szCs w:val="17"/>
                <w:b w:val="1"/>
                <w:bCs w:val="1"/>
                <w:color w:val="auto"/>
              </w:rPr>
              <w:t>(230)</w:t>
            </w:r>
          </w:p>
        </w:tc>
        <w:tc>
          <w:tcPr>
            <w:tcW w:w="800" w:type="dxa"/>
            <w:vAlign w:val="bottom"/>
          </w:tcPr>
          <w:p>
            <w:pPr>
              <w:jc w:val="right"/>
              <w:ind w:right="375"/>
              <w:spacing w:after="0"/>
              <w:rPr>
                <w:sz w:val="20"/>
                <w:szCs w:val="20"/>
                <w:color w:val="auto"/>
              </w:rPr>
            </w:pPr>
            <w:r>
              <w:rPr>
                <w:rFonts w:ascii="Arial" w:cs="Arial" w:eastAsia="Arial" w:hAnsi="Arial"/>
                <w:sz w:val="17"/>
                <w:szCs w:val="17"/>
                <w:color w:val="auto"/>
              </w:rPr>
              <w:t>10</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Components of the change-</w:t>
            </w:r>
          </w:p>
        </w:tc>
        <w:tc>
          <w:tcPr>
            <w:tcW w:w="15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220"/>
              <w:spacing w:after="0"/>
              <w:rPr>
                <w:sz w:val="20"/>
                <w:szCs w:val="20"/>
                <w:color w:val="auto"/>
              </w:rPr>
            </w:pPr>
            <w:r>
              <w:rPr>
                <w:rFonts w:ascii="Arial" w:cs="Arial" w:eastAsia="Arial" w:hAnsi="Arial"/>
                <w:sz w:val="17"/>
                <w:szCs w:val="17"/>
                <w:color w:val="auto"/>
              </w:rPr>
              <w:t>Merchandise margin rate (decline) / improvement</w:t>
            </w:r>
          </w:p>
        </w:tc>
        <w:tc>
          <w:tcPr>
            <w:tcW w:w="1500" w:type="dxa"/>
            <w:vAlign w:val="bottom"/>
          </w:tcPr>
          <w:p>
            <w:pPr>
              <w:jc w:val="right"/>
              <w:ind w:right="995"/>
              <w:spacing w:after="0"/>
              <w:rPr>
                <w:sz w:val="20"/>
                <w:szCs w:val="20"/>
                <w:color w:val="auto"/>
              </w:rPr>
            </w:pPr>
            <w:r>
              <w:rPr>
                <w:rFonts w:ascii="Arial" w:cs="Arial" w:eastAsia="Arial" w:hAnsi="Arial"/>
                <w:sz w:val="17"/>
                <w:szCs w:val="17"/>
                <w:b w:val="1"/>
                <w:bCs w:val="1"/>
                <w:color w:val="auto"/>
              </w:rPr>
              <w:t>(160)</w:t>
            </w:r>
          </w:p>
        </w:tc>
        <w:tc>
          <w:tcPr>
            <w:tcW w:w="800" w:type="dxa"/>
            <w:vAlign w:val="bottom"/>
          </w:tcPr>
          <w:p>
            <w:pPr>
              <w:jc w:val="right"/>
              <w:ind w:right="375"/>
              <w:spacing w:after="0"/>
              <w:rPr>
                <w:sz w:val="20"/>
                <w:szCs w:val="20"/>
                <w:color w:val="auto"/>
              </w:rPr>
            </w:pPr>
            <w:r>
              <w:rPr>
                <w:rFonts w:ascii="Arial" w:cs="Arial" w:eastAsia="Arial" w:hAnsi="Arial"/>
                <w:sz w:val="17"/>
                <w:szCs w:val="17"/>
                <w:color w:val="auto"/>
              </w:rPr>
              <w:t>20</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4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Higher occupancy and buyers' compensation expense</w:t>
            </w:r>
          </w:p>
        </w:tc>
        <w:tc>
          <w:tcPr>
            <w:tcW w:w="1500" w:type="dxa"/>
            <w:vAlign w:val="bottom"/>
            <w:vMerge w:val="restart"/>
            <w:shd w:val="clear" w:color="auto" w:fill="CCEEFF"/>
          </w:tcPr>
          <w:p>
            <w:pPr>
              <w:jc w:val="right"/>
              <w:ind w:right="1015"/>
              <w:spacing w:after="0"/>
              <w:rPr>
                <w:sz w:val="20"/>
                <w:szCs w:val="20"/>
                <w:color w:val="auto"/>
              </w:rPr>
            </w:pPr>
            <w:r>
              <w:rPr>
                <w:rFonts w:ascii="Arial" w:cs="Arial" w:eastAsia="Arial" w:hAnsi="Arial"/>
                <w:sz w:val="17"/>
                <w:szCs w:val="17"/>
                <w:b w:val="1"/>
                <w:bCs w:val="1"/>
                <w:color w:val="auto"/>
              </w:rPr>
              <w:t>(70)</w:t>
            </w:r>
          </w:p>
        </w:tc>
        <w:tc>
          <w:tcPr>
            <w:tcW w:w="8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240" w:type="dxa"/>
            <w:vAlign w:val="bottom"/>
            <w:tcBorders>
              <w:bottom w:val="single" w:sz="8" w:color="auto"/>
            </w:tcBorders>
            <w:gridSpan w:val="2"/>
            <w:shd w:val="clear" w:color="auto" w:fill="CCEEFF"/>
          </w:tcPr>
          <w:p>
            <w:pPr>
              <w:ind w:left="320"/>
              <w:spacing w:after="0"/>
              <w:rPr>
                <w:sz w:val="20"/>
                <w:szCs w:val="20"/>
                <w:color w:val="auto"/>
              </w:rPr>
            </w:pPr>
            <w:r>
              <w:rPr>
                <w:rFonts w:ascii="Arial" w:cs="Arial" w:eastAsia="Arial" w:hAnsi="Arial"/>
                <w:sz w:val="17"/>
                <w:szCs w:val="17"/>
                <w:color w:val="auto"/>
              </w:rPr>
              <w:t>rate</w:t>
            </w:r>
          </w:p>
        </w:tc>
        <w:tc>
          <w:tcPr>
            <w:tcW w:w="1500" w:type="dxa"/>
            <w:vAlign w:val="bottom"/>
            <w:tcBorders>
              <w:bottom w:val="single" w:sz="8" w:color="auto"/>
            </w:tcBorders>
            <w:vMerge w:val="continue"/>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7"/>
                <w:szCs w:val="17"/>
                <w:color w:val="auto"/>
              </w:rPr>
              <w:t>(10)</w:t>
            </w:r>
          </w:p>
        </w:tc>
        <w:tc>
          <w:tcPr>
            <w:tcW w:w="128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Gross margin is calculated as sales minus cost of sales. Cost of sales includes: the cost of merchandise, freight, distribution costs including related depreciation expense, shipping and handling, occupancy and buyers’ compensation. Occupancy costs include rent, common area maintenance charges, real estate taxes, general maintenance, and utilities.</w:t>
      </w:r>
    </w:p>
    <w:p>
      <w:pPr>
        <w:spacing w:after="0" w:line="149"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The gross margin rate decreased to 31.6 percent in 2017 as compared to 33.9 percent in the prior year. The decline in the merchandise margin rate in 2017 primarily reflects a higher markdown rate in both our Athletic Stores and Direct-to-Customer segments. The higher markdowns were the result of a more promotional environment and were necessary to ensure merchandise inventory remained current and in line with the sales trend. Although to a lesser degree, a decline in our shipping and handling revenue also negatively affected the merchandise margin for the Direct-to-Customer segment. The decline in the gross margin rate also reflects an increase in the occupancy and buyers’ compensation rate as compared to 2016. Rent-related costs continued to increase while our sales were relatively flat. The increase in rent-related costs was primarily driven by recently entering into leases for high-profile locations.</w:t>
      </w:r>
    </w:p>
    <w:p>
      <w:pPr>
        <w:spacing w:after="0" w:line="148"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Gross margin in 2016 improved 10 basis points to 33.9 percent as compared with 2015. The improvement was driven by a lower markdown rate, primarily in our Athletic Stores segment, due to an increase in full-priced selling. This improvement was partially offset by increased promotional activity within our Direct-to-Customers segment. The change in the gross margin rate also reflected an increase in the occupancy and buyers’ compensation rate compared to 2015. This pressured our gross margin rate as certain high-profile locations were closed for remodeling for all or part of 2016, which increased the occupancy expense rate since these locations were not generating sales while incurring tenancy costs.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56" w:right="1440" w:bottom="1440" w:gutter="0" w:footer="0" w:header="0"/>
        </w:sectPr>
      </w:pPr>
    </w:p>
    <w:bookmarkStart w:id="23" w:name="page24"/>
    <w:bookmarkEnd w:id="23"/>
    <w:tbl>
      <w:tblPr>
        <w:tblLayout w:type="fixed"/>
        <w:tblInd w:w="100" w:type="dxa"/>
        <w:tblCellMar>
          <w:top w:w="0" w:type="dxa"/>
          <w:left w:w="0" w:type="dxa"/>
          <w:bottom w:w="0" w:type="dxa"/>
          <w:right w:w="0" w:type="dxa"/>
        </w:tblCellMar>
      </w:tblPr>
      <w:tr>
        <w:trPr>
          <w:trHeight w:val="195"/>
        </w:trPr>
        <w:tc>
          <w:tcPr>
            <w:tcW w:w="4100" w:type="dxa"/>
            <w:vAlign w:val="bottom"/>
            <w:tcBorders>
              <w:bottom w:val="single" w:sz="8" w:color="auto"/>
            </w:tcBorders>
          </w:tcPr>
          <w:p>
            <w:pPr>
              <w:spacing w:after="0"/>
              <w:rPr>
                <w:sz w:val="20"/>
                <w:szCs w:val="20"/>
                <w:color w:val="auto"/>
              </w:rPr>
            </w:pPr>
            <w:r>
              <w:rPr>
                <w:rFonts w:ascii="Arial" w:cs="Arial" w:eastAsia="Arial" w:hAnsi="Arial"/>
                <w:sz w:val="17"/>
                <w:szCs w:val="17"/>
                <w:i w:val="1"/>
                <w:iCs w:val="1"/>
                <w:color w:val="auto"/>
                <w:w w:val="99"/>
              </w:rPr>
              <w:t>Selling, General and Administrative Expenses (SG&amp;A)</w:t>
            </w:r>
          </w:p>
        </w:tc>
        <w:tc>
          <w:tcPr>
            <w:tcW w:w="6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04"/>
        </w:trPr>
        <w:tc>
          <w:tcPr>
            <w:tcW w:w="4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635"/>
              <w:spacing w:after="0"/>
              <w:rPr>
                <w:sz w:val="20"/>
                <w:szCs w:val="20"/>
                <w:color w:val="auto"/>
              </w:rPr>
            </w:pPr>
            <w:r>
              <w:rPr>
                <w:rFonts w:ascii="Arial" w:cs="Arial" w:eastAsia="Arial" w:hAnsi="Arial"/>
                <w:sz w:val="17"/>
                <w:szCs w:val="17"/>
                <w:b w:val="1"/>
                <w:bCs w:val="1"/>
                <w:color w:val="auto"/>
              </w:rPr>
              <w:t>2017</w:t>
            </w: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635"/>
              <w:spacing w:after="0"/>
              <w:rPr>
                <w:sz w:val="20"/>
                <w:szCs w:val="20"/>
                <w:color w:val="auto"/>
              </w:rPr>
            </w:pPr>
            <w:r>
              <w:rPr>
                <w:rFonts w:ascii="Arial" w:cs="Arial" w:eastAsia="Arial" w:hAnsi="Arial"/>
                <w:sz w:val="17"/>
                <w:szCs w:val="17"/>
                <w:color w:val="auto"/>
              </w:rPr>
              <w:t>2016</w:t>
            </w: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color w:val="auto"/>
              </w:rPr>
              <w:t>2015</w:t>
            </w:r>
          </w:p>
        </w:tc>
      </w:tr>
      <w:tr>
        <w:trPr>
          <w:trHeight w:val="210"/>
        </w:trPr>
        <w:tc>
          <w:tcPr>
            <w:tcW w:w="4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00" w:type="dxa"/>
            <w:vAlign w:val="bottom"/>
            <w:gridSpan w:val="2"/>
          </w:tcPr>
          <w:p>
            <w:pPr>
              <w:jc w:val="right"/>
              <w:ind w:right="235"/>
              <w:spacing w:after="0"/>
              <w:rPr>
                <w:sz w:val="20"/>
                <w:szCs w:val="20"/>
                <w:color w:val="auto"/>
              </w:rPr>
            </w:pPr>
            <w:r>
              <w:rPr>
                <w:rFonts w:ascii="Arial" w:cs="Arial" w:eastAsia="Arial" w:hAnsi="Arial"/>
                <w:sz w:val="17"/>
                <w:szCs w:val="17"/>
                <w:color w:val="auto"/>
              </w:rPr>
              <w:t>($ in millions)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SG&amp;A</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80" w:type="dxa"/>
            <w:vAlign w:val="bottom"/>
            <w:shd w:val="clear" w:color="auto" w:fill="CCEEFF"/>
          </w:tcPr>
          <w:p>
            <w:pPr>
              <w:jc w:val="right"/>
              <w:ind w:right="255"/>
              <w:spacing w:after="0"/>
              <w:rPr>
                <w:sz w:val="20"/>
                <w:szCs w:val="20"/>
                <w:color w:val="auto"/>
              </w:rPr>
            </w:pPr>
            <w:r>
              <w:rPr>
                <w:rFonts w:ascii="Arial" w:cs="Arial" w:eastAsia="Arial" w:hAnsi="Arial"/>
                <w:sz w:val="17"/>
                <w:szCs w:val="17"/>
                <w:b w:val="1"/>
                <w:bCs w:val="1"/>
                <w:color w:val="auto"/>
              </w:rPr>
              <w:t>1,501</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1,472</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1,415</w:t>
            </w:r>
          </w:p>
        </w:tc>
      </w:tr>
      <w:tr>
        <w:trPr>
          <w:trHeight w:val="230"/>
        </w:trPr>
        <w:tc>
          <w:tcPr>
            <w:tcW w:w="4100" w:type="dxa"/>
            <w:vAlign w:val="bottom"/>
          </w:tcPr>
          <w:p>
            <w:pPr>
              <w:spacing w:after="0"/>
              <w:rPr>
                <w:sz w:val="20"/>
                <w:szCs w:val="20"/>
                <w:color w:val="auto"/>
              </w:rPr>
            </w:pPr>
            <w:r>
              <w:rPr>
                <w:rFonts w:ascii="Arial" w:cs="Arial" w:eastAsia="Arial" w:hAnsi="Arial"/>
                <w:sz w:val="17"/>
                <w:szCs w:val="17"/>
                <w:color w:val="auto"/>
              </w:rPr>
              <w:t>$ Change</w:t>
            </w: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jc w:val="right"/>
              <w:ind w:right="255"/>
              <w:spacing w:after="0"/>
              <w:rPr>
                <w:sz w:val="20"/>
                <w:szCs w:val="20"/>
                <w:color w:val="auto"/>
              </w:rPr>
            </w:pPr>
            <w:r>
              <w:rPr>
                <w:rFonts w:ascii="Arial" w:cs="Arial" w:eastAsia="Arial" w:hAnsi="Arial"/>
                <w:sz w:val="17"/>
                <w:szCs w:val="17"/>
                <w:b w:val="1"/>
                <w:bCs w:val="1"/>
                <w:color w:val="auto"/>
              </w:rPr>
              <w:t>29</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255"/>
              <w:spacing w:after="0"/>
              <w:rPr>
                <w:sz w:val="20"/>
                <w:szCs w:val="20"/>
                <w:color w:val="auto"/>
              </w:rPr>
            </w:pPr>
            <w:r>
              <w:rPr>
                <w:rFonts w:ascii="Arial" w:cs="Arial" w:eastAsia="Arial" w:hAnsi="Arial"/>
                <w:sz w:val="17"/>
                <w:szCs w:val="17"/>
                <w:color w:val="auto"/>
              </w:rPr>
              <w:t>57</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 Change</w:t>
            </w: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2.0 %</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4.0 %</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41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SG&amp;A as a percentage of sales</w:t>
            </w:r>
          </w:p>
        </w:tc>
        <w:tc>
          <w:tcPr>
            <w:tcW w:w="6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19.3 %</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19.0 %</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19.1 %</w:t>
            </w:r>
          </w:p>
        </w:tc>
      </w:tr>
    </w:tbl>
    <w:p>
      <w:pPr>
        <w:spacing w:after="0" w:line="183"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SG&amp;A increased by $29 million and 2.0 percent in 2017, as compared with the prior year. As a percentage of sales, the SG&amp;A rate increased by 30 basis points as compared with 2016. Excluding the effect of foreign currency fluctuations, SG&amp;A increased by $16 million compared to the prior year. The 53</w:t>
      </w:r>
      <w:r>
        <w:rPr>
          <w:rFonts w:ascii="Arial" w:cs="Arial" w:eastAsia="Arial" w:hAnsi="Arial"/>
          <w:sz w:val="8"/>
          <w:szCs w:val="8"/>
          <w:color w:val="auto"/>
        </w:rPr>
        <w:t>rd</w:t>
      </w:r>
      <w:r>
        <w:rPr>
          <w:rFonts w:ascii="Arial" w:cs="Arial" w:eastAsia="Arial" w:hAnsi="Arial"/>
          <w:sz w:val="17"/>
          <w:szCs w:val="17"/>
          <w:color w:val="auto"/>
        </w:rPr>
        <w:t xml:space="preserve"> week contributed $16 million of additional expenses, however as a percent of sales the SG&amp;A rate remained unchanged at 19.3 percent.</w:t>
      </w:r>
    </w:p>
    <w:p>
      <w:pPr>
        <w:spacing w:after="0" w:line="177"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The rise in the SG&amp;A expense rate during 2017 primarily relates to the Athletic Stores segment, partially offset by a decline in the Direct-to-Customers segment’s SG&amp;A rate. The Athletic Stores segment reflected an increase in store-related compensation costs as a result of increased minimum wage levels. Additionally, we incurred higher expenses related to wages, such as payroll taxes and benefits. These increases in the SG&amp;A expense rate were partially offset by declines in incentive compensation and marketing related costs.</w:t>
      </w:r>
    </w:p>
    <w:p>
      <w:pPr>
        <w:spacing w:after="0" w:line="177"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SG&amp;A increased by $57 million in 2016 as compared with 2015. As a percentage of sales, the SG&amp;A rate in 2016 decreased by 10 basis points as compared with 2015, which reflected diligent expense management specifically in store wages by our Athletic Stores segment and was partially offset by increased marketing costs incurred by our Direct-to-Customers segment in order to drive traffic to its websites.</w:t>
      </w:r>
    </w:p>
    <w:p>
      <w:pPr>
        <w:spacing w:after="0" w:line="159" w:lineRule="exact"/>
        <w:rPr>
          <w:sz w:val="20"/>
          <w:szCs w:val="20"/>
          <w:color w:val="auto"/>
        </w:rPr>
      </w:pPr>
    </w:p>
    <w:p>
      <w:pPr>
        <w:ind w:left="100"/>
        <w:spacing w:after="0"/>
        <w:rPr>
          <w:sz w:val="20"/>
          <w:szCs w:val="20"/>
          <w:color w:val="auto"/>
        </w:rPr>
      </w:pPr>
      <w:r>
        <w:rPr>
          <w:rFonts w:ascii="Arial" w:cs="Arial" w:eastAsia="Arial" w:hAnsi="Arial"/>
          <w:sz w:val="17"/>
          <w:szCs w:val="17"/>
          <w:i w:val="1"/>
          <w:iCs w:val="1"/>
          <w:u w:val="single" w:color="auto"/>
          <w:color w:val="auto"/>
        </w:rPr>
        <w:t>Depreciation and Amortization</w:t>
      </w:r>
    </w:p>
    <w:p>
      <w:pPr>
        <w:spacing w:after="0" w:line="275"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34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6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2016</w:t>
            </w:r>
          </w:p>
        </w:tc>
        <w:tc>
          <w:tcPr>
            <w:tcW w:w="6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color w:val="auto"/>
              </w:rPr>
              <w:t>2015</w:t>
            </w:r>
          </w:p>
        </w:tc>
      </w:tr>
      <w:tr>
        <w:trPr>
          <w:trHeight w:val="196"/>
        </w:trPr>
        <w:tc>
          <w:tcPr>
            <w:tcW w:w="34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00" w:type="dxa"/>
            <w:vAlign w:val="bottom"/>
            <w:gridSpan w:val="2"/>
          </w:tcPr>
          <w:p>
            <w:pPr>
              <w:jc w:val="right"/>
              <w:ind w:right="235"/>
              <w:spacing w:after="0"/>
              <w:rPr>
                <w:sz w:val="20"/>
                <w:szCs w:val="20"/>
                <w:color w:val="auto"/>
              </w:rPr>
            </w:pPr>
            <w:r>
              <w:rPr>
                <w:rFonts w:ascii="Arial" w:cs="Arial" w:eastAsia="Arial" w:hAnsi="Arial"/>
                <w:sz w:val="17"/>
                <w:szCs w:val="17"/>
                <w:color w:val="auto"/>
              </w:rPr>
              <w:t>($ in millions)</w:t>
            </w: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1840" w:type="dxa"/>
            <w:vAlign w:val="bottom"/>
            <w:shd w:val="clear" w:color="auto" w:fill="CCEEFF"/>
          </w:tcPr>
          <w:p>
            <w:pPr>
              <w:jc w:val="right"/>
              <w:ind w:right="515"/>
              <w:spacing w:after="0"/>
              <w:rPr>
                <w:sz w:val="20"/>
                <w:szCs w:val="20"/>
                <w:color w:val="auto"/>
              </w:rPr>
            </w:pPr>
            <w:r>
              <w:rPr>
                <w:rFonts w:ascii="Arial" w:cs="Arial" w:eastAsia="Arial" w:hAnsi="Arial"/>
                <w:sz w:val="17"/>
                <w:szCs w:val="17"/>
                <w:b w:val="1"/>
                <w:bCs w:val="1"/>
                <w:color w:val="auto"/>
              </w:rPr>
              <w:t>$</w:t>
            </w:r>
          </w:p>
        </w:tc>
        <w:tc>
          <w:tcPr>
            <w:tcW w:w="660" w:type="dxa"/>
            <w:vAlign w:val="bottom"/>
            <w:shd w:val="clear" w:color="auto" w:fill="CCEEFF"/>
          </w:tcPr>
          <w:p>
            <w:pPr>
              <w:jc w:val="right"/>
              <w:ind w:right="255"/>
              <w:spacing w:after="0"/>
              <w:rPr>
                <w:sz w:val="20"/>
                <w:szCs w:val="20"/>
                <w:color w:val="auto"/>
              </w:rPr>
            </w:pPr>
            <w:r>
              <w:rPr>
                <w:rFonts w:ascii="Arial" w:cs="Arial" w:eastAsia="Arial" w:hAnsi="Arial"/>
                <w:sz w:val="17"/>
                <w:szCs w:val="17"/>
                <w:b w:val="1"/>
                <w:bCs w:val="1"/>
                <w:color w:val="auto"/>
              </w:rPr>
              <w:t>173</w:t>
            </w:r>
          </w:p>
        </w:tc>
        <w:tc>
          <w:tcPr>
            <w:tcW w:w="820" w:type="dxa"/>
            <w:vAlign w:val="bottom"/>
            <w:shd w:val="clear" w:color="auto" w:fill="CCEEFF"/>
          </w:tcPr>
          <w:p>
            <w:pPr>
              <w:jc w:val="right"/>
              <w:ind w:right="495"/>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158</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148</w:t>
            </w:r>
          </w:p>
        </w:tc>
      </w:tr>
      <w:tr>
        <w:trPr>
          <w:trHeight w:val="216"/>
        </w:trPr>
        <w:tc>
          <w:tcPr>
            <w:tcW w:w="3420" w:type="dxa"/>
            <w:vAlign w:val="bottom"/>
          </w:tcPr>
          <w:p>
            <w:pPr>
              <w:spacing w:after="0"/>
              <w:rPr>
                <w:sz w:val="20"/>
                <w:szCs w:val="20"/>
                <w:color w:val="auto"/>
              </w:rPr>
            </w:pPr>
            <w:r>
              <w:rPr>
                <w:rFonts w:ascii="Arial" w:cs="Arial" w:eastAsia="Arial" w:hAnsi="Arial"/>
                <w:sz w:val="17"/>
                <w:szCs w:val="17"/>
                <w:color w:val="auto"/>
              </w:rPr>
              <w:t>$ Change</w:t>
            </w:r>
          </w:p>
        </w:tc>
        <w:tc>
          <w:tcPr>
            <w:tcW w:w="1840" w:type="dxa"/>
            <w:vAlign w:val="bottom"/>
          </w:tcPr>
          <w:p>
            <w:pPr>
              <w:jc w:val="right"/>
              <w:ind w:right="515"/>
              <w:spacing w:after="0"/>
              <w:rPr>
                <w:sz w:val="20"/>
                <w:szCs w:val="20"/>
                <w:color w:val="auto"/>
              </w:rPr>
            </w:pPr>
            <w:r>
              <w:rPr>
                <w:rFonts w:ascii="Arial" w:cs="Arial" w:eastAsia="Arial" w:hAnsi="Arial"/>
                <w:sz w:val="17"/>
                <w:szCs w:val="17"/>
                <w:b w:val="1"/>
                <w:bCs w:val="1"/>
                <w:color w:val="auto"/>
              </w:rPr>
              <w:t>$</w:t>
            </w:r>
          </w:p>
        </w:tc>
        <w:tc>
          <w:tcPr>
            <w:tcW w:w="660" w:type="dxa"/>
            <w:vAlign w:val="bottom"/>
          </w:tcPr>
          <w:p>
            <w:pPr>
              <w:jc w:val="right"/>
              <w:ind w:right="255"/>
              <w:spacing w:after="0"/>
              <w:rPr>
                <w:sz w:val="20"/>
                <w:szCs w:val="20"/>
                <w:color w:val="auto"/>
              </w:rPr>
            </w:pPr>
            <w:r>
              <w:rPr>
                <w:rFonts w:ascii="Arial" w:cs="Arial" w:eastAsia="Arial" w:hAnsi="Arial"/>
                <w:sz w:val="17"/>
                <w:szCs w:val="17"/>
                <w:b w:val="1"/>
                <w:bCs w:val="1"/>
                <w:color w:val="auto"/>
              </w:rPr>
              <w:t>15</w:t>
            </w:r>
          </w:p>
        </w:tc>
        <w:tc>
          <w:tcPr>
            <w:tcW w:w="820" w:type="dxa"/>
            <w:vAlign w:val="bottom"/>
          </w:tcPr>
          <w:p>
            <w:pPr>
              <w:jc w:val="right"/>
              <w:ind w:right="495"/>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255"/>
              <w:spacing w:after="0"/>
              <w:rPr>
                <w:sz w:val="20"/>
                <w:szCs w:val="20"/>
                <w:color w:val="auto"/>
              </w:rPr>
            </w:pPr>
            <w:r>
              <w:rPr>
                <w:rFonts w:ascii="Arial" w:cs="Arial" w:eastAsia="Arial" w:hAnsi="Arial"/>
                <w:sz w:val="17"/>
                <w:szCs w:val="17"/>
                <w:color w:val="auto"/>
              </w:rPr>
              <w:t>10</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3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 Change</w:t>
            </w:r>
          </w:p>
        </w:tc>
        <w:tc>
          <w:tcPr>
            <w:tcW w:w="18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9.5 %</w:t>
            </w:r>
          </w:p>
        </w:tc>
        <w:tc>
          <w:tcPr>
            <w:tcW w:w="8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6.8 %</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r>
    </w:tbl>
    <w:p>
      <w:pPr>
        <w:spacing w:after="0" w:line="183"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Depreciation and amortization increased $15 million in 2017 as compared with 2016. Excluding the effect of foreign currency fluctuations, depreciation and amortization increased $13 million as compared with the prior year. The increases in both 2017 and 2016 reflect a rise in capital spending on store improvements, the enhancement of our digital sites, and various other technologies and infrastructure. The increase in 2016 as compared with 2015 also reflected capital spending on our relocated corporate headquarters.</w:t>
      </w:r>
    </w:p>
    <w:p>
      <w:pPr>
        <w:spacing w:after="0" w:line="159" w:lineRule="exact"/>
        <w:rPr>
          <w:sz w:val="20"/>
          <w:szCs w:val="20"/>
          <w:color w:val="auto"/>
        </w:rPr>
      </w:pPr>
    </w:p>
    <w:p>
      <w:pPr>
        <w:ind w:left="100"/>
        <w:spacing w:after="0"/>
        <w:rPr>
          <w:sz w:val="20"/>
          <w:szCs w:val="20"/>
          <w:color w:val="auto"/>
        </w:rPr>
      </w:pPr>
      <w:r>
        <w:rPr>
          <w:rFonts w:ascii="Arial" w:cs="Arial" w:eastAsia="Arial" w:hAnsi="Arial"/>
          <w:sz w:val="17"/>
          <w:szCs w:val="17"/>
          <w:i w:val="1"/>
          <w:iCs w:val="1"/>
          <w:u w:val="single" w:color="auto"/>
          <w:color w:val="auto"/>
        </w:rPr>
        <w:t>Litigation and Other Charges</w:t>
      </w:r>
    </w:p>
    <w:p>
      <w:pPr>
        <w:spacing w:after="0" w:line="201"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Litigation and other charges recorded totaled $211 million, $6 million, and $105 million for 2017, 2016, and 2015, respectively.</w:t>
      </w:r>
    </w:p>
    <w:p>
      <w:pPr>
        <w:spacing w:after="0" w:line="171"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Related to our pension litigation, we recorded charges totaling $178 million during 2017. We previously recorded a $100 million pension litigation charge during 2015. These charges relate to a class action in which the plaintiffs alleged that the Company failed to properly disclose the effects of the 1996 conversion of the U.S. retirement plan to a defined benefit plan with a cash balance formula. In February 2018, the Company’s Petition for Writ of Certiorari with the U.S. Supreme Court was denied. Accordingly, the Company must reform the pension plan consistent with the trial court’s order. The Company has estimated that the cost of plan reformation is $278 million as of February 3, 2018 based upon our current understanding of the court order. This amount will increase with interest until paid, as required by the provisions of the required plan reformation. The Company is currently formulating the actions and steps necessary to reform the plan.</w:t>
      </w:r>
    </w:p>
    <w:p>
      <w:pPr>
        <w:spacing w:after="0" w:line="169" w:lineRule="exact"/>
        <w:rPr>
          <w:sz w:val="20"/>
          <w:szCs w:val="20"/>
          <w:color w:val="auto"/>
        </w:rPr>
      </w:pPr>
    </w:p>
    <w:p>
      <w:pPr>
        <w:ind w:left="100"/>
        <w:spacing w:after="0"/>
        <w:rPr>
          <w:sz w:val="20"/>
          <w:szCs w:val="20"/>
          <w:color w:val="auto"/>
        </w:rPr>
      </w:pPr>
      <w:r>
        <w:rPr>
          <w:rFonts w:ascii="Arial" w:cs="Arial" w:eastAsia="Arial" w:hAnsi="Arial"/>
          <w:sz w:val="17"/>
          <w:szCs w:val="17"/>
          <w:color w:val="auto"/>
        </w:rPr>
        <w:t>During 2017, we reduced and reorganized our division and corporate staff which resulted in a charge of $13 million.</w:t>
      </w:r>
    </w:p>
    <w:p>
      <w:pPr>
        <w:ind w:left="100"/>
        <w:spacing w:after="0"/>
        <w:rPr>
          <w:sz w:val="20"/>
          <w:szCs w:val="20"/>
          <w:color w:val="auto"/>
        </w:rPr>
      </w:pPr>
      <w:r>
        <w:rPr>
          <w:rFonts w:ascii="Arial" w:cs="Arial" w:eastAsia="Arial" w:hAnsi="Arial"/>
          <w:sz w:val="17"/>
          <w:szCs w:val="17"/>
          <w:color w:val="auto"/>
        </w:rPr>
        <w:t>The substantial majority of the charge was for severance and related costs.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49" w:right="1440" w:bottom="1440" w:gutter="0" w:footer="0" w:header="0"/>
        </w:sectPr>
      </w:pPr>
    </w:p>
    <w:bookmarkStart w:id="24" w:name="page25"/>
    <w:bookmarkEnd w:id="24"/>
    <w:p>
      <w:pPr>
        <w:jc w:val="both"/>
        <w:ind w:left="100" w:right="99"/>
        <w:spacing w:after="0"/>
        <w:rPr>
          <w:sz w:val="20"/>
          <w:szCs w:val="20"/>
          <w:color w:val="auto"/>
        </w:rPr>
      </w:pPr>
      <w:r>
        <w:rPr>
          <w:rFonts w:ascii="Arial" w:cs="Arial" w:eastAsia="Arial" w:hAnsi="Arial"/>
          <w:sz w:val="17"/>
          <w:szCs w:val="17"/>
          <w:color w:val="auto"/>
        </w:rPr>
        <w:t>Impairment charges recorded during 2017 totaled $20 million. The charges related to the write-down of store fixtures and leasehold improvements of our SIX:02, Runners Point, and Sidestep stores. During 2016 and 2015, we also recorded non-cash impairment charges totaling $6 million and $4 million, respectively, relating to the write down of store fixtures and leasehold improvements for our Runners Point and Sidestep stores. Also during 2015, we recorded a non-cash impairment charge totaling $1 million to fully write down the value of an e-commerce trade name.</w:t>
      </w:r>
    </w:p>
    <w:p>
      <w:pPr>
        <w:spacing w:after="0" w:line="319" w:lineRule="exact"/>
        <w:rPr>
          <w:sz w:val="20"/>
          <w:szCs w:val="20"/>
          <w:color w:val="auto"/>
        </w:rPr>
      </w:pPr>
    </w:p>
    <w:tbl>
      <w:tblPr>
        <w:tblLayout w:type="fixed"/>
        <w:tblInd w:w="100" w:type="dxa"/>
        <w:tblCellMar>
          <w:top w:w="0" w:type="dxa"/>
          <w:left w:w="0" w:type="dxa"/>
          <w:bottom w:w="0" w:type="dxa"/>
          <w:right w:w="0" w:type="dxa"/>
        </w:tblCellMar>
      </w:tblPr>
      <w:tr>
        <w:trPr>
          <w:trHeight w:val="195"/>
        </w:trPr>
        <w:tc>
          <w:tcPr>
            <w:tcW w:w="4080" w:type="dxa"/>
            <w:vAlign w:val="bottom"/>
            <w:gridSpan w:val="2"/>
          </w:tcPr>
          <w:p>
            <w:pPr>
              <w:spacing w:after="0"/>
              <w:rPr>
                <w:sz w:val="20"/>
                <w:szCs w:val="20"/>
                <w:color w:val="auto"/>
              </w:rPr>
            </w:pPr>
            <w:r>
              <w:rPr>
                <w:rFonts w:ascii="Arial" w:cs="Arial" w:eastAsia="Arial" w:hAnsi="Arial"/>
                <w:sz w:val="17"/>
                <w:szCs w:val="17"/>
                <w:i w:val="1"/>
                <w:iCs w:val="1"/>
                <w:color w:val="auto"/>
              </w:rPr>
              <w:t>Interest (Income) / Expense, Net</w:t>
            </w:r>
          </w:p>
        </w:tc>
        <w:tc>
          <w:tcPr>
            <w:tcW w:w="1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453"/>
        </w:trPr>
        <w:tc>
          <w:tcPr>
            <w:tcW w:w="2460" w:type="dxa"/>
            <w:vAlign w:val="bottom"/>
            <w:tcBorders>
              <w:top w:val="single" w:sz="8" w:color="auto"/>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6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635"/>
              <w:spacing w:after="0"/>
              <w:rPr>
                <w:sz w:val="20"/>
                <w:szCs w:val="20"/>
                <w:color w:val="auto"/>
              </w:rPr>
            </w:pPr>
            <w:r>
              <w:rPr>
                <w:rFonts w:ascii="Arial" w:cs="Arial" w:eastAsia="Arial" w:hAnsi="Arial"/>
                <w:sz w:val="17"/>
                <w:szCs w:val="17"/>
                <w:color w:val="auto"/>
              </w:rPr>
              <w:t>2016</w:t>
            </w: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color w:val="auto"/>
              </w:rPr>
              <w:t>2015</w:t>
            </w:r>
          </w:p>
        </w:tc>
      </w:tr>
      <w:tr>
        <w:trPr>
          <w:trHeight w:val="210"/>
        </w:trPr>
        <w:tc>
          <w:tcPr>
            <w:tcW w:w="2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00" w:type="dxa"/>
            <w:vAlign w:val="bottom"/>
            <w:gridSpan w:val="2"/>
          </w:tcPr>
          <w:p>
            <w:pPr>
              <w:jc w:val="right"/>
              <w:ind w:right="235"/>
              <w:spacing w:after="0"/>
              <w:rPr>
                <w:sz w:val="20"/>
                <w:szCs w:val="20"/>
                <w:color w:val="auto"/>
              </w:rPr>
            </w:pPr>
            <w:r>
              <w:rPr>
                <w:rFonts w:ascii="Arial" w:cs="Arial" w:eastAsia="Arial" w:hAnsi="Arial"/>
                <w:sz w:val="17"/>
                <w:szCs w:val="17"/>
                <w:color w:val="auto"/>
              </w:rPr>
              <w:t>($ in millions)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4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180" w:type="dxa"/>
            <w:vAlign w:val="bottom"/>
            <w:shd w:val="clear" w:color="auto" w:fill="CCEEFF"/>
          </w:tcPr>
          <w:p>
            <w:pPr>
              <w:jc w:val="right"/>
              <w:ind w:right="515"/>
              <w:spacing w:after="0"/>
              <w:rPr>
                <w:sz w:val="20"/>
                <w:szCs w:val="20"/>
                <w:color w:val="auto"/>
              </w:rPr>
            </w:pPr>
            <w:r>
              <w:rPr>
                <w:rFonts w:ascii="Arial" w:cs="Arial" w:eastAsia="Arial" w:hAnsi="Arial"/>
                <w:sz w:val="17"/>
                <w:szCs w:val="17"/>
                <w:b w:val="1"/>
                <w:bCs w:val="1"/>
                <w:color w:val="auto"/>
              </w:rPr>
              <w:t>$</w:t>
            </w:r>
          </w:p>
        </w:tc>
        <w:tc>
          <w:tcPr>
            <w:tcW w:w="660" w:type="dxa"/>
            <w:vAlign w:val="bottom"/>
            <w:shd w:val="clear" w:color="auto" w:fill="CCEEFF"/>
          </w:tcPr>
          <w:p>
            <w:pPr>
              <w:jc w:val="right"/>
              <w:ind w:right="255"/>
              <w:spacing w:after="0"/>
              <w:rPr>
                <w:sz w:val="20"/>
                <w:szCs w:val="20"/>
                <w:color w:val="auto"/>
              </w:rPr>
            </w:pPr>
            <w:r>
              <w:rPr>
                <w:rFonts w:ascii="Arial" w:cs="Arial" w:eastAsia="Arial" w:hAnsi="Arial"/>
                <w:sz w:val="17"/>
                <w:szCs w:val="17"/>
                <w:b w:val="1"/>
                <w:bCs w:val="1"/>
                <w:color w:val="auto"/>
              </w:rPr>
              <w:t>12</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11</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11</w:t>
            </w:r>
          </w:p>
        </w:tc>
      </w:tr>
      <w:tr>
        <w:trPr>
          <w:trHeight w:val="230"/>
        </w:trPr>
        <w:tc>
          <w:tcPr>
            <w:tcW w:w="4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Interest income</w:t>
            </w:r>
          </w:p>
        </w:tc>
        <w:tc>
          <w:tcPr>
            <w:tcW w:w="1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(14)</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(9)</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(7)</w:t>
            </w:r>
          </w:p>
        </w:tc>
      </w:tr>
      <w:tr>
        <w:trPr>
          <w:trHeight w:val="203"/>
        </w:trPr>
        <w:tc>
          <w:tcPr>
            <w:tcW w:w="40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Interest (income) / expense, net</w:t>
            </w:r>
          </w:p>
        </w:tc>
        <w:tc>
          <w:tcPr>
            <w:tcW w:w="1180" w:type="dxa"/>
            <w:vAlign w:val="bottom"/>
            <w:tcBorders>
              <w:bottom w:val="single" w:sz="8" w:color="auto"/>
            </w:tcBorders>
            <w:shd w:val="clear" w:color="auto" w:fill="CCEEFF"/>
          </w:tcPr>
          <w:p>
            <w:pPr>
              <w:jc w:val="right"/>
              <w:ind w:right="515"/>
              <w:spacing w:after="0"/>
              <w:rPr>
                <w:sz w:val="20"/>
                <w:szCs w:val="20"/>
                <w:color w:val="auto"/>
              </w:rPr>
            </w:pPr>
            <w:r>
              <w:rPr>
                <w:rFonts w:ascii="Arial" w:cs="Arial" w:eastAsia="Arial" w:hAnsi="Arial"/>
                <w:sz w:val="17"/>
                <w:szCs w:val="17"/>
                <w:b w:val="1"/>
                <w:bCs w:val="1"/>
                <w:color w:val="auto"/>
              </w:rPr>
              <w:t>$</w:t>
            </w:r>
          </w:p>
        </w:tc>
        <w:tc>
          <w:tcPr>
            <w:tcW w:w="66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(2)</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rPr>
              <w:t>2</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4</w:t>
            </w:r>
          </w:p>
        </w:tc>
      </w:tr>
      <w:tr>
        <w:trPr>
          <w:trHeight w:val="216"/>
        </w:trPr>
        <w:tc>
          <w:tcPr>
            <w:tcW w:w="4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Weighted-average interest rate (excluding fees)</w:t>
            </w:r>
          </w:p>
        </w:tc>
        <w:tc>
          <w:tcPr>
            <w:tcW w:w="1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7.3 %</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7.2 %</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7.2 %</w:t>
            </w:r>
          </w:p>
        </w:tc>
      </w:tr>
    </w:tbl>
    <w:p>
      <w:pPr>
        <w:spacing w:after="0" w:line="183"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The changes during 2017 and 2016 primarily relate to the amounts earned as interest income. Interest income increased by $5 million in 2017 as compared with 2016, and increased $2 million in 2016 as compared with 2015. The increase for both periods primarily represented increased income due to higher average interest rates on our cash investments. We did not have any short-term borrowings, other than small amounts related to capital leases, for any of the periods presented.</w:t>
      </w:r>
    </w:p>
    <w:p>
      <w:pPr>
        <w:spacing w:after="0" w:line="159" w:lineRule="exact"/>
        <w:rPr>
          <w:sz w:val="20"/>
          <w:szCs w:val="20"/>
          <w:color w:val="auto"/>
        </w:rPr>
      </w:pPr>
    </w:p>
    <w:p>
      <w:pPr>
        <w:ind w:left="100"/>
        <w:spacing w:after="0"/>
        <w:rPr>
          <w:sz w:val="20"/>
          <w:szCs w:val="20"/>
          <w:color w:val="auto"/>
        </w:rPr>
      </w:pPr>
      <w:r>
        <w:rPr>
          <w:rFonts w:ascii="Arial" w:cs="Arial" w:eastAsia="Arial" w:hAnsi="Arial"/>
          <w:sz w:val="17"/>
          <w:szCs w:val="17"/>
          <w:i w:val="1"/>
          <w:iCs w:val="1"/>
          <w:u w:val="single" w:color="auto"/>
          <w:color w:val="auto"/>
        </w:rPr>
        <w:t>Income Taxes</w:t>
      </w:r>
    </w:p>
    <w:p>
      <w:pPr>
        <w:spacing w:after="0" w:line="201"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Our effective tax rate for 2017 was 50.8 percent, as compared with 33.9 percent in 2016. The increase was primarily attributable to the Tax Act. We recorded a provisional tax of $99 million for the mandatory deemed repatriation of historical foreign sourced net earnings and related items. The tax effect of the remeasurement of our deferred tax assets and liabilities was not significant. Also contributing to the increased rate was tax expense of $8 million related to the establishment of certain valuation allowances against the deferred tax assets associated with Runners Point, Sidestep, and their respective e-commerce businesses. In both 2017 and 2016 we recorded tax expense of $2 million for two separate tax rate reductions in France. Partially offsetting these increases were $9 million in excess tax benefits reflecting the change required by ASC 718 adopted during 2017.</w:t>
      </w:r>
    </w:p>
    <w:p>
      <w:pPr>
        <w:spacing w:after="0" w:line="177"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We regularly assess the adequacy of provisions for income tax contingencies in accordance with the applicable authoritative guidance on accounting for income taxes. As a result, reserves for unrecognized tax benefits may be adjusted due to new facts and developments, such as changes to interpretations of relevant tax law, assessments from taxing authorities, settlements with taxing authorities, and lapses of statutes of limitations. The effective tax rate, for both 2017 and 2016, includes reserve releases totaling $1 million due to audit settlements and lapses of statutes of limitations.</w:t>
      </w:r>
    </w:p>
    <w:p>
      <w:pPr>
        <w:spacing w:after="0" w:line="175"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In the fourth quarter of 2016, the U.S. Treasury issued regulations under Internal Revenue Code Section 987, which required us to change our method for determining the tax effects of foreign currency translation gains and losses for our foreign businesses that are operated as branches and are reported in a currency other than the currency of their parent. This change resulted in an increase to deferred tax assets and a corresponding reduction in our income tax provision in the amount of $9 million. Also during 2016, we performed a scheduled reassessment of the value of the intellectual property provided to our European business by Foot Locker in the U.S. during the fourth quarter of 2012. The new, higher valuation resulted in catch-up deductions that reduced tax expense by $10 million.</w:t>
      </w:r>
    </w:p>
    <w:p>
      <w:pPr>
        <w:spacing w:after="0" w:line="178"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Excluding the provisional repatriation and related items, the establishment of valuation allowances, the effects of excess tax benefits, the effect of the charges recorded during 2017, the IP valuation catch-up deductions in 2016, and the effect of Section 987 Regulations on 2016, the effective tax rate for 2017 decreased as compared with 2016, primarily due to the partial year benefit of the federal income tax rate reduction as well as mix of income.</w:t>
      </w:r>
    </w:p>
    <w:p>
      <w:pPr>
        <w:spacing w:after="0" w:line="177" w:lineRule="exact"/>
        <w:rPr>
          <w:sz w:val="20"/>
          <w:szCs w:val="20"/>
          <w:color w:val="auto"/>
        </w:rPr>
      </w:pPr>
    </w:p>
    <w:p>
      <w:pPr>
        <w:jc w:val="both"/>
        <w:ind w:left="100" w:right="99"/>
        <w:spacing w:after="0"/>
        <w:rPr>
          <w:sz w:val="20"/>
          <w:szCs w:val="20"/>
          <w:color w:val="auto"/>
        </w:rPr>
      </w:pPr>
      <w:r>
        <w:rPr>
          <w:rFonts w:ascii="Arial" w:cs="Arial" w:eastAsia="Arial" w:hAnsi="Arial"/>
          <w:sz w:val="17"/>
          <w:szCs w:val="17"/>
          <w:color w:val="auto"/>
        </w:rPr>
        <w:t>The effective tax rate for 2016 was 33.9 percent, as compared with 35.4 percent in 2015. Excluding the reserve releases, the effects of the IP valuation catch-up deductions, the French rate change, the effect of Section 987 Regulations, and the pension litigation charge in 2015, the effective tax rate for 2016 decreased slightly as compared with 2015, primarily due to the mix of income as well as current year tax benefit related to the higher IP valuation.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76" w:right="1440" w:bottom="1440" w:gutter="0" w:footer="0" w:header="0"/>
        </w:sectPr>
      </w:pPr>
    </w:p>
    <w:bookmarkStart w:id="25" w:name="page26"/>
    <w:bookmarkEnd w:id="25"/>
    <w:p>
      <w:pPr>
        <w:ind w:left="100"/>
        <w:spacing w:after="0"/>
        <w:rPr>
          <w:sz w:val="20"/>
          <w:szCs w:val="20"/>
          <w:color w:val="auto"/>
        </w:rPr>
      </w:pPr>
      <w:r>
        <w:rPr>
          <w:rFonts w:ascii="Arial" w:cs="Arial" w:eastAsia="Arial" w:hAnsi="Arial"/>
          <w:sz w:val="17"/>
          <w:szCs w:val="17"/>
          <w:b w:val="1"/>
          <w:bCs w:val="1"/>
          <w:color w:val="auto"/>
        </w:rPr>
        <w:t>Segment Information</w:t>
      </w:r>
    </w:p>
    <w:p>
      <w:pPr>
        <w:spacing w:after="0" w:line="203"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As of February 3, 2018, we had two reportable segments, Athletic Stores and Direct-to-Customers, which were based on our method of internal reporting. We evaluate performance based on several factors, the primary financial measure of which is division results. Division profit reflects income before income taxes, pension litigation and reorganization charges, corporate expense, non-operating income, and net interest (income) / expense. Effective as of the beginning of fiscal year 2018, the Company will report one reportable segment based upon the change in our method of internal reporting.</w:t>
      </w:r>
    </w:p>
    <w:p>
      <w:pPr>
        <w:spacing w:after="0" w:line="250"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4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2017</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color w:val="auto"/>
              </w:rPr>
              <w:t>2016</w:t>
            </w: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2015</w:t>
            </w:r>
          </w:p>
        </w:tc>
      </w:tr>
      <w:tr>
        <w:trPr>
          <w:trHeight w:val="196"/>
        </w:trPr>
        <w:tc>
          <w:tcPr>
            <w:tcW w:w="43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Sales</w:t>
            </w:r>
          </w:p>
        </w:tc>
        <w:tc>
          <w:tcPr>
            <w:tcW w:w="7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 in millions)</w:t>
            </w: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7"/>
                <w:szCs w:val="17"/>
                <w:color w:val="auto"/>
              </w:rPr>
              <w:t>Athletic Stores</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ind w:right="15"/>
              <w:spacing w:after="0"/>
              <w:rPr>
                <w:sz w:val="20"/>
                <w:szCs w:val="20"/>
                <w:color w:val="auto"/>
              </w:rPr>
            </w:pPr>
            <w:r>
              <w:rPr>
                <w:rFonts w:ascii="Arial" w:cs="Arial" w:eastAsia="Arial" w:hAnsi="Arial"/>
                <w:sz w:val="17"/>
                <w:szCs w:val="17"/>
                <w:b w:val="1"/>
                <w:bCs w:val="1"/>
                <w:color w:val="auto"/>
              </w:rPr>
              <w:t>6,673</w:t>
            </w: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5"/>
              <w:spacing w:after="0"/>
              <w:rPr>
                <w:sz w:val="20"/>
                <w:szCs w:val="20"/>
                <w:color w:val="auto"/>
              </w:rPr>
            </w:pPr>
            <w:r>
              <w:rPr>
                <w:rFonts w:ascii="Arial" w:cs="Arial" w:eastAsia="Arial" w:hAnsi="Arial"/>
                <w:sz w:val="17"/>
                <w:szCs w:val="17"/>
                <w:color w:val="auto"/>
              </w:rPr>
              <w:t>6,744</w:t>
            </w: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6,468</w:t>
            </w:r>
          </w:p>
        </w:tc>
      </w:tr>
      <w:tr>
        <w:trPr>
          <w:trHeight w:val="216"/>
        </w:trPr>
        <w:tc>
          <w:tcPr>
            <w:tcW w:w="4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Direct-to-Customers</w:t>
            </w:r>
          </w:p>
        </w:tc>
        <w:tc>
          <w:tcPr>
            <w:tcW w:w="7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1,109</w:t>
            </w:r>
          </w:p>
        </w:tc>
        <w:tc>
          <w:tcPr>
            <w:tcW w:w="4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1,022</w:t>
            </w:r>
          </w:p>
        </w:tc>
        <w:tc>
          <w:tcPr>
            <w:tcW w:w="4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944</w:t>
            </w:r>
          </w:p>
        </w:tc>
      </w:tr>
      <w:tr>
        <w:trPr>
          <w:trHeight w:val="196"/>
        </w:trPr>
        <w:tc>
          <w:tcPr>
            <w:tcW w:w="4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7,782</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7,766</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7,412</w:t>
            </w:r>
          </w:p>
        </w:tc>
      </w:tr>
      <w:tr>
        <w:trPr>
          <w:trHeight w:val="196"/>
        </w:trPr>
        <w:tc>
          <w:tcPr>
            <w:tcW w:w="43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Results</w:t>
            </w:r>
          </w:p>
        </w:tc>
        <w:tc>
          <w:tcPr>
            <w:tcW w:w="7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7"/>
                <w:szCs w:val="17"/>
                <w:color w:val="auto"/>
              </w:rPr>
              <w:t>Athletic Stores</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ind w:right="15"/>
              <w:spacing w:after="0"/>
              <w:rPr>
                <w:sz w:val="20"/>
                <w:szCs w:val="20"/>
                <w:color w:val="auto"/>
              </w:rPr>
            </w:pPr>
            <w:r>
              <w:rPr>
                <w:rFonts w:ascii="Arial" w:cs="Arial" w:eastAsia="Arial" w:hAnsi="Arial"/>
                <w:sz w:val="17"/>
                <w:szCs w:val="17"/>
                <w:b w:val="1"/>
                <w:bCs w:val="1"/>
                <w:color w:val="auto"/>
              </w:rPr>
              <w:t>675</w:t>
            </w: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5"/>
              <w:spacing w:after="0"/>
              <w:rPr>
                <w:sz w:val="20"/>
                <w:szCs w:val="20"/>
                <w:color w:val="auto"/>
              </w:rPr>
            </w:pPr>
            <w:r>
              <w:rPr>
                <w:rFonts w:ascii="Arial" w:cs="Arial" w:eastAsia="Arial" w:hAnsi="Arial"/>
                <w:sz w:val="17"/>
                <w:szCs w:val="17"/>
                <w:color w:val="auto"/>
              </w:rPr>
              <w:t>927</w:t>
            </w: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872</w:t>
            </w:r>
          </w:p>
        </w:tc>
      </w:tr>
      <w:tr>
        <w:trPr>
          <w:trHeight w:val="216"/>
        </w:trPr>
        <w:tc>
          <w:tcPr>
            <w:tcW w:w="4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Direct-to-Customers</w:t>
            </w:r>
          </w:p>
        </w:tc>
        <w:tc>
          <w:tcPr>
            <w:tcW w:w="7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135</w:t>
            </w:r>
          </w:p>
        </w:tc>
        <w:tc>
          <w:tcPr>
            <w:tcW w:w="4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143</w:t>
            </w:r>
          </w:p>
        </w:tc>
        <w:tc>
          <w:tcPr>
            <w:tcW w:w="4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w:t>
            </w:r>
          </w:p>
        </w:tc>
      </w:tr>
      <w:tr>
        <w:trPr>
          <w:trHeight w:val="196"/>
        </w:trPr>
        <w:tc>
          <w:tcPr>
            <w:tcW w:w="43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Division profit</w:t>
            </w:r>
          </w:p>
        </w:tc>
        <w:tc>
          <w:tcPr>
            <w:tcW w:w="7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810</w:t>
            </w: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1,070</w:t>
            </w: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1,014</w:t>
            </w:r>
          </w:p>
        </w:tc>
      </w:tr>
      <w:tr>
        <w:trPr>
          <w:trHeight w:val="196"/>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Less: Pension litigation and reorganization charges</w:t>
            </w:r>
          </w:p>
        </w:tc>
        <w:tc>
          <w:tcPr>
            <w:tcW w:w="7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191</w:t>
            </w: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r>
      <w:tr>
        <w:trPr>
          <w:trHeight w:val="216"/>
        </w:trPr>
        <w:tc>
          <w:tcPr>
            <w:tcW w:w="43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Less: Corporate expense</w:t>
            </w:r>
          </w:p>
        </w:tc>
        <w:tc>
          <w:tcPr>
            <w:tcW w:w="7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48</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70</w:t>
            </w: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w:t>
            </w:r>
          </w:p>
        </w:tc>
      </w:tr>
      <w:tr>
        <w:trPr>
          <w:trHeight w:val="196"/>
        </w:trPr>
        <w:tc>
          <w:tcPr>
            <w:tcW w:w="4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Operating profit</w:t>
            </w:r>
          </w:p>
        </w:tc>
        <w:tc>
          <w:tcPr>
            <w:tcW w:w="7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571</w:t>
            </w:r>
          </w:p>
        </w:tc>
        <w:tc>
          <w:tcPr>
            <w:tcW w:w="4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1,000</w:t>
            </w:r>
          </w:p>
        </w:tc>
        <w:tc>
          <w:tcPr>
            <w:tcW w:w="4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837</w:t>
            </w:r>
          </w:p>
        </w:tc>
      </w:tr>
      <w:tr>
        <w:trPr>
          <w:trHeight w:val="196"/>
        </w:trPr>
        <w:tc>
          <w:tcPr>
            <w:tcW w:w="43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Other income</w:t>
            </w:r>
          </w:p>
        </w:tc>
        <w:tc>
          <w:tcPr>
            <w:tcW w:w="7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5</w:t>
            </w: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6</w:t>
            </w: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r>
      <w:tr>
        <w:trPr>
          <w:trHeight w:val="196"/>
        </w:trPr>
        <w:tc>
          <w:tcPr>
            <w:tcW w:w="4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Earnings before interest expense and income taxes</w:t>
            </w:r>
          </w:p>
        </w:tc>
        <w:tc>
          <w:tcPr>
            <w:tcW w:w="7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576</w:t>
            </w:r>
          </w:p>
        </w:tc>
        <w:tc>
          <w:tcPr>
            <w:tcW w:w="4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1,006</w:t>
            </w:r>
          </w:p>
        </w:tc>
        <w:tc>
          <w:tcPr>
            <w:tcW w:w="4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841</w:t>
            </w:r>
          </w:p>
        </w:tc>
      </w:tr>
      <w:tr>
        <w:trPr>
          <w:trHeight w:val="196"/>
        </w:trPr>
        <w:tc>
          <w:tcPr>
            <w:tcW w:w="43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Interest (income) / expense, net</w:t>
            </w:r>
          </w:p>
        </w:tc>
        <w:tc>
          <w:tcPr>
            <w:tcW w:w="7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w:t>
            </w: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w:t>
            </w: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r>
      <w:tr>
        <w:trPr>
          <w:trHeight w:val="190"/>
        </w:trPr>
        <w:tc>
          <w:tcPr>
            <w:tcW w:w="43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Income before income taxes</w:t>
            </w:r>
          </w:p>
        </w:tc>
        <w:tc>
          <w:tcPr>
            <w:tcW w:w="7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578</w:t>
            </w:r>
          </w:p>
        </w:tc>
        <w:tc>
          <w:tcPr>
            <w:tcW w:w="4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1,004</w:t>
            </w:r>
          </w:p>
        </w:tc>
        <w:tc>
          <w:tcPr>
            <w:tcW w:w="4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837</w:t>
            </w:r>
          </w:p>
        </w:tc>
      </w:tr>
      <w:tr>
        <w:trPr>
          <w:trHeight w:val="486"/>
        </w:trPr>
        <w:tc>
          <w:tcPr>
            <w:tcW w:w="4380" w:type="dxa"/>
            <w:vAlign w:val="bottom"/>
            <w:tcBorders>
              <w:bottom w:val="single" w:sz="8" w:color="auto"/>
            </w:tcBorders>
          </w:tcPr>
          <w:p>
            <w:pPr>
              <w:spacing w:after="0"/>
              <w:rPr>
                <w:sz w:val="20"/>
                <w:szCs w:val="20"/>
                <w:color w:val="auto"/>
              </w:rPr>
            </w:pPr>
            <w:r>
              <w:rPr>
                <w:rFonts w:ascii="Arial" w:cs="Arial" w:eastAsia="Arial" w:hAnsi="Arial"/>
                <w:sz w:val="17"/>
                <w:szCs w:val="17"/>
                <w:i w:val="1"/>
                <w:iCs w:val="1"/>
                <w:color w:val="auto"/>
              </w:rPr>
              <w:t>Athletic Stores</w:t>
            </w:r>
          </w:p>
        </w:tc>
        <w:tc>
          <w:tcPr>
            <w:tcW w:w="7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2017</w:t>
            </w:r>
          </w:p>
        </w:tc>
        <w:tc>
          <w:tcPr>
            <w:tcW w:w="1400" w:type="dxa"/>
            <w:vAlign w:val="bottom"/>
            <w:tcBorders>
              <w:bottom w:val="single" w:sz="8" w:color="auto"/>
            </w:tcBorders>
            <w:gridSpan w:val="2"/>
          </w:tcPr>
          <w:p>
            <w:pPr>
              <w:jc w:val="right"/>
              <w:ind w:right="555"/>
              <w:spacing w:after="0"/>
              <w:rPr>
                <w:sz w:val="20"/>
                <w:szCs w:val="20"/>
                <w:color w:val="auto"/>
              </w:rPr>
            </w:pPr>
            <w:r>
              <w:rPr>
                <w:rFonts w:ascii="Arial" w:cs="Arial" w:eastAsia="Arial" w:hAnsi="Arial"/>
                <w:sz w:val="17"/>
                <w:szCs w:val="17"/>
                <w:color w:val="auto"/>
              </w:rPr>
              <w:t>2016</w:t>
            </w:r>
          </w:p>
        </w:tc>
        <w:tc>
          <w:tcPr>
            <w:tcW w:w="1300" w:type="dxa"/>
            <w:vAlign w:val="bottom"/>
            <w:tcBorders>
              <w:bottom w:val="single" w:sz="8" w:color="auto"/>
            </w:tcBorders>
            <w:gridSpan w:val="2"/>
          </w:tcPr>
          <w:p>
            <w:pPr>
              <w:jc w:val="right"/>
              <w:ind w:right="495"/>
              <w:spacing w:after="0"/>
              <w:rPr>
                <w:sz w:val="20"/>
                <w:szCs w:val="20"/>
                <w:color w:val="auto"/>
              </w:rPr>
            </w:pPr>
            <w:r>
              <w:rPr>
                <w:rFonts w:ascii="Arial" w:cs="Arial" w:eastAsia="Arial" w:hAnsi="Arial"/>
                <w:sz w:val="17"/>
                <w:szCs w:val="17"/>
                <w:color w:val="auto"/>
              </w:rPr>
              <w:t>2015</w:t>
            </w:r>
          </w:p>
        </w:tc>
      </w:tr>
      <w:tr>
        <w:trPr>
          <w:trHeight w:val="210"/>
        </w:trPr>
        <w:tc>
          <w:tcPr>
            <w:tcW w:w="4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55"/>
              <w:spacing w:after="0"/>
              <w:rPr>
                <w:sz w:val="20"/>
                <w:szCs w:val="20"/>
                <w:color w:val="auto"/>
              </w:rPr>
            </w:pPr>
            <w:r>
              <w:rPr>
                <w:rFonts w:ascii="Arial" w:cs="Arial" w:eastAsia="Arial" w:hAnsi="Arial"/>
                <w:sz w:val="17"/>
                <w:szCs w:val="17"/>
                <w:color w:val="auto"/>
              </w:rPr>
              <w:t>($ in millions)</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7"/>
                <w:szCs w:val="17"/>
                <w:color w:val="auto"/>
              </w:rPr>
              <w:t>Sales</w:t>
            </w:r>
          </w:p>
        </w:tc>
        <w:tc>
          <w:tcPr>
            <w:tcW w:w="740" w:type="dxa"/>
            <w:vAlign w:val="bottom"/>
          </w:tcPr>
          <w:p>
            <w:pPr>
              <w:jc w:val="right"/>
              <w:ind w:right="55"/>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ind w:right="195"/>
              <w:spacing w:after="0"/>
              <w:rPr>
                <w:sz w:val="20"/>
                <w:szCs w:val="20"/>
                <w:color w:val="auto"/>
              </w:rPr>
            </w:pPr>
            <w:r>
              <w:rPr>
                <w:rFonts w:ascii="Arial" w:cs="Arial" w:eastAsia="Arial" w:hAnsi="Arial"/>
                <w:sz w:val="17"/>
                <w:szCs w:val="17"/>
                <w:b w:val="1"/>
                <w:bCs w:val="1"/>
                <w:color w:val="auto"/>
              </w:rPr>
              <w:t>6,673</w:t>
            </w:r>
          </w:p>
        </w:tc>
        <w:tc>
          <w:tcPr>
            <w:tcW w:w="4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235"/>
              <w:spacing w:after="0"/>
              <w:rPr>
                <w:sz w:val="20"/>
                <w:szCs w:val="20"/>
                <w:color w:val="auto"/>
              </w:rPr>
            </w:pPr>
            <w:r>
              <w:rPr>
                <w:rFonts w:ascii="Arial" w:cs="Arial" w:eastAsia="Arial" w:hAnsi="Arial"/>
                <w:sz w:val="17"/>
                <w:szCs w:val="17"/>
                <w:color w:val="auto"/>
              </w:rPr>
              <w:t>6,744</w:t>
            </w:r>
          </w:p>
        </w:tc>
        <w:tc>
          <w:tcPr>
            <w:tcW w:w="46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75"/>
              <w:spacing w:after="0"/>
              <w:rPr>
                <w:sz w:val="20"/>
                <w:szCs w:val="20"/>
                <w:color w:val="auto"/>
              </w:rPr>
            </w:pPr>
            <w:r>
              <w:rPr>
                <w:rFonts w:ascii="Arial" w:cs="Arial" w:eastAsia="Arial" w:hAnsi="Arial"/>
                <w:sz w:val="17"/>
                <w:szCs w:val="17"/>
                <w:color w:val="auto"/>
              </w:rPr>
              <w:t>6,468</w:t>
            </w: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 Change</w:t>
            </w:r>
          </w:p>
        </w:tc>
        <w:tc>
          <w:tcPr>
            <w:tcW w:w="74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(71)</w:t>
            </w:r>
          </w:p>
        </w:tc>
        <w:tc>
          <w:tcPr>
            <w:tcW w:w="4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276</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7"/>
                <w:szCs w:val="17"/>
                <w:color w:val="auto"/>
              </w:rPr>
              <w:t>% Change</w:t>
            </w:r>
          </w:p>
        </w:tc>
        <w:tc>
          <w:tcPr>
            <w:tcW w:w="7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(1.1)%</w:t>
            </w:r>
          </w:p>
        </w:tc>
        <w:tc>
          <w:tcPr>
            <w:tcW w:w="480" w:type="dxa"/>
            <w:vAlign w:val="bottom"/>
          </w:tcPr>
          <w:p>
            <w:pPr>
              <w:spacing w:after="0"/>
              <w:rPr>
                <w:sz w:val="19"/>
                <w:szCs w:val="19"/>
                <w:color w:val="auto"/>
              </w:rPr>
            </w:pPr>
          </w:p>
        </w:tc>
        <w:tc>
          <w:tcPr>
            <w:tcW w:w="920" w:type="dxa"/>
            <w:vAlign w:val="bottom"/>
          </w:tcPr>
          <w:p>
            <w:pPr>
              <w:jc w:val="right"/>
              <w:ind w:right="35"/>
              <w:spacing w:after="0"/>
              <w:rPr>
                <w:sz w:val="20"/>
                <w:szCs w:val="20"/>
                <w:color w:val="auto"/>
              </w:rPr>
            </w:pPr>
            <w:r>
              <w:rPr>
                <w:rFonts w:ascii="Arial" w:cs="Arial" w:eastAsia="Arial" w:hAnsi="Arial"/>
                <w:sz w:val="17"/>
                <w:szCs w:val="17"/>
                <w:color w:val="auto"/>
              </w:rPr>
              <w:t>4.3 %</w:t>
            </w: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Division profit</w:t>
            </w:r>
          </w:p>
        </w:tc>
        <w:tc>
          <w:tcPr>
            <w:tcW w:w="74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675</w:t>
            </w:r>
          </w:p>
        </w:tc>
        <w:tc>
          <w:tcPr>
            <w:tcW w:w="4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927</w:t>
            </w:r>
          </w:p>
        </w:tc>
        <w:tc>
          <w:tcPr>
            <w:tcW w:w="46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872</w:t>
            </w:r>
          </w:p>
        </w:tc>
      </w:tr>
      <w:tr>
        <w:trPr>
          <w:trHeight w:val="230"/>
        </w:trPr>
        <w:tc>
          <w:tcPr>
            <w:tcW w:w="43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Division profit margin</w:t>
            </w:r>
          </w:p>
        </w:tc>
        <w:tc>
          <w:tcPr>
            <w:tcW w:w="7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10.1 %</w:t>
            </w: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13.7 %</w:t>
            </w: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13.5 %</w:t>
            </w:r>
          </w:p>
        </w:tc>
      </w:tr>
    </w:tbl>
    <w:p>
      <w:pPr>
        <w:spacing w:after="0" w:line="165"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2017 compared with 2016</w:t>
      </w:r>
    </w:p>
    <w:p>
      <w:pPr>
        <w:spacing w:after="0" w:line="201"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Excluding the effect of foreign currency fluctuations, sales from our Athletic Stores segment decreased by 1.9 percent. The sales decline during 2017, excluding the effect of foreign currency fluctuations, was across almost all of our store banners. The Company experienced declines in sales of footwear and accessories, partially offset by a gain in apparel sales.</w:t>
      </w:r>
    </w:p>
    <w:p>
      <w:pPr>
        <w:spacing w:after="0" w:line="177" w:lineRule="exact"/>
        <w:rPr>
          <w:sz w:val="20"/>
          <w:szCs w:val="20"/>
          <w:color w:val="auto"/>
        </w:rPr>
      </w:pPr>
    </w:p>
    <w:p>
      <w:pPr>
        <w:jc w:val="both"/>
        <w:ind w:left="100" w:right="99"/>
        <w:spacing w:after="0" w:line="233" w:lineRule="auto"/>
        <w:rPr>
          <w:sz w:val="20"/>
          <w:szCs w:val="20"/>
          <w:color w:val="auto"/>
        </w:rPr>
      </w:pPr>
      <w:r>
        <w:rPr>
          <w:rFonts w:ascii="Arial" w:cs="Arial" w:eastAsia="Arial" w:hAnsi="Arial"/>
          <w:sz w:val="17"/>
          <w:szCs w:val="17"/>
          <w:color w:val="auto"/>
        </w:rPr>
        <w:t>Comparable-store sales decreased by 4.7 percent during 2017, as compared with the corresponding prior-year period. The overall decline in comparable-store sales was primarily driven by a decrease in footwear sales. The decline in footwear sales reflected a lack of depth and variety of innovative new product at the premium end of the athletic footwear market to suit our customers’ quickly-changing style preferences. Children’s and women’s footwear sales were the major contributors to the comparable-store declines in footwear, although men’s footwear also experienced a modest comparable-store decline. Women’s court styles primarily contributed to the comparable-store decline in women’s footwear, particularly in Foot Locker, Lady Foot Locker, and Foot Locker Europe. The comparable store-sales decrease in children’s footwear mostly reflected declines in the basketball category. All of our store banners, with the exception of Foot Locker Canada, experienced declines in men’s footwear. Gains in men’s lifestyle running shoes were not enough to compensate for the comparable-store sales declines in basketball and court lifestyle footwear, again due to insufficient product depth.</w:t>
      </w:r>
    </w:p>
    <w:p>
      <w:pPr>
        <w:spacing w:after="0" w:line="181"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The comparable-store sales increase in apparel as compared to the prior year was across almost all of our store banners, with gains experienced across all genders. The gain in men’s apparel sales was driven by strong results in branded outerwear partially offset by declines in sales of private label and licensed apparel.</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56" w:right="1440" w:bottom="1440" w:gutter="0" w:footer="0" w:header="0"/>
        </w:sectPr>
      </w:pPr>
    </w:p>
    <w:bookmarkStart w:id="26" w:name="page27"/>
    <w:bookmarkEnd w:id="26"/>
    <w:p>
      <w:pPr>
        <w:jc w:val="both"/>
        <w:ind w:left="100" w:right="99"/>
        <w:spacing w:after="0" w:line="234" w:lineRule="auto"/>
        <w:rPr>
          <w:sz w:val="20"/>
          <w:szCs w:val="20"/>
          <w:color w:val="auto"/>
        </w:rPr>
      </w:pPr>
      <w:r>
        <w:rPr>
          <w:rFonts w:ascii="Arial" w:cs="Arial" w:eastAsia="Arial" w:hAnsi="Arial"/>
          <w:sz w:val="17"/>
          <w:szCs w:val="17"/>
          <w:color w:val="auto"/>
        </w:rPr>
        <w:t>Included in our 2017 division profit was a non-cash impairment charge of $20 million related to the write-down of primarily store fixtures and leasehold improvements. SIX:02 recorded a charge of $16 million and our Runners Point and Sidestep stores recorded a charge of $4 million. The effect of the impairment charges decreased the division profit rate by 30 basis points. Most of the remaining decline in the division profit rate was related to a decrease in the merchandise margin rate reflecting higher markdowns coupled with an increase in the SG&amp;A rate. The division profit decline was most pronounced in our European business. The 53</w:t>
      </w:r>
      <w:r>
        <w:rPr>
          <w:rFonts w:ascii="Arial" w:cs="Arial" w:eastAsia="Arial" w:hAnsi="Arial"/>
          <w:sz w:val="8"/>
          <w:szCs w:val="8"/>
          <w:color w:val="auto"/>
        </w:rPr>
        <w:t>rd</w:t>
      </w:r>
      <w:r>
        <w:rPr>
          <w:rFonts w:ascii="Arial" w:cs="Arial" w:eastAsia="Arial" w:hAnsi="Arial"/>
          <w:sz w:val="17"/>
          <w:szCs w:val="17"/>
          <w:color w:val="auto"/>
        </w:rPr>
        <w:t xml:space="preserve"> week did not have a significant effect on the overall division profit rate.</w:t>
      </w:r>
    </w:p>
    <w:p>
      <w:pPr>
        <w:spacing w:after="0" w:line="160"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2016 compared with 2015</w:t>
      </w:r>
    </w:p>
    <w:p>
      <w:pPr>
        <w:spacing w:after="0" w:line="201" w:lineRule="exact"/>
        <w:rPr>
          <w:sz w:val="20"/>
          <w:szCs w:val="20"/>
          <w:color w:val="auto"/>
        </w:rPr>
      </w:pPr>
    </w:p>
    <w:p>
      <w:pPr>
        <w:jc w:val="both"/>
        <w:ind w:left="100" w:right="99"/>
        <w:spacing w:after="0"/>
        <w:rPr>
          <w:sz w:val="20"/>
          <w:szCs w:val="20"/>
          <w:color w:val="auto"/>
        </w:rPr>
      </w:pPr>
      <w:r>
        <w:rPr>
          <w:rFonts w:ascii="Arial" w:cs="Arial" w:eastAsia="Arial" w:hAnsi="Arial"/>
          <w:sz w:val="17"/>
          <w:szCs w:val="17"/>
          <w:color w:val="auto"/>
        </w:rPr>
        <w:t>Excluding the effect of foreign currency fluctuations, sales from our Athletic Stores segment increased by 4.7 percent. Of the total increase, 69 percent was generated by our domestic businesses, with almost all banners contributing to the growth. Champs Sports produced the best domestic performance, while internationally the increase was driven by our Foot Locker Europe operations. Partially offsetting these increases were declines in our Lady Foot Locker and our Runners Point and Sidestep banners. The Lady Foot Locker sales decline primarily represented the effect of store closures. The Runners Point and Sidestep banners continued to experience sales declines during 2016 as a result of assortment and traffic challenges. During 2016, we continued our focus on improving these banners by better diversifying and refining our product offerings, along with providing a more elevated in-store experience. During 2015 and 2016, we began broadening the assortment in the Runners Point stores beyond performance running to include more lifestyle running products, while the Sidestep stores shifted to lifestyle and casual footwear.</w:t>
      </w:r>
    </w:p>
    <w:p>
      <w:pPr>
        <w:spacing w:after="0" w:line="314"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Comparable-store sales increased by 3.6 percent as compared with 2015. Footwear sales continued to be the primary contributor to our sales growth during 2016 and reflected strong gains across men’s, children’s, and women’s footwear categories. Our children’s footwear business had a very successful year, experiencing comparable-store gains across almost all of our store banners, led by sales from Champs Sports and Kids Foot Locker. During 2016, we opened 45 new Kids Foot Locker stores, 16 of which are in Europe or Canada. The addition of these stores reflected our expectation that the momentum of our children’s business would continue. Within footwear, lifestyle running was the strongest category, while our basketball business slightly declined for the year.</w:t>
      </w:r>
    </w:p>
    <w:p>
      <w:pPr>
        <w:spacing w:after="0" w:line="178"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Our apparel sales also generated positive results during 2016. This category was led primarily by gains in branded and private-label apparel sales at Champs Sports. Foot Locker Europe’s apparel sales also increased during 2016 and was driven by sales of men’s branded apparel.</w:t>
      </w:r>
    </w:p>
    <w:p>
      <w:pPr>
        <w:spacing w:after="0" w:line="175" w:lineRule="exact"/>
        <w:rPr>
          <w:sz w:val="20"/>
          <w:szCs w:val="20"/>
          <w:color w:val="auto"/>
        </w:rPr>
      </w:pPr>
    </w:p>
    <w:p>
      <w:pPr>
        <w:jc w:val="both"/>
        <w:ind w:left="100" w:right="99"/>
        <w:spacing w:after="0"/>
        <w:rPr>
          <w:sz w:val="20"/>
          <w:szCs w:val="20"/>
          <w:color w:val="auto"/>
        </w:rPr>
      </w:pPr>
      <w:r>
        <w:rPr>
          <w:rFonts w:ascii="Arial" w:cs="Arial" w:eastAsia="Arial" w:hAnsi="Arial"/>
          <w:sz w:val="17"/>
          <w:szCs w:val="17"/>
          <w:color w:val="auto"/>
        </w:rPr>
        <w:t>Division profit, as a percentage of sales, increased 20 basis points as compared with 2015. During 2016, a $6 million non-cash impairment charge was recorded to write down the value of store fixtures and leasehold improvements for 116 Runners Point and Sidestep stores. Excluding the effect of the impairment charge, division profit, as a percentage of sales, increased 30 basis points as compared with 2015. The division profit rate improvement reflected an improved merchandise margin rate due to a lower markdown rate coupled with diligent expense management.</w:t>
      </w:r>
    </w:p>
    <w:p>
      <w:pPr>
        <w:spacing w:after="0" w:line="200" w:lineRule="exact"/>
        <w:rPr>
          <w:sz w:val="20"/>
          <w:szCs w:val="20"/>
          <w:color w:val="auto"/>
        </w:rPr>
      </w:pPr>
    </w:p>
    <w:p>
      <w:pPr>
        <w:spacing w:after="0" w:line="234"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3140" w:type="dxa"/>
            <w:vAlign w:val="bottom"/>
            <w:tcBorders>
              <w:bottom w:val="single" w:sz="8" w:color="auto"/>
            </w:tcBorders>
          </w:tcPr>
          <w:p>
            <w:pPr>
              <w:spacing w:after="0"/>
              <w:rPr>
                <w:sz w:val="20"/>
                <w:szCs w:val="20"/>
                <w:color w:val="auto"/>
              </w:rPr>
            </w:pPr>
            <w:r>
              <w:rPr>
                <w:rFonts w:ascii="Arial" w:cs="Arial" w:eastAsia="Arial" w:hAnsi="Arial"/>
                <w:sz w:val="17"/>
                <w:szCs w:val="17"/>
                <w:i w:val="1"/>
                <w:iCs w:val="1"/>
                <w:color w:val="auto"/>
              </w:rPr>
              <w:t>Direct-to-Customers</w:t>
            </w:r>
          </w:p>
        </w:tc>
        <w:tc>
          <w:tcPr>
            <w:tcW w:w="17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2017</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color w:val="auto"/>
              </w:rPr>
              <w:t>2016</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color w:val="auto"/>
              </w:rPr>
              <w:t>2015</w:t>
            </w:r>
          </w:p>
        </w:tc>
      </w:tr>
      <w:tr>
        <w:trPr>
          <w:trHeight w:val="210"/>
        </w:trPr>
        <w:tc>
          <w:tcPr>
            <w:tcW w:w="3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20" w:type="dxa"/>
            <w:vAlign w:val="bottom"/>
            <w:gridSpan w:val="2"/>
          </w:tcPr>
          <w:p>
            <w:pPr>
              <w:ind w:left="80"/>
              <w:spacing w:after="0"/>
              <w:rPr>
                <w:sz w:val="20"/>
                <w:szCs w:val="20"/>
                <w:color w:val="auto"/>
              </w:rPr>
            </w:pPr>
            <w:r>
              <w:rPr>
                <w:rFonts w:ascii="Arial" w:cs="Arial" w:eastAsia="Arial" w:hAnsi="Arial"/>
                <w:sz w:val="17"/>
                <w:szCs w:val="17"/>
                <w:color w:val="auto"/>
              </w:rPr>
              <w:t>($ in millions)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Sales</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20" w:type="dxa"/>
            <w:vAlign w:val="bottom"/>
            <w:shd w:val="clear" w:color="auto" w:fill="CCEEFF"/>
          </w:tcPr>
          <w:p>
            <w:pPr>
              <w:jc w:val="right"/>
              <w:ind w:right="215"/>
              <w:spacing w:after="0"/>
              <w:rPr>
                <w:sz w:val="20"/>
                <w:szCs w:val="20"/>
                <w:color w:val="auto"/>
              </w:rPr>
            </w:pPr>
            <w:r>
              <w:rPr>
                <w:rFonts w:ascii="Arial" w:cs="Arial" w:eastAsia="Arial" w:hAnsi="Arial"/>
                <w:sz w:val="17"/>
                <w:szCs w:val="17"/>
                <w:b w:val="1"/>
                <w:bCs w:val="1"/>
                <w:color w:val="auto"/>
              </w:rPr>
              <w:t>1,109</w:t>
            </w:r>
          </w:p>
        </w:tc>
        <w:tc>
          <w:tcPr>
            <w:tcW w:w="3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1,022</w:t>
            </w:r>
          </w:p>
        </w:tc>
        <w:tc>
          <w:tcPr>
            <w:tcW w:w="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944</w:t>
            </w:r>
          </w:p>
        </w:tc>
      </w:tr>
      <w:tr>
        <w:trPr>
          <w:trHeight w:val="230"/>
        </w:trPr>
        <w:tc>
          <w:tcPr>
            <w:tcW w:w="3140" w:type="dxa"/>
            <w:vAlign w:val="bottom"/>
          </w:tcPr>
          <w:p>
            <w:pPr>
              <w:spacing w:after="0"/>
              <w:rPr>
                <w:sz w:val="20"/>
                <w:szCs w:val="20"/>
                <w:color w:val="auto"/>
              </w:rPr>
            </w:pPr>
            <w:r>
              <w:rPr>
                <w:rFonts w:ascii="Arial" w:cs="Arial" w:eastAsia="Arial" w:hAnsi="Arial"/>
                <w:sz w:val="17"/>
                <w:szCs w:val="17"/>
                <w:color w:val="auto"/>
              </w:rPr>
              <w:t>$ Change</w:t>
            </w:r>
          </w:p>
        </w:tc>
        <w:tc>
          <w:tcPr>
            <w:tcW w:w="17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120" w:type="dxa"/>
            <w:vAlign w:val="bottom"/>
          </w:tcPr>
          <w:p>
            <w:pPr>
              <w:jc w:val="right"/>
              <w:ind w:right="215"/>
              <w:spacing w:after="0"/>
              <w:rPr>
                <w:sz w:val="20"/>
                <w:szCs w:val="20"/>
                <w:color w:val="auto"/>
              </w:rPr>
            </w:pPr>
            <w:r>
              <w:rPr>
                <w:rFonts w:ascii="Arial" w:cs="Arial" w:eastAsia="Arial" w:hAnsi="Arial"/>
                <w:sz w:val="17"/>
                <w:szCs w:val="17"/>
                <w:b w:val="1"/>
                <w:bCs w:val="1"/>
                <w:color w:val="auto"/>
              </w:rPr>
              <w:t>87</w:t>
            </w:r>
          </w:p>
        </w:tc>
        <w:tc>
          <w:tcPr>
            <w:tcW w:w="300" w:type="dxa"/>
            <w:vAlign w:val="bottom"/>
          </w:tcPr>
          <w:p>
            <w:pPr>
              <w:ind w:left="100"/>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215"/>
              <w:spacing w:after="0"/>
              <w:rPr>
                <w:sz w:val="20"/>
                <w:szCs w:val="20"/>
                <w:color w:val="auto"/>
              </w:rPr>
            </w:pPr>
            <w:r>
              <w:rPr>
                <w:rFonts w:ascii="Arial" w:cs="Arial" w:eastAsia="Arial" w:hAnsi="Arial"/>
                <w:sz w:val="17"/>
                <w:szCs w:val="17"/>
                <w:color w:val="auto"/>
              </w:rPr>
              <w:t>78</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 Change</w:t>
            </w:r>
          </w:p>
        </w:tc>
        <w:tc>
          <w:tcPr>
            <w:tcW w:w="17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8.5 %</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8.3 %</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7"/>
                <w:szCs w:val="17"/>
                <w:color w:val="auto"/>
              </w:rPr>
              <w:t>Division profit</w:t>
            </w:r>
          </w:p>
        </w:tc>
        <w:tc>
          <w:tcPr>
            <w:tcW w:w="17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120" w:type="dxa"/>
            <w:vAlign w:val="bottom"/>
          </w:tcPr>
          <w:p>
            <w:pPr>
              <w:jc w:val="right"/>
              <w:ind w:right="215"/>
              <w:spacing w:after="0"/>
              <w:rPr>
                <w:sz w:val="20"/>
                <w:szCs w:val="20"/>
                <w:color w:val="auto"/>
              </w:rPr>
            </w:pPr>
            <w:r>
              <w:rPr>
                <w:rFonts w:ascii="Arial" w:cs="Arial" w:eastAsia="Arial" w:hAnsi="Arial"/>
                <w:sz w:val="17"/>
                <w:szCs w:val="17"/>
                <w:b w:val="1"/>
                <w:bCs w:val="1"/>
                <w:color w:val="auto"/>
              </w:rPr>
              <w:t>135</w:t>
            </w:r>
          </w:p>
        </w:tc>
        <w:tc>
          <w:tcPr>
            <w:tcW w:w="300" w:type="dxa"/>
            <w:vAlign w:val="bottom"/>
          </w:tcPr>
          <w:p>
            <w:pPr>
              <w:ind w:left="100"/>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215"/>
              <w:spacing w:after="0"/>
              <w:rPr>
                <w:sz w:val="20"/>
                <w:szCs w:val="20"/>
                <w:color w:val="auto"/>
              </w:rPr>
            </w:pPr>
            <w:r>
              <w:rPr>
                <w:rFonts w:ascii="Arial" w:cs="Arial" w:eastAsia="Arial" w:hAnsi="Arial"/>
                <w:sz w:val="17"/>
                <w:szCs w:val="17"/>
                <w:color w:val="auto"/>
              </w:rPr>
              <w:t>143</w:t>
            </w:r>
          </w:p>
        </w:tc>
        <w:tc>
          <w:tcPr>
            <w:tcW w:w="3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95"/>
              <w:spacing w:after="0"/>
              <w:rPr>
                <w:sz w:val="20"/>
                <w:szCs w:val="20"/>
                <w:color w:val="auto"/>
              </w:rPr>
            </w:pPr>
            <w:r>
              <w:rPr>
                <w:rFonts w:ascii="Arial" w:cs="Arial" w:eastAsia="Arial" w:hAnsi="Arial"/>
                <w:sz w:val="17"/>
                <w:szCs w:val="17"/>
                <w:color w:val="auto"/>
              </w:rPr>
              <w:t>142</w:t>
            </w:r>
          </w:p>
        </w:tc>
      </w:tr>
      <w:tr>
        <w:trPr>
          <w:trHeight w:val="230"/>
        </w:trPr>
        <w:tc>
          <w:tcPr>
            <w:tcW w:w="3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Division profit margin</w:t>
            </w:r>
          </w:p>
        </w:tc>
        <w:tc>
          <w:tcPr>
            <w:tcW w:w="17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12.2 %</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14.0 %</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15.0 %</w:t>
            </w:r>
          </w:p>
        </w:tc>
      </w:tr>
    </w:tbl>
    <w:p>
      <w:pPr>
        <w:spacing w:after="0" w:line="165"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2017 compared with 2016</w:t>
      </w:r>
    </w:p>
    <w:p>
      <w:pPr>
        <w:spacing w:after="0" w:line="201"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Comparable-sales for the Direct-to-Customers segment increased 6.9 percent as compared with the prior year. The comparable-sales gain primarily reflected growth in our domestic and international store-banner e-commerce businesses coupled with an increase in our Eastbay business. Internationally, we continued to expand the geographies that we serve in 2017, including most notably launching our e-commerce business in Australia.</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76" w:right="1440" w:bottom="1440" w:gutter="0" w:footer="0" w:header="0"/>
        </w:sectPr>
      </w:pPr>
    </w:p>
    <w:bookmarkStart w:id="27" w:name="page28"/>
    <w:bookmarkEnd w:id="27"/>
    <w:p>
      <w:pPr>
        <w:jc w:val="both"/>
        <w:ind w:left="100" w:right="99"/>
        <w:spacing w:after="0" w:line="236" w:lineRule="auto"/>
        <w:rPr>
          <w:sz w:val="20"/>
          <w:szCs w:val="20"/>
          <w:color w:val="auto"/>
        </w:rPr>
      </w:pPr>
      <w:r>
        <w:rPr>
          <w:rFonts w:ascii="Arial" w:cs="Arial" w:eastAsia="Arial" w:hAnsi="Arial"/>
          <w:sz w:val="17"/>
          <w:szCs w:val="17"/>
          <w:color w:val="auto"/>
        </w:rPr>
        <w:t>The footwear category, across men’s, women’s and children’s, was the main driver for the overall comparable-sales gains experienced for this segment. Combined, apparel and accessories sales increased modestly. The men’s and women’s lifestyle running category and men’s basketball styles primarily drove the increase in footwear sales. Additionally, the children’s footwear category contributed to the overall increase.</w:t>
      </w:r>
    </w:p>
    <w:p>
      <w:pPr>
        <w:spacing w:after="0" w:line="177"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Direct-to-Customers division profit, as a percent of sales, declined 180 basis points as compared with the prior year. Although sales increased during the year, the gross margin rate declined as a result of increased markdowns due to a more promotional sales environment, including additional free shipping offers that reduced our shipping and handling revenue and thereby deteriorated our gross margin. The gross margin rate decline was partially offset by an expense rate improvement relating to lower marketing costs and incentive compensation.</w:t>
      </w:r>
    </w:p>
    <w:p>
      <w:pPr>
        <w:spacing w:after="0" w:line="159"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2016 compared with 2015</w:t>
      </w:r>
    </w:p>
    <w:p>
      <w:pPr>
        <w:spacing w:after="0" w:line="201"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Comparable-sales for the Direct-to-Customers segment increased 8.8 percent as compared with 2015. Our domestic and international store-banner websites continued to represent the majority of the overall growth in sales, which was partially offset by declines in the Eastbay, Runners Point, and Sidestep e-commerce businesses. The overall increase in sales was led by our footwear category. Consistent with our Athletic Stores segment, footwear sales increased in men’s, women’s, and children’s. The positive sales increase in men’s footwear was primarily driven by strong gains by the Jordan brand. The increase in women’s footwear was driven by casual styles.</w:t>
      </w:r>
    </w:p>
    <w:p>
      <w:pPr>
        <w:spacing w:after="0" w:line="175"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Direct-to-Customers division profit, as a percent of sales, declined 100 basis points as compared with 2015. The decline in the division profit rate reflected increased spending in marketing-related costs, which was incurred in order to drive traffic to our websites. Also contributing to the decline in the division profit rate was a decrease in the gross margin rate as a result of greater promotional activity by our domestic e-commerce business, especially Eastbay.</w:t>
      </w:r>
    </w:p>
    <w:p>
      <w:pPr>
        <w:spacing w:after="0" w:line="157" w:lineRule="exact"/>
        <w:rPr>
          <w:sz w:val="20"/>
          <w:szCs w:val="20"/>
          <w:color w:val="auto"/>
        </w:rPr>
      </w:pPr>
    </w:p>
    <w:tbl>
      <w:tblPr>
        <w:tblLayout w:type="fixed"/>
        <w:tblInd w:w="100" w:type="dxa"/>
        <w:tblCellMar>
          <w:top w:w="0" w:type="dxa"/>
          <w:left w:w="0" w:type="dxa"/>
          <w:bottom w:w="0" w:type="dxa"/>
          <w:right w:w="0" w:type="dxa"/>
        </w:tblCellMar>
      </w:tblPr>
      <w:tr>
        <w:trPr>
          <w:trHeight w:val="225"/>
        </w:trPr>
        <w:tc>
          <w:tcPr>
            <w:tcW w:w="3300" w:type="dxa"/>
            <w:vAlign w:val="bottom"/>
          </w:tcPr>
          <w:p>
            <w:pPr>
              <w:spacing w:after="0"/>
              <w:rPr>
                <w:sz w:val="20"/>
                <w:szCs w:val="20"/>
                <w:color w:val="auto"/>
              </w:rPr>
            </w:pPr>
            <w:r>
              <w:rPr>
                <w:rFonts w:ascii="Arial" w:cs="Arial" w:eastAsia="Arial" w:hAnsi="Arial"/>
                <w:sz w:val="17"/>
                <w:szCs w:val="17"/>
                <w:b w:val="1"/>
                <w:bCs w:val="1"/>
                <w:color w:val="auto"/>
              </w:rPr>
              <w:t>Corporate Expense</w:t>
            </w:r>
          </w:p>
        </w:tc>
        <w:tc>
          <w:tcPr>
            <w:tcW w:w="2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88"/>
        </w:trPr>
        <w:tc>
          <w:tcPr>
            <w:tcW w:w="33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color w:val="auto"/>
              </w:rPr>
              <w:t>2016</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2015</w:t>
            </w:r>
          </w:p>
        </w:tc>
      </w:tr>
      <w:tr>
        <w:trPr>
          <w:trHeight w:val="210"/>
        </w:trPr>
        <w:tc>
          <w:tcPr>
            <w:tcW w:w="33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75"/>
              <w:spacing w:after="0"/>
              <w:rPr>
                <w:sz w:val="20"/>
                <w:szCs w:val="20"/>
                <w:color w:val="auto"/>
              </w:rPr>
            </w:pPr>
            <w:r>
              <w:rPr>
                <w:rFonts w:ascii="Arial" w:cs="Arial" w:eastAsia="Arial" w:hAnsi="Arial"/>
                <w:sz w:val="17"/>
                <w:szCs w:val="17"/>
                <w:color w:val="auto"/>
                <w:w w:val="99"/>
              </w:rPr>
              <w:t>in millions)</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Corporate expense</w:t>
            </w:r>
          </w:p>
        </w:tc>
        <w:tc>
          <w:tcPr>
            <w:tcW w:w="2420" w:type="dxa"/>
            <w:vAlign w:val="bottom"/>
            <w:shd w:val="clear" w:color="auto" w:fill="CCEEFF"/>
          </w:tcPr>
          <w:p>
            <w:pPr>
              <w:jc w:val="right"/>
              <w:ind w:right="515"/>
              <w:spacing w:after="0"/>
              <w:rPr>
                <w:sz w:val="20"/>
                <w:szCs w:val="20"/>
                <w:color w:val="auto"/>
              </w:rPr>
            </w:pPr>
            <w:r>
              <w:rPr>
                <w:rFonts w:ascii="Arial" w:cs="Arial" w:eastAsia="Arial" w:hAnsi="Arial"/>
                <w:sz w:val="17"/>
                <w:szCs w:val="17"/>
                <w:b w:val="1"/>
                <w:bCs w:val="1"/>
                <w:color w:val="auto"/>
              </w:rPr>
              <w:t>$</w:t>
            </w:r>
          </w:p>
        </w:tc>
        <w:tc>
          <w:tcPr>
            <w:tcW w:w="500" w:type="dxa"/>
            <w:vAlign w:val="bottom"/>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48</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70</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r>
      <w:tr>
        <w:trPr>
          <w:trHeight w:val="230"/>
        </w:trPr>
        <w:tc>
          <w:tcPr>
            <w:tcW w:w="33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Change</w:t>
            </w:r>
          </w:p>
        </w:tc>
        <w:tc>
          <w:tcPr>
            <w:tcW w:w="242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(22)</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(7)</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bl>
    <w:p>
      <w:pPr>
        <w:spacing w:after="0" w:line="183"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Corporate expense consists of unallocated general and administrative expenses as well as depreciation and amortization related to the Company’s corporate headquarters, centrally managed departments, unallocated insurance and benefit programs, certain foreign exchange transaction gains and losses, and other items. Depreciation and amortization included in corporate expense was $16 million, $14 million, and $11 million in 2017, 2016, and 2015, respectively.</w:t>
      </w:r>
    </w:p>
    <w:p>
      <w:pPr>
        <w:spacing w:after="0" w:line="177"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The allocation of corporate expense to the operating divisions is adjusted annually based upon an internal study; accordingly, the allocation increased by $4 million in 2017, thus reducing corporate expense. Excluding the corporate allocation change, corporate expense decreased by $18 million as compared to 2016. This was primarily due to a $13 million decline in incentive compensation, which reflects the Company’s underperformance relative to its plan. Share-based compensation declined by $7 million and is also primarily related to the portion of share-based compensation that is tied directly to the Company’s performance. Additionally, the decline in corporate expense also reflects a decrease of $4 million relating to the prior-year corporate headquarters relocation costs. These decreases were partially offset by a $2 million litigation charge, increased corporate support costs, such as information technology and real estate management, and increased depreciation and amortization expense. The effect of the 53</w:t>
      </w:r>
      <w:r>
        <w:rPr>
          <w:rFonts w:ascii="Arial" w:cs="Arial" w:eastAsia="Arial" w:hAnsi="Arial"/>
          <w:sz w:val="8"/>
          <w:szCs w:val="8"/>
          <w:color w:val="auto"/>
        </w:rPr>
        <w:t>rd</w:t>
      </w:r>
      <w:r>
        <w:rPr>
          <w:rFonts w:ascii="Arial" w:cs="Arial" w:eastAsia="Arial" w:hAnsi="Arial"/>
          <w:sz w:val="17"/>
          <w:szCs w:val="17"/>
          <w:color w:val="auto"/>
        </w:rPr>
        <w:t xml:space="preserve"> week on corporate expense was not significant.</w:t>
      </w:r>
    </w:p>
    <w:p>
      <w:pPr>
        <w:spacing w:after="0" w:line="174"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Corporate expense decreased by $7 million in 2016 as compared with 2015. The annual adjustment of the allocation of corporate expense to the operating divisions reduced corporate expense by $9 million. This was partially offset by an increase of $3 million in depreciation and amortization included in corporate expense. During 2016, we also incurred $4 million of expenses related to our corporate headquarters relocation within New York City, as compared with $3 million spent during 2015. The remaining change primarily reflected lower incentive compensation expense in 2016.</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76" w:right="1440" w:bottom="1440" w:gutter="0" w:footer="0" w:header="0"/>
        </w:sectPr>
      </w:pPr>
    </w:p>
    <w:bookmarkStart w:id="28" w:name="page29"/>
    <w:bookmarkEnd w:id="28"/>
    <w:p>
      <w:pPr>
        <w:ind w:left="100"/>
        <w:spacing w:after="0"/>
        <w:rPr>
          <w:sz w:val="20"/>
          <w:szCs w:val="20"/>
          <w:color w:val="auto"/>
        </w:rPr>
      </w:pPr>
      <w:r>
        <w:rPr>
          <w:rFonts w:ascii="Arial" w:cs="Arial" w:eastAsia="Arial" w:hAnsi="Arial"/>
          <w:sz w:val="17"/>
          <w:szCs w:val="17"/>
          <w:b w:val="1"/>
          <w:bCs w:val="1"/>
          <w:color w:val="auto"/>
        </w:rPr>
        <w:t>Liquidity and Capital Resources</w:t>
      </w:r>
    </w:p>
    <w:p>
      <w:pPr>
        <w:spacing w:after="0" w:line="185" w:lineRule="exact"/>
        <w:rPr>
          <w:sz w:val="20"/>
          <w:szCs w:val="20"/>
          <w:color w:val="auto"/>
        </w:rPr>
      </w:pPr>
    </w:p>
    <w:p>
      <w:pPr>
        <w:ind w:left="100"/>
        <w:spacing w:after="0"/>
        <w:rPr>
          <w:sz w:val="20"/>
          <w:szCs w:val="20"/>
          <w:color w:val="auto"/>
        </w:rPr>
      </w:pPr>
      <w:r>
        <w:rPr>
          <w:rFonts w:ascii="Arial" w:cs="Arial" w:eastAsia="Arial" w:hAnsi="Arial"/>
          <w:sz w:val="17"/>
          <w:szCs w:val="17"/>
          <w:i w:val="1"/>
          <w:iCs w:val="1"/>
          <w:u w:val="single" w:color="auto"/>
          <w:color w:val="auto"/>
        </w:rPr>
        <w:t>Liquidity</w:t>
      </w:r>
    </w:p>
    <w:p>
      <w:pPr>
        <w:spacing w:after="0" w:line="201"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Our primary source of liquidity has been cash flow from earnings, while the principal uses of cash have been: to fund inventory and other working capital requirements; to finance capital expenditures related to store openings, store remodelings, Internet and mobile sites, information systems, and other support facilities; to make retirement plan contributions, quarterly dividend payments, and interest payments; and to fund other cash requirements to support the development of our short-term and long-term operating strategies. We generally finance real estate with operating leases. We believe our cash, cash equivalents, and future cash flow from operations will be adequate to fund these requirements.</w:t>
      </w:r>
    </w:p>
    <w:p>
      <w:pPr>
        <w:spacing w:after="0" w:line="178"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As of February 3, 2018, we had $849 million of cash and cash equivalents, of which $669 million was held in foreign jurisdictions. After accounting for the deemed repatriation tax required by the Tax Act, our offshore cash can be repatriated without significant additional U.S. income tax cost. In connection with the Tax Act, the Company recorded a $99 million tax liability for the mandatory deemed repatriation of foreign sourced net earnings and related items. The tax for the mandatory deemed repatriation is payable over an 8 year period beginning with 2017, 8 percent is payable for years 1 to 5, 15 percent in year 6, 20 percent in year 7, and 25 percent in the final year.</w:t>
      </w:r>
    </w:p>
    <w:p>
      <w:pPr>
        <w:spacing w:after="0" w:line="175"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The Company may also from time to time repurchase its common stock or seek to retire or purchase outstanding debt through open market purchases, privately negotiated transactions, or otherwise. Such repurchases and retirement of debt, if any, will depend on prevailing market conditions, liquidity requirements, contractual restrictions, and other factors. The amounts involved may be material. As of February 3, 2018, approximately $758 million remained available under our current $1.2 billion share repurchase program.</w:t>
      </w:r>
    </w:p>
    <w:p>
      <w:pPr>
        <w:spacing w:after="0" w:line="177"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On February 20, 2018, the Board of Directors declared a quarterly dividend of $0.345 per share to be paid on May 4, 2018, representing an 11 percent increase over the previous quarterly per share amount.</w:t>
      </w:r>
    </w:p>
    <w:p>
      <w:pPr>
        <w:spacing w:after="0" w:line="153"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 xml:space="preserve">As discussed further in the </w:t>
      </w:r>
      <w:r>
        <w:rPr>
          <w:rFonts w:ascii="Arial" w:cs="Arial" w:eastAsia="Arial" w:hAnsi="Arial"/>
          <w:sz w:val="17"/>
          <w:szCs w:val="17"/>
          <w:i w:val="1"/>
          <w:iCs w:val="1"/>
          <w:color w:val="auto"/>
        </w:rPr>
        <w:t>Legal Proceedings</w:t>
      </w:r>
      <w:r>
        <w:rPr>
          <w:rFonts w:ascii="Arial" w:cs="Arial" w:eastAsia="Arial" w:hAnsi="Arial"/>
          <w:sz w:val="17"/>
          <w:szCs w:val="17"/>
          <w:color w:val="auto"/>
        </w:rPr>
        <w:t xml:space="preserve"> note under “Item 8. Financial Statements and Supplementary Data,” during 2017, in connection with our pension litigation, we recorded pre-tax charges of $178 million. The accrued amount as of February 3, 2018 was $278 million and is classified as a long-term liability. The Company has exhausted all legal remedies and will reform the pension plan. The Company will be working with the plaintiffs’ counsel and the court on the specific steps needed to implement the trial court’s judgment. During the fourth quarter of 2017, we deposited $150 million into a qualified settlement fund, classified as restricted cash. This settlement fund will be used for future pension contributions and plaintiffs’ legal costs related to the pension plan reformation. Also, the Company expects to make a $128 million contribution to the pension plan during 2018. The timing and the amount of actual contributions to the pension plan are dependent on the funded status of the plan and various other factors, such as interest rates and the performance of the plan’s assets.</w:t>
      </w:r>
    </w:p>
    <w:p>
      <w:pPr>
        <w:spacing w:after="0" w:line="176"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Any material adverse change in customer demand, fashion trends, competitive market forces, or customer acceptance of our merchandise mix and retail locations, uncertainties related to the effect of competitive products and pricing, our reliance on a few key suppliers for a significant portion of our merchandise purchases and risks associated with global product sourcing, economic conditions worldwide, the effects of currency fluctuations, as well as other factors listed under the heading “Disclosure Regarding Forward-Looking Statements,” could affect our ability to continue to fund our liquidity needs from business operations.</w:t>
      </w:r>
    </w:p>
    <w:p>
      <w:pPr>
        <w:spacing w:after="0" w:line="175"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Maintaining access to merchandise that we consider appropriate for our business may be subject to the policies and practices of our key suppliers. Therefore, we believe that it is critical to continue to maintain satisfactory relationships with these key suppliers. In 2017 and 2016, we purchased approximately 93 percent and 91 percent, respectively, of our merchandise from our top five suppliers and expect to continue to obtain a significant percentage of our athletic product from these suppliers in future periods. Approximately 67 percent in 2017 and 68 percent in 2016 was purchased from one supplier — Nike, Inc.</w:t>
      </w:r>
    </w:p>
    <w:p>
      <w:pPr>
        <w:spacing w:after="0" w:line="175"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Planned capital expenditures in 2018 are $229 million and lease acquisition costs related to our operations in Europe are $1 million. Capital expenditures reflect $124 million dedicated to elevating our in-store experience through continued relocation and remodels in major cities and key markets. It also includes the remodeling and expansion of over 100 existing stores, as well as the planned opening of approximately 40 stores, primarily related to the continued expansion of Foot Locker in Europe and our entry into Asia in a limited number of locations.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56" w:right="1440" w:bottom="1440" w:gutter="0" w:footer="0" w:header="0"/>
        </w:sectPr>
      </w:pPr>
    </w:p>
    <w:bookmarkStart w:id="29" w:name="page30"/>
    <w:bookmarkEnd w:id="29"/>
    <w:p>
      <w:pPr>
        <w:jc w:val="both"/>
        <w:ind w:left="100" w:right="99"/>
        <w:spacing w:after="0" w:line="236" w:lineRule="auto"/>
        <w:rPr>
          <w:sz w:val="20"/>
          <w:szCs w:val="20"/>
          <w:color w:val="auto"/>
        </w:rPr>
      </w:pPr>
      <w:r>
        <w:rPr>
          <w:rFonts w:ascii="Arial" w:cs="Arial" w:eastAsia="Arial" w:hAnsi="Arial"/>
          <w:sz w:val="17"/>
          <w:szCs w:val="17"/>
          <w:color w:val="auto"/>
        </w:rPr>
        <w:t>Planned spending for 2018 also includes $105 million for digital and other investments, including enhancements to our mobile and web platforms, the global roll-out of our new point-of-sale software, expanding data analytics capabilities, and supply chain initiatives. We have the ability to revise and reschedule much of the anticipated capital expenditure program, should our financial position require it.</w:t>
      </w:r>
    </w:p>
    <w:p>
      <w:pPr>
        <w:spacing w:after="0" w:line="159" w:lineRule="exact"/>
        <w:rPr>
          <w:sz w:val="20"/>
          <w:szCs w:val="20"/>
          <w:color w:val="auto"/>
        </w:rPr>
      </w:pPr>
    </w:p>
    <w:p>
      <w:pPr>
        <w:ind w:left="100"/>
        <w:spacing w:after="0"/>
        <w:rPr>
          <w:sz w:val="20"/>
          <w:szCs w:val="20"/>
          <w:color w:val="auto"/>
        </w:rPr>
      </w:pPr>
      <w:r>
        <w:rPr>
          <w:rFonts w:ascii="Arial" w:cs="Arial" w:eastAsia="Arial" w:hAnsi="Arial"/>
          <w:sz w:val="17"/>
          <w:szCs w:val="17"/>
          <w:i w:val="1"/>
          <w:iCs w:val="1"/>
          <w:u w:val="single" w:color="auto"/>
          <w:color w:val="auto"/>
        </w:rPr>
        <w:t>Free Cash Flow (non-GAAP measure)</w:t>
      </w:r>
    </w:p>
    <w:p>
      <w:pPr>
        <w:spacing w:after="0" w:line="201"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In addition to net cash provided by operating activities, we use free cash flow as a useful measure of performance and as an indication of our financial strength and our ability to generate cash. We define free cash flow as net cash provided by operating activities less capital expenditures (which is classified as an investing activity). We believe the presentation of free cash flow is relevant and useful for investors because it allows investors to evaluate the cash generated from underlying operations in a manner similar to the method used by management. Free cash flow is not defined under U.S. GAAP. Therefore, it should not be considered a substitute for income or cash flow data prepared in accordance with U.S. GAAP, and may not be comparable to similarly titled measures used by other companies. It should not be inferred that the entire free cash flow amount is available for discretionary expenditures.</w:t>
      </w:r>
    </w:p>
    <w:p>
      <w:pPr>
        <w:spacing w:after="0" w:line="177"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The following table presents a reconciliation of net cash flow provided by operating activities, the most directly comparable U.S. GAAP financial measure, to free cash flow.</w:t>
      </w:r>
    </w:p>
    <w:p>
      <w:pPr>
        <w:spacing w:after="0" w:line="151"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14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2017</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color w:val="auto"/>
              </w:rPr>
              <w:t>2016</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2015</w:t>
            </w:r>
          </w:p>
        </w:tc>
      </w:tr>
      <w:tr>
        <w:trPr>
          <w:trHeight w:val="210"/>
        </w:trPr>
        <w:tc>
          <w:tcPr>
            <w:tcW w:w="14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35"/>
              <w:spacing w:after="0"/>
              <w:rPr>
                <w:sz w:val="20"/>
                <w:szCs w:val="20"/>
                <w:color w:val="auto"/>
              </w:rPr>
            </w:pPr>
            <w:r>
              <w:rPr>
                <w:rFonts w:ascii="Arial" w:cs="Arial" w:eastAsia="Arial" w:hAnsi="Arial"/>
                <w:sz w:val="17"/>
                <w:szCs w:val="17"/>
                <w:color w:val="auto"/>
                <w:w w:val="99"/>
              </w:rPr>
              <w:t>in millions)</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4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cash provided by operating activities</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80" w:type="dxa"/>
            <w:vAlign w:val="bottom"/>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813</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844</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center"/>
              <w:ind w:left="395"/>
              <w:spacing w:after="0"/>
              <w:rPr>
                <w:sz w:val="20"/>
                <w:szCs w:val="20"/>
                <w:color w:val="auto"/>
              </w:rPr>
            </w:pPr>
            <w:r>
              <w:rPr>
                <w:rFonts w:ascii="Arial" w:cs="Arial" w:eastAsia="Arial" w:hAnsi="Arial"/>
                <w:sz w:val="17"/>
                <w:szCs w:val="17"/>
                <w:color w:val="auto"/>
                <w:w w:val="98"/>
              </w:rPr>
              <w:t>791</w:t>
            </w:r>
          </w:p>
        </w:tc>
      </w:tr>
      <w:tr>
        <w:trPr>
          <w:trHeight w:val="230"/>
        </w:trPr>
        <w:tc>
          <w:tcPr>
            <w:tcW w:w="4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Capital expenditures</w:t>
            </w:r>
          </w:p>
        </w:tc>
        <w:tc>
          <w:tcPr>
            <w:tcW w:w="1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(274)</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(266)</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left="355"/>
              <w:spacing w:after="0"/>
              <w:rPr>
                <w:sz w:val="20"/>
                <w:szCs w:val="20"/>
                <w:color w:val="auto"/>
              </w:rPr>
            </w:pPr>
            <w:r>
              <w:rPr>
                <w:rFonts w:ascii="Arial" w:cs="Arial" w:eastAsia="Arial" w:hAnsi="Arial"/>
                <w:sz w:val="17"/>
                <w:szCs w:val="17"/>
                <w:color w:val="auto"/>
              </w:rPr>
              <w:t>(228)</w:t>
            </w:r>
          </w:p>
        </w:tc>
      </w:tr>
      <w:tr>
        <w:trPr>
          <w:trHeight w:val="203"/>
        </w:trPr>
        <w:tc>
          <w:tcPr>
            <w:tcW w:w="41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Free cash flow</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539</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578</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center"/>
              <w:ind w:left="395"/>
              <w:spacing w:after="0"/>
              <w:rPr>
                <w:sz w:val="20"/>
                <w:szCs w:val="20"/>
                <w:color w:val="auto"/>
              </w:rPr>
            </w:pPr>
            <w:r>
              <w:rPr>
                <w:rFonts w:ascii="Arial" w:cs="Arial" w:eastAsia="Arial" w:hAnsi="Arial"/>
                <w:sz w:val="17"/>
                <w:szCs w:val="17"/>
                <w:color w:val="auto"/>
                <w:w w:val="98"/>
              </w:rPr>
              <w:t>563</w:t>
            </w:r>
          </w:p>
        </w:tc>
      </w:tr>
      <w:tr>
        <w:trPr>
          <w:trHeight w:val="351"/>
        </w:trPr>
        <w:tc>
          <w:tcPr>
            <w:tcW w:w="4100" w:type="dxa"/>
            <w:vAlign w:val="bottom"/>
            <w:gridSpan w:val="2"/>
          </w:tcPr>
          <w:p>
            <w:pPr>
              <w:spacing w:after="0"/>
              <w:rPr>
                <w:sz w:val="20"/>
                <w:szCs w:val="20"/>
                <w:color w:val="auto"/>
              </w:rPr>
            </w:pPr>
            <w:r>
              <w:rPr>
                <w:rFonts w:ascii="Arial" w:cs="Arial" w:eastAsia="Arial" w:hAnsi="Arial"/>
                <w:sz w:val="17"/>
                <w:szCs w:val="17"/>
                <w:i w:val="1"/>
                <w:iCs w:val="1"/>
                <w:color w:val="auto"/>
              </w:rPr>
              <w:t>Operating Activities</w:t>
            </w: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85"/>
        </w:trPr>
        <w:tc>
          <w:tcPr>
            <w:tcW w:w="1480" w:type="dxa"/>
            <w:vAlign w:val="bottom"/>
            <w:tcBorders>
              <w:top w:val="single" w:sz="8" w:color="auto"/>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2017</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color w:val="auto"/>
              </w:rPr>
              <w:t>2016</w:t>
            </w: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2015</w:t>
            </w:r>
          </w:p>
        </w:tc>
      </w:tr>
      <w:tr>
        <w:trPr>
          <w:trHeight w:val="210"/>
        </w:trPr>
        <w:tc>
          <w:tcPr>
            <w:tcW w:w="14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35"/>
              <w:spacing w:after="0"/>
              <w:rPr>
                <w:sz w:val="20"/>
                <w:szCs w:val="20"/>
                <w:color w:val="auto"/>
              </w:rPr>
            </w:pPr>
            <w:r>
              <w:rPr>
                <w:rFonts w:ascii="Arial" w:cs="Arial" w:eastAsia="Arial" w:hAnsi="Arial"/>
                <w:sz w:val="17"/>
                <w:szCs w:val="17"/>
                <w:color w:val="auto"/>
                <w:w w:val="99"/>
              </w:rPr>
              <w:t>in millions)</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4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cash provided by operating activities</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80" w:type="dxa"/>
            <w:vAlign w:val="bottom"/>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813</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844</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center"/>
              <w:ind w:left="395"/>
              <w:spacing w:after="0"/>
              <w:rPr>
                <w:sz w:val="20"/>
                <w:szCs w:val="20"/>
                <w:color w:val="auto"/>
              </w:rPr>
            </w:pPr>
            <w:r>
              <w:rPr>
                <w:rFonts w:ascii="Arial" w:cs="Arial" w:eastAsia="Arial" w:hAnsi="Arial"/>
                <w:sz w:val="17"/>
                <w:szCs w:val="17"/>
                <w:color w:val="auto"/>
                <w:w w:val="98"/>
              </w:rPr>
              <w:t>791</w:t>
            </w:r>
          </w:p>
        </w:tc>
      </w:tr>
      <w:tr>
        <w:trPr>
          <w:trHeight w:val="230"/>
        </w:trPr>
        <w:tc>
          <w:tcPr>
            <w:tcW w:w="4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 Change</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(31)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53</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bl>
    <w:p>
      <w:pPr>
        <w:spacing w:after="0" w:line="183"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The amount provided by operating activities reflects income adjusted for non-cash items and working capital changes. Adjustments to net income for non-cash items include non-cash impairment charges, depreciation and amortization, deferred income taxes, share-based compensation expense and related tax benefits. The decline in 2017 primarily reflects the decrease in net income partially offset by working capital improvements.</w:t>
      </w:r>
    </w:p>
    <w:p>
      <w:pPr>
        <w:spacing w:after="0" w:line="177"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During 2017, we contributed $25 million to our U.S. qualified pension plan. We contributed $33 million to our U.S. qualified pension plan and $3 million to our Canadian qualified pension plan in 2016. During 2015, we contributed $4 million to the U.S. qualified pension plan. The amounts and timing of pension contributions are dependent on several factors, including asset performance. Cash paid for income taxes was $237 million, $341 million, and $283 million for 2017, 2016, and 2015, respectively.</w:t>
      </w:r>
    </w:p>
    <w:p>
      <w:pPr>
        <w:spacing w:after="0" w:line="150" w:lineRule="exact"/>
        <w:rPr>
          <w:sz w:val="20"/>
          <w:szCs w:val="20"/>
          <w:color w:val="auto"/>
        </w:rPr>
      </w:pPr>
    </w:p>
    <w:tbl>
      <w:tblPr>
        <w:tblLayout w:type="fixed"/>
        <w:tblInd w:w="100" w:type="dxa"/>
        <w:tblCellMar>
          <w:top w:w="0" w:type="dxa"/>
          <w:left w:w="0" w:type="dxa"/>
          <w:bottom w:w="0" w:type="dxa"/>
          <w:right w:w="0" w:type="dxa"/>
        </w:tblCellMar>
      </w:tblPr>
      <w:tr>
        <w:trPr>
          <w:trHeight w:val="195"/>
        </w:trPr>
        <w:tc>
          <w:tcPr>
            <w:tcW w:w="3920" w:type="dxa"/>
            <w:vAlign w:val="bottom"/>
            <w:gridSpan w:val="2"/>
          </w:tcPr>
          <w:p>
            <w:pPr>
              <w:spacing w:after="0"/>
              <w:rPr>
                <w:sz w:val="20"/>
                <w:szCs w:val="20"/>
                <w:color w:val="auto"/>
              </w:rPr>
            </w:pPr>
            <w:r>
              <w:rPr>
                <w:rFonts w:ascii="Arial" w:cs="Arial" w:eastAsia="Arial" w:hAnsi="Arial"/>
                <w:sz w:val="17"/>
                <w:szCs w:val="17"/>
                <w:i w:val="1"/>
                <w:iCs w:val="1"/>
                <w:color w:val="auto"/>
              </w:rPr>
              <w:t>Investing Activities</w:t>
            </w:r>
          </w:p>
        </w:tc>
        <w:tc>
          <w:tcPr>
            <w:tcW w:w="1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372"/>
        </w:trPr>
        <w:tc>
          <w:tcPr>
            <w:tcW w:w="1420" w:type="dxa"/>
            <w:vAlign w:val="bottom"/>
            <w:tcBorders>
              <w:top w:val="single" w:sz="8" w:color="auto"/>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2017</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color w:val="auto"/>
              </w:rPr>
              <w:t>2016</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2015</w:t>
            </w:r>
          </w:p>
        </w:tc>
      </w:tr>
      <w:tr>
        <w:trPr>
          <w:trHeight w:val="210"/>
        </w:trPr>
        <w:tc>
          <w:tcPr>
            <w:tcW w:w="14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15"/>
              <w:spacing w:after="0"/>
              <w:rPr>
                <w:sz w:val="20"/>
                <w:szCs w:val="20"/>
                <w:color w:val="auto"/>
              </w:rPr>
            </w:pPr>
            <w:r>
              <w:rPr>
                <w:rFonts w:ascii="Arial" w:cs="Arial" w:eastAsia="Arial" w:hAnsi="Arial"/>
                <w:sz w:val="17"/>
                <w:szCs w:val="17"/>
                <w:color w:val="auto"/>
                <w:w w:val="99"/>
              </w:rPr>
              <w:t>in millions)</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3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cash used in investing activities</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289</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266</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w:t>
            </w:r>
          </w:p>
        </w:tc>
      </w:tr>
      <w:tr>
        <w:trPr>
          <w:trHeight w:val="230"/>
        </w:trPr>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 Change</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23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36</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bl>
    <w:p>
      <w:pPr>
        <w:spacing w:after="0" w:line="183" w:lineRule="exact"/>
        <w:rPr>
          <w:sz w:val="20"/>
          <w:szCs w:val="20"/>
          <w:color w:val="auto"/>
        </w:rPr>
      </w:pPr>
    </w:p>
    <w:p>
      <w:pPr>
        <w:jc w:val="both"/>
        <w:ind w:left="100" w:right="99"/>
        <w:spacing w:after="0"/>
        <w:rPr>
          <w:sz w:val="20"/>
          <w:szCs w:val="20"/>
          <w:color w:val="auto"/>
        </w:rPr>
      </w:pPr>
      <w:r>
        <w:rPr>
          <w:rFonts w:ascii="Arial" w:cs="Arial" w:eastAsia="Arial" w:hAnsi="Arial"/>
          <w:sz w:val="17"/>
          <w:szCs w:val="17"/>
          <w:color w:val="auto"/>
        </w:rPr>
        <w:t>Capital expenditures in 2017 were $274 million, an increase of $8 million as compared with the prior year. The increase was due to increased spending on technology projects and cash payments related to the prior year capital program. During 2017, we completed the remodeling or relocation of 183 existing stores and opened 94 new stores. As of the end of fiscal 2017, approximately 40 percent of our Foot Locker, Champs Sports, and Footaction stores have been remodeled to their respective new store formats. Capital expenditures in 2016 were $266 million, primarily related to the remodeling or relocation of 218 existing stores, and the build-out of 96 new stores. The increase in 2016 as compared with 2015 primarily related to our corporate headquarters build out and two new flagship stores.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76" w:right="1440" w:bottom="1440" w:gutter="0" w:footer="0" w:header="0"/>
        </w:sectPr>
      </w:pPr>
    </w:p>
    <w:bookmarkStart w:id="30" w:name="page31"/>
    <w:bookmarkEnd w:id="30"/>
    <w:p>
      <w:pPr>
        <w:jc w:val="both"/>
        <w:ind w:left="100" w:right="99"/>
        <w:spacing w:after="0" w:line="243" w:lineRule="auto"/>
        <w:rPr>
          <w:sz w:val="20"/>
          <w:szCs w:val="20"/>
          <w:color w:val="auto"/>
        </w:rPr>
      </w:pPr>
      <w:r>
        <w:rPr>
          <w:rFonts w:ascii="Arial" w:cs="Arial" w:eastAsia="Arial" w:hAnsi="Arial"/>
          <w:sz w:val="17"/>
          <w:szCs w:val="17"/>
          <w:color w:val="auto"/>
        </w:rPr>
        <w:t>The Company invested $15 million in a privately-held company during 2017, which was accounted for as a cost method investment.</w:t>
      </w:r>
    </w:p>
    <w:p>
      <w:pPr>
        <w:spacing w:after="0" w:line="171"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During the third quarter of 2015, we completed an asset acquisition for $2 million involving 10 previously franchised Runners Point and Sidestep stores in Switzerland.</w:t>
      </w:r>
    </w:p>
    <w:p>
      <w:pPr>
        <w:spacing w:after="0" w:line="144" w:lineRule="exact"/>
        <w:rPr>
          <w:sz w:val="20"/>
          <w:szCs w:val="20"/>
          <w:color w:val="auto"/>
        </w:rPr>
      </w:pPr>
    </w:p>
    <w:tbl>
      <w:tblPr>
        <w:tblLayout w:type="fixed"/>
        <w:tblInd w:w="100" w:type="dxa"/>
        <w:tblCellMar>
          <w:top w:w="0" w:type="dxa"/>
          <w:left w:w="0" w:type="dxa"/>
          <w:bottom w:w="0" w:type="dxa"/>
          <w:right w:w="0" w:type="dxa"/>
        </w:tblCellMar>
      </w:tblPr>
      <w:tr>
        <w:trPr>
          <w:trHeight w:val="195"/>
        </w:trPr>
        <w:tc>
          <w:tcPr>
            <w:tcW w:w="3920" w:type="dxa"/>
            <w:vAlign w:val="bottom"/>
            <w:gridSpan w:val="2"/>
          </w:tcPr>
          <w:p>
            <w:pPr>
              <w:spacing w:after="0"/>
              <w:rPr>
                <w:sz w:val="20"/>
                <w:szCs w:val="20"/>
                <w:color w:val="auto"/>
              </w:rPr>
            </w:pPr>
            <w:r>
              <w:rPr>
                <w:rFonts w:ascii="Arial" w:cs="Arial" w:eastAsia="Arial" w:hAnsi="Arial"/>
                <w:sz w:val="17"/>
                <w:szCs w:val="17"/>
                <w:i w:val="1"/>
                <w:iCs w:val="1"/>
                <w:color w:val="auto"/>
              </w:rPr>
              <w:t>Financing Activities</w:t>
            </w:r>
          </w:p>
        </w:tc>
        <w:tc>
          <w:tcPr>
            <w:tcW w:w="1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399"/>
        </w:trPr>
        <w:tc>
          <w:tcPr>
            <w:tcW w:w="1460" w:type="dxa"/>
            <w:vAlign w:val="bottom"/>
            <w:tcBorders>
              <w:top w:val="single" w:sz="8" w:color="auto"/>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2017</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color w:val="auto"/>
              </w:rPr>
              <w:t>2016</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2015</w:t>
            </w:r>
          </w:p>
        </w:tc>
      </w:tr>
      <w:tr>
        <w:trPr>
          <w:trHeight w:val="210"/>
        </w:trPr>
        <w:tc>
          <w:tcPr>
            <w:tcW w:w="14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15"/>
              <w:spacing w:after="0"/>
              <w:rPr>
                <w:sz w:val="20"/>
                <w:szCs w:val="20"/>
                <w:color w:val="auto"/>
              </w:rPr>
            </w:pPr>
            <w:r>
              <w:rPr>
                <w:rFonts w:ascii="Arial" w:cs="Arial" w:eastAsia="Arial" w:hAnsi="Arial"/>
                <w:sz w:val="17"/>
                <w:szCs w:val="17"/>
                <w:color w:val="auto"/>
                <w:w w:val="99"/>
              </w:rPr>
              <w:t>in millions)</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3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cash used in financing activities</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616</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556</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r>
      <w:tr>
        <w:trPr>
          <w:trHeight w:val="230"/>
        </w:trPr>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 Change</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60</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56</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bl>
    <w:p>
      <w:pPr>
        <w:spacing w:after="0" w:line="156"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Cash used in financing activities consisted primarily of our return to shareholders initiatives, including our share repurchase program and cash dividend payments, as follows:</w:t>
      </w:r>
    </w:p>
    <w:p>
      <w:pPr>
        <w:spacing w:after="0" w:line="151"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38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2017</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color w:val="auto"/>
              </w:rPr>
              <w:t>2016</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2015</w:t>
            </w:r>
          </w:p>
        </w:tc>
      </w:tr>
      <w:tr>
        <w:trPr>
          <w:trHeight w:val="210"/>
        </w:trPr>
        <w:tc>
          <w:tcPr>
            <w:tcW w:w="3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15"/>
              <w:spacing w:after="0"/>
              <w:rPr>
                <w:sz w:val="20"/>
                <w:szCs w:val="20"/>
                <w:color w:val="auto"/>
              </w:rPr>
            </w:pPr>
            <w:r>
              <w:rPr>
                <w:rFonts w:ascii="Arial" w:cs="Arial" w:eastAsia="Arial" w:hAnsi="Arial"/>
                <w:sz w:val="17"/>
                <w:szCs w:val="17"/>
                <w:color w:val="auto"/>
                <w:w w:val="99"/>
              </w:rPr>
              <w:t>in millions)</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Share repurchases</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467</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432</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w:t>
            </w:r>
          </w:p>
        </w:tc>
      </w:tr>
      <w:tr>
        <w:trPr>
          <w:trHeight w:val="230"/>
        </w:trPr>
        <w:tc>
          <w:tcPr>
            <w:tcW w:w="38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Dividends paid on common stock</w:t>
            </w:r>
          </w:p>
        </w:tc>
        <w:tc>
          <w:tcPr>
            <w:tcW w:w="1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157</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147</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w:t>
            </w:r>
          </w:p>
        </w:tc>
      </w:tr>
      <w:tr>
        <w:trPr>
          <w:trHeight w:val="203"/>
        </w:trPr>
        <w:tc>
          <w:tcPr>
            <w:tcW w:w="3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 returned to shareholders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624</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579</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558</w:t>
            </w:r>
          </w:p>
        </w:tc>
      </w:tr>
    </w:tbl>
    <w:p>
      <w:pPr>
        <w:spacing w:after="0" w:line="183"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During 2017, 2016, and 2015, we repurchased 12,413,590 shares, 6,984,643 shares, and 6,693,100 shares of our common stock under our share repurchase programs, respectively. Additionally, the Company declared and paid dividends representing a quarterly rate of $0.31, $0.275, and $0.25 per share in 2017, 2016, and 2015, respectively. During 2017, 2016 and 2015, we paid $10 million, $7 million and $9 million, respectively, to satisfy tax withholding obligations relating to the vesting of share-based equity awards. Offsetting the amounts above were proceeds received from the issuance of common stock and treasury stock in connection with the employee stock programs of $18 million, $33 million, and $69 million for 2017, 2016, and 2015, respectively.</w:t>
      </w:r>
    </w:p>
    <w:p>
      <w:pPr>
        <w:spacing w:after="0" w:line="178"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During 2016, we paid fees of $2 million in connection with the credit agreement, see below for further details. During 2016 and 2015, we made payments relating to capital lease obligations of $1 million and $2 million, respectively. These obligations were recorded in connection with the acquisition of the Runners Point Group.</w:t>
      </w:r>
    </w:p>
    <w:p>
      <w:pPr>
        <w:spacing w:after="0" w:line="155"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Capital Structure</w:t>
      </w:r>
    </w:p>
    <w:p>
      <w:pPr>
        <w:spacing w:after="0" w:line="203"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On May 19, 2016, we entered into a credit agreement with our banks (“2016 Credit Agreement”). The 2016 Credit Agreement provides for a $400 million asset-based revolving credit facility maturing on May 19, 2021. During the term of the 2016 Credit Agreement, we may also increase the commitments by up to $200 million, subject to customary conditions. Interest is determined, at our option, by the federal funds rate plus a margin of 0.125 percent to 0.375 percent, or a Eurodollar rate, determined by reference to LIBOR, plus a margin of 1.125 percent to 1.375 percent depending on availability under the 2016 Credit Agreement. In addition, we are paying a commitment fee of 0.20 percent per annum on the unused portion of the commitments.</w:t>
      </w:r>
    </w:p>
    <w:p>
      <w:pPr>
        <w:spacing w:after="0" w:line="178"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The 2016 Credit Agreement provides for a security interest in certain of our domestic store assets, including inventory assets, accounts receivable, cash deposits, and certain insurance proceeds. We are not required to comply with any financial covenants unless certain events of default have occurred and are continuing, or if availability under the 2016 Credit Agreement does not exceed the greater of $40 million and 10 percent of the Loan Cap (as defined in the 2016 Credit Agreement). There are no restrictions relating to the payment of dividends and share repurchases as long as no default or event of default has occurred and the aggregate principal amount of unused commitments under the 2016 Credit Agreement is not less than 15 percent of the lesser of the aggregate amount of the commitments and the Borrowing Base, determined as of the preceding fiscal month and on a proforma basis for the following six fiscal months. We do not currently expect to borrow under the facility in 2018, other than amounts used to support standby letters of credit.</w:t>
      </w:r>
    </w:p>
    <w:p>
      <w:pPr>
        <w:spacing w:after="0" w:line="156" w:lineRule="exact"/>
        <w:rPr>
          <w:sz w:val="20"/>
          <w:szCs w:val="20"/>
          <w:color w:val="auto"/>
        </w:rPr>
      </w:pPr>
    </w:p>
    <w:p>
      <w:pPr>
        <w:ind w:left="100"/>
        <w:spacing w:after="0"/>
        <w:rPr>
          <w:sz w:val="20"/>
          <w:szCs w:val="20"/>
          <w:color w:val="auto"/>
        </w:rPr>
      </w:pPr>
      <w:r>
        <w:rPr>
          <w:rFonts w:ascii="Arial" w:cs="Arial" w:eastAsia="Arial" w:hAnsi="Arial"/>
          <w:sz w:val="17"/>
          <w:szCs w:val="17"/>
          <w:i w:val="1"/>
          <w:iCs w:val="1"/>
          <w:u w:val="single" w:color="auto"/>
          <w:color w:val="auto"/>
        </w:rPr>
        <w:t>Credit Rating</w:t>
      </w:r>
    </w:p>
    <w:p>
      <w:pPr>
        <w:spacing w:after="0" w:line="201"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As of March 29, 2018, our corporate credit ratings from Standard &amp; Poor’s and Moody’s Investors Service are BB+ and Ba1, respectively. In addition, Moody’s Investors Service has rated our senior unsecured notes Ba2.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76" w:right="1440" w:bottom="1440" w:gutter="0" w:footer="0" w:header="0"/>
        </w:sectPr>
      </w:pPr>
    </w:p>
    <w:bookmarkStart w:id="31" w:name="page32"/>
    <w:bookmarkEnd w:id="31"/>
    <w:p>
      <w:pPr>
        <w:ind w:left="100"/>
        <w:spacing w:after="0"/>
        <w:rPr>
          <w:sz w:val="20"/>
          <w:szCs w:val="20"/>
          <w:color w:val="auto"/>
        </w:rPr>
      </w:pPr>
      <w:r>
        <w:rPr>
          <w:rFonts w:ascii="Arial" w:cs="Arial" w:eastAsia="Arial" w:hAnsi="Arial"/>
          <w:sz w:val="17"/>
          <w:szCs w:val="17"/>
          <w:i w:val="1"/>
          <w:iCs w:val="1"/>
          <w:u w:val="single" w:color="auto"/>
          <w:color w:val="auto"/>
        </w:rPr>
        <w:t>Debt Capitalization and Equity (non-GAAP Measure)</w:t>
      </w:r>
    </w:p>
    <w:p>
      <w:pPr>
        <w:spacing w:after="0" w:line="201"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For purposes of calculating debt to total capitalization, we include the present value of operating lease commitments in total net debt. Total net debt including the present value of operating leases is considered a non-GAAP financial measure. The present value of operating leases is discounted using various interest rates ranging from 2.5 percent to 14.5 percent, which represent our incremental borrowing rate at inception of the lease. Operating leases are the primary financing vehicle used to fund store expansion and, therefore, we believe that the inclusion of the present value of operating leases in total debt is useful to our investors, credit constituencies, and rating agencies.</w:t>
      </w:r>
    </w:p>
    <w:p>
      <w:pPr>
        <w:spacing w:after="0" w:line="74"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5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2017</w:t>
            </w: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15"/>
              <w:spacing w:after="0"/>
              <w:rPr>
                <w:sz w:val="20"/>
                <w:szCs w:val="20"/>
                <w:color w:val="auto"/>
              </w:rPr>
            </w:pPr>
            <w:r>
              <w:rPr>
                <w:rFonts w:ascii="Arial" w:cs="Arial" w:eastAsia="Arial" w:hAnsi="Arial"/>
                <w:sz w:val="17"/>
                <w:szCs w:val="17"/>
                <w:color w:val="auto"/>
              </w:rPr>
              <w:t>2016</w:t>
            </w:r>
          </w:p>
        </w:tc>
      </w:tr>
      <w:tr>
        <w:trPr>
          <w:trHeight w:val="210"/>
        </w:trPr>
        <w:tc>
          <w:tcPr>
            <w:tcW w:w="5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740" w:type="dxa"/>
            <w:vAlign w:val="bottom"/>
            <w:gridSpan w:val="3"/>
          </w:tcPr>
          <w:p>
            <w:pPr>
              <w:jc w:val="right"/>
              <w:ind w:right="955"/>
              <w:spacing w:after="0"/>
              <w:rPr>
                <w:sz w:val="20"/>
                <w:szCs w:val="20"/>
                <w:color w:val="auto"/>
              </w:rPr>
            </w:pPr>
            <w:r>
              <w:rPr>
                <w:rFonts w:ascii="Arial" w:cs="Arial" w:eastAsia="Arial" w:hAnsi="Arial"/>
                <w:sz w:val="17"/>
                <w:szCs w:val="17"/>
                <w:color w:val="auto"/>
              </w:rPr>
              <w:t>($ in millions)</w:t>
            </w:r>
          </w:p>
        </w:tc>
      </w:tr>
      <w:tr>
        <w:trPr>
          <w:trHeight w:val="230"/>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Long-term debt and obligations under capital leases</w:t>
            </w: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w:t>
            </w:r>
          </w:p>
        </w:tc>
        <w:tc>
          <w:tcPr>
            <w:tcW w:w="1120" w:type="dxa"/>
            <w:vAlign w:val="bottom"/>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125</w:t>
            </w:r>
          </w:p>
        </w:tc>
        <w:tc>
          <w:tcPr>
            <w:tcW w:w="4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127</w:t>
            </w:r>
          </w:p>
        </w:tc>
      </w:tr>
      <w:tr>
        <w:trPr>
          <w:trHeight w:val="230"/>
        </w:trPr>
        <w:tc>
          <w:tcPr>
            <w:tcW w:w="52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Present value of operating leases</w:t>
            </w:r>
          </w:p>
        </w:tc>
        <w:tc>
          <w:tcPr>
            <w:tcW w:w="8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3,729</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3,469</w:t>
            </w:r>
          </w:p>
        </w:tc>
      </w:tr>
      <w:tr>
        <w:trPr>
          <w:trHeight w:val="210"/>
        </w:trPr>
        <w:tc>
          <w:tcPr>
            <w:tcW w:w="52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Total debt including the present value of operating leases</w:t>
            </w:r>
          </w:p>
        </w:tc>
        <w:tc>
          <w:tcPr>
            <w:tcW w:w="8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3,854</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3,596</w:t>
            </w:r>
          </w:p>
        </w:tc>
      </w:tr>
      <w:tr>
        <w:trPr>
          <w:trHeight w:val="230"/>
        </w:trPr>
        <w:tc>
          <w:tcPr>
            <w:tcW w:w="5280" w:type="dxa"/>
            <w:vAlign w:val="bottom"/>
          </w:tcPr>
          <w:p>
            <w:pPr>
              <w:spacing w:after="0"/>
              <w:rPr>
                <w:sz w:val="20"/>
                <w:szCs w:val="20"/>
                <w:color w:val="auto"/>
              </w:rPr>
            </w:pPr>
            <w:r>
              <w:rPr>
                <w:rFonts w:ascii="Arial" w:cs="Arial" w:eastAsia="Arial" w:hAnsi="Arial"/>
                <w:sz w:val="17"/>
                <w:szCs w:val="17"/>
                <w:color w:val="auto"/>
              </w:rPr>
              <w:t>Less:</w:t>
            </w: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5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8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849</w:t>
            </w: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color w:val="auto"/>
              </w:rPr>
              <w:t>1,046</w:t>
            </w:r>
          </w:p>
        </w:tc>
      </w:tr>
      <w:tr>
        <w:trPr>
          <w:trHeight w:val="210"/>
        </w:trPr>
        <w:tc>
          <w:tcPr>
            <w:tcW w:w="5280" w:type="dxa"/>
            <w:vAlign w:val="bottom"/>
          </w:tcPr>
          <w:p>
            <w:pPr>
              <w:ind w:left="100"/>
              <w:spacing w:after="0"/>
              <w:rPr>
                <w:sz w:val="20"/>
                <w:szCs w:val="20"/>
                <w:color w:val="auto"/>
              </w:rPr>
            </w:pPr>
            <w:r>
              <w:rPr>
                <w:rFonts w:ascii="Arial" w:cs="Arial" w:eastAsia="Arial" w:hAnsi="Arial"/>
                <w:sz w:val="17"/>
                <w:szCs w:val="17"/>
                <w:color w:val="auto"/>
              </w:rPr>
              <w:t>Total net debt including the present value of operating leases</w:t>
            </w:r>
          </w:p>
        </w:tc>
        <w:tc>
          <w:tcPr>
            <w:tcW w:w="800" w:type="dxa"/>
            <w:vAlign w:val="bottom"/>
          </w:tcPr>
          <w:p>
            <w:pPr>
              <w:spacing w:after="0"/>
              <w:rPr>
                <w:sz w:val="18"/>
                <w:szCs w:val="18"/>
                <w:color w:val="auto"/>
              </w:rPr>
            </w:pPr>
          </w:p>
        </w:tc>
        <w:tc>
          <w:tcPr>
            <w:tcW w:w="1120" w:type="dxa"/>
            <w:vAlign w:val="bottom"/>
          </w:tcPr>
          <w:p>
            <w:pPr>
              <w:jc w:val="right"/>
              <w:ind w:right="135"/>
              <w:spacing w:after="0"/>
              <w:rPr>
                <w:sz w:val="20"/>
                <w:szCs w:val="20"/>
                <w:color w:val="auto"/>
              </w:rPr>
            </w:pPr>
            <w:r>
              <w:rPr>
                <w:rFonts w:ascii="Arial" w:cs="Arial" w:eastAsia="Arial" w:hAnsi="Arial"/>
                <w:sz w:val="17"/>
                <w:szCs w:val="17"/>
                <w:b w:val="1"/>
                <w:bCs w:val="1"/>
                <w:color w:val="auto"/>
              </w:rPr>
              <w:t>3,005</w:t>
            </w:r>
          </w:p>
        </w:tc>
        <w:tc>
          <w:tcPr>
            <w:tcW w:w="440" w:type="dxa"/>
            <w:vAlign w:val="bottom"/>
          </w:tcPr>
          <w:p>
            <w:pPr>
              <w:spacing w:after="0"/>
              <w:rPr>
                <w:sz w:val="18"/>
                <w:szCs w:val="18"/>
                <w:color w:val="auto"/>
              </w:rPr>
            </w:pPr>
          </w:p>
        </w:tc>
        <w:tc>
          <w:tcPr>
            <w:tcW w:w="1180" w:type="dxa"/>
            <w:vAlign w:val="bottom"/>
          </w:tcPr>
          <w:p>
            <w:pPr>
              <w:jc w:val="right"/>
              <w:ind w:right="215"/>
              <w:spacing w:after="0"/>
              <w:rPr>
                <w:sz w:val="20"/>
                <w:szCs w:val="20"/>
                <w:color w:val="auto"/>
              </w:rPr>
            </w:pPr>
            <w:r>
              <w:rPr>
                <w:rFonts w:ascii="Arial" w:cs="Arial" w:eastAsia="Arial" w:hAnsi="Arial"/>
                <w:sz w:val="17"/>
                <w:szCs w:val="17"/>
                <w:color w:val="auto"/>
              </w:rPr>
              <w:t>2,550</w:t>
            </w:r>
          </w:p>
        </w:tc>
      </w:tr>
      <w:tr>
        <w:trPr>
          <w:trHeight w:val="230"/>
        </w:trPr>
        <w:tc>
          <w:tcPr>
            <w:tcW w:w="5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Shareholders’ equity</w:t>
            </w:r>
          </w:p>
        </w:tc>
        <w:tc>
          <w:tcPr>
            <w:tcW w:w="8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2,519</w:t>
            </w: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color w:val="auto"/>
              </w:rPr>
              <w:t>2,710</w:t>
            </w:r>
          </w:p>
        </w:tc>
      </w:tr>
      <w:tr>
        <w:trPr>
          <w:trHeight w:val="203"/>
        </w:trPr>
        <w:tc>
          <w:tcPr>
            <w:tcW w:w="52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capitalization</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5,524</w:t>
            </w:r>
          </w:p>
        </w:tc>
        <w:tc>
          <w:tcPr>
            <w:tcW w:w="4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5,260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-8255</wp:posOffset>
            </wp:positionV>
            <wp:extent cx="5600065"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00065" cy="146050"/>
                    </a:xfrm>
                    <a:prstGeom prst="rect">
                      <a:avLst/>
                    </a:prstGeom>
                    <a:noFill/>
                  </pic:spPr>
                </pic:pic>
              </a:graphicData>
            </a:graphic>
          </wp:anchor>
        </w:drawing>
      </w:r>
    </w:p>
    <w:tbl>
      <w:tblPr>
        <w:tblLayout w:type="fixed"/>
        <w:tblInd w:w="100" w:type="dxa"/>
        <w:tblCellMar>
          <w:top w:w="0" w:type="dxa"/>
          <w:left w:w="0" w:type="dxa"/>
          <w:bottom w:w="0" w:type="dxa"/>
          <w:right w:w="0" w:type="dxa"/>
        </w:tblCellMar>
      </w:tblPr>
      <w:tr>
        <w:trPr>
          <w:trHeight w:val="225"/>
        </w:trPr>
        <w:tc>
          <w:tcPr>
            <w:tcW w:w="6180" w:type="dxa"/>
            <w:vAlign w:val="bottom"/>
          </w:tcPr>
          <w:p>
            <w:pPr>
              <w:spacing w:after="0"/>
              <w:rPr>
                <w:sz w:val="20"/>
                <w:szCs w:val="20"/>
                <w:color w:val="auto"/>
              </w:rPr>
            </w:pPr>
            <w:r>
              <w:rPr>
                <w:rFonts w:ascii="Arial" w:cs="Arial" w:eastAsia="Arial" w:hAnsi="Arial"/>
                <w:sz w:val="17"/>
                <w:szCs w:val="17"/>
                <w:color w:val="auto"/>
              </w:rPr>
              <w:t>Total net debt capitalization percent</w:t>
            </w:r>
          </w:p>
        </w:tc>
        <w:tc>
          <w:tcPr>
            <w:tcW w:w="1560" w:type="dxa"/>
            <w:vAlign w:val="bottom"/>
          </w:tcPr>
          <w:p>
            <w:pPr>
              <w:jc w:val="right"/>
              <w:ind w:right="375"/>
              <w:spacing w:after="0"/>
              <w:rPr>
                <w:sz w:val="20"/>
                <w:szCs w:val="20"/>
                <w:color w:val="auto"/>
              </w:rPr>
            </w:pPr>
            <w:r>
              <w:rPr>
                <w:rFonts w:ascii="Arial" w:cs="Arial" w:eastAsia="Arial" w:hAnsi="Arial"/>
                <w:sz w:val="17"/>
                <w:szCs w:val="17"/>
                <w:b w:val="1"/>
                <w:bCs w:val="1"/>
                <w:color w:val="auto"/>
              </w:rPr>
              <w:t>— %</w:t>
            </w: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4"/>
        </w:trPr>
        <w:tc>
          <w:tcPr>
            <w:tcW w:w="6180" w:type="dxa"/>
            <w:vAlign w:val="bottom"/>
          </w:tcPr>
          <w:p>
            <w:pPr>
              <w:spacing w:after="0"/>
              <w:rPr>
                <w:sz w:val="20"/>
                <w:szCs w:val="20"/>
                <w:color w:val="auto"/>
              </w:rPr>
            </w:pPr>
            <w:r>
              <w:rPr>
                <w:rFonts w:ascii="Arial" w:cs="Arial" w:eastAsia="Arial" w:hAnsi="Arial"/>
                <w:sz w:val="17"/>
                <w:szCs w:val="17"/>
                <w:color w:val="auto"/>
              </w:rPr>
              <w:t>Total net debt capitalization percent including the present value of operating</w:t>
            </w:r>
          </w:p>
        </w:tc>
        <w:tc>
          <w:tcPr>
            <w:tcW w:w="1560" w:type="dxa"/>
            <w:vAlign w:val="bottom"/>
            <w:vMerge w:val="restart"/>
          </w:tcPr>
          <w:p>
            <w:pPr>
              <w:jc w:val="right"/>
              <w:ind w:right="375"/>
              <w:spacing w:after="0"/>
              <w:rPr>
                <w:sz w:val="20"/>
                <w:szCs w:val="20"/>
                <w:color w:val="auto"/>
              </w:rPr>
            </w:pPr>
            <w:r>
              <w:rPr>
                <w:rFonts w:ascii="Arial" w:cs="Arial" w:eastAsia="Arial" w:hAnsi="Arial"/>
                <w:sz w:val="17"/>
                <w:szCs w:val="17"/>
                <w:b w:val="1"/>
                <w:bCs w:val="1"/>
                <w:color w:val="auto"/>
              </w:rPr>
              <w:t>54.4  %</w:t>
            </w: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618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leases</w:t>
            </w:r>
          </w:p>
        </w:tc>
        <w:tc>
          <w:tcPr>
            <w:tcW w:w="156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48.5 %</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Including the present value of operating leases, net debt capitalization percent increased 590 basis points in 2017, primarily reflecting the effect of new high-profile leases and ongoing lease renewals coupled with foreign exchange fluctuations. Also contributing to the net capitalization increase during 2017 was a $197 million decline in our cash and cash equivalents, which primarily reflected the $150 million deposit to a qualified settlement fund in connection with the pension litigation matter.</w:t>
      </w:r>
    </w:p>
    <w:p>
      <w:pPr>
        <w:spacing w:after="0" w:line="15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203"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The following tables represent the scheduled maturities of the Company’s contractual cash obligations and other commercial commitments at February 3, 2018:</w:t>
      </w:r>
    </w:p>
    <w:p>
      <w:pPr>
        <w:spacing w:after="0" w:line="70"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2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Payments Due by Fiscal Period</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19"/>
        </w:trPr>
        <w:tc>
          <w:tcPr>
            <w:tcW w:w="2820" w:type="dxa"/>
            <w:vAlign w:val="bottom"/>
          </w:tcPr>
          <w:p>
            <w:pPr>
              <w:spacing w:after="0"/>
              <w:rPr>
                <w:sz w:val="20"/>
                <w:szCs w:val="20"/>
                <w:color w:val="auto"/>
              </w:rPr>
            </w:pPr>
            <w:r>
              <w:rPr>
                <w:rFonts w:ascii="Arial" w:cs="Arial" w:eastAsia="Arial" w:hAnsi="Arial"/>
                <w:sz w:val="17"/>
                <w:szCs w:val="17"/>
                <w:b w:val="1"/>
                <w:bCs w:val="1"/>
                <w:color w:val="auto"/>
              </w:rPr>
              <w:t>Contractual Cash</w:t>
            </w: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b w:val="1"/>
                <w:bCs w:val="1"/>
                <w:color w:val="auto"/>
                <w:w w:val="98"/>
              </w:rPr>
              <w:t>2023 and</w:t>
            </w:r>
          </w:p>
        </w:tc>
      </w:tr>
      <w:tr>
        <w:trPr>
          <w:trHeight w:val="220"/>
        </w:trPr>
        <w:tc>
          <w:tcPr>
            <w:tcW w:w="28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Obligations</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Total</w:t>
            </w: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2018</w:t>
            </w:r>
          </w:p>
        </w:tc>
        <w:tc>
          <w:tcPr>
            <w:tcW w:w="1320" w:type="dxa"/>
            <w:vAlign w:val="bottom"/>
            <w:tcBorders>
              <w:bottom w:val="single" w:sz="8" w:color="auto"/>
            </w:tcBorders>
            <w:gridSpan w:val="2"/>
          </w:tcPr>
          <w:p>
            <w:pPr>
              <w:jc w:val="right"/>
              <w:ind w:right="95"/>
              <w:spacing w:after="0"/>
              <w:rPr>
                <w:sz w:val="20"/>
                <w:szCs w:val="20"/>
                <w:color w:val="auto"/>
              </w:rPr>
            </w:pPr>
            <w:r>
              <w:rPr>
                <w:rFonts w:ascii="Arial" w:cs="Arial" w:eastAsia="Arial" w:hAnsi="Arial"/>
                <w:sz w:val="17"/>
                <w:szCs w:val="17"/>
                <w:b w:val="1"/>
                <w:bCs w:val="1"/>
                <w:color w:val="auto"/>
              </w:rPr>
              <w:t>2019-2020</w:t>
            </w:r>
          </w:p>
        </w:tc>
        <w:tc>
          <w:tcPr>
            <w:tcW w:w="1280" w:type="dxa"/>
            <w:vAlign w:val="bottom"/>
            <w:tcBorders>
              <w:bottom w:val="single" w:sz="8" w:color="auto"/>
            </w:tcBorders>
            <w:gridSpan w:val="2"/>
          </w:tcPr>
          <w:p>
            <w:pPr>
              <w:jc w:val="right"/>
              <w:ind w:right="195"/>
              <w:spacing w:after="0"/>
              <w:rPr>
                <w:sz w:val="20"/>
                <w:szCs w:val="20"/>
                <w:color w:val="auto"/>
              </w:rPr>
            </w:pPr>
            <w:r>
              <w:rPr>
                <w:rFonts w:ascii="Arial" w:cs="Arial" w:eastAsia="Arial" w:hAnsi="Arial"/>
                <w:sz w:val="17"/>
                <w:szCs w:val="17"/>
                <w:b w:val="1"/>
                <w:bCs w:val="1"/>
                <w:color w:val="auto"/>
              </w:rPr>
              <w:t>2021-2022</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Beyond</w:t>
            </w:r>
          </w:p>
        </w:tc>
      </w:tr>
      <w:tr>
        <w:trPr>
          <w:trHeight w:val="210"/>
        </w:trPr>
        <w:tc>
          <w:tcPr>
            <w:tcW w:w="2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35"/>
              <w:spacing w:after="0"/>
              <w:rPr>
                <w:sz w:val="20"/>
                <w:szCs w:val="20"/>
                <w:color w:val="auto"/>
              </w:rPr>
            </w:pPr>
            <w:r>
              <w:rPr>
                <w:rFonts w:ascii="Arial" w:cs="Arial" w:eastAsia="Arial" w:hAnsi="Arial"/>
                <w:sz w:val="17"/>
                <w:szCs w:val="17"/>
                <w:color w:val="auto"/>
                <w:w w:val="99"/>
              </w:rPr>
              <w:t>in millions)</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 xml:space="preserve">Long-term debt </w:t>
            </w:r>
            <w:r>
              <w:rPr>
                <w:rFonts w:ascii="Arial" w:cs="Arial" w:eastAsia="Arial" w:hAnsi="Arial"/>
                <w:sz w:val="8"/>
                <w:szCs w:val="8"/>
                <w:color w:val="auto"/>
              </w:rPr>
              <w:t>(1)</w:t>
            </w:r>
          </w:p>
        </w:tc>
        <w:tc>
          <w:tcPr>
            <w:tcW w:w="5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162</w:t>
            </w:r>
          </w:p>
        </w:tc>
        <w:tc>
          <w:tcPr>
            <w:tcW w:w="3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22</w:t>
            </w:r>
          </w:p>
        </w:tc>
        <w:tc>
          <w:tcPr>
            <w:tcW w:w="4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129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2820" w:type="dxa"/>
            <w:vAlign w:val="bottom"/>
          </w:tcPr>
          <w:p>
            <w:pPr>
              <w:spacing w:after="0"/>
              <w:rPr>
                <w:sz w:val="20"/>
                <w:szCs w:val="20"/>
                <w:color w:val="auto"/>
              </w:rPr>
            </w:pPr>
            <w:r>
              <w:rPr>
                <w:rFonts w:ascii="Arial" w:cs="Arial" w:eastAsia="Arial" w:hAnsi="Arial"/>
                <w:sz w:val="17"/>
                <w:szCs w:val="17"/>
                <w:color w:val="auto"/>
              </w:rPr>
              <w:t xml:space="preserve">Operating leases </w:t>
            </w:r>
            <w:r>
              <w:rPr>
                <w:rFonts w:ascii="Arial" w:cs="Arial" w:eastAsia="Arial" w:hAnsi="Arial"/>
                <w:sz w:val="8"/>
                <w:szCs w:val="8"/>
                <w:color w:val="auto"/>
              </w:rPr>
              <w:t>(2)</w:t>
            </w:r>
          </w:p>
        </w:tc>
        <w:tc>
          <w:tcPr>
            <w:tcW w:w="500" w:type="dxa"/>
            <w:vAlign w:val="bottom"/>
          </w:tcPr>
          <w:p>
            <w:pPr>
              <w:spacing w:after="0"/>
              <w:rPr>
                <w:sz w:val="19"/>
                <w:szCs w:val="19"/>
                <w:color w:val="auto"/>
              </w:rPr>
            </w:pPr>
          </w:p>
        </w:tc>
        <w:tc>
          <w:tcPr>
            <w:tcW w:w="860" w:type="dxa"/>
            <w:vAlign w:val="bottom"/>
          </w:tcPr>
          <w:p>
            <w:pPr>
              <w:jc w:val="right"/>
              <w:ind w:right="55"/>
              <w:spacing w:after="0"/>
              <w:rPr>
                <w:sz w:val="20"/>
                <w:szCs w:val="20"/>
                <w:color w:val="auto"/>
              </w:rPr>
            </w:pPr>
            <w:r>
              <w:rPr>
                <w:rFonts w:ascii="Arial" w:cs="Arial" w:eastAsia="Arial" w:hAnsi="Arial"/>
                <w:sz w:val="17"/>
                <w:szCs w:val="17"/>
                <w:color w:val="auto"/>
              </w:rPr>
              <w:t>4,680</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678</w:t>
            </w:r>
          </w:p>
        </w:tc>
        <w:tc>
          <w:tcPr>
            <w:tcW w:w="380" w:type="dxa"/>
            <w:vAlign w:val="bottom"/>
          </w:tcPr>
          <w:p>
            <w:pPr>
              <w:spacing w:after="0"/>
              <w:rPr>
                <w:sz w:val="19"/>
                <w:szCs w:val="19"/>
                <w:color w:val="auto"/>
              </w:rPr>
            </w:pPr>
          </w:p>
        </w:tc>
        <w:tc>
          <w:tcPr>
            <w:tcW w:w="940" w:type="dxa"/>
            <w:vAlign w:val="bottom"/>
          </w:tcPr>
          <w:p>
            <w:pPr>
              <w:jc w:val="right"/>
              <w:ind w:right="95"/>
              <w:spacing w:after="0"/>
              <w:rPr>
                <w:sz w:val="20"/>
                <w:szCs w:val="20"/>
                <w:color w:val="auto"/>
              </w:rPr>
            </w:pPr>
            <w:r>
              <w:rPr>
                <w:rFonts w:ascii="Arial" w:cs="Arial" w:eastAsia="Arial" w:hAnsi="Arial"/>
                <w:sz w:val="17"/>
                <w:szCs w:val="17"/>
                <w:color w:val="auto"/>
              </w:rPr>
              <w:t>1,231</w:t>
            </w:r>
          </w:p>
        </w:tc>
        <w:tc>
          <w:tcPr>
            <w:tcW w:w="400" w:type="dxa"/>
            <w:vAlign w:val="bottom"/>
          </w:tcPr>
          <w:p>
            <w:pPr>
              <w:spacing w:after="0"/>
              <w:rPr>
                <w:sz w:val="19"/>
                <w:szCs w:val="19"/>
                <w:color w:val="auto"/>
              </w:rPr>
            </w:pPr>
          </w:p>
        </w:tc>
        <w:tc>
          <w:tcPr>
            <w:tcW w:w="880" w:type="dxa"/>
            <w:vAlign w:val="bottom"/>
          </w:tcPr>
          <w:p>
            <w:pPr>
              <w:jc w:val="right"/>
              <w:ind w:right="195"/>
              <w:spacing w:after="0"/>
              <w:rPr>
                <w:sz w:val="20"/>
                <w:szCs w:val="20"/>
                <w:color w:val="auto"/>
              </w:rPr>
            </w:pPr>
            <w:r>
              <w:rPr>
                <w:rFonts w:ascii="Arial" w:cs="Arial" w:eastAsia="Arial" w:hAnsi="Arial"/>
                <w:sz w:val="17"/>
                <w:szCs w:val="17"/>
                <w:color w:val="auto"/>
              </w:rPr>
              <w:t>1,050</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1,721</w:t>
            </w:r>
          </w:p>
        </w:tc>
      </w:tr>
      <w:tr>
        <w:trPr>
          <w:trHeight w:val="230"/>
        </w:trPr>
        <w:tc>
          <w:tcPr>
            <w:tcW w:w="2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 xml:space="preserve">Other long-term liabilities </w:t>
            </w:r>
            <w:r>
              <w:rPr>
                <w:rFonts w:ascii="Arial" w:cs="Arial" w:eastAsia="Arial" w:hAnsi="Arial"/>
                <w:sz w:val="8"/>
                <w:szCs w:val="8"/>
                <w:color w:val="auto"/>
              </w:rPr>
              <w:t>(3)</w:t>
            </w: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217</w:t>
            </w: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14</w:t>
            </w: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rPr>
              <w:t>20</w:t>
            </w: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w:t>
            </w:r>
          </w:p>
        </w:tc>
      </w:tr>
      <w:tr>
        <w:trPr>
          <w:trHeight w:val="203"/>
        </w:trPr>
        <w:tc>
          <w:tcPr>
            <w:tcW w:w="28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contractual cash obligations</w:t>
            </w:r>
          </w:p>
        </w:tc>
        <w:tc>
          <w:tcPr>
            <w:tcW w:w="5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5,059</w:t>
            </w:r>
          </w:p>
        </w:tc>
        <w:tc>
          <w:tcPr>
            <w:tcW w:w="3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834</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1,267</w:t>
            </w:r>
          </w:p>
        </w:tc>
        <w:tc>
          <w:tcPr>
            <w:tcW w:w="4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1,199</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1,759</w:t>
            </w:r>
          </w:p>
        </w:tc>
      </w:tr>
    </w:tbl>
    <w:p>
      <w:pPr>
        <w:spacing w:after="0" w:line="175" w:lineRule="exact"/>
        <w:rPr>
          <w:sz w:val="20"/>
          <w:szCs w:val="20"/>
          <w:color w:val="auto"/>
        </w:rPr>
      </w:pPr>
    </w:p>
    <w:p>
      <w:pPr>
        <w:jc w:val="both"/>
        <w:ind w:left="360" w:right="99" w:hanging="255"/>
        <w:spacing w:after="0" w:line="228" w:lineRule="auto"/>
        <w:tabs>
          <w:tab w:leader="none" w:pos="360" w:val="left"/>
        </w:tabs>
        <w:numPr>
          <w:ilvl w:val="0"/>
          <w:numId w:val="13"/>
        </w:numPr>
        <w:rPr>
          <w:rFonts w:ascii="Arial" w:cs="Arial" w:eastAsia="Arial" w:hAnsi="Arial"/>
          <w:sz w:val="12"/>
          <w:szCs w:val="12"/>
          <w:color w:val="auto"/>
        </w:rPr>
      </w:pPr>
      <w:r>
        <w:rPr>
          <w:rFonts w:ascii="Arial" w:cs="Arial" w:eastAsia="Arial" w:hAnsi="Arial"/>
          <w:sz w:val="14"/>
          <w:szCs w:val="14"/>
          <w:color w:val="auto"/>
        </w:rPr>
        <w:t xml:space="preserve">The amounts presented above represent the contractual maturities of our long-term debt, including interest; however, it excludes the unamortized gain of the interest rate swap of $7 million. Additional information is included in the </w:t>
      </w:r>
      <w:r>
        <w:rPr>
          <w:rFonts w:ascii="Arial" w:cs="Arial" w:eastAsia="Arial" w:hAnsi="Arial"/>
          <w:sz w:val="14"/>
          <w:szCs w:val="14"/>
          <w:i w:val="1"/>
          <w:iCs w:val="1"/>
          <w:color w:val="auto"/>
        </w:rPr>
        <w:t>Long-Term Debt</w:t>
      </w:r>
      <w:r>
        <w:rPr>
          <w:rFonts w:ascii="Arial" w:cs="Arial" w:eastAsia="Arial" w:hAnsi="Arial"/>
          <w:sz w:val="14"/>
          <w:szCs w:val="14"/>
          <w:color w:val="auto"/>
        </w:rPr>
        <w:t xml:space="preserve"> note under “Item 8. Consolidated Financial Statements and Supplementary Data.”</w:t>
      </w:r>
    </w:p>
    <w:p>
      <w:pPr>
        <w:spacing w:after="0" w:line="67" w:lineRule="exact"/>
        <w:rPr>
          <w:rFonts w:ascii="Arial" w:cs="Arial" w:eastAsia="Arial" w:hAnsi="Arial"/>
          <w:sz w:val="12"/>
          <w:szCs w:val="12"/>
          <w:color w:val="auto"/>
        </w:rPr>
      </w:pPr>
    </w:p>
    <w:p>
      <w:pPr>
        <w:jc w:val="both"/>
        <w:ind w:left="360" w:right="99" w:hanging="255"/>
        <w:spacing w:after="0" w:line="226" w:lineRule="auto"/>
        <w:tabs>
          <w:tab w:leader="none" w:pos="360" w:val="left"/>
        </w:tabs>
        <w:numPr>
          <w:ilvl w:val="0"/>
          <w:numId w:val="13"/>
        </w:numPr>
        <w:rPr>
          <w:rFonts w:ascii="Arial" w:cs="Arial" w:eastAsia="Arial" w:hAnsi="Arial"/>
          <w:sz w:val="12"/>
          <w:szCs w:val="12"/>
          <w:color w:val="auto"/>
        </w:rPr>
      </w:pPr>
      <w:r>
        <w:rPr>
          <w:rFonts w:ascii="Arial" w:cs="Arial" w:eastAsia="Arial" w:hAnsi="Arial"/>
          <w:sz w:val="14"/>
          <w:szCs w:val="14"/>
          <w:color w:val="auto"/>
        </w:rPr>
        <w:t>The amounts presented represent the future minimum lease payments under non-cancellable operating leases. In addition to minimum rent, certain of our leases require the payment of additional costs for insurance, maintenance, and other costs. These costs have historically represented approximately 20 to 30 percent of the minimum rent amount. These additional amounts are not included in the table of contractual commitments as the timing and/or amounts of such payments are unknown.</w:t>
      </w:r>
    </w:p>
    <w:p>
      <w:pPr>
        <w:spacing w:after="0" w:line="122" w:lineRule="exact"/>
        <w:rPr>
          <w:rFonts w:ascii="Arial" w:cs="Arial" w:eastAsia="Arial" w:hAnsi="Arial"/>
          <w:sz w:val="12"/>
          <w:szCs w:val="12"/>
          <w:color w:val="auto"/>
        </w:rPr>
      </w:pPr>
    </w:p>
    <w:p>
      <w:pPr>
        <w:jc w:val="both"/>
        <w:ind w:left="360" w:right="99" w:hanging="255"/>
        <w:spacing w:after="0" w:line="223" w:lineRule="auto"/>
        <w:tabs>
          <w:tab w:leader="none" w:pos="360" w:val="left"/>
        </w:tabs>
        <w:numPr>
          <w:ilvl w:val="0"/>
          <w:numId w:val="13"/>
        </w:numPr>
        <w:rPr>
          <w:rFonts w:ascii="Arial" w:cs="Arial" w:eastAsia="Arial" w:hAnsi="Arial"/>
          <w:sz w:val="12"/>
          <w:szCs w:val="12"/>
          <w:color w:val="auto"/>
        </w:rPr>
      </w:pPr>
      <w:r>
        <w:rPr>
          <w:rFonts w:ascii="Arial" w:cs="Arial" w:eastAsia="Arial" w:hAnsi="Arial"/>
          <w:sz w:val="14"/>
          <w:szCs w:val="14"/>
          <w:color w:val="auto"/>
        </w:rPr>
        <w:t xml:space="preserve">Other liabilities in the Consolidated Balance Sheet at February 3, 2018 primarily comprise pension and postretirement benefits, deferred rent liability, income taxes, workers’ compensation and general liability reserves, and various other accruals. The amount presented in the table includes the 2018 scheduled contribution of $128 million to our U.S. qualified pension plan. However, it does not include any amounts that will be paid from the $150 million qualified settlement fund as the timing and amount are not presently known. With regards to amounts payable related to the Tax Act, we have included $89 million in the table above but we have excluded other payments totaling $10 million, as the timing is not determinable at this time. Other than these liabilities, other amounts (including our unrecognized tax benefits of $44 million) have been excluded from the table above as the timing and/or amount of any cash payment is uncertain. Remaining amounts for which the timing is known have not been included as they are minimal and not useful to the presentation. Additional information is included in the </w:t>
      </w:r>
      <w:r>
        <w:rPr>
          <w:rFonts w:ascii="Arial" w:cs="Arial" w:eastAsia="Arial" w:hAnsi="Arial"/>
          <w:sz w:val="14"/>
          <w:szCs w:val="14"/>
          <w:i w:val="1"/>
          <w:iCs w:val="1"/>
          <w:color w:val="auto"/>
        </w:rPr>
        <w:t>Other Liabilities,</w:t>
      </w:r>
      <w:r>
        <w:rPr>
          <w:rFonts w:ascii="Arial" w:cs="Arial" w:eastAsia="Arial" w:hAnsi="Arial"/>
          <w:sz w:val="14"/>
          <w:szCs w:val="14"/>
          <w:color w:val="auto"/>
        </w:rPr>
        <w:t xml:space="preserve"> </w:t>
      </w:r>
      <w:r>
        <w:rPr>
          <w:rFonts w:ascii="Arial" w:cs="Arial" w:eastAsia="Arial" w:hAnsi="Arial"/>
          <w:sz w:val="14"/>
          <w:szCs w:val="14"/>
          <w:i w:val="1"/>
          <w:iCs w:val="1"/>
          <w:color w:val="auto"/>
        </w:rPr>
        <w:t>Financial Instruments and Risk Management</w:t>
      </w:r>
      <w:r>
        <w:rPr>
          <w:rFonts w:ascii="Arial" w:cs="Arial" w:eastAsia="Arial" w:hAnsi="Arial"/>
          <w:sz w:val="14"/>
          <w:szCs w:val="14"/>
          <w:color w:val="auto"/>
        </w:rPr>
        <w:t>, and</w:t>
      </w:r>
      <w:r>
        <w:rPr>
          <w:rFonts w:ascii="Arial" w:cs="Arial" w:eastAsia="Arial" w:hAnsi="Arial"/>
          <w:sz w:val="14"/>
          <w:szCs w:val="14"/>
          <w:i w:val="1"/>
          <w:iCs w:val="1"/>
          <w:color w:val="auto"/>
        </w:rPr>
        <w:t xml:space="preserve"> Retirement Plans and Other Benefits </w:t>
      </w:r>
      <w:r>
        <w:rPr>
          <w:rFonts w:ascii="Arial" w:cs="Arial" w:eastAsia="Arial" w:hAnsi="Arial"/>
          <w:sz w:val="14"/>
          <w:szCs w:val="14"/>
          <w:color w:val="auto"/>
        </w:rPr>
        <w:t>notes under “Item 8. Consolidated Financial</w:t>
      </w:r>
      <w:r>
        <w:rPr>
          <w:rFonts w:ascii="Arial" w:cs="Arial" w:eastAsia="Arial" w:hAnsi="Arial"/>
          <w:sz w:val="14"/>
          <w:szCs w:val="14"/>
          <w:i w:val="1"/>
          <w:iCs w:val="1"/>
          <w:color w:val="auto"/>
        </w:rPr>
        <w:t xml:space="preserve"> </w:t>
      </w:r>
      <w:r>
        <w:rPr>
          <w:rFonts w:ascii="Arial" w:cs="Arial" w:eastAsia="Arial" w:hAnsi="Arial"/>
          <w:sz w:val="14"/>
          <w:szCs w:val="14"/>
          <w:color w:val="auto"/>
        </w:rPr>
        <w:t>Statements and Supplementary Data.</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58" w:right="1440" w:bottom="1440" w:gutter="0" w:footer="0" w:header="0"/>
        </w:sectPr>
      </w:pPr>
    </w:p>
    <w:bookmarkStart w:id="32" w:name="page33"/>
    <w:bookmarkEnd w:id="32"/>
    <w:tbl>
      <w:tblPr>
        <w:tblLayout w:type="fixed"/>
        <w:tblInd w:w="100" w:type="dxa"/>
        <w:tblCellMar>
          <w:top w:w="0" w:type="dxa"/>
          <w:left w:w="0" w:type="dxa"/>
          <w:bottom w:w="0" w:type="dxa"/>
          <w:right w:w="0" w:type="dxa"/>
        </w:tblCellMar>
      </w:tblPr>
      <w:tr>
        <w:trPr>
          <w:trHeight w:val="215"/>
        </w:trPr>
        <w:tc>
          <w:tcPr>
            <w:tcW w:w="29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Payments Due by Fiscal Period</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19"/>
        </w:trPr>
        <w:tc>
          <w:tcPr>
            <w:tcW w:w="2960" w:type="dxa"/>
            <w:vAlign w:val="bottom"/>
          </w:tcPr>
          <w:p>
            <w:pPr>
              <w:spacing w:after="0"/>
              <w:rPr>
                <w:sz w:val="20"/>
                <w:szCs w:val="20"/>
                <w:color w:val="auto"/>
              </w:rPr>
            </w:pPr>
            <w:r>
              <w:rPr>
                <w:rFonts w:ascii="Arial" w:cs="Arial" w:eastAsia="Arial" w:hAnsi="Arial"/>
                <w:sz w:val="17"/>
                <w:szCs w:val="17"/>
                <w:b w:val="1"/>
                <w:bCs w:val="1"/>
                <w:color w:val="auto"/>
              </w:rPr>
              <w:t>Other Commercial</w:t>
            </w: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7"/>
                <w:szCs w:val="17"/>
                <w:b w:val="1"/>
                <w:bCs w:val="1"/>
                <w:color w:val="auto"/>
                <w:w w:val="98"/>
              </w:rPr>
              <w:t>2023 and</w:t>
            </w:r>
          </w:p>
        </w:tc>
      </w:tr>
      <w:tr>
        <w:trPr>
          <w:trHeight w:val="220"/>
        </w:trPr>
        <w:tc>
          <w:tcPr>
            <w:tcW w:w="29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Commitments</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Total</w:t>
            </w: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2018</w:t>
            </w:r>
          </w:p>
        </w:tc>
        <w:tc>
          <w:tcPr>
            <w:tcW w:w="1320" w:type="dxa"/>
            <w:vAlign w:val="bottom"/>
            <w:tcBorders>
              <w:bottom w:val="single" w:sz="8" w:color="auto"/>
            </w:tcBorders>
            <w:gridSpan w:val="2"/>
          </w:tcPr>
          <w:p>
            <w:pPr>
              <w:jc w:val="right"/>
              <w:ind w:right="95"/>
              <w:spacing w:after="0"/>
              <w:rPr>
                <w:sz w:val="20"/>
                <w:szCs w:val="20"/>
                <w:color w:val="auto"/>
              </w:rPr>
            </w:pPr>
            <w:r>
              <w:rPr>
                <w:rFonts w:ascii="Arial" w:cs="Arial" w:eastAsia="Arial" w:hAnsi="Arial"/>
                <w:sz w:val="17"/>
                <w:szCs w:val="17"/>
                <w:b w:val="1"/>
                <w:bCs w:val="1"/>
                <w:color w:val="auto"/>
              </w:rPr>
              <w:t>2019-2020</w:t>
            </w:r>
          </w:p>
        </w:tc>
        <w:tc>
          <w:tcPr>
            <w:tcW w:w="1280" w:type="dxa"/>
            <w:vAlign w:val="bottom"/>
            <w:tcBorders>
              <w:bottom w:val="single" w:sz="8" w:color="auto"/>
            </w:tcBorders>
            <w:gridSpan w:val="2"/>
          </w:tcPr>
          <w:p>
            <w:pPr>
              <w:jc w:val="right"/>
              <w:ind w:right="195"/>
              <w:spacing w:after="0"/>
              <w:rPr>
                <w:sz w:val="20"/>
                <w:szCs w:val="20"/>
                <w:color w:val="auto"/>
              </w:rPr>
            </w:pPr>
            <w:r>
              <w:rPr>
                <w:rFonts w:ascii="Arial" w:cs="Arial" w:eastAsia="Arial" w:hAnsi="Arial"/>
                <w:sz w:val="17"/>
                <w:szCs w:val="17"/>
                <w:b w:val="1"/>
                <w:bCs w:val="1"/>
                <w:color w:val="auto"/>
              </w:rPr>
              <w:t>2021-2022</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Beyond</w:t>
            </w:r>
          </w:p>
        </w:tc>
      </w:tr>
      <w:tr>
        <w:trPr>
          <w:trHeight w:val="210"/>
        </w:trPr>
        <w:tc>
          <w:tcPr>
            <w:tcW w:w="2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35"/>
              <w:spacing w:after="0"/>
              <w:rPr>
                <w:sz w:val="20"/>
                <w:szCs w:val="20"/>
                <w:color w:val="auto"/>
              </w:rPr>
            </w:pPr>
            <w:r>
              <w:rPr>
                <w:rFonts w:ascii="Arial" w:cs="Arial" w:eastAsia="Arial" w:hAnsi="Arial"/>
                <w:sz w:val="17"/>
                <w:szCs w:val="17"/>
                <w:color w:val="auto"/>
                <w:w w:val="99"/>
              </w:rPr>
              <w:t>in millions)</w:t>
            </w: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 xml:space="preserve">Purchase commitments </w:t>
            </w:r>
            <w:r>
              <w:rPr>
                <w:rFonts w:ascii="Arial" w:cs="Arial" w:eastAsia="Arial" w:hAnsi="Arial"/>
                <w:sz w:val="8"/>
                <w:szCs w:val="8"/>
                <w:color w:val="auto"/>
              </w:rPr>
              <w:t>(1)</w:t>
            </w:r>
          </w:p>
        </w:tc>
        <w:tc>
          <w:tcPr>
            <w:tcW w:w="3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2,130</w:t>
            </w:r>
          </w:p>
        </w:tc>
        <w:tc>
          <w:tcPr>
            <w:tcW w:w="3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2,130</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ind w:left="680"/>
              <w:spacing w:after="0"/>
              <w:rPr>
                <w:sz w:val="20"/>
                <w:szCs w:val="20"/>
                <w:color w:val="auto"/>
              </w:rPr>
            </w:pPr>
            <w:r>
              <w:rPr>
                <w:rFonts w:ascii="Arial" w:cs="Arial" w:eastAsia="Arial" w:hAnsi="Arial"/>
                <w:sz w:val="17"/>
                <w:szCs w:val="17"/>
                <w:color w:val="auto"/>
                <w:w w:val="82"/>
              </w:rPr>
              <w:t>—</w:t>
            </w:r>
          </w:p>
        </w:tc>
      </w:tr>
      <w:tr>
        <w:trPr>
          <w:trHeight w:val="230"/>
        </w:trPr>
        <w:tc>
          <w:tcPr>
            <w:tcW w:w="2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xml:space="preserve">Other </w:t>
            </w:r>
            <w:r>
              <w:rPr>
                <w:rFonts w:ascii="Arial" w:cs="Arial" w:eastAsia="Arial" w:hAnsi="Arial"/>
                <w:sz w:val="8"/>
                <w:szCs w:val="8"/>
                <w:color w:val="auto"/>
              </w:rPr>
              <w:t>(2)</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44</w:t>
            </w: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22</w:t>
            </w:r>
          </w:p>
        </w:tc>
        <w:tc>
          <w:tcPr>
            <w:tcW w:w="5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680"/>
              <w:spacing w:after="0"/>
              <w:rPr>
                <w:sz w:val="20"/>
                <w:szCs w:val="20"/>
                <w:color w:val="auto"/>
              </w:rPr>
            </w:pPr>
            <w:r>
              <w:rPr>
                <w:rFonts w:ascii="Arial" w:cs="Arial" w:eastAsia="Arial" w:hAnsi="Arial"/>
                <w:sz w:val="17"/>
                <w:szCs w:val="17"/>
                <w:color w:val="auto"/>
                <w:w w:val="82"/>
              </w:rPr>
              <w:t>—</w:t>
            </w:r>
          </w:p>
        </w:tc>
      </w:tr>
      <w:tr>
        <w:trPr>
          <w:trHeight w:val="203"/>
        </w:trPr>
        <w:tc>
          <w:tcPr>
            <w:tcW w:w="2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 other commercial commitments</w:t>
            </w:r>
          </w:p>
        </w:tc>
        <w:tc>
          <w:tcPr>
            <w:tcW w:w="3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2,174</w:t>
            </w:r>
          </w:p>
        </w:tc>
        <w:tc>
          <w:tcPr>
            <w:tcW w:w="3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2,151</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22</w:t>
            </w:r>
          </w:p>
        </w:tc>
        <w:tc>
          <w:tcPr>
            <w:tcW w:w="54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7"/>
                <w:szCs w:val="17"/>
                <w:color w:val="auto"/>
                <w:w w:val="82"/>
              </w:rPr>
              <w:t>—</w:t>
            </w:r>
          </w:p>
        </w:tc>
      </w:tr>
    </w:tbl>
    <w:p>
      <w:pPr>
        <w:spacing w:after="0" w:line="161" w:lineRule="exact"/>
        <w:rPr>
          <w:sz w:val="20"/>
          <w:szCs w:val="20"/>
          <w:color w:val="auto"/>
        </w:rPr>
      </w:pPr>
    </w:p>
    <w:p>
      <w:pPr>
        <w:jc w:val="both"/>
        <w:ind w:left="360" w:right="99" w:hanging="255"/>
        <w:spacing w:after="0" w:line="228" w:lineRule="auto"/>
        <w:tabs>
          <w:tab w:leader="none" w:pos="360" w:val="left"/>
        </w:tabs>
        <w:numPr>
          <w:ilvl w:val="0"/>
          <w:numId w:val="14"/>
        </w:numPr>
        <w:rPr>
          <w:rFonts w:ascii="Arial" w:cs="Arial" w:eastAsia="Arial" w:hAnsi="Arial"/>
          <w:sz w:val="12"/>
          <w:szCs w:val="12"/>
          <w:color w:val="auto"/>
        </w:rPr>
      </w:pPr>
      <w:r>
        <w:rPr>
          <w:rFonts w:ascii="Arial" w:cs="Arial" w:eastAsia="Arial" w:hAnsi="Arial"/>
          <w:sz w:val="14"/>
          <w:szCs w:val="14"/>
          <w:color w:val="auto"/>
        </w:rPr>
        <w:t>Represents open purchase orders, as well as other commitments for merchandise purchases, at February 3, 2018. We are obligated under the terms of purchase orders; however, we are generally able to renegotiate the timing and quantity of these orders with certain suppliers in response to shifts in consumer preferences.</w:t>
      </w:r>
    </w:p>
    <w:p>
      <w:pPr>
        <w:ind w:left="360" w:hanging="255"/>
        <w:spacing w:after="0" w:line="196" w:lineRule="auto"/>
        <w:tabs>
          <w:tab w:leader="none" w:pos="360" w:val="left"/>
        </w:tabs>
        <w:numPr>
          <w:ilvl w:val="0"/>
          <w:numId w:val="14"/>
        </w:numPr>
        <w:rPr>
          <w:rFonts w:ascii="Arial" w:cs="Arial" w:eastAsia="Arial" w:hAnsi="Arial"/>
          <w:sz w:val="23"/>
          <w:szCs w:val="23"/>
          <w:color w:val="auto"/>
          <w:vertAlign w:val="superscript"/>
        </w:rPr>
      </w:pPr>
      <w:r>
        <w:rPr>
          <w:rFonts w:ascii="Arial" w:cs="Arial" w:eastAsia="Arial" w:hAnsi="Arial"/>
          <w:sz w:val="14"/>
          <w:szCs w:val="14"/>
          <w:color w:val="auto"/>
        </w:rPr>
        <w:t>Represents payments required by non-merchandise purchase agreements.</w:t>
      </w:r>
    </w:p>
    <w:p>
      <w:pPr>
        <w:spacing w:after="0" w:line="150"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Off-Balance Sheet Arrangements</w:t>
      </w:r>
    </w:p>
    <w:p>
      <w:pPr>
        <w:spacing w:after="0" w:line="203"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 xml:space="preserve">The majority of our contractual obligations relate to operating leases for our stores. Future scheduled lease payments under non-cancellable operating leases as of February 3, 2018 are described in the table under </w:t>
      </w:r>
      <w:r>
        <w:rPr>
          <w:rFonts w:ascii="Arial" w:cs="Arial" w:eastAsia="Arial" w:hAnsi="Arial"/>
          <w:sz w:val="17"/>
          <w:szCs w:val="17"/>
          <w:i w:val="1"/>
          <w:iCs w:val="1"/>
          <w:color w:val="auto"/>
        </w:rPr>
        <w:t xml:space="preserve">Contractual Obligations and Commitments </w:t>
      </w:r>
      <w:r>
        <w:rPr>
          <w:rFonts w:ascii="Arial" w:cs="Arial" w:eastAsia="Arial" w:hAnsi="Arial"/>
          <w:sz w:val="17"/>
          <w:szCs w:val="17"/>
          <w:color w:val="auto"/>
        </w:rPr>
        <w:t>on the preceding page and with additional information in the</w:t>
      </w:r>
      <w:r>
        <w:rPr>
          <w:rFonts w:ascii="Arial" w:cs="Arial" w:eastAsia="Arial" w:hAnsi="Arial"/>
          <w:sz w:val="17"/>
          <w:szCs w:val="17"/>
          <w:i w:val="1"/>
          <w:iCs w:val="1"/>
          <w:color w:val="auto"/>
        </w:rPr>
        <w:t xml:space="preserve"> Leases </w:t>
      </w:r>
      <w:r>
        <w:rPr>
          <w:rFonts w:ascii="Arial" w:cs="Arial" w:eastAsia="Arial" w:hAnsi="Arial"/>
          <w:sz w:val="17"/>
          <w:szCs w:val="17"/>
          <w:color w:val="auto"/>
        </w:rPr>
        <w:t>note</w:t>
      </w:r>
      <w:r>
        <w:rPr>
          <w:rFonts w:ascii="Arial" w:cs="Arial" w:eastAsia="Arial" w:hAnsi="Arial"/>
          <w:sz w:val="17"/>
          <w:szCs w:val="17"/>
          <w:i w:val="1"/>
          <w:iCs w:val="1"/>
          <w:color w:val="auto"/>
        </w:rPr>
        <w:t xml:space="preserve"> </w:t>
      </w:r>
      <w:r>
        <w:rPr>
          <w:rFonts w:ascii="Arial" w:cs="Arial" w:eastAsia="Arial" w:hAnsi="Arial"/>
          <w:sz w:val="17"/>
          <w:szCs w:val="17"/>
          <w:color w:val="auto"/>
        </w:rPr>
        <w:t>in “Item 8. Consolidated Financial Statements and Supplementary Data.”</w:t>
      </w:r>
    </w:p>
    <w:p>
      <w:pPr>
        <w:spacing w:after="0" w:line="177"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We have not entered into any transactions with unconsolidated entities that expose the Company to material continuing risks, contingent liabilities, or any other obligation under a variable interest in an unconsolidated entity. Also, our financial policies prohibit the use of derivatives for which there is no underlying exposure.</w:t>
      </w:r>
    </w:p>
    <w:p>
      <w:pPr>
        <w:spacing w:after="0" w:line="175"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In connection with the sale of various businesses and assets, we may be obligated for certain lease commitments transferred to third parties and pursuant to certain normal representations, warranties, or indemnifications entered into with the purchasers of such businesses or assets. Although the maximum potential amounts for such obligations cannot be readily determined, we believe that the resolution of such contingencies will not significantly affect our consolidated financial position, liquidity, or results of operations. We also operate certain stores for which lease agreements are in the process of being negotiated with landlords. Although there is no contractual commitment to make these payments, it is likely that leases will be executed.</w:t>
      </w:r>
    </w:p>
    <w:p>
      <w:pPr>
        <w:spacing w:after="0" w:line="104"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Critical Accounting Policies</w:t>
      </w:r>
    </w:p>
    <w:p>
      <w:pPr>
        <w:spacing w:after="0" w:line="203"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 xml:space="preserve">Our responsibility for integrity and objectivity in the preparation and presentation of the financial statements requires diligent application of appropriate accounting policies. Generally, our accounting policies and methods are those specifically required by U.S. generally accepted accounting principles. Included in the </w:t>
      </w:r>
      <w:r>
        <w:rPr>
          <w:rFonts w:ascii="Arial" w:cs="Arial" w:eastAsia="Arial" w:hAnsi="Arial"/>
          <w:sz w:val="17"/>
          <w:szCs w:val="17"/>
          <w:i w:val="1"/>
          <w:iCs w:val="1"/>
          <w:color w:val="auto"/>
        </w:rPr>
        <w:t>Summary of Significant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Policies </w:t>
      </w:r>
      <w:r>
        <w:rPr>
          <w:rFonts w:ascii="Arial" w:cs="Arial" w:eastAsia="Arial" w:hAnsi="Arial"/>
          <w:sz w:val="17"/>
          <w:szCs w:val="17"/>
          <w:color w:val="auto"/>
        </w:rPr>
        <w:t>note in “Item 8. Consolidated Financial Statements and Supplementary Data” is a summary of</w:t>
      </w:r>
      <w:r>
        <w:rPr>
          <w:rFonts w:ascii="Arial" w:cs="Arial" w:eastAsia="Arial" w:hAnsi="Arial"/>
          <w:sz w:val="17"/>
          <w:szCs w:val="17"/>
          <w:i w:val="1"/>
          <w:iCs w:val="1"/>
          <w:color w:val="auto"/>
        </w:rPr>
        <w:t xml:space="preserve"> </w:t>
      </w:r>
      <w:r>
        <w:rPr>
          <w:rFonts w:ascii="Arial" w:cs="Arial" w:eastAsia="Arial" w:hAnsi="Arial"/>
          <w:sz w:val="17"/>
          <w:szCs w:val="17"/>
          <w:color w:val="auto"/>
        </w:rPr>
        <w:t>the most significant accounting policies. In some cases, we are required to calculate amounts based on estimates for matters that are inherently uncertain. We believe the following to be the most critical of those accounting policies that necessitate subjective judgments.</w:t>
      </w:r>
    </w:p>
    <w:p>
      <w:pPr>
        <w:spacing w:after="0" w:line="160" w:lineRule="exact"/>
        <w:rPr>
          <w:sz w:val="20"/>
          <w:szCs w:val="20"/>
          <w:color w:val="auto"/>
        </w:rPr>
      </w:pPr>
    </w:p>
    <w:p>
      <w:pPr>
        <w:ind w:left="100"/>
        <w:spacing w:after="0"/>
        <w:rPr>
          <w:sz w:val="20"/>
          <w:szCs w:val="20"/>
          <w:color w:val="auto"/>
        </w:rPr>
      </w:pPr>
      <w:r>
        <w:rPr>
          <w:rFonts w:ascii="Arial" w:cs="Arial" w:eastAsia="Arial" w:hAnsi="Arial"/>
          <w:sz w:val="17"/>
          <w:szCs w:val="17"/>
          <w:i w:val="1"/>
          <w:iCs w:val="1"/>
          <w:u w:val="single" w:color="auto"/>
          <w:color w:val="auto"/>
        </w:rPr>
        <w:t>Merchandise Inventories and Cost of Sales</w:t>
      </w:r>
    </w:p>
    <w:p>
      <w:pPr>
        <w:spacing w:after="0" w:line="201" w:lineRule="exact"/>
        <w:rPr>
          <w:sz w:val="20"/>
          <w:szCs w:val="20"/>
          <w:color w:val="auto"/>
        </w:rPr>
      </w:pPr>
    </w:p>
    <w:p>
      <w:pPr>
        <w:jc w:val="both"/>
        <w:ind w:left="100" w:right="99"/>
        <w:spacing w:after="0"/>
        <w:rPr>
          <w:sz w:val="20"/>
          <w:szCs w:val="20"/>
          <w:color w:val="auto"/>
        </w:rPr>
      </w:pPr>
      <w:r>
        <w:rPr>
          <w:rFonts w:ascii="Arial" w:cs="Arial" w:eastAsia="Arial" w:hAnsi="Arial"/>
          <w:sz w:val="17"/>
          <w:szCs w:val="17"/>
          <w:color w:val="auto"/>
        </w:rPr>
        <w:t>Merchandise inventories for the Athletic Stores segment are valued at the lower of cost or market using the retail inventory method (“RIM”). The RIM is commonly used by retail companies to value inventories at cost and calculate gross margins due to its practicality. Under the retail method, cost is determined by applying a cost-to-retail percentage across groupings of similar items, known as departments. The cost-to-retail percentage is applied to ending inventory at its current owned retail valuation to determine the cost of ending inventory on a department basis.</w:t>
      </w:r>
    </w:p>
    <w:p>
      <w:pPr>
        <w:spacing w:after="0" w:line="346"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The RIM is a system of averages that requires estimates and assumptions regarding markups, markdowns and shrink, among others, and as such, could result in distortions of inventory amounts. Judgment is required for these estimates and assumptions, as well as to differentiate between promotional and other markdowns that may be required to correctly reflect merchandise inventories at the lower of cost or market. Reserves are established based on current selling prices when the inventory has not been marked down to market. The failure to take permanent markdowns on a timely basis may result in an overstatement of cost under the retail inventory method. The decision to take permanent markdowns includes many factors, including the current retail environment, inventory levels, and the age of the item. We believe this method and its related assumptions, which have been consistently applied, to be reasonable.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464" w:right="1440" w:bottom="1440" w:gutter="0" w:footer="0" w:header="0"/>
        </w:sectPr>
      </w:pPr>
    </w:p>
    <w:bookmarkStart w:id="33" w:name="page34"/>
    <w:bookmarkEnd w:id="33"/>
    <w:p>
      <w:pPr>
        <w:ind w:left="100"/>
        <w:spacing w:after="0"/>
        <w:rPr>
          <w:sz w:val="20"/>
          <w:szCs w:val="20"/>
          <w:color w:val="auto"/>
        </w:rPr>
      </w:pPr>
      <w:r>
        <w:rPr>
          <w:rFonts w:ascii="Arial" w:cs="Arial" w:eastAsia="Arial" w:hAnsi="Arial"/>
          <w:sz w:val="17"/>
          <w:szCs w:val="17"/>
          <w:i w:val="1"/>
          <w:iCs w:val="1"/>
          <w:u w:val="single" w:color="auto"/>
          <w:color w:val="auto"/>
        </w:rPr>
        <w:t>Impairment of Long-Lived Tangible Assets and Goodwill</w:t>
      </w:r>
    </w:p>
    <w:p>
      <w:pPr>
        <w:spacing w:after="0" w:line="208" w:lineRule="exact"/>
        <w:rPr>
          <w:sz w:val="20"/>
          <w:szCs w:val="20"/>
          <w:color w:val="auto"/>
        </w:rPr>
      </w:pPr>
    </w:p>
    <w:tbl>
      <w:tblPr>
        <w:tblLayout w:type="fixed"/>
        <w:tblInd w:w="100" w:type="dxa"/>
        <w:tblCellMar>
          <w:top w:w="0" w:type="dxa"/>
          <w:left w:w="0" w:type="dxa"/>
          <w:bottom w:w="0" w:type="dxa"/>
          <w:right w:w="0" w:type="dxa"/>
        </w:tblCellMar>
      </w:tblPr>
      <w:tr>
        <w:trPr>
          <w:trHeight w:val="195"/>
        </w:trPr>
        <w:tc>
          <w:tcPr>
            <w:tcW w:w="1280" w:type="dxa"/>
            <w:vAlign w:val="bottom"/>
          </w:tcPr>
          <w:p>
            <w:pPr>
              <w:ind w:left="220"/>
              <w:spacing w:after="0"/>
              <w:rPr>
                <w:sz w:val="20"/>
                <w:szCs w:val="20"/>
                <w:color w:val="auto"/>
              </w:rPr>
            </w:pPr>
            <w:r>
              <w:rPr>
                <w:rFonts w:ascii="Arial" w:cs="Arial" w:eastAsia="Arial" w:hAnsi="Arial"/>
                <w:sz w:val="17"/>
                <w:szCs w:val="17"/>
                <w:color w:val="auto"/>
              </w:rPr>
              <w:t>Long-Lived</w:t>
            </w:r>
          </w:p>
        </w:tc>
        <w:tc>
          <w:tcPr>
            <w:tcW w:w="7580" w:type="dxa"/>
            <w:vAlign w:val="bottom"/>
          </w:tcPr>
          <w:p>
            <w:pPr>
              <w:ind w:left="200"/>
              <w:spacing w:after="0"/>
              <w:rPr>
                <w:sz w:val="20"/>
                <w:szCs w:val="20"/>
                <w:color w:val="auto"/>
              </w:rPr>
            </w:pPr>
            <w:r>
              <w:rPr>
                <w:rFonts w:ascii="Arial" w:cs="Arial" w:eastAsia="Arial" w:hAnsi="Arial"/>
                <w:sz w:val="17"/>
                <w:szCs w:val="17"/>
                <w:color w:val="auto"/>
              </w:rPr>
              <w:t>We perform an impairment review when circumstances indicate that the carrying value of long-</w:t>
            </w:r>
          </w:p>
        </w:tc>
      </w:tr>
      <w:tr>
        <w:trPr>
          <w:trHeight w:val="189"/>
        </w:trPr>
        <w:tc>
          <w:tcPr>
            <w:tcW w:w="1280" w:type="dxa"/>
            <w:vAlign w:val="bottom"/>
          </w:tcPr>
          <w:p>
            <w:pPr>
              <w:ind w:left="220"/>
              <w:spacing w:after="0" w:line="189" w:lineRule="exact"/>
              <w:rPr>
                <w:sz w:val="20"/>
                <w:szCs w:val="20"/>
                <w:color w:val="auto"/>
              </w:rPr>
            </w:pPr>
            <w:r>
              <w:rPr>
                <w:rFonts w:ascii="Arial" w:cs="Arial" w:eastAsia="Arial" w:hAnsi="Arial"/>
                <w:sz w:val="17"/>
                <w:szCs w:val="17"/>
                <w:color w:val="auto"/>
              </w:rPr>
              <w:t>Tangible</w:t>
            </w:r>
          </w:p>
        </w:tc>
        <w:tc>
          <w:tcPr>
            <w:tcW w:w="7580" w:type="dxa"/>
            <w:vAlign w:val="bottom"/>
          </w:tcPr>
          <w:p>
            <w:pPr>
              <w:ind w:left="200"/>
              <w:spacing w:after="0" w:line="189" w:lineRule="exact"/>
              <w:rPr>
                <w:sz w:val="20"/>
                <w:szCs w:val="20"/>
                <w:color w:val="auto"/>
              </w:rPr>
            </w:pPr>
            <w:r>
              <w:rPr>
                <w:rFonts w:ascii="Arial" w:cs="Arial" w:eastAsia="Arial" w:hAnsi="Arial"/>
                <w:sz w:val="17"/>
                <w:szCs w:val="17"/>
                <w:color w:val="auto"/>
              </w:rPr>
              <w:t>lived  tangible  assets  may  not  be  recoverable.  Our  policy  for  determining  whether  an</w:t>
            </w:r>
          </w:p>
        </w:tc>
      </w:tr>
      <w:tr>
        <w:trPr>
          <w:trHeight w:val="189"/>
        </w:trPr>
        <w:tc>
          <w:tcPr>
            <w:tcW w:w="1280" w:type="dxa"/>
            <w:vAlign w:val="bottom"/>
          </w:tcPr>
          <w:p>
            <w:pPr>
              <w:ind w:left="220"/>
              <w:spacing w:after="0" w:line="189" w:lineRule="exact"/>
              <w:rPr>
                <w:sz w:val="20"/>
                <w:szCs w:val="20"/>
                <w:color w:val="auto"/>
              </w:rPr>
            </w:pPr>
            <w:r>
              <w:rPr>
                <w:rFonts w:ascii="Arial" w:cs="Arial" w:eastAsia="Arial" w:hAnsi="Arial"/>
                <w:sz w:val="17"/>
                <w:szCs w:val="17"/>
                <w:color w:val="auto"/>
              </w:rPr>
              <w:t>Assets</w:t>
            </w:r>
          </w:p>
        </w:tc>
        <w:tc>
          <w:tcPr>
            <w:tcW w:w="7580" w:type="dxa"/>
            <w:vAlign w:val="bottom"/>
          </w:tcPr>
          <w:p>
            <w:pPr>
              <w:ind w:left="200"/>
              <w:spacing w:after="0" w:line="189" w:lineRule="exact"/>
              <w:rPr>
                <w:sz w:val="20"/>
                <w:szCs w:val="20"/>
                <w:color w:val="auto"/>
              </w:rPr>
            </w:pPr>
            <w:r>
              <w:rPr>
                <w:rFonts w:ascii="Arial" w:cs="Arial" w:eastAsia="Arial" w:hAnsi="Arial"/>
                <w:sz w:val="17"/>
                <w:szCs w:val="17"/>
                <w:color w:val="auto"/>
              </w:rPr>
              <w:t>impairment indicator exists, a triggering event, comprises measurable operating performance</w:t>
            </w:r>
          </w:p>
        </w:tc>
      </w:tr>
      <w:tr>
        <w:trPr>
          <w:trHeight w:val="189"/>
        </w:trPr>
        <w:tc>
          <w:tcPr>
            <w:tcW w:w="1280" w:type="dxa"/>
            <w:vAlign w:val="bottom"/>
          </w:tcPr>
          <w:p>
            <w:pPr>
              <w:spacing w:after="0"/>
              <w:rPr>
                <w:sz w:val="16"/>
                <w:szCs w:val="16"/>
                <w:color w:val="auto"/>
              </w:rPr>
            </w:pPr>
          </w:p>
        </w:tc>
        <w:tc>
          <w:tcPr>
            <w:tcW w:w="7580" w:type="dxa"/>
            <w:vAlign w:val="bottom"/>
          </w:tcPr>
          <w:p>
            <w:pPr>
              <w:ind w:left="200"/>
              <w:spacing w:after="0" w:line="189" w:lineRule="exact"/>
              <w:rPr>
                <w:sz w:val="20"/>
                <w:szCs w:val="20"/>
                <w:color w:val="auto"/>
              </w:rPr>
            </w:pPr>
            <w:r>
              <w:rPr>
                <w:rFonts w:ascii="Arial" w:cs="Arial" w:eastAsia="Arial" w:hAnsi="Arial"/>
                <w:sz w:val="17"/>
                <w:szCs w:val="17"/>
                <w:color w:val="auto"/>
              </w:rPr>
              <w:t>criteria at the division level as well as qualitative measures. If an analysis is necessitated by the</w:t>
            </w:r>
          </w:p>
        </w:tc>
      </w:tr>
      <w:tr>
        <w:trPr>
          <w:trHeight w:val="189"/>
        </w:trPr>
        <w:tc>
          <w:tcPr>
            <w:tcW w:w="1280" w:type="dxa"/>
            <w:vAlign w:val="bottom"/>
          </w:tcPr>
          <w:p>
            <w:pPr>
              <w:spacing w:after="0"/>
              <w:rPr>
                <w:sz w:val="16"/>
                <w:szCs w:val="16"/>
                <w:color w:val="auto"/>
              </w:rPr>
            </w:pPr>
          </w:p>
        </w:tc>
        <w:tc>
          <w:tcPr>
            <w:tcW w:w="7580" w:type="dxa"/>
            <w:vAlign w:val="bottom"/>
          </w:tcPr>
          <w:p>
            <w:pPr>
              <w:ind w:left="200"/>
              <w:spacing w:after="0" w:line="189" w:lineRule="exact"/>
              <w:rPr>
                <w:sz w:val="20"/>
                <w:szCs w:val="20"/>
                <w:color w:val="auto"/>
              </w:rPr>
            </w:pPr>
            <w:r>
              <w:rPr>
                <w:rFonts w:ascii="Arial" w:cs="Arial" w:eastAsia="Arial" w:hAnsi="Arial"/>
                <w:sz w:val="17"/>
                <w:szCs w:val="17"/>
                <w:color w:val="auto"/>
              </w:rPr>
              <w:t>occurrence of a triggering event, we use assumptions which are predominately identified from</w:t>
            </w:r>
          </w:p>
        </w:tc>
      </w:tr>
      <w:tr>
        <w:trPr>
          <w:trHeight w:val="189"/>
        </w:trPr>
        <w:tc>
          <w:tcPr>
            <w:tcW w:w="1280" w:type="dxa"/>
            <w:vAlign w:val="bottom"/>
          </w:tcPr>
          <w:p>
            <w:pPr>
              <w:spacing w:after="0"/>
              <w:rPr>
                <w:sz w:val="16"/>
                <w:szCs w:val="16"/>
                <w:color w:val="auto"/>
              </w:rPr>
            </w:pPr>
          </w:p>
        </w:tc>
        <w:tc>
          <w:tcPr>
            <w:tcW w:w="7580" w:type="dxa"/>
            <w:vAlign w:val="bottom"/>
          </w:tcPr>
          <w:p>
            <w:pPr>
              <w:ind w:left="200"/>
              <w:spacing w:after="0" w:line="189" w:lineRule="exact"/>
              <w:rPr>
                <w:sz w:val="20"/>
                <w:szCs w:val="20"/>
                <w:color w:val="auto"/>
              </w:rPr>
            </w:pPr>
            <w:r>
              <w:rPr>
                <w:rFonts w:ascii="Arial" w:cs="Arial" w:eastAsia="Arial" w:hAnsi="Arial"/>
                <w:sz w:val="17"/>
                <w:szCs w:val="17"/>
                <w:color w:val="auto"/>
              </w:rPr>
              <w:t>our long-range strategic plans in performing an impairment review. In the calculation of the fair</w:t>
            </w:r>
          </w:p>
        </w:tc>
      </w:tr>
      <w:tr>
        <w:trPr>
          <w:trHeight w:val="189"/>
        </w:trPr>
        <w:tc>
          <w:tcPr>
            <w:tcW w:w="1280" w:type="dxa"/>
            <w:vAlign w:val="bottom"/>
          </w:tcPr>
          <w:p>
            <w:pPr>
              <w:spacing w:after="0"/>
              <w:rPr>
                <w:sz w:val="16"/>
                <w:szCs w:val="16"/>
                <w:color w:val="auto"/>
              </w:rPr>
            </w:pPr>
          </w:p>
        </w:tc>
        <w:tc>
          <w:tcPr>
            <w:tcW w:w="7580" w:type="dxa"/>
            <w:vAlign w:val="bottom"/>
          </w:tcPr>
          <w:p>
            <w:pPr>
              <w:ind w:left="200"/>
              <w:spacing w:after="0" w:line="189" w:lineRule="exact"/>
              <w:rPr>
                <w:sz w:val="20"/>
                <w:szCs w:val="20"/>
                <w:color w:val="auto"/>
              </w:rPr>
            </w:pPr>
            <w:r>
              <w:rPr>
                <w:rFonts w:ascii="Arial" w:cs="Arial" w:eastAsia="Arial" w:hAnsi="Arial"/>
                <w:sz w:val="17"/>
                <w:szCs w:val="17"/>
                <w:color w:val="auto"/>
              </w:rPr>
              <w:t>value of long-lived assets, we compare the carrying amount of the asset with the estimated</w:t>
            </w:r>
          </w:p>
        </w:tc>
      </w:tr>
      <w:tr>
        <w:trPr>
          <w:trHeight w:val="189"/>
        </w:trPr>
        <w:tc>
          <w:tcPr>
            <w:tcW w:w="1280" w:type="dxa"/>
            <w:vAlign w:val="bottom"/>
          </w:tcPr>
          <w:p>
            <w:pPr>
              <w:spacing w:after="0"/>
              <w:rPr>
                <w:sz w:val="16"/>
                <w:szCs w:val="16"/>
                <w:color w:val="auto"/>
              </w:rPr>
            </w:pPr>
          </w:p>
        </w:tc>
        <w:tc>
          <w:tcPr>
            <w:tcW w:w="7580" w:type="dxa"/>
            <w:vAlign w:val="bottom"/>
          </w:tcPr>
          <w:p>
            <w:pPr>
              <w:ind w:left="200"/>
              <w:spacing w:after="0" w:line="189" w:lineRule="exact"/>
              <w:rPr>
                <w:sz w:val="20"/>
                <w:szCs w:val="20"/>
                <w:color w:val="auto"/>
              </w:rPr>
            </w:pPr>
            <w:r>
              <w:rPr>
                <w:rFonts w:ascii="Arial" w:cs="Arial" w:eastAsia="Arial" w:hAnsi="Arial"/>
                <w:sz w:val="17"/>
                <w:szCs w:val="17"/>
                <w:color w:val="auto"/>
              </w:rPr>
              <w:t>future cash flows expected to result from the use of the asset. If the carrying amount of the</w:t>
            </w:r>
          </w:p>
        </w:tc>
      </w:tr>
      <w:tr>
        <w:trPr>
          <w:trHeight w:val="189"/>
        </w:trPr>
        <w:tc>
          <w:tcPr>
            <w:tcW w:w="1280" w:type="dxa"/>
            <w:vAlign w:val="bottom"/>
          </w:tcPr>
          <w:p>
            <w:pPr>
              <w:spacing w:after="0"/>
              <w:rPr>
                <w:sz w:val="16"/>
                <w:szCs w:val="16"/>
                <w:color w:val="auto"/>
              </w:rPr>
            </w:pPr>
          </w:p>
        </w:tc>
        <w:tc>
          <w:tcPr>
            <w:tcW w:w="7580" w:type="dxa"/>
            <w:vAlign w:val="bottom"/>
          </w:tcPr>
          <w:p>
            <w:pPr>
              <w:ind w:left="200"/>
              <w:spacing w:after="0" w:line="189" w:lineRule="exact"/>
              <w:rPr>
                <w:sz w:val="20"/>
                <w:szCs w:val="20"/>
                <w:color w:val="auto"/>
              </w:rPr>
            </w:pPr>
            <w:r>
              <w:rPr>
                <w:rFonts w:ascii="Arial" w:cs="Arial" w:eastAsia="Arial" w:hAnsi="Arial"/>
                <w:sz w:val="17"/>
                <w:szCs w:val="17"/>
                <w:color w:val="auto"/>
              </w:rPr>
              <w:t>asset exceeds the estimated expected undiscounted future cash flows, we measure the</w:t>
            </w:r>
          </w:p>
        </w:tc>
      </w:tr>
      <w:tr>
        <w:trPr>
          <w:trHeight w:val="189"/>
        </w:trPr>
        <w:tc>
          <w:tcPr>
            <w:tcW w:w="1280" w:type="dxa"/>
            <w:vAlign w:val="bottom"/>
          </w:tcPr>
          <w:p>
            <w:pPr>
              <w:spacing w:after="0"/>
              <w:rPr>
                <w:sz w:val="16"/>
                <w:szCs w:val="16"/>
                <w:color w:val="auto"/>
              </w:rPr>
            </w:pPr>
          </w:p>
        </w:tc>
        <w:tc>
          <w:tcPr>
            <w:tcW w:w="7580" w:type="dxa"/>
            <w:vAlign w:val="bottom"/>
          </w:tcPr>
          <w:p>
            <w:pPr>
              <w:ind w:left="200"/>
              <w:spacing w:after="0" w:line="189" w:lineRule="exact"/>
              <w:rPr>
                <w:sz w:val="20"/>
                <w:szCs w:val="20"/>
                <w:color w:val="auto"/>
              </w:rPr>
            </w:pPr>
            <w:r>
              <w:rPr>
                <w:rFonts w:ascii="Arial" w:cs="Arial" w:eastAsia="Arial" w:hAnsi="Arial"/>
                <w:sz w:val="17"/>
                <w:szCs w:val="17"/>
                <w:color w:val="auto"/>
              </w:rPr>
              <w:t>amount of the impairment by comparing the carrying amount of the asset with its estimated fair</w:t>
            </w:r>
          </w:p>
        </w:tc>
      </w:tr>
      <w:tr>
        <w:trPr>
          <w:trHeight w:val="189"/>
        </w:trPr>
        <w:tc>
          <w:tcPr>
            <w:tcW w:w="1280" w:type="dxa"/>
            <w:vAlign w:val="bottom"/>
          </w:tcPr>
          <w:p>
            <w:pPr>
              <w:spacing w:after="0"/>
              <w:rPr>
                <w:sz w:val="16"/>
                <w:szCs w:val="16"/>
                <w:color w:val="auto"/>
              </w:rPr>
            </w:pPr>
          </w:p>
        </w:tc>
        <w:tc>
          <w:tcPr>
            <w:tcW w:w="7580" w:type="dxa"/>
            <w:vAlign w:val="bottom"/>
          </w:tcPr>
          <w:p>
            <w:pPr>
              <w:ind w:left="200"/>
              <w:spacing w:after="0" w:line="189" w:lineRule="exact"/>
              <w:rPr>
                <w:sz w:val="20"/>
                <w:szCs w:val="20"/>
                <w:color w:val="auto"/>
              </w:rPr>
            </w:pPr>
            <w:r>
              <w:rPr>
                <w:rFonts w:ascii="Arial" w:cs="Arial" w:eastAsia="Arial" w:hAnsi="Arial"/>
                <w:sz w:val="17"/>
                <w:szCs w:val="17"/>
                <w:color w:val="auto"/>
              </w:rPr>
              <w:t>value. The estimation of fair value is measured by discounting expected future cash flows at</w:t>
            </w:r>
          </w:p>
        </w:tc>
      </w:tr>
      <w:tr>
        <w:trPr>
          <w:trHeight w:val="189"/>
        </w:trPr>
        <w:tc>
          <w:tcPr>
            <w:tcW w:w="1280" w:type="dxa"/>
            <w:vAlign w:val="bottom"/>
          </w:tcPr>
          <w:p>
            <w:pPr>
              <w:spacing w:after="0"/>
              <w:rPr>
                <w:sz w:val="16"/>
                <w:szCs w:val="16"/>
                <w:color w:val="auto"/>
              </w:rPr>
            </w:pPr>
          </w:p>
        </w:tc>
        <w:tc>
          <w:tcPr>
            <w:tcW w:w="7580" w:type="dxa"/>
            <w:vAlign w:val="bottom"/>
          </w:tcPr>
          <w:p>
            <w:pPr>
              <w:ind w:left="200"/>
              <w:spacing w:after="0" w:line="189" w:lineRule="exact"/>
              <w:rPr>
                <w:sz w:val="20"/>
                <w:szCs w:val="20"/>
                <w:color w:val="auto"/>
              </w:rPr>
            </w:pPr>
            <w:r>
              <w:rPr>
                <w:rFonts w:ascii="Arial" w:cs="Arial" w:eastAsia="Arial" w:hAnsi="Arial"/>
                <w:sz w:val="17"/>
                <w:szCs w:val="17"/>
                <w:color w:val="auto"/>
              </w:rPr>
              <w:t>our weighted-average cost of capital. We believe our policy is reasonable and is consistently</w:t>
            </w:r>
          </w:p>
        </w:tc>
      </w:tr>
      <w:tr>
        <w:trPr>
          <w:trHeight w:val="189"/>
        </w:trPr>
        <w:tc>
          <w:tcPr>
            <w:tcW w:w="1280" w:type="dxa"/>
            <w:vAlign w:val="bottom"/>
          </w:tcPr>
          <w:p>
            <w:pPr>
              <w:spacing w:after="0"/>
              <w:rPr>
                <w:sz w:val="16"/>
                <w:szCs w:val="16"/>
                <w:color w:val="auto"/>
              </w:rPr>
            </w:pPr>
          </w:p>
        </w:tc>
        <w:tc>
          <w:tcPr>
            <w:tcW w:w="7580" w:type="dxa"/>
            <w:vAlign w:val="bottom"/>
          </w:tcPr>
          <w:p>
            <w:pPr>
              <w:ind w:left="200"/>
              <w:spacing w:after="0" w:line="189" w:lineRule="exact"/>
              <w:rPr>
                <w:sz w:val="20"/>
                <w:szCs w:val="20"/>
                <w:color w:val="auto"/>
              </w:rPr>
            </w:pPr>
            <w:r>
              <w:rPr>
                <w:rFonts w:ascii="Arial" w:cs="Arial" w:eastAsia="Arial" w:hAnsi="Arial"/>
                <w:sz w:val="17"/>
                <w:szCs w:val="17"/>
                <w:color w:val="auto"/>
              </w:rPr>
              <w:t>applied. Future expected cash flows are based upon estimates that, if not achieved, may result</w:t>
            </w:r>
          </w:p>
        </w:tc>
      </w:tr>
      <w:tr>
        <w:trPr>
          <w:trHeight w:val="205"/>
        </w:trPr>
        <w:tc>
          <w:tcPr>
            <w:tcW w:w="1280" w:type="dxa"/>
            <w:vAlign w:val="bottom"/>
          </w:tcPr>
          <w:p>
            <w:pPr>
              <w:spacing w:after="0"/>
              <w:rPr>
                <w:sz w:val="17"/>
                <w:szCs w:val="17"/>
                <w:color w:val="auto"/>
              </w:rPr>
            </w:pPr>
          </w:p>
        </w:tc>
        <w:tc>
          <w:tcPr>
            <w:tcW w:w="7580" w:type="dxa"/>
            <w:vAlign w:val="bottom"/>
          </w:tcPr>
          <w:p>
            <w:pPr>
              <w:ind w:left="200"/>
              <w:spacing w:after="0"/>
              <w:rPr>
                <w:sz w:val="20"/>
                <w:szCs w:val="20"/>
                <w:color w:val="auto"/>
              </w:rPr>
            </w:pPr>
            <w:r>
              <w:rPr>
                <w:rFonts w:ascii="Arial" w:cs="Arial" w:eastAsia="Arial" w:hAnsi="Arial"/>
                <w:sz w:val="17"/>
                <w:szCs w:val="17"/>
                <w:color w:val="auto"/>
              </w:rPr>
              <w:t>in significantly different results.</w:t>
            </w:r>
          </w:p>
        </w:tc>
      </w:tr>
      <w:tr>
        <w:trPr>
          <w:trHeight w:val="417"/>
        </w:trPr>
        <w:tc>
          <w:tcPr>
            <w:tcW w:w="1280" w:type="dxa"/>
            <w:vAlign w:val="bottom"/>
          </w:tcPr>
          <w:p>
            <w:pPr>
              <w:spacing w:after="0"/>
              <w:rPr>
                <w:sz w:val="24"/>
                <w:szCs w:val="24"/>
                <w:color w:val="auto"/>
              </w:rPr>
            </w:pPr>
          </w:p>
        </w:tc>
        <w:tc>
          <w:tcPr>
            <w:tcW w:w="7580" w:type="dxa"/>
            <w:vAlign w:val="bottom"/>
          </w:tcPr>
          <w:p>
            <w:pPr>
              <w:ind w:left="200"/>
              <w:spacing w:after="0"/>
              <w:rPr>
                <w:sz w:val="20"/>
                <w:szCs w:val="20"/>
                <w:color w:val="auto"/>
              </w:rPr>
            </w:pPr>
            <w:r>
              <w:rPr>
                <w:rFonts w:ascii="Arial" w:cs="Arial" w:eastAsia="Arial" w:hAnsi="Arial"/>
                <w:sz w:val="17"/>
                <w:szCs w:val="17"/>
                <w:color w:val="auto"/>
              </w:rPr>
              <w:t>During 2017 and 2016, we conducted impairment reviews of the Runners Point and Sidestep</w:t>
            </w:r>
          </w:p>
        </w:tc>
      </w:tr>
      <w:tr>
        <w:trPr>
          <w:trHeight w:val="189"/>
        </w:trPr>
        <w:tc>
          <w:tcPr>
            <w:tcW w:w="1280" w:type="dxa"/>
            <w:vAlign w:val="bottom"/>
          </w:tcPr>
          <w:p>
            <w:pPr>
              <w:spacing w:after="0"/>
              <w:rPr>
                <w:sz w:val="16"/>
                <w:szCs w:val="16"/>
                <w:color w:val="auto"/>
              </w:rPr>
            </w:pPr>
          </w:p>
        </w:tc>
        <w:tc>
          <w:tcPr>
            <w:tcW w:w="7580" w:type="dxa"/>
            <w:vAlign w:val="bottom"/>
          </w:tcPr>
          <w:p>
            <w:pPr>
              <w:ind w:left="200"/>
              <w:spacing w:after="0" w:line="189" w:lineRule="exact"/>
              <w:rPr>
                <w:sz w:val="20"/>
                <w:szCs w:val="20"/>
                <w:color w:val="auto"/>
              </w:rPr>
            </w:pPr>
            <w:r>
              <w:rPr>
                <w:rFonts w:ascii="Arial" w:cs="Arial" w:eastAsia="Arial" w:hAnsi="Arial"/>
                <w:sz w:val="17"/>
                <w:szCs w:val="17"/>
                <w:color w:val="auto"/>
              </w:rPr>
              <w:t>store-level assets, which resulted in non-cash impairment charges of $4 million and $6 million,</w:t>
            </w:r>
          </w:p>
        </w:tc>
      </w:tr>
      <w:tr>
        <w:trPr>
          <w:trHeight w:val="189"/>
        </w:trPr>
        <w:tc>
          <w:tcPr>
            <w:tcW w:w="1280" w:type="dxa"/>
            <w:vAlign w:val="bottom"/>
          </w:tcPr>
          <w:p>
            <w:pPr>
              <w:spacing w:after="0"/>
              <w:rPr>
                <w:sz w:val="16"/>
                <w:szCs w:val="16"/>
                <w:color w:val="auto"/>
              </w:rPr>
            </w:pPr>
          </w:p>
        </w:tc>
        <w:tc>
          <w:tcPr>
            <w:tcW w:w="7580" w:type="dxa"/>
            <w:vAlign w:val="bottom"/>
          </w:tcPr>
          <w:p>
            <w:pPr>
              <w:ind w:left="200"/>
              <w:spacing w:after="0" w:line="189" w:lineRule="exact"/>
              <w:rPr>
                <w:sz w:val="20"/>
                <w:szCs w:val="20"/>
                <w:color w:val="auto"/>
              </w:rPr>
            </w:pPr>
            <w:r>
              <w:rPr>
                <w:rFonts w:ascii="Arial" w:cs="Arial" w:eastAsia="Arial" w:hAnsi="Arial"/>
                <w:sz w:val="17"/>
                <w:szCs w:val="17"/>
                <w:color w:val="auto"/>
              </w:rPr>
              <w:t>respectively. Also during 2017, we recorded a $16 million non-cash impairment charge related</w:t>
            </w:r>
          </w:p>
        </w:tc>
      </w:tr>
      <w:tr>
        <w:trPr>
          <w:trHeight w:val="205"/>
        </w:trPr>
        <w:tc>
          <w:tcPr>
            <w:tcW w:w="1280" w:type="dxa"/>
            <w:vAlign w:val="bottom"/>
          </w:tcPr>
          <w:p>
            <w:pPr>
              <w:spacing w:after="0"/>
              <w:rPr>
                <w:sz w:val="17"/>
                <w:szCs w:val="17"/>
                <w:color w:val="auto"/>
              </w:rPr>
            </w:pPr>
          </w:p>
        </w:tc>
        <w:tc>
          <w:tcPr>
            <w:tcW w:w="7580" w:type="dxa"/>
            <w:vAlign w:val="bottom"/>
          </w:tcPr>
          <w:p>
            <w:pPr>
              <w:ind w:left="200"/>
              <w:spacing w:after="0"/>
              <w:rPr>
                <w:sz w:val="20"/>
                <w:szCs w:val="20"/>
                <w:color w:val="auto"/>
              </w:rPr>
            </w:pPr>
            <w:r>
              <w:rPr>
                <w:rFonts w:ascii="Arial" w:cs="Arial" w:eastAsia="Arial" w:hAnsi="Arial"/>
                <w:sz w:val="17"/>
                <w:szCs w:val="17"/>
                <w:color w:val="auto"/>
              </w:rPr>
              <w:t>to our SIX:02 business.</w:t>
            </w:r>
          </w:p>
        </w:tc>
      </w:tr>
      <w:tr>
        <w:trPr>
          <w:trHeight w:val="308"/>
        </w:trPr>
        <w:tc>
          <w:tcPr>
            <w:tcW w:w="1280" w:type="dxa"/>
            <w:vAlign w:val="bottom"/>
          </w:tcPr>
          <w:p>
            <w:pPr>
              <w:ind w:left="220"/>
              <w:spacing w:after="0"/>
              <w:rPr>
                <w:sz w:val="20"/>
                <w:szCs w:val="20"/>
                <w:color w:val="auto"/>
              </w:rPr>
            </w:pPr>
            <w:r>
              <w:rPr>
                <w:rFonts w:ascii="Arial" w:cs="Arial" w:eastAsia="Arial" w:hAnsi="Arial"/>
                <w:sz w:val="17"/>
                <w:szCs w:val="17"/>
                <w:color w:val="auto"/>
              </w:rPr>
              <w:t>Goodwill</w:t>
            </w:r>
          </w:p>
        </w:tc>
        <w:tc>
          <w:tcPr>
            <w:tcW w:w="7580" w:type="dxa"/>
            <w:vAlign w:val="bottom"/>
          </w:tcPr>
          <w:p>
            <w:pPr>
              <w:ind w:left="200"/>
              <w:spacing w:after="0"/>
              <w:rPr>
                <w:sz w:val="20"/>
                <w:szCs w:val="20"/>
                <w:color w:val="auto"/>
              </w:rPr>
            </w:pPr>
            <w:r>
              <w:rPr>
                <w:rFonts w:ascii="Arial" w:cs="Arial" w:eastAsia="Arial" w:hAnsi="Arial"/>
                <w:sz w:val="17"/>
                <w:szCs w:val="17"/>
                <w:color w:val="auto"/>
              </w:rPr>
              <w:t>We review goodwill for impairment annually during the first quarter of our fiscal year or more</w:t>
            </w:r>
          </w:p>
        </w:tc>
      </w:tr>
      <w:tr>
        <w:trPr>
          <w:trHeight w:val="189"/>
        </w:trPr>
        <w:tc>
          <w:tcPr>
            <w:tcW w:w="1280" w:type="dxa"/>
            <w:vAlign w:val="bottom"/>
          </w:tcPr>
          <w:p>
            <w:pPr>
              <w:spacing w:after="0"/>
              <w:rPr>
                <w:sz w:val="16"/>
                <w:szCs w:val="16"/>
                <w:color w:val="auto"/>
              </w:rPr>
            </w:pPr>
          </w:p>
        </w:tc>
        <w:tc>
          <w:tcPr>
            <w:tcW w:w="7580" w:type="dxa"/>
            <w:vAlign w:val="bottom"/>
          </w:tcPr>
          <w:p>
            <w:pPr>
              <w:ind w:left="200"/>
              <w:spacing w:after="0" w:line="189" w:lineRule="exact"/>
              <w:rPr>
                <w:sz w:val="20"/>
                <w:szCs w:val="20"/>
                <w:color w:val="auto"/>
              </w:rPr>
            </w:pPr>
            <w:r>
              <w:rPr>
                <w:rFonts w:ascii="Arial" w:cs="Arial" w:eastAsia="Arial" w:hAnsi="Arial"/>
                <w:sz w:val="17"/>
                <w:szCs w:val="17"/>
                <w:color w:val="auto"/>
              </w:rPr>
              <w:t>frequently if impairment indicators arise. The review of impairment consists of either using a</w:t>
            </w:r>
          </w:p>
        </w:tc>
      </w:tr>
      <w:tr>
        <w:trPr>
          <w:trHeight w:val="189"/>
        </w:trPr>
        <w:tc>
          <w:tcPr>
            <w:tcW w:w="1280" w:type="dxa"/>
            <w:vAlign w:val="bottom"/>
          </w:tcPr>
          <w:p>
            <w:pPr>
              <w:spacing w:after="0"/>
              <w:rPr>
                <w:sz w:val="16"/>
                <w:szCs w:val="16"/>
                <w:color w:val="auto"/>
              </w:rPr>
            </w:pPr>
          </w:p>
        </w:tc>
        <w:tc>
          <w:tcPr>
            <w:tcW w:w="7580" w:type="dxa"/>
            <w:vAlign w:val="bottom"/>
          </w:tcPr>
          <w:p>
            <w:pPr>
              <w:ind w:left="200"/>
              <w:spacing w:after="0" w:line="189" w:lineRule="exact"/>
              <w:rPr>
                <w:sz w:val="20"/>
                <w:szCs w:val="20"/>
                <w:color w:val="auto"/>
              </w:rPr>
            </w:pPr>
            <w:r>
              <w:rPr>
                <w:rFonts w:ascii="Arial" w:cs="Arial" w:eastAsia="Arial" w:hAnsi="Arial"/>
                <w:sz w:val="17"/>
                <w:szCs w:val="17"/>
                <w:color w:val="auto"/>
              </w:rPr>
              <w:t>qualitative approach to determine whether it is more likely than not that the fair value of the</w:t>
            </w:r>
          </w:p>
        </w:tc>
      </w:tr>
      <w:tr>
        <w:trPr>
          <w:trHeight w:val="205"/>
        </w:trPr>
        <w:tc>
          <w:tcPr>
            <w:tcW w:w="1280" w:type="dxa"/>
            <w:vAlign w:val="bottom"/>
          </w:tcPr>
          <w:p>
            <w:pPr>
              <w:spacing w:after="0"/>
              <w:rPr>
                <w:sz w:val="17"/>
                <w:szCs w:val="17"/>
                <w:color w:val="auto"/>
              </w:rPr>
            </w:pPr>
          </w:p>
        </w:tc>
        <w:tc>
          <w:tcPr>
            <w:tcW w:w="7580" w:type="dxa"/>
            <w:vAlign w:val="bottom"/>
          </w:tcPr>
          <w:p>
            <w:pPr>
              <w:ind w:left="200"/>
              <w:spacing w:after="0"/>
              <w:rPr>
                <w:sz w:val="20"/>
                <w:szCs w:val="20"/>
                <w:color w:val="auto"/>
              </w:rPr>
            </w:pPr>
            <w:r>
              <w:rPr>
                <w:rFonts w:ascii="Arial" w:cs="Arial" w:eastAsia="Arial" w:hAnsi="Arial"/>
                <w:sz w:val="17"/>
                <w:szCs w:val="17"/>
                <w:color w:val="auto"/>
              </w:rPr>
              <w:t>assets is less than their respective carrying values or a two-step impairment test, if necessary.</w:t>
            </w:r>
          </w:p>
        </w:tc>
      </w:tr>
      <w:tr>
        <w:trPr>
          <w:trHeight w:val="417"/>
        </w:trPr>
        <w:tc>
          <w:tcPr>
            <w:tcW w:w="1280" w:type="dxa"/>
            <w:vAlign w:val="bottom"/>
          </w:tcPr>
          <w:p>
            <w:pPr>
              <w:spacing w:after="0"/>
              <w:rPr>
                <w:sz w:val="24"/>
                <w:szCs w:val="24"/>
                <w:color w:val="auto"/>
              </w:rPr>
            </w:pPr>
          </w:p>
        </w:tc>
        <w:tc>
          <w:tcPr>
            <w:tcW w:w="7580" w:type="dxa"/>
            <w:vAlign w:val="bottom"/>
          </w:tcPr>
          <w:p>
            <w:pPr>
              <w:ind w:left="200"/>
              <w:spacing w:after="0"/>
              <w:rPr>
                <w:sz w:val="20"/>
                <w:szCs w:val="20"/>
                <w:color w:val="auto"/>
              </w:rPr>
            </w:pPr>
            <w:r>
              <w:rPr>
                <w:rFonts w:ascii="Arial" w:cs="Arial" w:eastAsia="Arial" w:hAnsi="Arial"/>
                <w:sz w:val="17"/>
                <w:szCs w:val="17"/>
                <w:color w:val="auto"/>
              </w:rPr>
              <w:t>In performing the qualitative assessment, we consider many factors in evaluating whether the</w:t>
            </w:r>
          </w:p>
        </w:tc>
      </w:tr>
      <w:tr>
        <w:trPr>
          <w:trHeight w:val="189"/>
        </w:trPr>
        <w:tc>
          <w:tcPr>
            <w:tcW w:w="1280" w:type="dxa"/>
            <w:vAlign w:val="bottom"/>
          </w:tcPr>
          <w:p>
            <w:pPr>
              <w:spacing w:after="0"/>
              <w:rPr>
                <w:sz w:val="16"/>
                <w:szCs w:val="16"/>
                <w:color w:val="auto"/>
              </w:rPr>
            </w:pPr>
          </w:p>
        </w:tc>
        <w:tc>
          <w:tcPr>
            <w:tcW w:w="7580" w:type="dxa"/>
            <w:vAlign w:val="bottom"/>
          </w:tcPr>
          <w:p>
            <w:pPr>
              <w:ind w:left="200"/>
              <w:spacing w:after="0" w:line="189" w:lineRule="exact"/>
              <w:rPr>
                <w:sz w:val="20"/>
                <w:szCs w:val="20"/>
                <w:color w:val="auto"/>
              </w:rPr>
            </w:pPr>
            <w:r>
              <w:rPr>
                <w:rFonts w:ascii="Arial" w:cs="Arial" w:eastAsia="Arial" w:hAnsi="Arial"/>
                <w:sz w:val="17"/>
                <w:szCs w:val="17"/>
                <w:color w:val="auto"/>
              </w:rPr>
              <w:t>carrying value of goodwill may not be recoverable, including declines in our stock price and</w:t>
            </w:r>
          </w:p>
        </w:tc>
      </w:tr>
      <w:tr>
        <w:trPr>
          <w:trHeight w:val="189"/>
        </w:trPr>
        <w:tc>
          <w:tcPr>
            <w:tcW w:w="1280" w:type="dxa"/>
            <w:vAlign w:val="bottom"/>
          </w:tcPr>
          <w:p>
            <w:pPr>
              <w:spacing w:after="0"/>
              <w:rPr>
                <w:sz w:val="16"/>
                <w:szCs w:val="16"/>
                <w:color w:val="auto"/>
              </w:rPr>
            </w:pPr>
          </w:p>
        </w:tc>
        <w:tc>
          <w:tcPr>
            <w:tcW w:w="7580" w:type="dxa"/>
            <w:vAlign w:val="bottom"/>
          </w:tcPr>
          <w:p>
            <w:pPr>
              <w:ind w:left="200"/>
              <w:spacing w:after="0" w:line="189" w:lineRule="exact"/>
              <w:rPr>
                <w:sz w:val="20"/>
                <w:szCs w:val="20"/>
                <w:color w:val="auto"/>
              </w:rPr>
            </w:pPr>
            <w:r>
              <w:rPr>
                <w:rFonts w:ascii="Arial" w:cs="Arial" w:eastAsia="Arial" w:hAnsi="Arial"/>
                <w:sz w:val="17"/>
                <w:szCs w:val="17"/>
                <w:color w:val="auto"/>
              </w:rPr>
              <w:t>market capitalization in relation to the book value of the Company and macroeconomic</w:t>
            </w:r>
          </w:p>
        </w:tc>
      </w:tr>
      <w:tr>
        <w:trPr>
          <w:trHeight w:val="189"/>
        </w:trPr>
        <w:tc>
          <w:tcPr>
            <w:tcW w:w="1280" w:type="dxa"/>
            <w:vAlign w:val="bottom"/>
          </w:tcPr>
          <w:p>
            <w:pPr>
              <w:spacing w:after="0"/>
              <w:rPr>
                <w:sz w:val="16"/>
                <w:szCs w:val="16"/>
                <w:color w:val="auto"/>
              </w:rPr>
            </w:pPr>
          </w:p>
        </w:tc>
        <w:tc>
          <w:tcPr>
            <w:tcW w:w="7580" w:type="dxa"/>
            <w:vAlign w:val="bottom"/>
          </w:tcPr>
          <w:p>
            <w:pPr>
              <w:ind w:left="200"/>
              <w:spacing w:after="0" w:line="189" w:lineRule="exact"/>
              <w:rPr>
                <w:sz w:val="20"/>
                <w:szCs w:val="20"/>
                <w:color w:val="auto"/>
              </w:rPr>
            </w:pPr>
            <w:r>
              <w:rPr>
                <w:rFonts w:ascii="Arial" w:cs="Arial" w:eastAsia="Arial" w:hAnsi="Arial"/>
                <w:sz w:val="17"/>
                <w:szCs w:val="17"/>
                <w:color w:val="auto"/>
              </w:rPr>
              <w:t>conditions affecting retail. If, based on the results of the qualitative assessment, it is concluded</w:t>
            </w:r>
          </w:p>
        </w:tc>
      </w:tr>
      <w:tr>
        <w:trPr>
          <w:trHeight w:val="189"/>
        </w:trPr>
        <w:tc>
          <w:tcPr>
            <w:tcW w:w="1280" w:type="dxa"/>
            <w:vAlign w:val="bottom"/>
          </w:tcPr>
          <w:p>
            <w:pPr>
              <w:spacing w:after="0"/>
              <w:rPr>
                <w:sz w:val="16"/>
                <w:szCs w:val="16"/>
                <w:color w:val="auto"/>
              </w:rPr>
            </w:pPr>
          </w:p>
        </w:tc>
        <w:tc>
          <w:tcPr>
            <w:tcW w:w="7580" w:type="dxa"/>
            <w:vAlign w:val="bottom"/>
          </w:tcPr>
          <w:p>
            <w:pPr>
              <w:ind w:left="200"/>
              <w:spacing w:after="0" w:line="189" w:lineRule="exact"/>
              <w:rPr>
                <w:sz w:val="20"/>
                <w:szCs w:val="20"/>
                <w:color w:val="auto"/>
              </w:rPr>
            </w:pPr>
            <w:r>
              <w:rPr>
                <w:rFonts w:ascii="Arial" w:cs="Arial" w:eastAsia="Arial" w:hAnsi="Arial"/>
                <w:sz w:val="17"/>
                <w:szCs w:val="17"/>
                <w:color w:val="auto"/>
              </w:rPr>
              <w:t>that it is not more likely than not that the fair value of a reporting unit exceeds its carrying value,</w:t>
            </w:r>
          </w:p>
        </w:tc>
      </w:tr>
      <w:tr>
        <w:trPr>
          <w:trHeight w:val="205"/>
        </w:trPr>
        <w:tc>
          <w:tcPr>
            <w:tcW w:w="1280" w:type="dxa"/>
            <w:vAlign w:val="bottom"/>
          </w:tcPr>
          <w:p>
            <w:pPr>
              <w:spacing w:after="0"/>
              <w:rPr>
                <w:sz w:val="17"/>
                <w:szCs w:val="17"/>
                <w:color w:val="auto"/>
              </w:rPr>
            </w:pPr>
          </w:p>
        </w:tc>
        <w:tc>
          <w:tcPr>
            <w:tcW w:w="7580" w:type="dxa"/>
            <w:vAlign w:val="bottom"/>
          </w:tcPr>
          <w:p>
            <w:pPr>
              <w:ind w:left="200"/>
              <w:spacing w:after="0"/>
              <w:rPr>
                <w:sz w:val="20"/>
                <w:szCs w:val="20"/>
                <w:color w:val="auto"/>
              </w:rPr>
            </w:pPr>
            <w:r>
              <w:rPr>
                <w:rFonts w:ascii="Arial" w:cs="Arial" w:eastAsia="Arial" w:hAnsi="Arial"/>
                <w:sz w:val="17"/>
                <w:szCs w:val="17"/>
                <w:color w:val="auto"/>
              </w:rPr>
              <w:t>additional quantitative impairment testing is performed using a two-step test.</w:t>
            </w:r>
          </w:p>
        </w:tc>
      </w:tr>
      <w:tr>
        <w:trPr>
          <w:trHeight w:val="214"/>
        </w:trPr>
        <w:tc>
          <w:tcPr>
            <w:tcW w:w="1280" w:type="dxa"/>
            <w:vAlign w:val="bottom"/>
          </w:tcPr>
          <w:p>
            <w:pPr>
              <w:spacing w:after="0"/>
              <w:rPr>
                <w:sz w:val="18"/>
                <w:szCs w:val="18"/>
                <w:color w:val="auto"/>
              </w:rPr>
            </w:pPr>
          </w:p>
        </w:tc>
        <w:tc>
          <w:tcPr>
            <w:tcW w:w="7580" w:type="dxa"/>
            <w:vAlign w:val="bottom"/>
          </w:tcPr>
          <w:p>
            <w:pPr>
              <w:ind w:left="200"/>
              <w:spacing w:after="0"/>
              <w:rPr>
                <w:sz w:val="20"/>
                <w:szCs w:val="20"/>
                <w:color w:val="auto"/>
              </w:rPr>
            </w:pPr>
            <w:r>
              <w:rPr>
                <w:rFonts w:ascii="Arial" w:cs="Arial" w:eastAsia="Arial" w:hAnsi="Arial"/>
                <w:sz w:val="17"/>
                <w:szCs w:val="17"/>
                <w:color w:val="auto"/>
              </w:rPr>
              <w:t>The initial step requires that the carrying value of each reporting unit be compared with its</w:t>
            </w:r>
          </w:p>
        </w:tc>
      </w:tr>
      <w:tr>
        <w:trPr>
          <w:trHeight w:val="189"/>
        </w:trPr>
        <w:tc>
          <w:tcPr>
            <w:tcW w:w="1280" w:type="dxa"/>
            <w:vAlign w:val="bottom"/>
          </w:tcPr>
          <w:p>
            <w:pPr>
              <w:spacing w:after="0"/>
              <w:rPr>
                <w:sz w:val="16"/>
                <w:szCs w:val="16"/>
                <w:color w:val="auto"/>
              </w:rPr>
            </w:pPr>
          </w:p>
        </w:tc>
        <w:tc>
          <w:tcPr>
            <w:tcW w:w="7580" w:type="dxa"/>
            <w:vAlign w:val="bottom"/>
          </w:tcPr>
          <w:p>
            <w:pPr>
              <w:ind w:left="200"/>
              <w:spacing w:after="0" w:line="189" w:lineRule="exact"/>
              <w:rPr>
                <w:sz w:val="20"/>
                <w:szCs w:val="20"/>
                <w:color w:val="auto"/>
              </w:rPr>
            </w:pPr>
            <w:r>
              <w:rPr>
                <w:rFonts w:ascii="Arial" w:cs="Arial" w:eastAsia="Arial" w:hAnsi="Arial"/>
                <w:sz w:val="17"/>
                <w:szCs w:val="17"/>
                <w:color w:val="auto"/>
              </w:rPr>
              <w:t>estimated fair value. The second step — to evaluate goodwill of a reporting unit for impairment</w:t>
            </w:r>
          </w:p>
        </w:tc>
      </w:tr>
      <w:tr>
        <w:trPr>
          <w:trHeight w:val="189"/>
        </w:trPr>
        <w:tc>
          <w:tcPr>
            <w:tcW w:w="1280" w:type="dxa"/>
            <w:vAlign w:val="bottom"/>
          </w:tcPr>
          <w:p>
            <w:pPr>
              <w:spacing w:after="0"/>
              <w:rPr>
                <w:sz w:val="16"/>
                <w:szCs w:val="16"/>
                <w:color w:val="auto"/>
              </w:rPr>
            </w:pPr>
          </w:p>
        </w:tc>
        <w:tc>
          <w:tcPr>
            <w:tcW w:w="7580" w:type="dxa"/>
            <w:vAlign w:val="bottom"/>
          </w:tcPr>
          <w:p>
            <w:pPr>
              <w:ind w:left="200"/>
              <w:spacing w:after="0" w:line="189" w:lineRule="exact"/>
              <w:rPr>
                <w:sz w:val="20"/>
                <w:szCs w:val="20"/>
                <w:color w:val="auto"/>
              </w:rPr>
            </w:pPr>
            <w:r>
              <w:rPr>
                <w:rFonts w:ascii="Arial" w:cs="Arial" w:eastAsia="Arial" w:hAnsi="Arial"/>
                <w:sz w:val="17"/>
                <w:szCs w:val="17"/>
                <w:color w:val="auto"/>
              </w:rPr>
              <w:t>— is only required if the carrying value of that reporting unit exceeds its estimated fair value.</w:t>
            </w:r>
          </w:p>
        </w:tc>
      </w:tr>
      <w:tr>
        <w:trPr>
          <w:trHeight w:val="189"/>
        </w:trPr>
        <w:tc>
          <w:tcPr>
            <w:tcW w:w="1280" w:type="dxa"/>
            <w:vAlign w:val="bottom"/>
          </w:tcPr>
          <w:p>
            <w:pPr>
              <w:spacing w:after="0"/>
              <w:rPr>
                <w:sz w:val="16"/>
                <w:szCs w:val="16"/>
                <w:color w:val="auto"/>
              </w:rPr>
            </w:pPr>
          </w:p>
        </w:tc>
        <w:tc>
          <w:tcPr>
            <w:tcW w:w="7580" w:type="dxa"/>
            <w:vAlign w:val="bottom"/>
          </w:tcPr>
          <w:p>
            <w:pPr>
              <w:ind w:left="200"/>
              <w:spacing w:after="0" w:line="189" w:lineRule="exact"/>
              <w:rPr>
                <w:sz w:val="20"/>
                <w:szCs w:val="20"/>
                <w:color w:val="auto"/>
              </w:rPr>
            </w:pPr>
            <w:r>
              <w:rPr>
                <w:rFonts w:ascii="Arial" w:cs="Arial" w:eastAsia="Arial" w:hAnsi="Arial"/>
                <w:sz w:val="17"/>
                <w:szCs w:val="17"/>
                <w:color w:val="auto"/>
              </w:rPr>
              <w:t>We use a discounted cash flow approach to determine the fair value of a reporting unit. The</w:t>
            </w:r>
          </w:p>
        </w:tc>
      </w:tr>
      <w:tr>
        <w:trPr>
          <w:trHeight w:val="189"/>
        </w:trPr>
        <w:tc>
          <w:tcPr>
            <w:tcW w:w="1280" w:type="dxa"/>
            <w:vAlign w:val="bottom"/>
          </w:tcPr>
          <w:p>
            <w:pPr>
              <w:spacing w:after="0"/>
              <w:rPr>
                <w:sz w:val="16"/>
                <w:szCs w:val="16"/>
                <w:color w:val="auto"/>
              </w:rPr>
            </w:pPr>
          </w:p>
        </w:tc>
        <w:tc>
          <w:tcPr>
            <w:tcW w:w="7580" w:type="dxa"/>
            <w:vAlign w:val="bottom"/>
          </w:tcPr>
          <w:p>
            <w:pPr>
              <w:ind w:left="200"/>
              <w:spacing w:after="0" w:line="189" w:lineRule="exact"/>
              <w:rPr>
                <w:sz w:val="20"/>
                <w:szCs w:val="20"/>
                <w:color w:val="auto"/>
              </w:rPr>
            </w:pPr>
            <w:r>
              <w:rPr>
                <w:rFonts w:ascii="Arial" w:cs="Arial" w:eastAsia="Arial" w:hAnsi="Arial"/>
                <w:sz w:val="17"/>
                <w:szCs w:val="17"/>
                <w:color w:val="auto"/>
              </w:rPr>
              <w:t>determination of discounted cash flows of the reporting units and assets and liabilities within</w:t>
            </w:r>
          </w:p>
        </w:tc>
      </w:tr>
      <w:tr>
        <w:trPr>
          <w:trHeight w:val="189"/>
        </w:trPr>
        <w:tc>
          <w:tcPr>
            <w:tcW w:w="1280" w:type="dxa"/>
            <w:vAlign w:val="bottom"/>
          </w:tcPr>
          <w:p>
            <w:pPr>
              <w:spacing w:after="0"/>
              <w:rPr>
                <w:sz w:val="16"/>
                <w:szCs w:val="16"/>
                <w:color w:val="auto"/>
              </w:rPr>
            </w:pPr>
          </w:p>
        </w:tc>
        <w:tc>
          <w:tcPr>
            <w:tcW w:w="7580" w:type="dxa"/>
            <w:vAlign w:val="bottom"/>
          </w:tcPr>
          <w:p>
            <w:pPr>
              <w:ind w:left="200"/>
              <w:spacing w:after="0" w:line="189" w:lineRule="exact"/>
              <w:rPr>
                <w:sz w:val="20"/>
                <w:szCs w:val="20"/>
                <w:color w:val="auto"/>
              </w:rPr>
            </w:pPr>
            <w:r>
              <w:rPr>
                <w:rFonts w:ascii="Arial" w:cs="Arial" w:eastAsia="Arial" w:hAnsi="Arial"/>
                <w:sz w:val="17"/>
                <w:szCs w:val="17"/>
                <w:color w:val="auto"/>
              </w:rPr>
              <w:t>the reporting units requires significant estimates and assumptions. These estimates and</w:t>
            </w:r>
          </w:p>
        </w:tc>
      </w:tr>
      <w:tr>
        <w:trPr>
          <w:trHeight w:val="189"/>
        </w:trPr>
        <w:tc>
          <w:tcPr>
            <w:tcW w:w="1280" w:type="dxa"/>
            <w:vAlign w:val="bottom"/>
          </w:tcPr>
          <w:p>
            <w:pPr>
              <w:spacing w:after="0"/>
              <w:rPr>
                <w:sz w:val="16"/>
                <w:szCs w:val="16"/>
                <w:color w:val="auto"/>
              </w:rPr>
            </w:pPr>
          </w:p>
        </w:tc>
        <w:tc>
          <w:tcPr>
            <w:tcW w:w="7580" w:type="dxa"/>
            <w:vAlign w:val="bottom"/>
          </w:tcPr>
          <w:p>
            <w:pPr>
              <w:ind w:left="200"/>
              <w:spacing w:after="0" w:line="189" w:lineRule="exact"/>
              <w:rPr>
                <w:sz w:val="20"/>
                <w:szCs w:val="20"/>
                <w:color w:val="auto"/>
              </w:rPr>
            </w:pPr>
            <w:r>
              <w:rPr>
                <w:rFonts w:ascii="Arial" w:cs="Arial" w:eastAsia="Arial" w:hAnsi="Arial"/>
                <w:sz w:val="17"/>
                <w:szCs w:val="17"/>
                <w:color w:val="auto"/>
              </w:rPr>
              <w:t>assumptions primarily include, but are not limited to, the discount rate, terminal growth rates,</w:t>
            </w:r>
          </w:p>
        </w:tc>
      </w:tr>
      <w:tr>
        <w:trPr>
          <w:trHeight w:val="189"/>
        </w:trPr>
        <w:tc>
          <w:tcPr>
            <w:tcW w:w="1280" w:type="dxa"/>
            <w:vAlign w:val="bottom"/>
          </w:tcPr>
          <w:p>
            <w:pPr>
              <w:spacing w:after="0"/>
              <w:rPr>
                <w:sz w:val="16"/>
                <w:szCs w:val="16"/>
                <w:color w:val="auto"/>
              </w:rPr>
            </w:pPr>
          </w:p>
        </w:tc>
        <w:tc>
          <w:tcPr>
            <w:tcW w:w="7580" w:type="dxa"/>
            <w:vAlign w:val="bottom"/>
          </w:tcPr>
          <w:p>
            <w:pPr>
              <w:ind w:left="200"/>
              <w:spacing w:after="0" w:line="189" w:lineRule="exact"/>
              <w:rPr>
                <w:sz w:val="20"/>
                <w:szCs w:val="20"/>
                <w:color w:val="auto"/>
              </w:rPr>
            </w:pPr>
            <w:r>
              <w:rPr>
                <w:rFonts w:ascii="Arial" w:cs="Arial" w:eastAsia="Arial" w:hAnsi="Arial"/>
                <w:sz w:val="17"/>
                <w:szCs w:val="17"/>
                <w:color w:val="auto"/>
              </w:rPr>
              <w:t>earnings before depreciation and amortization, and capital expenditures forecasts. Due to the</w:t>
            </w:r>
          </w:p>
        </w:tc>
      </w:tr>
      <w:tr>
        <w:trPr>
          <w:trHeight w:val="189"/>
        </w:trPr>
        <w:tc>
          <w:tcPr>
            <w:tcW w:w="1280" w:type="dxa"/>
            <w:vAlign w:val="bottom"/>
          </w:tcPr>
          <w:p>
            <w:pPr>
              <w:spacing w:after="0"/>
              <w:rPr>
                <w:sz w:val="16"/>
                <w:szCs w:val="16"/>
                <w:color w:val="auto"/>
              </w:rPr>
            </w:pPr>
          </w:p>
        </w:tc>
        <w:tc>
          <w:tcPr>
            <w:tcW w:w="7580" w:type="dxa"/>
            <w:vAlign w:val="bottom"/>
          </w:tcPr>
          <w:p>
            <w:pPr>
              <w:ind w:left="200"/>
              <w:spacing w:after="0" w:line="189" w:lineRule="exact"/>
              <w:rPr>
                <w:sz w:val="20"/>
                <w:szCs w:val="20"/>
                <w:color w:val="auto"/>
              </w:rPr>
            </w:pPr>
            <w:r>
              <w:rPr>
                <w:rFonts w:ascii="Arial" w:cs="Arial" w:eastAsia="Arial" w:hAnsi="Arial"/>
                <w:sz w:val="17"/>
                <w:szCs w:val="17"/>
                <w:color w:val="auto"/>
              </w:rPr>
              <w:t>inherent uncertainty involved in making these estimates, actual results could differ from those</w:t>
            </w:r>
          </w:p>
        </w:tc>
      </w:tr>
      <w:tr>
        <w:trPr>
          <w:trHeight w:val="189"/>
        </w:trPr>
        <w:tc>
          <w:tcPr>
            <w:tcW w:w="1280" w:type="dxa"/>
            <w:vAlign w:val="bottom"/>
          </w:tcPr>
          <w:p>
            <w:pPr>
              <w:spacing w:after="0"/>
              <w:rPr>
                <w:sz w:val="16"/>
                <w:szCs w:val="16"/>
                <w:color w:val="auto"/>
              </w:rPr>
            </w:pPr>
          </w:p>
        </w:tc>
        <w:tc>
          <w:tcPr>
            <w:tcW w:w="7580" w:type="dxa"/>
            <w:vAlign w:val="bottom"/>
          </w:tcPr>
          <w:p>
            <w:pPr>
              <w:ind w:left="200"/>
              <w:spacing w:after="0" w:line="189" w:lineRule="exact"/>
              <w:rPr>
                <w:sz w:val="20"/>
                <w:szCs w:val="20"/>
                <w:color w:val="auto"/>
              </w:rPr>
            </w:pPr>
            <w:r>
              <w:rPr>
                <w:rFonts w:ascii="Arial" w:cs="Arial" w:eastAsia="Arial" w:hAnsi="Arial"/>
                <w:sz w:val="17"/>
                <w:szCs w:val="17"/>
                <w:color w:val="auto"/>
              </w:rPr>
              <w:t>estimates. We evaluate the merits of each significant assumption, both individually and in the</w:t>
            </w:r>
          </w:p>
        </w:tc>
      </w:tr>
      <w:tr>
        <w:trPr>
          <w:trHeight w:val="189"/>
        </w:trPr>
        <w:tc>
          <w:tcPr>
            <w:tcW w:w="1280" w:type="dxa"/>
            <w:vAlign w:val="bottom"/>
          </w:tcPr>
          <w:p>
            <w:pPr>
              <w:spacing w:after="0"/>
              <w:rPr>
                <w:sz w:val="16"/>
                <w:szCs w:val="16"/>
                <w:color w:val="auto"/>
              </w:rPr>
            </w:pPr>
          </w:p>
        </w:tc>
        <w:tc>
          <w:tcPr>
            <w:tcW w:w="7580" w:type="dxa"/>
            <w:vAlign w:val="bottom"/>
          </w:tcPr>
          <w:p>
            <w:pPr>
              <w:ind w:left="200"/>
              <w:spacing w:after="0" w:line="189" w:lineRule="exact"/>
              <w:rPr>
                <w:sz w:val="20"/>
                <w:szCs w:val="20"/>
                <w:color w:val="auto"/>
              </w:rPr>
            </w:pPr>
            <w:r>
              <w:rPr>
                <w:rFonts w:ascii="Arial" w:cs="Arial" w:eastAsia="Arial" w:hAnsi="Arial"/>
                <w:sz w:val="17"/>
                <w:szCs w:val="17"/>
                <w:color w:val="auto"/>
              </w:rPr>
              <w:t>aggregate, used to determine the fair value of the reporting units, as well as the fair values of</w:t>
            </w:r>
          </w:p>
        </w:tc>
      </w:tr>
      <w:tr>
        <w:trPr>
          <w:trHeight w:val="189"/>
        </w:trPr>
        <w:tc>
          <w:tcPr>
            <w:tcW w:w="1280" w:type="dxa"/>
            <w:vAlign w:val="bottom"/>
          </w:tcPr>
          <w:p>
            <w:pPr>
              <w:spacing w:after="0"/>
              <w:rPr>
                <w:sz w:val="16"/>
                <w:szCs w:val="16"/>
                <w:color w:val="auto"/>
              </w:rPr>
            </w:pPr>
          </w:p>
        </w:tc>
        <w:tc>
          <w:tcPr>
            <w:tcW w:w="7580" w:type="dxa"/>
            <w:vAlign w:val="bottom"/>
          </w:tcPr>
          <w:p>
            <w:pPr>
              <w:ind w:left="200"/>
              <w:spacing w:after="0" w:line="189" w:lineRule="exact"/>
              <w:rPr>
                <w:sz w:val="20"/>
                <w:szCs w:val="20"/>
                <w:color w:val="auto"/>
              </w:rPr>
            </w:pPr>
            <w:r>
              <w:rPr>
                <w:rFonts w:ascii="Arial" w:cs="Arial" w:eastAsia="Arial" w:hAnsi="Arial"/>
                <w:sz w:val="17"/>
                <w:szCs w:val="17"/>
                <w:color w:val="auto"/>
              </w:rPr>
              <w:t>the corresponding assets and liabilities within the reporting units.</w:t>
            </w:r>
          </w:p>
        </w:tc>
      </w:tr>
      <w:tr>
        <w:trPr>
          <w:trHeight w:val="189"/>
        </w:trPr>
        <w:tc>
          <w:tcPr>
            <w:tcW w:w="1280" w:type="dxa"/>
            <w:vAlign w:val="bottom"/>
          </w:tcPr>
          <w:p>
            <w:pPr>
              <w:spacing w:after="0"/>
              <w:rPr>
                <w:sz w:val="16"/>
                <w:szCs w:val="16"/>
                <w:color w:val="auto"/>
              </w:rPr>
            </w:pPr>
          </w:p>
        </w:tc>
        <w:tc>
          <w:tcPr>
            <w:tcW w:w="7580" w:type="dxa"/>
            <w:vAlign w:val="bottom"/>
          </w:tcPr>
          <w:p>
            <w:pPr>
              <w:ind w:left="200"/>
              <w:spacing w:after="0" w:line="189" w:lineRule="exact"/>
              <w:rPr>
                <w:sz w:val="20"/>
                <w:szCs w:val="20"/>
                <w:color w:val="auto"/>
              </w:rPr>
            </w:pPr>
            <w:r>
              <w:rPr>
                <w:rFonts w:ascii="Arial" w:cs="Arial" w:eastAsia="Arial" w:hAnsi="Arial"/>
                <w:sz w:val="17"/>
                <w:szCs w:val="17"/>
                <w:color w:val="auto"/>
              </w:rPr>
              <w:t>In 2017, we elected to perform the first step of the two-step impairment analysis in connection</w:t>
            </w:r>
          </w:p>
        </w:tc>
      </w:tr>
      <w:tr>
        <w:trPr>
          <w:trHeight w:val="189"/>
        </w:trPr>
        <w:tc>
          <w:tcPr>
            <w:tcW w:w="1280" w:type="dxa"/>
            <w:vAlign w:val="bottom"/>
          </w:tcPr>
          <w:p>
            <w:pPr>
              <w:spacing w:after="0"/>
              <w:rPr>
                <w:sz w:val="16"/>
                <w:szCs w:val="16"/>
                <w:color w:val="auto"/>
              </w:rPr>
            </w:pPr>
          </w:p>
        </w:tc>
        <w:tc>
          <w:tcPr>
            <w:tcW w:w="7580" w:type="dxa"/>
            <w:vAlign w:val="bottom"/>
          </w:tcPr>
          <w:p>
            <w:pPr>
              <w:ind w:left="200"/>
              <w:spacing w:after="0" w:line="189" w:lineRule="exact"/>
              <w:rPr>
                <w:sz w:val="20"/>
                <w:szCs w:val="20"/>
                <w:color w:val="auto"/>
              </w:rPr>
            </w:pPr>
            <w:r>
              <w:rPr>
                <w:rFonts w:ascii="Arial" w:cs="Arial" w:eastAsia="Arial" w:hAnsi="Arial"/>
                <w:sz w:val="17"/>
                <w:szCs w:val="17"/>
                <w:color w:val="auto"/>
              </w:rPr>
              <w:t>with our annual review. This analysis concluded that the fair value of all of the reporting units</w:t>
            </w:r>
          </w:p>
        </w:tc>
      </w:tr>
      <w:tr>
        <w:trPr>
          <w:trHeight w:val="189"/>
        </w:trPr>
        <w:tc>
          <w:tcPr>
            <w:tcW w:w="1280" w:type="dxa"/>
            <w:vAlign w:val="bottom"/>
          </w:tcPr>
          <w:p>
            <w:pPr>
              <w:spacing w:after="0"/>
              <w:rPr>
                <w:sz w:val="16"/>
                <w:szCs w:val="16"/>
                <w:color w:val="auto"/>
              </w:rPr>
            </w:pPr>
          </w:p>
        </w:tc>
        <w:tc>
          <w:tcPr>
            <w:tcW w:w="7580" w:type="dxa"/>
            <w:vAlign w:val="bottom"/>
          </w:tcPr>
          <w:p>
            <w:pPr>
              <w:ind w:left="200"/>
              <w:spacing w:after="0" w:line="189" w:lineRule="exact"/>
              <w:rPr>
                <w:sz w:val="20"/>
                <w:szCs w:val="20"/>
                <w:color w:val="auto"/>
              </w:rPr>
            </w:pPr>
            <w:r>
              <w:rPr>
                <w:rFonts w:ascii="Arial" w:cs="Arial" w:eastAsia="Arial" w:hAnsi="Arial"/>
                <w:sz w:val="17"/>
                <w:szCs w:val="17"/>
                <w:color w:val="auto"/>
              </w:rPr>
              <w:t>substantially exceeded their carrying values. In 2015 and 2016, we elected to perform our</w:t>
            </w:r>
          </w:p>
        </w:tc>
      </w:tr>
      <w:tr>
        <w:trPr>
          <w:trHeight w:val="189"/>
        </w:trPr>
        <w:tc>
          <w:tcPr>
            <w:tcW w:w="1280" w:type="dxa"/>
            <w:vAlign w:val="bottom"/>
          </w:tcPr>
          <w:p>
            <w:pPr>
              <w:spacing w:after="0"/>
              <w:rPr>
                <w:sz w:val="16"/>
                <w:szCs w:val="16"/>
                <w:color w:val="auto"/>
              </w:rPr>
            </w:pPr>
          </w:p>
        </w:tc>
        <w:tc>
          <w:tcPr>
            <w:tcW w:w="7580" w:type="dxa"/>
            <w:vAlign w:val="bottom"/>
          </w:tcPr>
          <w:p>
            <w:pPr>
              <w:ind w:left="200"/>
              <w:spacing w:after="0" w:line="189" w:lineRule="exact"/>
              <w:rPr>
                <w:sz w:val="20"/>
                <w:szCs w:val="20"/>
                <w:color w:val="auto"/>
              </w:rPr>
            </w:pPr>
            <w:r>
              <w:rPr>
                <w:rFonts w:ascii="Arial" w:cs="Arial" w:eastAsia="Arial" w:hAnsi="Arial"/>
                <w:sz w:val="17"/>
                <w:szCs w:val="17"/>
                <w:color w:val="auto"/>
              </w:rPr>
              <w:t>review of goodwill using a qualitative approach, and no reporting units were evaluated using</w:t>
            </w:r>
          </w:p>
        </w:tc>
      </w:tr>
      <w:tr>
        <w:trPr>
          <w:trHeight w:val="189"/>
        </w:trPr>
        <w:tc>
          <w:tcPr>
            <w:tcW w:w="1280" w:type="dxa"/>
            <w:vAlign w:val="bottom"/>
          </w:tcPr>
          <w:p>
            <w:pPr>
              <w:spacing w:after="0"/>
              <w:rPr>
                <w:sz w:val="16"/>
                <w:szCs w:val="16"/>
                <w:color w:val="auto"/>
              </w:rPr>
            </w:pPr>
          </w:p>
        </w:tc>
        <w:tc>
          <w:tcPr>
            <w:tcW w:w="7580" w:type="dxa"/>
            <w:vAlign w:val="bottom"/>
          </w:tcPr>
          <w:p>
            <w:pPr>
              <w:ind w:left="200"/>
              <w:spacing w:after="0" w:line="189" w:lineRule="exact"/>
              <w:rPr>
                <w:sz w:val="20"/>
                <w:szCs w:val="20"/>
                <w:color w:val="auto"/>
              </w:rPr>
            </w:pPr>
            <w:r>
              <w:rPr>
                <w:rFonts w:ascii="Arial" w:cs="Arial" w:eastAsia="Arial" w:hAnsi="Arial"/>
                <w:sz w:val="17"/>
                <w:szCs w:val="17"/>
                <w:color w:val="auto"/>
              </w:rPr>
              <w:t>the two-step impairment method and based on that assessment we concluded that it was more</w:t>
            </w:r>
          </w:p>
        </w:tc>
      </w:tr>
      <w:tr>
        <w:trPr>
          <w:trHeight w:val="189"/>
        </w:trPr>
        <w:tc>
          <w:tcPr>
            <w:tcW w:w="1280" w:type="dxa"/>
            <w:vAlign w:val="bottom"/>
          </w:tcPr>
          <w:p>
            <w:pPr>
              <w:spacing w:after="0"/>
              <w:rPr>
                <w:sz w:val="16"/>
                <w:szCs w:val="16"/>
                <w:color w:val="auto"/>
              </w:rPr>
            </w:pPr>
          </w:p>
        </w:tc>
        <w:tc>
          <w:tcPr>
            <w:tcW w:w="7580" w:type="dxa"/>
            <w:vAlign w:val="bottom"/>
          </w:tcPr>
          <w:p>
            <w:pPr>
              <w:ind w:left="200"/>
              <w:spacing w:after="0" w:line="189" w:lineRule="exact"/>
              <w:rPr>
                <w:sz w:val="20"/>
                <w:szCs w:val="20"/>
                <w:color w:val="auto"/>
              </w:rPr>
            </w:pPr>
            <w:r>
              <w:rPr>
                <w:rFonts w:ascii="Arial" w:cs="Arial" w:eastAsia="Arial" w:hAnsi="Arial"/>
                <w:sz w:val="17"/>
                <w:szCs w:val="17"/>
                <w:color w:val="auto"/>
              </w:rPr>
              <w:t>likely than not that the fair values of our reporting units exceeded their respective carrying</w:t>
            </w:r>
          </w:p>
        </w:tc>
      </w:tr>
      <w:tr>
        <w:trPr>
          <w:trHeight w:val="205"/>
        </w:trPr>
        <w:tc>
          <w:tcPr>
            <w:tcW w:w="1280" w:type="dxa"/>
            <w:vAlign w:val="bottom"/>
          </w:tcPr>
          <w:p>
            <w:pPr>
              <w:spacing w:after="0"/>
              <w:rPr>
                <w:sz w:val="17"/>
                <w:szCs w:val="17"/>
                <w:color w:val="auto"/>
              </w:rPr>
            </w:pPr>
          </w:p>
        </w:tc>
        <w:tc>
          <w:tcPr>
            <w:tcW w:w="7580" w:type="dxa"/>
            <w:vAlign w:val="bottom"/>
          </w:tcPr>
          <w:p>
            <w:pPr>
              <w:ind w:left="200"/>
              <w:spacing w:after="0"/>
              <w:rPr>
                <w:sz w:val="20"/>
                <w:szCs w:val="20"/>
                <w:color w:val="auto"/>
              </w:rPr>
            </w:pPr>
            <w:r>
              <w:rPr>
                <w:rFonts w:ascii="Arial" w:cs="Arial" w:eastAsia="Arial" w:hAnsi="Arial"/>
                <w:sz w:val="17"/>
                <w:szCs w:val="17"/>
                <w:color w:val="auto"/>
              </w:rPr>
              <w:t>values and that there are no reporting units at risk of impairment.</w:t>
            </w:r>
          </w:p>
        </w:tc>
      </w:tr>
      <w:tr>
        <w:trPr>
          <w:trHeight w:val="405"/>
        </w:trPr>
        <w:tc>
          <w:tcPr>
            <w:tcW w:w="1280" w:type="dxa"/>
            <w:vAlign w:val="bottom"/>
          </w:tcPr>
          <w:p>
            <w:pPr>
              <w:spacing w:after="0"/>
              <w:rPr>
                <w:sz w:val="24"/>
                <w:szCs w:val="24"/>
                <w:color w:val="auto"/>
              </w:rPr>
            </w:pPr>
          </w:p>
        </w:tc>
        <w:tc>
          <w:tcPr>
            <w:tcW w:w="7580" w:type="dxa"/>
            <w:vAlign w:val="bottom"/>
          </w:tcPr>
          <w:p>
            <w:pPr>
              <w:ind w:left="3040"/>
              <w:spacing w:after="0"/>
              <w:rPr>
                <w:sz w:val="20"/>
                <w:szCs w:val="20"/>
                <w:color w:val="auto"/>
              </w:rPr>
            </w:pPr>
            <w:r>
              <w:rPr>
                <w:rFonts w:ascii="Arial" w:cs="Arial" w:eastAsia="Arial" w:hAnsi="Arial"/>
                <w:sz w:val="17"/>
                <w:szCs w:val="17"/>
                <w:color w:val="auto"/>
              </w:rPr>
              <w:t>32</w:t>
            </w:r>
          </w:p>
        </w:tc>
      </w:tr>
      <w:tr>
        <w:trPr>
          <w:trHeight w:val="342"/>
        </w:trPr>
        <w:tc>
          <w:tcPr>
            <w:tcW w:w="1280" w:type="dxa"/>
            <w:vAlign w:val="bottom"/>
            <w:tcBorders>
              <w:bottom w:val="single" w:sz="8" w:color="9A9A9A"/>
            </w:tcBorders>
          </w:tcPr>
          <w:p>
            <w:pPr>
              <w:spacing w:after="0"/>
              <w:rPr>
                <w:sz w:val="24"/>
                <w:szCs w:val="24"/>
                <w:color w:val="auto"/>
              </w:rPr>
            </w:pPr>
          </w:p>
        </w:tc>
        <w:tc>
          <w:tcPr>
            <w:tcW w:w="7580" w:type="dxa"/>
            <w:vAlign w:val="bottom"/>
            <w:tcBorders>
              <w:bottom w:val="single" w:sz="8" w:color="9A9A9A"/>
            </w:tcBorders>
          </w:tcPr>
          <w:p>
            <w:pPr>
              <w:spacing w:after="0"/>
              <w:rPr>
                <w:sz w:val="24"/>
                <w:szCs w:val="24"/>
                <w:color w:val="auto"/>
              </w:rPr>
            </w:pPr>
          </w:p>
        </w:tc>
      </w:tr>
      <w:tr>
        <w:trPr>
          <w:trHeight w:val="20"/>
        </w:trPr>
        <w:tc>
          <w:tcPr>
            <w:tcW w:w="1280" w:type="dxa"/>
            <w:vAlign w:val="bottom"/>
            <w:tcBorders>
              <w:bottom w:val="single" w:sz="8" w:color="EEEEEE"/>
            </w:tcBorders>
          </w:tcPr>
          <w:p>
            <w:pPr>
              <w:spacing w:after="0" w:line="20" w:lineRule="exact"/>
              <w:rPr>
                <w:sz w:val="1"/>
                <w:szCs w:val="1"/>
                <w:color w:val="auto"/>
              </w:rPr>
            </w:pPr>
          </w:p>
        </w:tc>
        <w:tc>
          <w:tcPr>
            <w:tcW w:w="75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58" w:right="1440" w:bottom="1440" w:gutter="0" w:footer="0" w:header="0"/>
        </w:sectPr>
      </w:pPr>
    </w:p>
    <w:bookmarkStart w:id="34" w:name="page35"/>
    <w:bookmarkEnd w:id="34"/>
    <w:p>
      <w:pPr>
        <w:ind w:left="100"/>
        <w:spacing w:after="0"/>
        <w:rPr>
          <w:sz w:val="20"/>
          <w:szCs w:val="20"/>
          <w:color w:val="auto"/>
        </w:rPr>
      </w:pPr>
      <w:r>
        <w:rPr>
          <w:rFonts w:ascii="Arial" w:cs="Arial" w:eastAsia="Arial" w:hAnsi="Arial"/>
          <w:sz w:val="17"/>
          <w:szCs w:val="17"/>
          <w:i w:val="1"/>
          <w:iCs w:val="1"/>
          <w:u w:val="single" w:color="auto"/>
          <w:color w:val="auto"/>
        </w:rPr>
        <w:t>Legal Contingencies</w:t>
      </w:r>
    </w:p>
    <w:p>
      <w:pPr>
        <w:spacing w:after="0" w:line="201"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We are exposed to various legal proceedings and claims arising in the ordinary course of business. We record a liability when a loss is probable and the amount of loss can be reasonably estimated. The accrual is recorded based on the reasonably estimable loss or range of loss. When no point of loss is more likely than another, we record the lowest amount in the estimated range of loss and disclose the estimated range. In 2017, we recorded pre-tax charges of $178 million related to the pension plan litigation. We previously recorded a pre-tax charge of $100 million related to this matter in 2015.</w:t>
      </w:r>
    </w:p>
    <w:p>
      <w:pPr>
        <w:spacing w:after="0" w:line="175"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There is significant judgment required in both the probability determination and as to whether an exposure can be reasonably estimated. We believe the accruals recorded within the consolidated financial statements properly reflect loss exposures that are both probable and reasonably estimable. Due to the inherent uncertainty involved in making these estimates, actual results could differ from those estimates.</w:t>
      </w:r>
    </w:p>
    <w:p>
      <w:pPr>
        <w:spacing w:after="0" w:line="159" w:lineRule="exact"/>
        <w:rPr>
          <w:sz w:val="20"/>
          <w:szCs w:val="20"/>
          <w:color w:val="auto"/>
        </w:rPr>
      </w:pPr>
    </w:p>
    <w:p>
      <w:pPr>
        <w:ind w:left="100"/>
        <w:spacing w:after="0"/>
        <w:rPr>
          <w:sz w:val="20"/>
          <w:szCs w:val="20"/>
          <w:color w:val="auto"/>
        </w:rPr>
      </w:pPr>
      <w:r>
        <w:rPr>
          <w:rFonts w:ascii="Arial" w:cs="Arial" w:eastAsia="Arial" w:hAnsi="Arial"/>
          <w:sz w:val="17"/>
          <w:szCs w:val="17"/>
          <w:i w:val="1"/>
          <w:iCs w:val="1"/>
          <w:u w:val="single" w:color="auto"/>
          <w:color w:val="auto"/>
        </w:rPr>
        <w:t>Pension and Postretirement Liabilities</w:t>
      </w:r>
    </w:p>
    <w:p>
      <w:pPr>
        <w:spacing w:after="0" w:line="201"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We review all assumptions used to determine our obligations for pension and postretirement liabilities annually with our independent actuaries, taking into consideration existing and future economic conditions and our intentions with regard to the plans. The assumptions used are:</w:t>
      </w:r>
    </w:p>
    <w:p>
      <w:pPr>
        <w:spacing w:after="0" w:line="155" w:lineRule="exact"/>
        <w:rPr>
          <w:sz w:val="20"/>
          <w:szCs w:val="20"/>
          <w:color w:val="auto"/>
        </w:rPr>
      </w:pPr>
    </w:p>
    <w:tbl>
      <w:tblPr>
        <w:tblLayout w:type="fixed"/>
        <w:tblInd w:w="100" w:type="dxa"/>
        <w:tblCellMar>
          <w:top w:w="0" w:type="dxa"/>
          <w:left w:w="0" w:type="dxa"/>
          <w:bottom w:w="0" w:type="dxa"/>
          <w:right w:w="0" w:type="dxa"/>
        </w:tblCellMar>
      </w:tblPr>
      <w:tr>
        <w:trPr>
          <w:trHeight w:val="195"/>
        </w:trPr>
        <w:tc>
          <w:tcPr>
            <w:tcW w:w="1260" w:type="dxa"/>
            <w:vAlign w:val="bottom"/>
          </w:tcPr>
          <w:p>
            <w:pPr>
              <w:ind w:left="220"/>
              <w:spacing w:after="0"/>
              <w:rPr>
                <w:sz w:val="20"/>
                <w:szCs w:val="20"/>
                <w:color w:val="auto"/>
              </w:rPr>
            </w:pPr>
            <w:r>
              <w:rPr>
                <w:rFonts w:ascii="Arial" w:cs="Arial" w:eastAsia="Arial" w:hAnsi="Arial"/>
                <w:sz w:val="17"/>
                <w:szCs w:val="17"/>
                <w:color w:val="auto"/>
              </w:rPr>
              <w:t>Long-Term</w:t>
            </w:r>
          </w:p>
        </w:tc>
        <w:tc>
          <w:tcPr>
            <w:tcW w:w="7600" w:type="dxa"/>
            <w:vAlign w:val="bottom"/>
          </w:tcPr>
          <w:p>
            <w:pPr>
              <w:ind w:left="220"/>
              <w:spacing w:after="0"/>
              <w:rPr>
                <w:sz w:val="20"/>
                <w:szCs w:val="20"/>
                <w:color w:val="auto"/>
              </w:rPr>
            </w:pPr>
            <w:r>
              <w:rPr>
                <w:rFonts w:ascii="Arial" w:cs="Arial" w:eastAsia="Arial" w:hAnsi="Arial"/>
                <w:sz w:val="17"/>
                <w:szCs w:val="17"/>
                <w:color w:val="auto"/>
              </w:rPr>
              <w:t>The expected rate of return on plan assets is the long-term rate of return expected to be</w:t>
            </w:r>
          </w:p>
        </w:tc>
      </w:tr>
      <w:tr>
        <w:trPr>
          <w:trHeight w:val="189"/>
        </w:trPr>
        <w:tc>
          <w:tcPr>
            <w:tcW w:w="1260" w:type="dxa"/>
            <w:vAlign w:val="bottom"/>
          </w:tcPr>
          <w:p>
            <w:pPr>
              <w:ind w:left="220"/>
              <w:spacing w:after="0" w:line="189" w:lineRule="exact"/>
              <w:rPr>
                <w:sz w:val="20"/>
                <w:szCs w:val="20"/>
                <w:color w:val="auto"/>
              </w:rPr>
            </w:pPr>
            <w:r>
              <w:rPr>
                <w:rFonts w:ascii="Arial" w:cs="Arial" w:eastAsia="Arial" w:hAnsi="Arial"/>
                <w:sz w:val="17"/>
                <w:szCs w:val="17"/>
                <w:color w:val="auto"/>
              </w:rPr>
              <w:t>Rate of</w:t>
            </w:r>
          </w:p>
        </w:tc>
        <w:tc>
          <w:tcPr>
            <w:tcW w:w="7600" w:type="dxa"/>
            <w:vAlign w:val="bottom"/>
          </w:tcPr>
          <w:p>
            <w:pPr>
              <w:ind w:left="220"/>
              <w:spacing w:after="0" w:line="189" w:lineRule="exact"/>
              <w:rPr>
                <w:sz w:val="20"/>
                <w:szCs w:val="20"/>
                <w:color w:val="auto"/>
              </w:rPr>
            </w:pPr>
            <w:r>
              <w:rPr>
                <w:rFonts w:ascii="Arial" w:cs="Arial" w:eastAsia="Arial" w:hAnsi="Arial"/>
                <w:sz w:val="17"/>
                <w:szCs w:val="17"/>
                <w:color w:val="auto"/>
              </w:rPr>
              <w:t>earned on the plans’ assets and is recognized as a component of pension expense. The rate is</w:t>
            </w:r>
          </w:p>
        </w:tc>
      </w:tr>
      <w:tr>
        <w:trPr>
          <w:trHeight w:val="189"/>
        </w:trPr>
        <w:tc>
          <w:tcPr>
            <w:tcW w:w="1260" w:type="dxa"/>
            <w:vAlign w:val="bottom"/>
          </w:tcPr>
          <w:p>
            <w:pPr>
              <w:ind w:left="220"/>
              <w:spacing w:after="0" w:line="189" w:lineRule="exact"/>
              <w:rPr>
                <w:sz w:val="20"/>
                <w:szCs w:val="20"/>
                <w:color w:val="auto"/>
              </w:rPr>
            </w:pPr>
            <w:r>
              <w:rPr>
                <w:rFonts w:ascii="Arial" w:cs="Arial" w:eastAsia="Arial" w:hAnsi="Arial"/>
                <w:sz w:val="17"/>
                <w:szCs w:val="17"/>
                <w:color w:val="auto"/>
              </w:rPr>
              <w:t>Return</w:t>
            </w:r>
          </w:p>
        </w:tc>
        <w:tc>
          <w:tcPr>
            <w:tcW w:w="7600" w:type="dxa"/>
            <w:vAlign w:val="bottom"/>
          </w:tcPr>
          <w:p>
            <w:pPr>
              <w:ind w:left="220"/>
              <w:spacing w:after="0" w:line="189" w:lineRule="exact"/>
              <w:rPr>
                <w:sz w:val="20"/>
                <w:szCs w:val="20"/>
                <w:color w:val="auto"/>
              </w:rPr>
            </w:pPr>
            <w:r>
              <w:rPr>
                <w:rFonts w:ascii="Arial" w:cs="Arial" w:eastAsia="Arial" w:hAnsi="Arial"/>
                <w:sz w:val="17"/>
                <w:szCs w:val="17"/>
                <w:color w:val="auto"/>
              </w:rPr>
              <w:t>based on the plans’ weighted-average target asset allocation, as well as historical and future</w:t>
            </w:r>
          </w:p>
        </w:tc>
      </w:tr>
      <w:tr>
        <w:trPr>
          <w:trHeight w:val="189"/>
        </w:trPr>
        <w:tc>
          <w:tcPr>
            <w:tcW w:w="1260" w:type="dxa"/>
            <w:vAlign w:val="bottom"/>
          </w:tcPr>
          <w:p>
            <w:pPr>
              <w:spacing w:after="0"/>
              <w:rPr>
                <w:sz w:val="16"/>
                <w:szCs w:val="16"/>
                <w:color w:val="auto"/>
              </w:rPr>
            </w:pPr>
          </w:p>
        </w:tc>
        <w:tc>
          <w:tcPr>
            <w:tcW w:w="7600" w:type="dxa"/>
            <w:vAlign w:val="bottom"/>
          </w:tcPr>
          <w:p>
            <w:pPr>
              <w:ind w:left="220"/>
              <w:spacing w:after="0" w:line="189" w:lineRule="exact"/>
              <w:rPr>
                <w:sz w:val="20"/>
                <w:szCs w:val="20"/>
                <w:color w:val="auto"/>
              </w:rPr>
            </w:pPr>
            <w:r>
              <w:rPr>
                <w:rFonts w:ascii="Arial" w:cs="Arial" w:eastAsia="Arial" w:hAnsi="Arial"/>
                <w:sz w:val="17"/>
                <w:szCs w:val="17"/>
                <w:color w:val="auto"/>
              </w:rPr>
              <w:t>expected performance of those assets. The target asset allocation is selected to obtain an</w:t>
            </w:r>
          </w:p>
        </w:tc>
      </w:tr>
      <w:tr>
        <w:trPr>
          <w:trHeight w:val="189"/>
        </w:trPr>
        <w:tc>
          <w:tcPr>
            <w:tcW w:w="1260" w:type="dxa"/>
            <w:vAlign w:val="bottom"/>
          </w:tcPr>
          <w:p>
            <w:pPr>
              <w:spacing w:after="0"/>
              <w:rPr>
                <w:sz w:val="16"/>
                <w:szCs w:val="16"/>
                <w:color w:val="auto"/>
              </w:rPr>
            </w:pPr>
          </w:p>
        </w:tc>
        <w:tc>
          <w:tcPr>
            <w:tcW w:w="7600" w:type="dxa"/>
            <w:vAlign w:val="bottom"/>
          </w:tcPr>
          <w:p>
            <w:pPr>
              <w:ind w:left="220"/>
              <w:spacing w:after="0" w:line="189" w:lineRule="exact"/>
              <w:rPr>
                <w:sz w:val="20"/>
                <w:szCs w:val="20"/>
                <w:color w:val="auto"/>
              </w:rPr>
            </w:pPr>
            <w:r>
              <w:rPr>
                <w:rFonts w:ascii="Arial" w:cs="Arial" w:eastAsia="Arial" w:hAnsi="Arial"/>
                <w:sz w:val="17"/>
                <w:szCs w:val="17"/>
                <w:color w:val="auto"/>
              </w:rPr>
              <w:t>investment return that is sufficient to cover the expected benefit payments and to reduce the</w:t>
            </w:r>
          </w:p>
        </w:tc>
      </w:tr>
      <w:tr>
        <w:trPr>
          <w:trHeight w:val="189"/>
        </w:trPr>
        <w:tc>
          <w:tcPr>
            <w:tcW w:w="1260" w:type="dxa"/>
            <w:vAlign w:val="bottom"/>
          </w:tcPr>
          <w:p>
            <w:pPr>
              <w:spacing w:after="0"/>
              <w:rPr>
                <w:sz w:val="16"/>
                <w:szCs w:val="16"/>
                <w:color w:val="auto"/>
              </w:rPr>
            </w:pPr>
          </w:p>
        </w:tc>
        <w:tc>
          <w:tcPr>
            <w:tcW w:w="7600" w:type="dxa"/>
            <w:vAlign w:val="bottom"/>
          </w:tcPr>
          <w:p>
            <w:pPr>
              <w:ind w:left="220"/>
              <w:spacing w:after="0" w:line="189" w:lineRule="exact"/>
              <w:rPr>
                <w:sz w:val="20"/>
                <w:szCs w:val="20"/>
                <w:color w:val="auto"/>
              </w:rPr>
            </w:pPr>
            <w:r>
              <w:rPr>
                <w:rFonts w:ascii="Arial" w:cs="Arial" w:eastAsia="Arial" w:hAnsi="Arial"/>
                <w:sz w:val="17"/>
                <w:szCs w:val="17"/>
                <w:color w:val="auto"/>
              </w:rPr>
              <w:t>variability of future contributions. The expected rate of return on plan assets is reviewed</w:t>
            </w:r>
          </w:p>
        </w:tc>
      </w:tr>
      <w:tr>
        <w:trPr>
          <w:trHeight w:val="189"/>
        </w:trPr>
        <w:tc>
          <w:tcPr>
            <w:tcW w:w="1260" w:type="dxa"/>
            <w:vAlign w:val="bottom"/>
          </w:tcPr>
          <w:p>
            <w:pPr>
              <w:spacing w:after="0"/>
              <w:rPr>
                <w:sz w:val="16"/>
                <w:szCs w:val="16"/>
                <w:color w:val="auto"/>
              </w:rPr>
            </w:pPr>
          </w:p>
        </w:tc>
        <w:tc>
          <w:tcPr>
            <w:tcW w:w="7600" w:type="dxa"/>
            <w:vAlign w:val="bottom"/>
          </w:tcPr>
          <w:p>
            <w:pPr>
              <w:ind w:left="220"/>
              <w:spacing w:after="0" w:line="189" w:lineRule="exact"/>
              <w:rPr>
                <w:sz w:val="20"/>
                <w:szCs w:val="20"/>
                <w:color w:val="auto"/>
              </w:rPr>
            </w:pPr>
            <w:r>
              <w:rPr>
                <w:rFonts w:ascii="Arial" w:cs="Arial" w:eastAsia="Arial" w:hAnsi="Arial"/>
                <w:sz w:val="17"/>
                <w:szCs w:val="17"/>
                <w:color w:val="auto"/>
              </w:rPr>
              <w:t>annually and revised, as necessary, to reflect changes in the financial markets and our</w:t>
            </w:r>
          </w:p>
        </w:tc>
      </w:tr>
      <w:tr>
        <w:trPr>
          <w:trHeight w:val="189"/>
        </w:trPr>
        <w:tc>
          <w:tcPr>
            <w:tcW w:w="1260" w:type="dxa"/>
            <w:vAlign w:val="bottom"/>
          </w:tcPr>
          <w:p>
            <w:pPr>
              <w:spacing w:after="0"/>
              <w:rPr>
                <w:sz w:val="16"/>
                <w:szCs w:val="16"/>
                <w:color w:val="auto"/>
              </w:rPr>
            </w:pPr>
          </w:p>
        </w:tc>
        <w:tc>
          <w:tcPr>
            <w:tcW w:w="7600" w:type="dxa"/>
            <w:vAlign w:val="bottom"/>
          </w:tcPr>
          <w:p>
            <w:pPr>
              <w:ind w:left="220"/>
              <w:spacing w:after="0" w:line="189" w:lineRule="exact"/>
              <w:rPr>
                <w:sz w:val="20"/>
                <w:szCs w:val="20"/>
                <w:color w:val="auto"/>
              </w:rPr>
            </w:pPr>
            <w:r>
              <w:rPr>
                <w:rFonts w:ascii="Arial" w:cs="Arial" w:eastAsia="Arial" w:hAnsi="Arial"/>
                <w:sz w:val="17"/>
                <w:szCs w:val="17"/>
                <w:color w:val="auto"/>
              </w:rPr>
              <w:t>investment strategy. The weighted-average long-term rate of return used to determine 2017</w:t>
            </w:r>
          </w:p>
        </w:tc>
      </w:tr>
      <w:tr>
        <w:trPr>
          <w:trHeight w:val="205"/>
        </w:trPr>
        <w:tc>
          <w:tcPr>
            <w:tcW w:w="1260" w:type="dxa"/>
            <w:vAlign w:val="bottom"/>
          </w:tcPr>
          <w:p>
            <w:pPr>
              <w:spacing w:after="0"/>
              <w:rPr>
                <w:sz w:val="17"/>
                <w:szCs w:val="17"/>
                <w:color w:val="auto"/>
              </w:rPr>
            </w:pPr>
          </w:p>
        </w:tc>
        <w:tc>
          <w:tcPr>
            <w:tcW w:w="7600" w:type="dxa"/>
            <w:vAlign w:val="bottom"/>
          </w:tcPr>
          <w:p>
            <w:pPr>
              <w:ind w:left="220"/>
              <w:spacing w:after="0"/>
              <w:rPr>
                <w:sz w:val="20"/>
                <w:szCs w:val="20"/>
                <w:color w:val="auto"/>
              </w:rPr>
            </w:pPr>
            <w:r>
              <w:rPr>
                <w:rFonts w:ascii="Arial" w:cs="Arial" w:eastAsia="Arial" w:hAnsi="Arial"/>
                <w:sz w:val="17"/>
                <w:szCs w:val="17"/>
                <w:color w:val="auto"/>
              </w:rPr>
              <w:t>pension expense was 5.8 percent.</w:t>
            </w:r>
          </w:p>
        </w:tc>
      </w:tr>
      <w:tr>
        <w:trPr>
          <w:trHeight w:val="417"/>
        </w:trPr>
        <w:tc>
          <w:tcPr>
            <w:tcW w:w="1260" w:type="dxa"/>
            <w:vAlign w:val="bottom"/>
          </w:tcPr>
          <w:p>
            <w:pPr>
              <w:spacing w:after="0"/>
              <w:rPr>
                <w:sz w:val="24"/>
                <w:szCs w:val="24"/>
                <w:color w:val="auto"/>
              </w:rPr>
            </w:pPr>
          </w:p>
        </w:tc>
        <w:tc>
          <w:tcPr>
            <w:tcW w:w="7600" w:type="dxa"/>
            <w:vAlign w:val="bottom"/>
          </w:tcPr>
          <w:p>
            <w:pPr>
              <w:ind w:left="220"/>
              <w:spacing w:after="0"/>
              <w:rPr>
                <w:sz w:val="20"/>
                <w:szCs w:val="20"/>
                <w:color w:val="auto"/>
              </w:rPr>
            </w:pPr>
            <w:r>
              <w:rPr>
                <w:rFonts w:ascii="Arial" w:cs="Arial" w:eastAsia="Arial" w:hAnsi="Arial"/>
                <w:sz w:val="17"/>
                <w:szCs w:val="17"/>
                <w:color w:val="auto"/>
              </w:rPr>
              <w:t>A decrease of 50 basis points in the weighted-average expected long-term rate of return would</w:t>
            </w:r>
          </w:p>
        </w:tc>
      </w:tr>
      <w:tr>
        <w:trPr>
          <w:trHeight w:val="189"/>
        </w:trPr>
        <w:tc>
          <w:tcPr>
            <w:tcW w:w="1260" w:type="dxa"/>
            <w:vAlign w:val="bottom"/>
          </w:tcPr>
          <w:p>
            <w:pPr>
              <w:spacing w:after="0"/>
              <w:rPr>
                <w:sz w:val="16"/>
                <w:szCs w:val="16"/>
                <w:color w:val="auto"/>
              </w:rPr>
            </w:pPr>
          </w:p>
        </w:tc>
        <w:tc>
          <w:tcPr>
            <w:tcW w:w="7600" w:type="dxa"/>
            <w:vAlign w:val="bottom"/>
          </w:tcPr>
          <w:p>
            <w:pPr>
              <w:ind w:left="220"/>
              <w:spacing w:after="0" w:line="189" w:lineRule="exact"/>
              <w:rPr>
                <w:sz w:val="20"/>
                <w:szCs w:val="20"/>
                <w:color w:val="auto"/>
              </w:rPr>
            </w:pPr>
            <w:r>
              <w:rPr>
                <w:rFonts w:ascii="Arial" w:cs="Arial" w:eastAsia="Arial" w:hAnsi="Arial"/>
                <w:sz w:val="17"/>
                <w:szCs w:val="17"/>
                <w:color w:val="auto"/>
              </w:rPr>
              <w:t>have increased 2017 pension expense by approximately $3 million. The actual return on plan</w:t>
            </w:r>
          </w:p>
        </w:tc>
      </w:tr>
      <w:tr>
        <w:trPr>
          <w:trHeight w:val="189"/>
        </w:trPr>
        <w:tc>
          <w:tcPr>
            <w:tcW w:w="1260" w:type="dxa"/>
            <w:vAlign w:val="bottom"/>
          </w:tcPr>
          <w:p>
            <w:pPr>
              <w:spacing w:after="0"/>
              <w:rPr>
                <w:sz w:val="16"/>
                <w:szCs w:val="16"/>
                <w:color w:val="auto"/>
              </w:rPr>
            </w:pPr>
          </w:p>
        </w:tc>
        <w:tc>
          <w:tcPr>
            <w:tcW w:w="7600" w:type="dxa"/>
            <w:vAlign w:val="bottom"/>
          </w:tcPr>
          <w:p>
            <w:pPr>
              <w:ind w:left="220"/>
              <w:spacing w:after="0" w:line="189" w:lineRule="exact"/>
              <w:rPr>
                <w:sz w:val="20"/>
                <w:szCs w:val="20"/>
                <w:color w:val="auto"/>
              </w:rPr>
            </w:pPr>
            <w:r>
              <w:rPr>
                <w:rFonts w:ascii="Arial" w:cs="Arial" w:eastAsia="Arial" w:hAnsi="Arial"/>
                <w:sz w:val="17"/>
                <w:szCs w:val="17"/>
                <w:color w:val="auto"/>
              </w:rPr>
              <w:t>assets in a given year typically differs from the expected long-term rate of return, and the</w:t>
            </w:r>
          </w:p>
        </w:tc>
      </w:tr>
      <w:tr>
        <w:trPr>
          <w:trHeight w:val="189"/>
        </w:trPr>
        <w:tc>
          <w:tcPr>
            <w:tcW w:w="1260" w:type="dxa"/>
            <w:vAlign w:val="bottom"/>
          </w:tcPr>
          <w:p>
            <w:pPr>
              <w:spacing w:after="0"/>
              <w:rPr>
                <w:sz w:val="16"/>
                <w:szCs w:val="16"/>
                <w:color w:val="auto"/>
              </w:rPr>
            </w:pPr>
          </w:p>
        </w:tc>
        <w:tc>
          <w:tcPr>
            <w:tcW w:w="7600" w:type="dxa"/>
            <w:vAlign w:val="bottom"/>
          </w:tcPr>
          <w:p>
            <w:pPr>
              <w:ind w:left="220"/>
              <w:spacing w:after="0" w:line="189" w:lineRule="exact"/>
              <w:rPr>
                <w:sz w:val="20"/>
                <w:szCs w:val="20"/>
                <w:color w:val="auto"/>
              </w:rPr>
            </w:pPr>
            <w:r>
              <w:rPr>
                <w:rFonts w:ascii="Arial" w:cs="Arial" w:eastAsia="Arial" w:hAnsi="Arial"/>
                <w:sz w:val="17"/>
                <w:szCs w:val="17"/>
                <w:color w:val="auto"/>
              </w:rPr>
              <w:t>resulting gain or loss is deferred and amortized into expense over the average life expectancy</w:t>
            </w:r>
          </w:p>
        </w:tc>
      </w:tr>
      <w:tr>
        <w:trPr>
          <w:trHeight w:val="205"/>
        </w:trPr>
        <w:tc>
          <w:tcPr>
            <w:tcW w:w="1260" w:type="dxa"/>
            <w:vAlign w:val="bottom"/>
          </w:tcPr>
          <w:p>
            <w:pPr>
              <w:spacing w:after="0"/>
              <w:rPr>
                <w:sz w:val="17"/>
                <w:szCs w:val="17"/>
                <w:color w:val="auto"/>
              </w:rPr>
            </w:pPr>
          </w:p>
        </w:tc>
        <w:tc>
          <w:tcPr>
            <w:tcW w:w="7600" w:type="dxa"/>
            <w:vAlign w:val="bottom"/>
          </w:tcPr>
          <w:p>
            <w:pPr>
              <w:ind w:left="220"/>
              <w:spacing w:after="0"/>
              <w:rPr>
                <w:sz w:val="20"/>
                <w:szCs w:val="20"/>
                <w:color w:val="auto"/>
              </w:rPr>
            </w:pPr>
            <w:r>
              <w:rPr>
                <w:rFonts w:ascii="Arial" w:cs="Arial" w:eastAsia="Arial" w:hAnsi="Arial"/>
                <w:sz w:val="17"/>
                <w:szCs w:val="17"/>
                <w:color w:val="auto"/>
              </w:rPr>
              <w:t>of the inactive participants.</w:t>
            </w:r>
          </w:p>
        </w:tc>
      </w:tr>
      <w:tr>
        <w:trPr>
          <w:trHeight w:val="417"/>
        </w:trPr>
        <w:tc>
          <w:tcPr>
            <w:tcW w:w="1260" w:type="dxa"/>
            <w:vAlign w:val="bottom"/>
          </w:tcPr>
          <w:p>
            <w:pPr>
              <w:ind w:left="220"/>
              <w:spacing w:after="0"/>
              <w:rPr>
                <w:sz w:val="20"/>
                <w:szCs w:val="20"/>
                <w:color w:val="auto"/>
              </w:rPr>
            </w:pPr>
            <w:r>
              <w:rPr>
                <w:rFonts w:ascii="Arial" w:cs="Arial" w:eastAsia="Arial" w:hAnsi="Arial"/>
                <w:sz w:val="17"/>
                <w:szCs w:val="17"/>
                <w:color w:val="auto"/>
              </w:rPr>
              <w:t>Discount</w:t>
            </w:r>
          </w:p>
        </w:tc>
        <w:tc>
          <w:tcPr>
            <w:tcW w:w="7600" w:type="dxa"/>
            <w:vAlign w:val="bottom"/>
          </w:tcPr>
          <w:p>
            <w:pPr>
              <w:ind w:left="220"/>
              <w:spacing w:after="0"/>
              <w:rPr>
                <w:sz w:val="20"/>
                <w:szCs w:val="20"/>
                <w:color w:val="auto"/>
              </w:rPr>
            </w:pPr>
            <w:r>
              <w:rPr>
                <w:rFonts w:ascii="Arial" w:cs="Arial" w:eastAsia="Arial" w:hAnsi="Arial"/>
                <w:sz w:val="17"/>
                <w:szCs w:val="17"/>
                <w:color w:val="auto"/>
              </w:rPr>
              <w:t>An assumed discount rate is used to measure the present value of future cash flow obligations</w:t>
            </w:r>
          </w:p>
        </w:tc>
      </w:tr>
      <w:tr>
        <w:trPr>
          <w:trHeight w:val="189"/>
        </w:trPr>
        <w:tc>
          <w:tcPr>
            <w:tcW w:w="1260" w:type="dxa"/>
            <w:vAlign w:val="bottom"/>
          </w:tcPr>
          <w:p>
            <w:pPr>
              <w:ind w:left="220"/>
              <w:spacing w:after="0" w:line="189" w:lineRule="exact"/>
              <w:rPr>
                <w:sz w:val="20"/>
                <w:szCs w:val="20"/>
                <w:color w:val="auto"/>
              </w:rPr>
            </w:pPr>
            <w:r>
              <w:rPr>
                <w:rFonts w:ascii="Arial" w:cs="Arial" w:eastAsia="Arial" w:hAnsi="Arial"/>
                <w:sz w:val="17"/>
                <w:szCs w:val="17"/>
                <w:color w:val="auto"/>
              </w:rPr>
              <w:t>Rate</w:t>
            </w:r>
          </w:p>
        </w:tc>
        <w:tc>
          <w:tcPr>
            <w:tcW w:w="7600" w:type="dxa"/>
            <w:vAlign w:val="bottom"/>
          </w:tcPr>
          <w:p>
            <w:pPr>
              <w:ind w:left="220"/>
              <w:spacing w:after="0" w:line="189" w:lineRule="exact"/>
              <w:rPr>
                <w:sz w:val="20"/>
                <w:szCs w:val="20"/>
                <w:color w:val="auto"/>
              </w:rPr>
            </w:pPr>
            <w:r>
              <w:rPr>
                <w:rFonts w:ascii="Arial" w:cs="Arial" w:eastAsia="Arial" w:hAnsi="Arial"/>
                <w:sz w:val="17"/>
                <w:szCs w:val="17"/>
                <w:color w:val="auto"/>
              </w:rPr>
              <w:t>of the plans and the interest cost component of pension expense and postretirement income.</w:t>
            </w:r>
          </w:p>
        </w:tc>
      </w:tr>
      <w:tr>
        <w:trPr>
          <w:trHeight w:val="189"/>
        </w:trPr>
        <w:tc>
          <w:tcPr>
            <w:tcW w:w="1260" w:type="dxa"/>
            <w:vAlign w:val="bottom"/>
          </w:tcPr>
          <w:p>
            <w:pPr>
              <w:spacing w:after="0"/>
              <w:rPr>
                <w:sz w:val="16"/>
                <w:szCs w:val="16"/>
                <w:color w:val="auto"/>
              </w:rPr>
            </w:pPr>
          </w:p>
        </w:tc>
        <w:tc>
          <w:tcPr>
            <w:tcW w:w="7600" w:type="dxa"/>
            <w:vAlign w:val="bottom"/>
          </w:tcPr>
          <w:p>
            <w:pPr>
              <w:ind w:left="220"/>
              <w:spacing w:after="0" w:line="189" w:lineRule="exact"/>
              <w:rPr>
                <w:sz w:val="20"/>
                <w:szCs w:val="20"/>
                <w:color w:val="auto"/>
              </w:rPr>
            </w:pPr>
            <w:r>
              <w:rPr>
                <w:rFonts w:ascii="Arial" w:cs="Arial" w:eastAsia="Arial" w:hAnsi="Arial"/>
                <w:sz w:val="17"/>
                <w:szCs w:val="17"/>
                <w:color w:val="auto"/>
              </w:rPr>
              <w:t>The cash flows are then discounted to their present value and an overall discount rate is</w:t>
            </w:r>
          </w:p>
        </w:tc>
      </w:tr>
      <w:tr>
        <w:trPr>
          <w:trHeight w:val="189"/>
        </w:trPr>
        <w:tc>
          <w:tcPr>
            <w:tcW w:w="1260" w:type="dxa"/>
            <w:vAlign w:val="bottom"/>
          </w:tcPr>
          <w:p>
            <w:pPr>
              <w:spacing w:after="0"/>
              <w:rPr>
                <w:sz w:val="16"/>
                <w:szCs w:val="16"/>
                <w:color w:val="auto"/>
              </w:rPr>
            </w:pPr>
          </w:p>
        </w:tc>
        <w:tc>
          <w:tcPr>
            <w:tcW w:w="7600" w:type="dxa"/>
            <w:vAlign w:val="bottom"/>
          </w:tcPr>
          <w:p>
            <w:pPr>
              <w:ind w:left="220"/>
              <w:spacing w:after="0" w:line="189" w:lineRule="exact"/>
              <w:rPr>
                <w:sz w:val="20"/>
                <w:szCs w:val="20"/>
                <w:color w:val="auto"/>
              </w:rPr>
            </w:pPr>
            <w:r>
              <w:rPr>
                <w:rFonts w:ascii="Arial" w:cs="Arial" w:eastAsia="Arial" w:hAnsi="Arial"/>
                <w:sz w:val="17"/>
                <w:szCs w:val="17"/>
                <w:color w:val="auto"/>
              </w:rPr>
              <w:t>determined. The discount rate is determined by reference to the Bond:Link interest rate model</w:t>
            </w:r>
          </w:p>
        </w:tc>
      </w:tr>
      <w:tr>
        <w:trPr>
          <w:trHeight w:val="189"/>
        </w:trPr>
        <w:tc>
          <w:tcPr>
            <w:tcW w:w="1260" w:type="dxa"/>
            <w:vAlign w:val="bottom"/>
          </w:tcPr>
          <w:p>
            <w:pPr>
              <w:spacing w:after="0"/>
              <w:rPr>
                <w:sz w:val="16"/>
                <w:szCs w:val="16"/>
                <w:color w:val="auto"/>
              </w:rPr>
            </w:pPr>
          </w:p>
        </w:tc>
        <w:tc>
          <w:tcPr>
            <w:tcW w:w="7600" w:type="dxa"/>
            <w:vAlign w:val="bottom"/>
          </w:tcPr>
          <w:p>
            <w:pPr>
              <w:ind w:left="220"/>
              <w:spacing w:after="0" w:line="189" w:lineRule="exact"/>
              <w:rPr>
                <w:sz w:val="20"/>
                <w:szCs w:val="20"/>
                <w:color w:val="auto"/>
              </w:rPr>
            </w:pPr>
            <w:r>
              <w:rPr>
                <w:rFonts w:ascii="Arial" w:cs="Arial" w:eastAsia="Arial" w:hAnsi="Arial"/>
                <w:sz w:val="17"/>
                <w:szCs w:val="17"/>
                <w:color w:val="auto"/>
              </w:rPr>
              <w:t>based upon a portfolio of highly-rated U.S. corporate bonds with individual bonds that are</w:t>
            </w:r>
          </w:p>
        </w:tc>
      </w:tr>
      <w:tr>
        <w:trPr>
          <w:trHeight w:val="189"/>
        </w:trPr>
        <w:tc>
          <w:tcPr>
            <w:tcW w:w="1260" w:type="dxa"/>
            <w:vAlign w:val="bottom"/>
          </w:tcPr>
          <w:p>
            <w:pPr>
              <w:spacing w:after="0"/>
              <w:rPr>
                <w:sz w:val="16"/>
                <w:szCs w:val="16"/>
                <w:color w:val="auto"/>
              </w:rPr>
            </w:pPr>
          </w:p>
        </w:tc>
        <w:tc>
          <w:tcPr>
            <w:tcW w:w="7600" w:type="dxa"/>
            <w:vAlign w:val="bottom"/>
          </w:tcPr>
          <w:p>
            <w:pPr>
              <w:ind w:left="220"/>
              <w:spacing w:after="0" w:line="189" w:lineRule="exact"/>
              <w:rPr>
                <w:sz w:val="20"/>
                <w:szCs w:val="20"/>
                <w:color w:val="auto"/>
              </w:rPr>
            </w:pPr>
            <w:r>
              <w:rPr>
                <w:rFonts w:ascii="Arial" w:cs="Arial" w:eastAsia="Arial" w:hAnsi="Arial"/>
                <w:sz w:val="17"/>
                <w:szCs w:val="17"/>
                <w:color w:val="auto"/>
              </w:rPr>
              <w:t>theoretically purchased to settle the plan’s anticipated cash outflows. The discount rate</w:t>
            </w:r>
          </w:p>
        </w:tc>
      </w:tr>
      <w:tr>
        <w:trPr>
          <w:trHeight w:val="189"/>
        </w:trPr>
        <w:tc>
          <w:tcPr>
            <w:tcW w:w="1260" w:type="dxa"/>
            <w:vAlign w:val="bottom"/>
          </w:tcPr>
          <w:p>
            <w:pPr>
              <w:spacing w:after="0"/>
              <w:rPr>
                <w:sz w:val="16"/>
                <w:szCs w:val="16"/>
                <w:color w:val="auto"/>
              </w:rPr>
            </w:pPr>
          </w:p>
        </w:tc>
        <w:tc>
          <w:tcPr>
            <w:tcW w:w="7600" w:type="dxa"/>
            <w:vAlign w:val="bottom"/>
          </w:tcPr>
          <w:p>
            <w:pPr>
              <w:ind w:left="220"/>
              <w:spacing w:after="0" w:line="189" w:lineRule="exact"/>
              <w:rPr>
                <w:sz w:val="20"/>
                <w:szCs w:val="20"/>
                <w:color w:val="auto"/>
              </w:rPr>
            </w:pPr>
            <w:r>
              <w:rPr>
                <w:rFonts w:ascii="Arial" w:cs="Arial" w:eastAsia="Arial" w:hAnsi="Arial"/>
                <w:sz w:val="17"/>
                <w:szCs w:val="17"/>
                <w:color w:val="auto"/>
              </w:rPr>
              <w:t>selected to measure the present value of our Canadian benefit obligations was developed by</w:t>
            </w:r>
          </w:p>
        </w:tc>
      </w:tr>
      <w:tr>
        <w:trPr>
          <w:trHeight w:val="189"/>
        </w:trPr>
        <w:tc>
          <w:tcPr>
            <w:tcW w:w="1260" w:type="dxa"/>
            <w:vAlign w:val="bottom"/>
          </w:tcPr>
          <w:p>
            <w:pPr>
              <w:spacing w:after="0"/>
              <w:rPr>
                <w:sz w:val="16"/>
                <w:szCs w:val="16"/>
                <w:color w:val="auto"/>
              </w:rPr>
            </w:pPr>
          </w:p>
        </w:tc>
        <w:tc>
          <w:tcPr>
            <w:tcW w:w="7600" w:type="dxa"/>
            <w:vAlign w:val="bottom"/>
          </w:tcPr>
          <w:p>
            <w:pPr>
              <w:ind w:left="220"/>
              <w:spacing w:after="0" w:line="189" w:lineRule="exact"/>
              <w:rPr>
                <w:sz w:val="20"/>
                <w:szCs w:val="20"/>
                <w:color w:val="auto"/>
              </w:rPr>
            </w:pPr>
            <w:r>
              <w:rPr>
                <w:rFonts w:ascii="Arial" w:cs="Arial" w:eastAsia="Arial" w:hAnsi="Arial"/>
                <w:sz w:val="17"/>
                <w:szCs w:val="17"/>
                <w:color w:val="auto"/>
              </w:rPr>
              <w:t>using that plan’s bond portfolio indices, which match the benefit obligations. The weighted-</w:t>
            </w:r>
          </w:p>
        </w:tc>
      </w:tr>
      <w:tr>
        <w:trPr>
          <w:trHeight w:val="189"/>
        </w:trPr>
        <w:tc>
          <w:tcPr>
            <w:tcW w:w="1260" w:type="dxa"/>
            <w:vAlign w:val="bottom"/>
          </w:tcPr>
          <w:p>
            <w:pPr>
              <w:spacing w:after="0"/>
              <w:rPr>
                <w:sz w:val="16"/>
                <w:szCs w:val="16"/>
                <w:color w:val="auto"/>
              </w:rPr>
            </w:pPr>
          </w:p>
        </w:tc>
        <w:tc>
          <w:tcPr>
            <w:tcW w:w="7600" w:type="dxa"/>
            <w:vAlign w:val="bottom"/>
          </w:tcPr>
          <w:p>
            <w:pPr>
              <w:ind w:left="220"/>
              <w:spacing w:after="0" w:line="189" w:lineRule="exact"/>
              <w:rPr>
                <w:sz w:val="20"/>
                <w:szCs w:val="20"/>
                <w:color w:val="auto"/>
              </w:rPr>
            </w:pPr>
            <w:r>
              <w:rPr>
                <w:rFonts w:ascii="Arial" w:cs="Arial" w:eastAsia="Arial" w:hAnsi="Arial"/>
                <w:sz w:val="17"/>
                <w:szCs w:val="17"/>
                <w:color w:val="auto"/>
              </w:rPr>
              <w:t>average discount rates used to determine the 2017 benefit obligations related to our pension</w:t>
            </w:r>
          </w:p>
        </w:tc>
      </w:tr>
      <w:tr>
        <w:trPr>
          <w:trHeight w:val="205"/>
        </w:trPr>
        <w:tc>
          <w:tcPr>
            <w:tcW w:w="1260" w:type="dxa"/>
            <w:vAlign w:val="bottom"/>
          </w:tcPr>
          <w:p>
            <w:pPr>
              <w:spacing w:after="0"/>
              <w:rPr>
                <w:sz w:val="17"/>
                <w:szCs w:val="17"/>
                <w:color w:val="auto"/>
              </w:rPr>
            </w:pPr>
          </w:p>
        </w:tc>
        <w:tc>
          <w:tcPr>
            <w:tcW w:w="7600" w:type="dxa"/>
            <w:vAlign w:val="bottom"/>
          </w:tcPr>
          <w:p>
            <w:pPr>
              <w:ind w:left="220"/>
              <w:spacing w:after="0"/>
              <w:rPr>
                <w:sz w:val="20"/>
                <w:szCs w:val="20"/>
                <w:color w:val="auto"/>
              </w:rPr>
            </w:pPr>
            <w:r>
              <w:rPr>
                <w:rFonts w:ascii="Arial" w:cs="Arial" w:eastAsia="Arial" w:hAnsi="Arial"/>
                <w:sz w:val="17"/>
                <w:szCs w:val="17"/>
                <w:color w:val="auto"/>
              </w:rPr>
              <w:t>and postretirement plans was 3.7 percent.</w:t>
            </w:r>
          </w:p>
        </w:tc>
      </w:tr>
      <w:tr>
        <w:trPr>
          <w:trHeight w:val="417"/>
        </w:trPr>
        <w:tc>
          <w:tcPr>
            <w:tcW w:w="1260" w:type="dxa"/>
            <w:vAlign w:val="bottom"/>
          </w:tcPr>
          <w:p>
            <w:pPr>
              <w:spacing w:after="0"/>
              <w:rPr>
                <w:sz w:val="24"/>
                <w:szCs w:val="24"/>
                <w:color w:val="auto"/>
              </w:rPr>
            </w:pPr>
          </w:p>
        </w:tc>
        <w:tc>
          <w:tcPr>
            <w:tcW w:w="7600" w:type="dxa"/>
            <w:vAlign w:val="bottom"/>
          </w:tcPr>
          <w:p>
            <w:pPr>
              <w:ind w:left="220"/>
              <w:spacing w:after="0"/>
              <w:rPr>
                <w:sz w:val="20"/>
                <w:szCs w:val="20"/>
                <w:color w:val="auto"/>
              </w:rPr>
            </w:pPr>
            <w:r>
              <w:rPr>
                <w:rFonts w:ascii="Arial" w:cs="Arial" w:eastAsia="Arial" w:hAnsi="Arial"/>
                <w:sz w:val="17"/>
                <w:szCs w:val="17"/>
                <w:color w:val="auto"/>
              </w:rPr>
              <w:t>Changing the weighted-average discount rate by 50 basis points would have changed the</w:t>
            </w:r>
          </w:p>
        </w:tc>
      </w:tr>
      <w:tr>
        <w:trPr>
          <w:trHeight w:val="189"/>
        </w:trPr>
        <w:tc>
          <w:tcPr>
            <w:tcW w:w="1260" w:type="dxa"/>
            <w:vAlign w:val="bottom"/>
          </w:tcPr>
          <w:p>
            <w:pPr>
              <w:spacing w:after="0"/>
              <w:rPr>
                <w:sz w:val="16"/>
                <w:szCs w:val="16"/>
                <w:color w:val="auto"/>
              </w:rPr>
            </w:pPr>
          </w:p>
        </w:tc>
        <w:tc>
          <w:tcPr>
            <w:tcW w:w="7600" w:type="dxa"/>
            <w:vAlign w:val="bottom"/>
          </w:tcPr>
          <w:p>
            <w:pPr>
              <w:ind w:left="220"/>
              <w:spacing w:after="0" w:line="189" w:lineRule="exact"/>
              <w:rPr>
                <w:sz w:val="20"/>
                <w:szCs w:val="20"/>
                <w:color w:val="auto"/>
              </w:rPr>
            </w:pPr>
            <w:r>
              <w:rPr>
                <w:rFonts w:ascii="Arial" w:cs="Arial" w:eastAsia="Arial" w:hAnsi="Arial"/>
                <w:sz w:val="17"/>
                <w:szCs w:val="17"/>
                <w:color w:val="auto"/>
              </w:rPr>
              <w:t>accumulated benefit obligation of the pension plans at February 3, 2018 by approximately</w:t>
            </w:r>
          </w:p>
        </w:tc>
      </w:tr>
      <w:tr>
        <w:trPr>
          <w:trHeight w:val="189"/>
        </w:trPr>
        <w:tc>
          <w:tcPr>
            <w:tcW w:w="1260" w:type="dxa"/>
            <w:vAlign w:val="bottom"/>
          </w:tcPr>
          <w:p>
            <w:pPr>
              <w:spacing w:after="0"/>
              <w:rPr>
                <w:sz w:val="16"/>
                <w:szCs w:val="16"/>
                <w:color w:val="auto"/>
              </w:rPr>
            </w:pPr>
          </w:p>
        </w:tc>
        <w:tc>
          <w:tcPr>
            <w:tcW w:w="7600" w:type="dxa"/>
            <w:vAlign w:val="bottom"/>
          </w:tcPr>
          <w:p>
            <w:pPr>
              <w:ind w:left="220"/>
              <w:spacing w:after="0" w:line="189" w:lineRule="exact"/>
              <w:rPr>
                <w:sz w:val="20"/>
                <w:szCs w:val="20"/>
                <w:color w:val="auto"/>
              </w:rPr>
            </w:pPr>
            <w:r>
              <w:rPr>
                <w:rFonts w:ascii="Arial" w:cs="Arial" w:eastAsia="Arial" w:hAnsi="Arial"/>
                <w:sz w:val="17"/>
                <w:szCs w:val="17"/>
                <w:color w:val="auto"/>
              </w:rPr>
              <w:t>$32 million and $35 million, depending on if the change was an increase or decrease,</w:t>
            </w:r>
          </w:p>
        </w:tc>
      </w:tr>
      <w:tr>
        <w:trPr>
          <w:trHeight w:val="189"/>
        </w:trPr>
        <w:tc>
          <w:tcPr>
            <w:tcW w:w="1260" w:type="dxa"/>
            <w:vAlign w:val="bottom"/>
          </w:tcPr>
          <w:p>
            <w:pPr>
              <w:spacing w:after="0"/>
              <w:rPr>
                <w:sz w:val="16"/>
                <w:szCs w:val="16"/>
                <w:color w:val="auto"/>
              </w:rPr>
            </w:pPr>
          </w:p>
        </w:tc>
        <w:tc>
          <w:tcPr>
            <w:tcW w:w="7600" w:type="dxa"/>
            <w:vAlign w:val="bottom"/>
          </w:tcPr>
          <w:p>
            <w:pPr>
              <w:ind w:left="220"/>
              <w:spacing w:after="0" w:line="189" w:lineRule="exact"/>
              <w:rPr>
                <w:sz w:val="20"/>
                <w:szCs w:val="20"/>
                <w:color w:val="auto"/>
              </w:rPr>
            </w:pPr>
            <w:r>
              <w:rPr>
                <w:rFonts w:ascii="Arial" w:cs="Arial" w:eastAsia="Arial" w:hAnsi="Arial"/>
                <w:sz w:val="17"/>
                <w:szCs w:val="17"/>
                <w:color w:val="auto"/>
              </w:rPr>
              <w:t>respectively. A decrease of 50 basis points in the weighted-average discount rate would have</w:t>
            </w:r>
          </w:p>
        </w:tc>
      </w:tr>
      <w:tr>
        <w:trPr>
          <w:trHeight w:val="189"/>
        </w:trPr>
        <w:tc>
          <w:tcPr>
            <w:tcW w:w="1260" w:type="dxa"/>
            <w:vAlign w:val="bottom"/>
          </w:tcPr>
          <w:p>
            <w:pPr>
              <w:spacing w:after="0"/>
              <w:rPr>
                <w:sz w:val="16"/>
                <w:szCs w:val="16"/>
                <w:color w:val="auto"/>
              </w:rPr>
            </w:pPr>
          </w:p>
        </w:tc>
        <w:tc>
          <w:tcPr>
            <w:tcW w:w="7600" w:type="dxa"/>
            <w:vAlign w:val="bottom"/>
          </w:tcPr>
          <w:p>
            <w:pPr>
              <w:ind w:left="220"/>
              <w:spacing w:after="0" w:line="189" w:lineRule="exact"/>
              <w:rPr>
                <w:sz w:val="20"/>
                <w:szCs w:val="20"/>
                <w:color w:val="auto"/>
              </w:rPr>
            </w:pPr>
            <w:r>
              <w:rPr>
                <w:rFonts w:ascii="Arial" w:cs="Arial" w:eastAsia="Arial" w:hAnsi="Arial"/>
                <w:sz w:val="17"/>
                <w:szCs w:val="17"/>
                <w:color w:val="auto"/>
              </w:rPr>
              <w:t>increased the accumulated benefit obligation on the postretirement plan by approximately</w:t>
            </w:r>
          </w:p>
        </w:tc>
      </w:tr>
      <w:tr>
        <w:trPr>
          <w:trHeight w:val="189"/>
        </w:trPr>
        <w:tc>
          <w:tcPr>
            <w:tcW w:w="1260" w:type="dxa"/>
            <w:vAlign w:val="bottom"/>
          </w:tcPr>
          <w:p>
            <w:pPr>
              <w:spacing w:after="0"/>
              <w:rPr>
                <w:sz w:val="16"/>
                <w:szCs w:val="16"/>
                <w:color w:val="auto"/>
              </w:rPr>
            </w:pPr>
          </w:p>
        </w:tc>
        <w:tc>
          <w:tcPr>
            <w:tcW w:w="7600" w:type="dxa"/>
            <w:vAlign w:val="bottom"/>
          </w:tcPr>
          <w:p>
            <w:pPr>
              <w:ind w:left="220"/>
              <w:spacing w:after="0" w:line="189" w:lineRule="exact"/>
              <w:rPr>
                <w:sz w:val="20"/>
                <w:szCs w:val="20"/>
                <w:color w:val="auto"/>
              </w:rPr>
            </w:pPr>
            <w:r>
              <w:rPr>
                <w:rFonts w:ascii="Arial" w:cs="Arial" w:eastAsia="Arial" w:hAnsi="Arial"/>
                <w:sz w:val="17"/>
                <w:szCs w:val="17"/>
                <w:color w:val="auto"/>
              </w:rPr>
              <w:t>$1 million. Such a decrease would not have significantly changed 2017 pension expense or</w:t>
            </w:r>
          </w:p>
        </w:tc>
      </w:tr>
      <w:tr>
        <w:trPr>
          <w:trHeight w:val="205"/>
        </w:trPr>
        <w:tc>
          <w:tcPr>
            <w:tcW w:w="1260" w:type="dxa"/>
            <w:vAlign w:val="bottom"/>
          </w:tcPr>
          <w:p>
            <w:pPr>
              <w:spacing w:after="0"/>
              <w:rPr>
                <w:sz w:val="17"/>
                <w:szCs w:val="17"/>
                <w:color w:val="auto"/>
              </w:rPr>
            </w:pPr>
          </w:p>
        </w:tc>
        <w:tc>
          <w:tcPr>
            <w:tcW w:w="7600" w:type="dxa"/>
            <w:vAlign w:val="bottom"/>
          </w:tcPr>
          <w:p>
            <w:pPr>
              <w:ind w:left="220"/>
              <w:spacing w:after="0"/>
              <w:rPr>
                <w:sz w:val="20"/>
                <w:szCs w:val="20"/>
                <w:color w:val="auto"/>
              </w:rPr>
            </w:pPr>
            <w:r>
              <w:rPr>
                <w:rFonts w:ascii="Arial" w:cs="Arial" w:eastAsia="Arial" w:hAnsi="Arial"/>
                <w:sz w:val="17"/>
                <w:szCs w:val="17"/>
                <w:color w:val="auto"/>
              </w:rPr>
              <w:t>postretirement income.</w:t>
            </w:r>
          </w:p>
        </w:tc>
      </w:tr>
      <w:tr>
        <w:trPr>
          <w:trHeight w:val="648"/>
        </w:trPr>
        <w:tc>
          <w:tcPr>
            <w:tcW w:w="1260" w:type="dxa"/>
            <w:vAlign w:val="bottom"/>
          </w:tcPr>
          <w:p>
            <w:pPr>
              <w:spacing w:after="0"/>
              <w:rPr>
                <w:sz w:val="24"/>
                <w:szCs w:val="24"/>
                <w:color w:val="auto"/>
              </w:rPr>
            </w:pPr>
          </w:p>
        </w:tc>
        <w:tc>
          <w:tcPr>
            <w:tcW w:w="7600" w:type="dxa"/>
            <w:vAlign w:val="bottom"/>
          </w:tcPr>
          <w:p>
            <w:pPr>
              <w:ind w:left="3060"/>
              <w:spacing w:after="0"/>
              <w:rPr>
                <w:sz w:val="20"/>
                <w:szCs w:val="20"/>
                <w:color w:val="auto"/>
              </w:rPr>
            </w:pPr>
            <w:r>
              <w:rPr>
                <w:rFonts w:ascii="Arial" w:cs="Arial" w:eastAsia="Arial" w:hAnsi="Arial"/>
                <w:sz w:val="17"/>
                <w:szCs w:val="17"/>
                <w:color w:val="auto"/>
              </w:rPr>
              <w:t>33</w:t>
            </w:r>
          </w:p>
        </w:tc>
      </w:tr>
      <w:tr>
        <w:trPr>
          <w:trHeight w:val="342"/>
        </w:trPr>
        <w:tc>
          <w:tcPr>
            <w:tcW w:w="12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r>
        <w:trPr>
          <w:trHeight w:val="20"/>
        </w:trPr>
        <w:tc>
          <w:tcPr>
            <w:tcW w:w="1260" w:type="dxa"/>
            <w:vAlign w:val="bottom"/>
            <w:tcBorders>
              <w:bottom w:val="single" w:sz="8" w:color="EEEEEE"/>
            </w:tcBorders>
          </w:tcPr>
          <w:p>
            <w:pPr>
              <w:spacing w:after="0" w:line="20" w:lineRule="exact"/>
              <w:rPr>
                <w:sz w:val="1"/>
                <w:szCs w:val="1"/>
                <w:color w:val="auto"/>
              </w:rPr>
            </w:pPr>
          </w:p>
        </w:tc>
        <w:tc>
          <w:tcPr>
            <w:tcW w:w="76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58" w:right="1440" w:bottom="1440" w:gutter="0" w:footer="0" w:header="0"/>
        </w:sectPr>
      </w:pPr>
    </w:p>
    <w:bookmarkStart w:id="35" w:name="page36"/>
    <w:bookmarkEnd w:id="35"/>
    <w:tbl>
      <w:tblPr>
        <w:tblLayout w:type="fixed"/>
        <w:tblInd w:w="100" w:type="dxa"/>
        <w:tblCellMar>
          <w:top w:w="0" w:type="dxa"/>
          <w:left w:w="0" w:type="dxa"/>
          <w:bottom w:w="0" w:type="dxa"/>
          <w:right w:w="0" w:type="dxa"/>
        </w:tblCellMar>
      </w:tblPr>
      <w:tr>
        <w:trPr>
          <w:trHeight w:val="195"/>
        </w:trPr>
        <w:tc>
          <w:tcPr>
            <w:tcW w:w="1340" w:type="dxa"/>
            <w:vAlign w:val="bottom"/>
            <w:gridSpan w:val="2"/>
          </w:tcPr>
          <w:p>
            <w:pPr>
              <w:ind w:left="220"/>
              <w:spacing w:after="0"/>
              <w:rPr>
                <w:sz w:val="20"/>
                <w:szCs w:val="20"/>
                <w:color w:val="auto"/>
              </w:rPr>
            </w:pPr>
            <w:r>
              <w:rPr>
                <w:rFonts w:ascii="Arial" w:cs="Arial" w:eastAsia="Arial" w:hAnsi="Arial"/>
                <w:sz w:val="17"/>
                <w:szCs w:val="17"/>
                <w:color w:val="auto"/>
              </w:rPr>
              <w:t>Trend Rate</w:t>
            </w:r>
          </w:p>
        </w:tc>
        <w:tc>
          <w:tcPr>
            <w:tcW w:w="7360" w:type="dxa"/>
            <w:vAlign w:val="bottom"/>
          </w:tcPr>
          <w:p>
            <w:pPr>
              <w:ind w:left="140"/>
              <w:spacing w:after="0"/>
              <w:rPr>
                <w:sz w:val="20"/>
                <w:szCs w:val="20"/>
                <w:color w:val="auto"/>
              </w:rPr>
            </w:pPr>
            <w:r>
              <w:rPr>
                <w:rFonts w:ascii="Arial" w:cs="Arial" w:eastAsia="Arial" w:hAnsi="Arial"/>
                <w:sz w:val="17"/>
                <w:szCs w:val="17"/>
                <w:color w:val="auto"/>
              </w:rPr>
              <w:t>We maintain two postretirement medical plans, one covering certain executive officers and key</w:t>
            </w:r>
          </w:p>
        </w:tc>
        <w:tc>
          <w:tcPr>
            <w:tcW w:w="0" w:type="dxa"/>
            <w:vAlign w:val="bottom"/>
          </w:tcPr>
          <w:p>
            <w:pPr>
              <w:spacing w:after="0"/>
              <w:rPr>
                <w:sz w:val="1"/>
                <w:szCs w:val="1"/>
                <w:color w:val="auto"/>
              </w:rPr>
            </w:pPr>
          </w:p>
        </w:tc>
      </w:tr>
      <w:tr>
        <w:trPr>
          <w:trHeight w:val="189"/>
        </w:trPr>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360" w:type="dxa"/>
            <w:vAlign w:val="bottom"/>
          </w:tcPr>
          <w:p>
            <w:pPr>
              <w:ind w:left="140"/>
              <w:spacing w:after="0" w:line="189" w:lineRule="exact"/>
              <w:rPr>
                <w:sz w:val="20"/>
                <w:szCs w:val="20"/>
                <w:color w:val="auto"/>
              </w:rPr>
            </w:pPr>
            <w:r>
              <w:rPr>
                <w:rFonts w:ascii="Arial" w:cs="Arial" w:eastAsia="Arial" w:hAnsi="Arial"/>
                <w:sz w:val="17"/>
                <w:szCs w:val="17"/>
                <w:color w:val="auto"/>
              </w:rPr>
              <w:t>employees (“SERP Medical Plan”), and the other covering all other associates. With respect to</w:t>
            </w:r>
          </w:p>
        </w:tc>
        <w:tc>
          <w:tcPr>
            <w:tcW w:w="0" w:type="dxa"/>
            <w:vAlign w:val="bottom"/>
          </w:tcPr>
          <w:p>
            <w:pPr>
              <w:spacing w:after="0"/>
              <w:rPr>
                <w:sz w:val="1"/>
                <w:szCs w:val="1"/>
                <w:color w:val="auto"/>
              </w:rPr>
            </w:pPr>
          </w:p>
        </w:tc>
      </w:tr>
      <w:tr>
        <w:trPr>
          <w:trHeight w:val="189"/>
        </w:trPr>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360" w:type="dxa"/>
            <w:vAlign w:val="bottom"/>
          </w:tcPr>
          <w:p>
            <w:pPr>
              <w:ind w:left="140"/>
              <w:spacing w:after="0" w:line="189" w:lineRule="exact"/>
              <w:rPr>
                <w:sz w:val="20"/>
                <w:szCs w:val="20"/>
                <w:color w:val="auto"/>
              </w:rPr>
            </w:pPr>
            <w:r>
              <w:rPr>
                <w:rFonts w:ascii="Arial" w:cs="Arial" w:eastAsia="Arial" w:hAnsi="Arial"/>
                <w:sz w:val="17"/>
                <w:szCs w:val="17"/>
                <w:color w:val="auto"/>
              </w:rPr>
              <w:t>the SERP Medical Plan, a one percent change in the assumed health care cost trend rate</w:t>
            </w:r>
          </w:p>
        </w:tc>
        <w:tc>
          <w:tcPr>
            <w:tcW w:w="0" w:type="dxa"/>
            <w:vAlign w:val="bottom"/>
          </w:tcPr>
          <w:p>
            <w:pPr>
              <w:spacing w:after="0"/>
              <w:rPr>
                <w:sz w:val="1"/>
                <w:szCs w:val="1"/>
                <w:color w:val="auto"/>
              </w:rPr>
            </w:pPr>
          </w:p>
        </w:tc>
      </w:tr>
      <w:tr>
        <w:trPr>
          <w:trHeight w:val="189"/>
        </w:trPr>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360" w:type="dxa"/>
            <w:vAlign w:val="bottom"/>
          </w:tcPr>
          <w:p>
            <w:pPr>
              <w:ind w:left="140"/>
              <w:spacing w:after="0" w:line="189" w:lineRule="exact"/>
              <w:rPr>
                <w:sz w:val="20"/>
                <w:szCs w:val="20"/>
                <w:color w:val="auto"/>
              </w:rPr>
            </w:pPr>
            <w:r>
              <w:rPr>
                <w:rFonts w:ascii="Arial" w:cs="Arial" w:eastAsia="Arial" w:hAnsi="Arial"/>
                <w:sz w:val="17"/>
                <w:szCs w:val="17"/>
                <w:color w:val="auto"/>
              </w:rPr>
              <w:t>would change this plan’s accumulated benefit obligation by approximately $3 million and</w:t>
            </w:r>
          </w:p>
        </w:tc>
        <w:tc>
          <w:tcPr>
            <w:tcW w:w="0" w:type="dxa"/>
            <w:vAlign w:val="bottom"/>
          </w:tcPr>
          <w:p>
            <w:pPr>
              <w:spacing w:after="0"/>
              <w:rPr>
                <w:sz w:val="1"/>
                <w:szCs w:val="1"/>
                <w:color w:val="auto"/>
              </w:rPr>
            </w:pPr>
          </w:p>
        </w:tc>
      </w:tr>
      <w:tr>
        <w:trPr>
          <w:trHeight w:val="205"/>
        </w:trPr>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360" w:type="dxa"/>
            <w:vAlign w:val="bottom"/>
          </w:tcPr>
          <w:p>
            <w:pPr>
              <w:ind w:left="140"/>
              <w:spacing w:after="0"/>
              <w:rPr>
                <w:sz w:val="20"/>
                <w:szCs w:val="20"/>
                <w:color w:val="auto"/>
              </w:rPr>
            </w:pPr>
            <w:r>
              <w:rPr>
                <w:rFonts w:ascii="Arial" w:cs="Arial" w:eastAsia="Arial" w:hAnsi="Arial"/>
                <w:sz w:val="17"/>
                <w:szCs w:val="17"/>
                <w:color w:val="auto"/>
              </w:rPr>
              <w:t>$2 million, depending on if the change was an increase or decrease, respectively.</w:t>
            </w:r>
          </w:p>
        </w:tc>
        <w:tc>
          <w:tcPr>
            <w:tcW w:w="0" w:type="dxa"/>
            <w:vAlign w:val="bottom"/>
          </w:tcPr>
          <w:p>
            <w:pPr>
              <w:spacing w:after="0"/>
              <w:rPr>
                <w:sz w:val="1"/>
                <w:szCs w:val="1"/>
                <w:color w:val="auto"/>
              </w:rPr>
            </w:pPr>
          </w:p>
        </w:tc>
      </w:tr>
      <w:tr>
        <w:trPr>
          <w:trHeight w:val="660"/>
        </w:trPr>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360" w:type="dxa"/>
            <w:vAlign w:val="bottom"/>
          </w:tcPr>
          <w:p>
            <w:pPr>
              <w:ind w:left="140"/>
              <w:spacing w:after="0"/>
              <w:rPr>
                <w:sz w:val="20"/>
                <w:szCs w:val="20"/>
                <w:color w:val="auto"/>
              </w:rPr>
            </w:pPr>
            <w:r>
              <w:rPr>
                <w:rFonts w:ascii="Arial" w:cs="Arial" w:eastAsia="Arial" w:hAnsi="Arial"/>
                <w:sz w:val="17"/>
                <w:szCs w:val="17"/>
                <w:color w:val="auto"/>
              </w:rPr>
              <w:t>With respect to the postretirement medical plan covering all other associates, there is limited</w:t>
            </w:r>
          </w:p>
        </w:tc>
        <w:tc>
          <w:tcPr>
            <w:tcW w:w="0" w:type="dxa"/>
            <w:vAlign w:val="bottom"/>
          </w:tcPr>
          <w:p>
            <w:pPr>
              <w:spacing w:after="0"/>
              <w:rPr>
                <w:sz w:val="1"/>
                <w:szCs w:val="1"/>
                <w:color w:val="auto"/>
              </w:rPr>
            </w:pPr>
          </w:p>
        </w:tc>
      </w:tr>
      <w:tr>
        <w:trPr>
          <w:trHeight w:val="189"/>
        </w:trPr>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360" w:type="dxa"/>
            <w:vAlign w:val="bottom"/>
          </w:tcPr>
          <w:p>
            <w:pPr>
              <w:ind w:left="140"/>
              <w:spacing w:after="0" w:line="189" w:lineRule="exact"/>
              <w:rPr>
                <w:sz w:val="20"/>
                <w:szCs w:val="20"/>
                <w:color w:val="auto"/>
              </w:rPr>
            </w:pPr>
            <w:r>
              <w:rPr>
                <w:rFonts w:ascii="Arial" w:cs="Arial" w:eastAsia="Arial" w:hAnsi="Arial"/>
                <w:sz w:val="17"/>
                <w:szCs w:val="17"/>
                <w:color w:val="auto"/>
              </w:rPr>
              <w:t>risk to us for increases in health care costs since, beginning in 2001, new retirees have</w:t>
            </w:r>
          </w:p>
        </w:tc>
        <w:tc>
          <w:tcPr>
            <w:tcW w:w="0" w:type="dxa"/>
            <w:vAlign w:val="bottom"/>
          </w:tcPr>
          <w:p>
            <w:pPr>
              <w:spacing w:after="0"/>
              <w:rPr>
                <w:sz w:val="1"/>
                <w:szCs w:val="1"/>
                <w:color w:val="auto"/>
              </w:rPr>
            </w:pPr>
          </w:p>
        </w:tc>
      </w:tr>
      <w:tr>
        <w:trPr>
          <w:trHeight w:val="189"/>
        </w:trPr>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360" w:type="dxa"/>
            <w:vAlign w:val="bottom"/>
          </w:tcPr>
          <w:p>
            <w:pPr>
              <w:ind w:left="140"/>
              <w:spacing w:after="0" w:line="189" w:lineRule="exact"/>
              <w:rPr>
                <w:sz w:val="20"/>
                <w:szCs w:val="20"/>
                <w:color w:val="auto"/>
              </w:rPr>
            </w:pPr>
            <w:r>
              <w:rPr>
                <w:rFonts w:ascii="Arial" w:cs="Arial" w:eastAsia="Arial" w:hAnsi="Arial"/>
                <w:sz w:val="17"/>
                <w:szCs w:val="17"/>
                <w:color w:val="auto"/>
              </w:rPr>
              <w:t>assumed the full expected costs and then-existing retirees have assumed all increases in such</w:t>
            </w:r>
          </w:p>
        </w:tc>
        <w:tc>
          <w:tcPr>
            <w:tcW w:w="0" w:type="dxa"/>
            <w:vAlign w:val="bottom"/>
          </w:tcPr>
          <w:p>
            <w:pPr>
              <w:spacing w:after="0"/>
              <w:rPr>
                <w:sz w:val="1"/>
                <w:szCs w:val="1"/>
                <w:color w:val="auto"/>
              </w:rPr>
            </w:pPr>
          </w:p>
        </w:tc>
      </w:tr>
      <w:tr>
        <w:trPr>
          <w:trHeight w:val="205"/>
        </w:trPr>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360" w:type="dxa"/>
            <w:vAlign w:val="bottom"/>
          </w:tcPr>
          <w:p>
            <w:pPr>
              <w:ind w:left="140"/>
              <w:spacing w:after="0"/>
              <w:rPr>
                <w:sz w:val="20"/>
                <w:szCs w:val="20"/>
                <w:color w:val="auto"/>
              </w:rPr>
            </w:pPr>
            <w:r>
              <w:rPr>
                <w:rFonts w:ascii="Arial" w:cs="Arial" w:eastAsia="Arial" w:hAnsi="Arial"/>
                <w:sz w:val="17"/>
                <w:szCs w:val="17"/>
                <w:color w:val="auto"/>
              </w:rPr>
              <w:t>costs.</w:t>
            </w:r>
          </w:p>
        </w:tc>
        <w:tc>
          <w:tcPr>
            <w:tcW w:w="0" w:type="dxa"/>
            <w:vAlign w:val="bottom"/>
          </w:tcPr>
          <w:p>
            <w:pPr>
              <w:spacing w:after="0"/>
              <w:rPr>
                <w:sz w:val="1"/>
                <w:szCs w:val="1"/>
                <w:color w:val="auto"/>
              </w:rPr>
            </w:pPr>
          </w:p>
        </w:tc>
      </w:tr>
      <w:tr>
        <w:trPr>
          <w:trHeight w:val="417"/>
        </w:trPr>
        <w:tc>
          <w:tcPr>
            <w:tcW w:w="1340" w:type="dxa"/>
            <w:vAlign w:val="bottom"/>
            <w:gridSpan w:val="2"/>
          </w:tcPr>
          <w:p>
            <w:pPr>
              <w:ind w:left="220"/>
              <w:spacing w:after="0"/>
              <w:rPr>
                <w:sz w:val="20"/>
                <w:szCs w:val="20"/>
                <w:color w:val="auto"/>
              </w:rPr>
            </w:pPr>
            <w:r>
              <w:rPr>
                <w:rFonts w:ascii="Arial" w:cs="Arial" w:eastAsia="Arial" w:hAnsi="Arial"/>
                <w:sz w:val="17"/>
                <w:szCs w:val="17"/>
                <w:color w:val="auto"/>
              </w:rPr>
              <w:t>Mortality</w:t>
            </w:r>
          </w:p>
        </w:tc>
        <w:tc>
          <w:tcPr>
            <w:tcW w:w="7360" w:type="dxa"/>
            <w:vAlign w:val="bottom"/>
          </w:tcPr>
          <w:p>
            <w:pPr>
              <w:ind w:left="140"/>
              <w:spacing w:after="0"/>
              <w:rPr>
                <w:sz w:val="20"/>
                <w:szCs w:val="20"/>
                <w:color w:val="auto"/>
              </w:rPr>
            </w:pPr>
            <w:r>
              <w:rPr>
                <w:rFonts w:ascii="Arial" w:cs="Arial" w:eastAsia="Arial" w:hAnsi="Arial"/>
                <w:sz w:val="17"/>
                <w:szCs w:val="17"/>
                <w:color w:val="auto"/>
              </w:rPr>
              <w:t>In 2017, the mortality table used to determine the U.S. pension obligations was updated to the</w:t>
            </w:r>
          </w:p>
        </w:tc>
        <w:tc>
          <w:tcPr>
            <w:tcW w:w="0" w:type="dxa"/>
            <w:vAlign w:val="bottom"/>
          </w:tcPr>
          <w:p>
            <w:pPr>
              <w:spacing w:after="0"/>
              <w:rPr>
                <w:sz w:val="1"/>
                <w:szCs w:val="1"/>
                <w:color w:val="auto"/>
              </w:rPr>
            </w:pPr>
          </w:p>
        </w:tc>
      </w:tr>
      <w:tr>
        <w:trPr>
          <w:trHeight w:val="189"/>
        </w:trPr>
        <w:tc>
          <w:tcPr>
            <w:tcW w:w="1340" w:type="dxa"/>
            <w:vAlign w:val="bottom"/>
            <w:gridSpan w:val="2"/>
          </w:tcPr>
          <w:p>
            <w:pPr>
              <w:ind w:left="220"/>
              <w:spacing w:after="0" w:line="189" w:lineRule="exact"/>
              <w:rPr>
                <w:sz w:val="20"/>
                <w:szCs w:val="20"/>
                <w:color w:val="auto"/>
              </w:rPr>
            </w:pPr>
            <w:r>
              <w:rPr>
                <w:rFonts w:ascii="Arial" w:cs="Arial" w:eastAsia="Arial" w:hAnsi="Arial"/>
                <w:sz w:val="17"/>
                <w:szCs w:val="17"/>
                <w:color w:val="auto"/>
              </w:rPr>
              <w:t>Assumptions</w:t>
            </w:r>
          </w:p>
        </w:tc>
        <w:tc>
          <w:tcPr>
            <w:tcW w:w="7360" w:type="dxa"/>
            <w:vAlign w:val="bottom"/>
          </w:tcPr>
          <w:p>
            <w:pPr>
              <w:ind w:left="140"/>
              <w:spacing w:after="0" w:line="189" w:lineRule="exact"/>
              <w:rPr>
                <w:sz w:val="20"/>
                <w:szCs w:val="20"/>
                <w:color w:val="auto"/>
              </w:rPr>
            </w:pPr>
            <w:r>
              <w:rPr>
                <w:rFonts w:ascii="Arial" w:cs="Arial" w:eastAsia="Arial" w:hAnsi="Arial"/>
                <w:sz w:val="17"/>
                <w:szCs w:val="17"/>
                <w:color w:val="auto"/>
              </w:rPr>
              <w:t>modified RP-2017 mortality table with generational projection using modified MP-2017 for both</w:t>
            </w:r>
          </w:p>
        </w:tc>
        <w:tc>
          <w:tcPr>
            <w:tcW w:w="0" w:type="dxa"/>
            <w:vAlign w:val="bottom"/>
          </w:tcPr>
          <w:p>
            <w:pPr>
              <w:spacing w:after="0"/>
              <w:rPr>
                <w:sz w:val="1"/>
                <w:szCs w:val="1"/>
                <w:color w:val="auto"/>
              </w:rPr>
            </w:pPr>
          </w:p>
        </w:tc>
      </w:tr>
      <w:tr>
        <w:trPr>
          <w:trHeight w:val="189"/>
        </w:trPr>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360" w:type="dxa"/>
            <w:vAlign w:val="bottom"/>
          </w:tcPr>
          <w:p>
            <w:pPr>
              <w:ind w:left="140"/>
              <w:spacing w:after="0" w:line="189" w:lineRule="exact"/>
              <w:rPr>
                <w:sz w:val="20"/>
                <w:szCs w:val="20"/>
                <w:color w:val="auto"/>
              </w:rPr>
            </w:pPr>
            <w:r>
              <w:rPr>
                <w:rFonts w:ascii="Arial" w:cs="Arial" w:eastAsia="Arial" w:hAnsi="Arial"/>
                <w:sz w:val="17"/>
                <w:szCs w:val="17"/>
                <w:color w:val="auto"/>
              </w:rPr>
              <w:t>males and females and terminated vested participants. The mortality table was updated as the</w:t>
            </w:r>
          </w:p>
        </w:tc>
        <w:tc>
          <w:tcPr>
            <w:tcW w:w="0" w:type="dxa"/>
            <w:vAlign w:val="bottom"/>
          </w:tcPr>
          <w:p>
            <w:pPr>
              <w:spacing w:after="0"/>
              <w:rPr>
                <w:sz w:val="1"/>
                <w:szCs w:val="1"/>
                <w:color w:val="auto"/>
              </w:rPr>
            </w:pPr>
          </w:p>
        </w:tc>
      </w:tr>
      <w:tr>
        <w:trPr>
          <w:trHeight w:val="189"/>
        </w:trPr>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360" w:type="dxa"/>
            <w:vAlign w:val="bottom"/>
          </w:tcPr>
          <w:p>
            <w:pPr>
              <w:ind w:left="140"/>
              <w:spacing w:after="0" w:line="189" w:lineRule="exact"/>
              <w:rPr>
                <w:sz w:val="20"/>
                <w:szCs w:val="20"/>
                <w:color w:val="auto"/>
              </w:rPr>
            </w:pPr>
            <w:r>
              <w:rPr>
                <w:rFonts w:ascii="Arial" w:cs="Arial" w:eastAsia="Arial" w:hAnsi="Arial"/>
                <w:sz w:val="17"/>
                <w:szCs w:val="17"/>
                <w:color w:val="auto"/>
              </w:rPr>
              <w:t>Company’s actual experience more closely matched the RP-2017 than the previous table. In</w:t>
            </w:r>
          </w:p>
        </w:tc>
        <w:tc>
          <w:tcPr>
            <w:tcW w:w="0" w:type="dxa"/>
            <w:vAlign w:val="bottom"/>
          </w:tcPr>
          <w:p>
            <w:pPr>
              <w:spacing w:after="0"/>
              <w:rPr>
                <w:sz w:val="1"/>
                <w:szCs w:val="1"/>
                <w:color w:val="auto"/>
              </w:rPr>
            </w:pPr>
          </w:p>
        </w:tc>
      </w:tr>
      <w:tr>
        <w:trPr>
          <w:trHeight w:val="189"/>
        </w:trPr>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360" w:type="dxa"/>
            <w:vAlign w:val="bottom"/>
          </w:tcPr>
          <w:p>
            <w:pPr>
              <w:ind w:left="140"/>
              <w:spacing w:after="0" w:line="189" w:lineRule="exact"/>
              <w:rPr>
                <w:sz w:val="20"/>
                <w:szCs w:val="20"/>
                <w:color w:val="auto"/>
              </w:rPr>
            </w:pPr>
            <w:r>
              <w:rPr>
                <w:rFonts w:ascii="Arial" w:cs="Arial" w:eastAsia="Arial" w:hAnsi="Arial"/>
                <w:sz w:val="17"/>
                <w:szCs w:val="17"/>
                <w:color w:val="auto"/>
              </w:rPr>
              <w:t>2016, the mortality table used to determine the pension obligation was the RP-2000 mortality</w:t>
            </w:r>
          </w:p>
        </w:tc>
        <w:tc>
          <w:tcPr>
            <w:tcW w:w="0" w:type="dxa"/>
            <w:vAlign w:val="bottom"/>
          </w:tcPr>
          <w:p>
            <w:pPr>
              <w:spacing w:after="0"/>
              <w:rPr>
                <w:sz w:val="1"/>
                <w:szCs w:val="1"/>
                <w:color w:val="auto"/>
              </w:rPr>
            </w:pPr>
          </w:p>
        </w:tc>
      </w:tr>
      <w:tr>
        <w:trPr>
          <w:trHeight w:val="189"/>
        </w:trPr>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360" w:type="dxa"/>
            <w:vAlign w:val="bottom"/>
          </w:tcPr>
          <w:p>
            <w:pPr>
              <w:ind w:left="140"/>
              <w:spacing w:after="0" w:line="189" w:lineRule="exact"/>
              <w:rPr>
                <w:sz w:val="20"/>
                <w:szCs w:val="20"/>
                <w:color w:val="auto"/>
              </w:rPr>
            </w:pPr>
            <w:r>
              <w:rPr>
                <w:rFonts w:ascii="Arial" w:cs="Arial" w:eastAsia="Arial" w:hAnsi="Arial"/>
                <w:sz w:val="17"/>
                <w:szCs w:val="17"/>
                <w:color w:val="auto"/>
              </w:rPr>
              <w:t>table with generational projection using scale AA for both males and females. This table was</w:t>
            </w:r>
          </w:p>
        </w:tc>
        <w:tc>
          <w:tcPr>
            <w:tcW w:w="0" w:type="dxa"/>
            <w:vAlign w:val="bottom"/>
          </w:tcPr>
          <w:p>
            <w:pPr>
              <w:spacing w:after="0"/>
              <w:rPr>
                <w:sz w:val="1"/>
                <w:szCs w:val="1"/>
                <w:color w:val="auto"/>
              </w:rPr>
            </w:pPr>
          </w:p>
        </w:tc>
      </w:tr>
      <w:tr>
        <w:trPr>
          <w:trHeight w:val="205"/>
        </w:trPr>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360" w:type="dxa"/>
            <w:vAlign w:val="bottom"/>
          </w:tcPr>
          <w:p>
            <w:pPr>
              <w:ind w:left="140"/>
              <w:spacing w:after="0"/>
              <w:rPr>
                <w:sz w:val="20"/>
                <w:szCs w:val="20"/>
                <w:color w:val="auto"/>
              </w:rPr>
            </w:pPr>
            <w:r>
              <w:rPr>
                <w:rFonts w:ascii="Arial" w:cs="Arial" w:eastAsia="Arial" w:hAnsi="Arial"/>
                <w:sz w:val="17"/>
                <w:szCs w:val="17"/>
                <w:color w:val="auto"/>
              </w:rPr>
              <w:t>also used to value the Canadian pension obligations for 2017 and 2016.</w:t>
            </w:r>
          </w:p>
        </w:tc>
        <w:tc>
          <w:tcPr>
            <w:tcW w:w="0" w:type="dxa"/>
            <w:vAlign w:val="bottom"/>
          </w:tcPr>
          <w:p>
            <w:pPr>
              <w:spacing w:after="0"/>
              <w:rPr>
                <w:sz w:val="1"/>
                <w:szCs w:val="1"/>
                <w:color w:val="auto"/>
              </w:rPr>
            </w:pPr>
          </w:p>
        </w:tc>
      </w:tr>
      <w:tr>
        <w:trPr>
          <w:trHeight w:val="417"/>
        </w:trPr>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360" w:type="dxa"/>
            <w:vAlign w:val="bottom"/>
          </w:tcPr>
          <w:p>
            <w:pPr>
              <w:ind w:left="140"/>
              <w:spacing w:after="0"/>
              <w:rPr>
                <w:sz w:val="20"/>
                <w:szCs w:val="20"/>
                <w:color w:val="auto"/>
              </w:rPr>
            </w:pPr>
            <w:r>
              <w:rPr>
                <w:rFonts w:ascii="Arial" w:cs="Arial" w:eastAsia="Arial" w:hAnsi="Arial"/>
                <w:sz w:val="17"/>
                <w:szCs w:val="17"/>
                <w:color w:val="auto"/>
              </w:rPr>
              <w:t>For the SERP Medical Plan, the mortality assumption used to value the 2017 obligation was</w:t>
            </w:r>
          </w:p>
        </w:tc>
        <w:tc>
          <w:tcPr>
            <w:tcW w:w="0" w:type="dxa"/>
            <w:vAlign w:val="bottom"/>
          </w:tcPr>
          <w:p>
            <w:pPr>
              <w:spacing w:after="0"/>
              <w:rPr>
                <w:sz w:val="1"/>
                <w:szCs w:val="1"/>
                <w:color w:val="auto"/>
              </w:rPr>
            </w:pPr>
          </w:p>
        </w:tc>
      </w:tr>
      <w:tr>
        <w:trPr>
          <w:trHeight w:val="189"/>
        </w:trPr>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360" w:type="dxa"/>
            <w:vAlign w:val="bottom"/>
          </w:tcPr>
          <w:p>
            <w:pPr>
              <w:ind w:left="140"/>
              <w:spacing w:after="0" w:line="189" w:lineRule="exact"/>
              <w:rPr>
                <w:sz w:val="20"/>
                <w:szCs w:val="20"/>
                <w:color w:val="auto"/>
              </w:rPr>
            </w:pPr>
            <w:r>
              <w:rPr>
                <w:rFonts w:ascii="Arial" w:cs="Arial" w:eastAsia="Arial" w:hAnsi="Arial"/>
                <w:sz w:val="17"/>
                <w:szCs w:val="17"/>
                <w:color w:val="auto"/>
              </w:rPr>
              <w:t>updated to the RPH-2017 table with generational projection using MP-2017, while in the prior</w:t>
            </w:r>
          </w:p>
        </w:tc>
        <w:tc>
          <w:tcPr>
            <w:tcW w:w="0" w:type="dxa"/>
            <w:vAlign w:val="bottom"/>
          </w:tcPr>
          <w:p>
            <w:pPr>
              <w:spacing w:after="0"/>
              <w:rPr>
                <w:sz w:val="1"/>
                <w:szCs w:val="1"/>
                <w:color w:val="auto"/>
              </w:rPr>
            </w:pPr>
          </w:p>
        </w:tc>
      </w:tr>
      <w:tr>
        <w:trPr>
          <w:trHeight w:val="189"/>
        </w:trPr>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360" w:type="dxa"/>
            <w:vAlign w:val="bottom"/>
          </w:tcPr>
          <w:p>
            <w:pPr>
              <w:ind w:left="140"/>
              <w:spacing w:after="0" w:line="189" w:lineRule="exact"/>
              <w:rPr>
                <w:sz w:val="20"/>
                <w:szCs w:val="20"/>
                <w:color w:val="auto"/>
              </w:rPr>
            </w:pPr>
            <w:r>
              <w:rPr>
                <w:rFonts w:ascii="Arial" w:cs="Arial" w:eastAsia="Arial" w:hAnsi="Arial"/>
                <w:sz w:val="17"/>
                <w:szCs w:val="17"/>
                <w:color w:val="auto"/>
              </w:rPr>
              <w:t>year the obligation was valued using the RPH-2016 table with generational projection using</w:t>
            </w:r>
          </w:p>
        </w:tc>
        <w:tc>
          <w:tcPr>
            <w:tcW w:w="0" w:type="dxa"/>
            <w:vAlign w:val="bottom"/>
          </w:tcPr>
          <w:p>
            <w:pPr>
              <w:spacing w:after="0"/>
              <w:rPr>
                <w:sz w:val="1"/>
                <w:szCs w:val="1"/>
                <w:color w:val="auto"/>
              </w:rPr>
            </w:pPr>
          </w:p>
        </w:tc>
      </w:tr>
      <w:tr>
        <w:trPr>
          <w:trHeight w:val="205"/>
        </w:trPr>
        <w:tc>
          <w:tcPr>
            <w:tcW w:w="1340" w:type="dxa"/>
            <w:vAlign w:val="bottom"/>
            <w:gridSpan w:val="2"/>
            <w:vMerge w:val="restart"/>
          </w:tcPr>
          <w:p>
            <w:pPr>
              <w:spacing w:after="0"/>
              <w:rPr>
                <w:sz w:val="20"/>
                <w:szCs w:val="20"/>
                <w:color w:val="auto"/>
              </w:rPr>
            </w:pPr>
            <w:r>
              <w:rPr>
                <w:rFonts w:ascii="Arial" w:cs="Arial" w:eastAsia="Arial" w:hAnsi="Arial"/>
                <w:sz w:val="17"/>
                <w:szCs w:val="17"/>
                <w:i w:val="1"/>
                <w:iCs w:val="1"/>
                <w:color w:val="auto"/>
              </w:rPr>
              <w:t>Income Taxes</w:t>
            </w:r>
          </w:p>
        </w:tc>
        <w:tc>
          <w:tcPr>
            <w:tcW w:w="7360" w:type="dxa"/>
            <w:vAlign w:val="bottom"/>
          </w:tcPr>
          <w:p>
            <w:pPr>
              <w:ind w:left="140"/>
              <w:spacing w:after="0"/>
              <w:rPr>
                <w:sz w:val="20"/>
                <w:szCs w:val="20"/>
                <w:color w:val="auto"/>
              </w:rPr>
            </w:pPr>
            <w:r>
              <w:rPr>
                <w:rFonts w:ascii="Arial" w:cs="Arial" w:eastAsia="Arial" w:hAnsi="Arial"/>
                <w:sz w:val="17"/>
                <w:szCs w:val="17"/>
                <w:color w:val="auto"/>
              </w:rPr>
              <w:t>MP-2016, which represents the most recent study from the Society of Actuaries.</w:t>
            </w:r>
          </w:p>
        </w:tc>
        <w:tc>
          <w:tcPr>
            <w:tcW w:w="0" w:type="dxa"/>
            <w:vAlign w:val="bottom"/>
          </w:tcPr>
          <w:p>
            <w:pPr>
              <w:spacing w:after="0"/>
              <w:rPr>
                <w:sz w:val="1"/>
                <w:szCs w:val="1"/>
                <w:color w:val="auto"/>
              </w:rPr>
            </w:pPr>
          </w:p>
        </w:tc>
      </w:tr>
      <w:tr>
        <w:trPr>
          <w:trHeight w:val="153"/>
        </w:trPr>
        <w:tc>
          <w:tcPr>
            <w:tcW w:w="1340" w:type="dxa"/>
            <w:vAlign w:val="bottom"/>
            <w:gridSpan w:val="2"/>
            <w:vMerge w:val="continue"/>
          </w:tcPr>
          <w:p>
            <w:pPr>
              <w:spacing w:after="0"/>
              <w:rPr>
                <w:sz w:val="13"/>
                <w:szCs w:val="13"/>
                <w:color w:val="auto"/>
              </w:rPr>
            </w:pPr>
          </w:p>
        </w:tc>
        <w:tc>
          <w:tcPr>
            <w:tcW w:w="7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In accordance with U.S. GAAP, deferred tax assets are recognized for tax credit and net operating loss carryforwards, reduced by a valuation allowance, which is established when it is more likely than not that some portion or all of the deferred tax assets will not be realized. We are required to estimate taxable income for future years by taxing jurisdiction and to use our judgment to determine whether or not to record a valuation allowance for part or all of a deferred tax asset. Estimates of taxable income are based upon our long-range strategic plans.</w:t>
      </w:r>
    </w:p>
    <w:p>
      <w:pPr>
        <w:spacing w:after="0" w:line="177"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A one percent change in the overall statutory tax rate for 2017 would have resulted in a change of $1 million to the carrying value of the net deferred tax asset and a corresponding charge or credit to income tax expense depending on whether the tax rate change was a decrease or an increase.</w:t>
      </w:r>
    </w:p>
    <w:p>
      <w:pPr>
        <w:spacing w:after="0" w:line="175"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We have operations in multiple taxing jurisdictions and we are subject to audit in these jurisdictions. Tax audits by their nature are often complex and can require several years to resolve. Accruals of tax contingencies require us to make estimates and judgments with respect to the ultimate outcome of tax audits. Actual results could vary from these estimates.</w:t>
      </w:r>
    </w:p>
    <w:p>
      <w:pPr>
        <w:spacing w:after="0" w:line="177"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The Tax Act significantly changes how the U.S. taxes corporations. It requires complex computations to be performed that were not previously required in U.S. tax law, significant judgments to be made in interpretation of the provisions of the law and significant estimates in calculations, and the preparation and analysis of information not previously relevant or regularly produced. The U.S. Department of the Treasury, the Internal Revenue Service, and other standard-setting bodies could interpret or issue guidance on how provisions of the law will be applied or otherwise administered that is different from our interpretation underlying our income tax accruals. As we complete our analysis of the Tax Act, collect data and prepare the necessary calculations, and interpret any additional guidance, we may make adjustments to provisional amounts that we have recorded that may materially affect our provision for income taxes in the period in which the adjustments are made.</w:t>
      </w:r>
    </w:p>
    <w:p>
      <w:pPr>
        <w:spacing w:after="0" w:line="175"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Excluding the effect of any nonrecurring items that may occur, we expect the 2018 effective tax rate to approximate 27.5 percent. The actual tax rate will vary if the level of stock option exercise activity and the stock price at the vesting or exercise date differs from our expectations. Additionally, the tax rate will also depend on the level and mix of income earned in the United States, as compared with our international operations.</w:t>
      </w:r>
    </w:p>
    <w:p>
      <w:pPr>
        <w:spacing w:after="0" w:line="15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Recent Accounting Pronouncements</w:t>
      </w:r>
    </w:p>
    <w:p>
      <w:pPr>
        <w:spacing w:after="0" w:line="203"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 xml:space="preserve">Descriptions of the recently issued accounting principles, and the accounting principles adopted by us during the year ended February 3, 2018 are included in the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note in “Item 8. Consolidated Financial Statements and Supplementary Data.”</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70" w:right="1440" w:bottom="1440" w:gutter="0" w:footer="0" w:header="0"/>
        </w:sectPr>
      </w:pPr>
    </w:p>
    <w:bookmarkStart w:id="36" w:name="page37"/>
    <w:bookmarkEnd w:id="36"/>
    <w:p>
      <w:pPr>
        <w:ind w:left="100"/>
        <w:spacing w:after="0"/>
        <w:rPr>
          <w:sz w:val="20"/>
          <w:szCs w:val="20"/>
          <w:color w:val="auto"/>
        </w:rPr>
      </w:pPr>
      <w:r>
        <w:rPr>
          <w:rFonts w:ascii="Arial" w:cs="Arial" w:eastAsia="Arial" w:hAnsi="Arial"/>
          <w:sz w:val="17"/>
          <w:szCs w:val="17"/>
          <w:b w:val="1"/>
          <w:bCs w:val="1"/>
          <w:i w:val="1"/>
          <w:iCs w:val="1"/>
          <w:color w:val="auto"/>
        </w:rPr>
        <w:t>Item 7A. Quantitative and Qualitative Disclosures About Market Risk</w:t>
      </w:r>
    </w:p>
    <w:p>
      <w:pPr>
        <w:spacing w:after="0" w:line="185" w:lineRule="exact"/>
        <w:rPr>
          <w:sz w:val="20"/>
          <w:szCs w:val="20"/>
          <w:color w:val="auto"/>
        </w:rPr>
      </w:pPr>
    </w:p>
    <w:p>
      <w:pPr>
        <w:ind w:left="100" w:right="99"/>
        <w:spacing w:after="0" w:line="265" w:lineRule="auto"/>
        <w:rPr>
          <w:sz w:val="20"/>
          <w:szCs w:val="20"/>
          <w:color w:val="auto"/>
        </w:rPr>
      </w:pPr>
      <w:r>
        <w:rPr>
          <w:rFonts w:ascii="Arial" w:cs="Arial" w:eastAsia="Arial" w:hAnsi="Arial"/>
          <w:sz w:val="17"/>
          <w:szCs w:val="17"/>
          <w:color w:val="auto"/>
        </w:rPr>
        <w:t xml:space="preserve">Information regarding foreign exchange risk management is included in the </w:t>
      </w:r>
      <w:r>
        <w:rPr>
          <w:rFonts w:ascii="Arial" w:cs="Arial" w:eastAsia="Arial" w:hAnsi="Arial"/>
          <w:sz w:val="17"/>
          <w:szCs w:val="17"/>
          <w:i w:val="1"/>
          <w:iCs w:val="1"/>
          <w:color w:val="auto"/>
        </w:rPr>
        <w:t>Financial Instruments and Risk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Management </w:t>
      </w:r>
      <w:r>
        <w:rPr>
          <w:rFonts w:ascii="Arial" w:cs="Arial" w:eastAsia="Arial" w:hAnsi="Arial"/>
          <w:sz w:val="17"/>
          <w:szCs w:val="17"/>
          <w:color w:val="auto"/>
        </w:rPr>
        <w:t>note under “Item 8. Consolidated Financial Statements and Supplementary Data.”</w:t>
      </w:r>
    </w:p>
    <w:p>
      <w:pPr>
        <w:spacing w:after="0" w:line="134" w:lineRule="exact"/>
        <w:rPr>
          <w:sz w:val="20"/>
          <w:szCs w:val="20"/>
          <w:color w:val="auto"/>
        </w:rPr>
      </w:pPr>
    </w:p>
    <w:p>
      <w:pPr>
        <w:ind w:left="100"/>
        <w:spacing w:after="0"/>
        <w:rPr>
          <w:sz w:val="20"/>
          <w:szCs w:val="20"/>
          <w:color w:val="auto"/>
        </w:rPr>
      </w:pPr>
      <w:r>
        <w:rPr>
          <w:rFonts w:ascii="Arial" w:cs="Arial" w:eastAsia="Arial" w:hAnsi="Arial"/>
          <w:sz w:val="17"/>
          <w:szCs w:val="17"/>
          <w:b w:val="1"/>
          <w:bCs w:val="1"/>
          <w:i w:val="1"/>
          <w:iCs w:val="1"/>
          <w:color w:val="auto"/>
        </w:rPr>
        <w:t>Item 8. Consolidated Financial Statements and Supplementary Data</w:t>
      </w:r>
    </w:p>
    <w:p>
      <w:pPr>
        <w:spacing w:after="0" w:line="20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following Consolidated Financial Statements of the Company are included as part of this Report:</w:t>
      </w:r>
    </w:p>
    <w:p>
      <w:pPr>
        <w:spacing w:after="0" w:line="183" w:lineRule="exact"/>
        <w:rPr>
          <w:sz w:val="20"/>
          <w:szCs w:val="20"/>
          <w:color w:val="auto"/>
        </w:rPr>
      </w:pPr>
    </w:p>
    <w:p>
      <w:pPr>
        <w:ind w:left="740" w:hanging="311"/>
        <w:spacing w:after="0"/>
        <w:tabs>
          <w:tab w:leader="none" w:pos="7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Consolidated Statements of Operations for the fiscal years ended:</w:t>
      </w:r>
    </w:p>
    <w:p>
      <w:pPr>
        <w:spacing w:after="0" w:line="7" w:lineRule="exact"/>
        <w:rPr>
          <w:rFonts w:ascii="Arial" w:cs="Arial" w:eastAsia="Arial" w:hAnsi="Arial"/>
          <w:sz w:val="17"/>
          <w:szCs w:val="17"/>
          <w:color w:val="auto"/>
        </w:rPr>
      </w:pPr>
    </w:p>
    <w:p>
      <w:pPr>
        <w:ind w:left="1380" w:hanging="303"/>
        <w:spacing w:after="0"/>
        <w:tabs>
          <w:tab w:leader="none" w:pos="1380" w:val="left"/>
        </w:tabs>
        <w:numPr>
          <w:ilvl w:val="1"/>
          <w:numId w:val="15"/>
        </w:numPr>
        <w:rPr>
          <w:rFonts w:ascii="Arial" w:cs="Arial" w:eastAsia="Arial" w:hAnsi="Arial"/>
          <w:sz w:val="16"/>
          <w:szCs w:val="16"/>
          <w:color w:val="auto"/>
        </w:rPr>
      </w:pPr>
      <w:r>
        <w:rPr>
          <w:rFonts w:ascii="Arial" w:cs="Arial" w:eastAsia="Arial" w:hAnsi="Arial"/>
          <w:sz w:val="17"/>
          <w:szCs w:val="17"/>
          <w:color w:val="auto"/>
        </w:rPr>
        <w:t>February 3, 2018</w:t>
      </w:r>
    </w:p>
    <w:p>
      <w:pPr>
        <w:spacing w:after="0" w:line="7" w:lineRule="exact"/>
        <w:rPr>
          <w:rFonts w:ascii="Arial" w:cs="Arial" w:eastAsia="Arial" w:hAnsi="Arial"/>
          <w:sz w:val="16"/>
          <w:szCs w:val="16"/>
          <w:color w:val="auto"/>
        </w:rPr>
      </w:pPr>
    </w:p>
    <w:p>
      <w:pPr>
        <w:ind w:left="1380" w:hanging="303"/>
        <w:spacing w:after="0"/>
        <w:tabs>
          <w:tab w:leader="none" w:pos="1380" w:val="left"/>
        </w:tabs>
        <w:numPr>
          <w:ilvl w:val="1"/>
          <w:numId w:val="15"/>
        </w:numPr>
        <w:rPr>
          <w:rFonts w:ascii="Arial" w:cs="Arial" w:eastAsia="Arial" w:hAnsi="Arial"/>
          <w:sz w:val="16"/>
          <w:szCs w:val="16"/>
          <w:color w:val="auto"/>
        </w:rPr>
      </w:pPr>
      <w:r>
        <w:rPr>
          <w:rFonts w:ascii="Arial" w:cs="Arial" w:eastAsia="Arial" w:hAnsi="Arial"/>
          <w:sz w:val="17"/>
          <w:szCs w:val="17"/>
          <w:color w:val="auto"/>
        </w:rPr>
        <w:t>January 28, 2017</w:t>
      </w:r>
    </w:p>
    <w:p>
      <w:pPr>
        <w:spacing w:after="0" w:line="7" w:lineRule="exact"/>
        <w:rPr>
          <w:rFonts w:ascii="Arial" w:cs="Arial" w:eastAsia="Arial" w:hAnsi="Arial"/>
          <w:sz w:val="16"/>
          <w:szCs w:val="16"/>
          <w:color w:val="auto"/>
        </w:rPr>
      </w:pPr>
    </w:p>
    <w:p>
      <w:pPr>
        <w:ind w:left="1380" w:hanging="303"/>
        <w:spacing w:after="0"/>
        <w:tabs>
          <w:tab w:leader="none" w:pos="1380" w:val="left"/>
        </w:tabs>
        <w:numPr>
          <w:ilvl w:val="1"/>
          <w:numId w:val="15"/>
        </w:numPr>
        <w:rPr>
          <w:rFonts w:ascii="Arial" w:cs="Arial" w:eastAsia="Arial" w:hAnsi="Arial"/>
          <w:sz w:val="16"/>
          <w:szCs w:val="16"/>
          <w:color w:val="auto"/>
        </w:rPr>
      </w:pPr>
      <w:r>
        <w:rPr>
          <w:rFonts w:ascii="Arial" w:cs="Arial" w:eastAsia="Arial" w:hAnsi="Arial"/>
          <w:sz w:val="17"/>
          <w:szCs w:val="17"/>
          <w:color w:val="auto"/>
        </w:rPr>
        <w:t>January 30, 2016</w:t>
      </w:r>
    </w:p>
    <w:p>
      <w:pPr>
        <w:spacing w:after="0" w:line="196" w:lineRule="exact"/>
        <w:rPr>
          <w:rFonts w:ascii="Arial" w:cs="Arial" w:eastAsia="Arial" w:hAnsi="Arial"/>
          <w:sz w:val="16"/>
          <w:szCs w:val="16"/>
          <w:color w:val="auto"/>
        </w:rPr>
      </w:pPr>
    </w:p>
    <w:p>
      <w:pPr>
        <w:ind w:left="740" w:hanging="311"/>
        <w:spacing w:after="0"/>
        <w:tabs>
          <w:tab w:leader="none" w:pos="7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Consolidated Statements of Comprehensive Income for the fiscal years ended:</w:t>
      </w:r>
    </w:p>
    <w:p>
      <w:pPr>
        <w:spacing w:after="0" w:line="7" w:lineRule="exact"/>
        <w:rPr>
          <w:rFonts w:ascii="Arial" w:cs="Arial" w:eastAsia="Arial" w:hAnsi="Arial"/>
          <w:sz w:val="17"/>
          <w:szCs w:val="17"/>
          <w:color w:val="auto"/>
        </w:rPr>
      </w:pPr>
    </w:p>
    <w:p>
      <w:pPr>
        <w:ind w:left="1380" w:hanging="303"/>
        <w:spacing w:after="0"/>
        <w:tabs>
          <w:tab w:leader="none" w:pos="1380" w:val="left"/>
        </w:tabs>
        <w:numPr>
          <w:ilvl w:val="1"/>
          <w:numId w:val="15"/>
        </w:numPr>
        <w:rPr>
          <w:rFonts w:ascii="Arial" w:cs="Arial" w:eastAsia="Arial" w:hAnsi="Arial"/>
          <w:sz w:val="16"/>
          <w:szCs w:val="16"/>
          <w:color w:val="auto"/>
        </w:rPr>
      </w:pPr>
      <w:r>
        <w:rPr>
          <w:rFonts w:ascii="Arial" w:cs="Arial" w:eastAsia="Arial" w:hAnsi="Arial"/>
          <w:sz w:val="17"/>
          <w:szCs w:val="17"/>
          <w:color w:val="auto"/>
        </w:rPr>
        <w:t>February 3, 2018</w:t>
      </w:r>
    </w:p>
    <w:p>
      <w:pPr>
        <w:spacing w:after="0" w:line="7" w:lineRule="exact"/>
        <w:rPr>
          <w:rFonts w:ascii="Arial" w:cs="Arial" w:eastAsia="Arial" w:hAnsi="Arial"/>
          <w:sz w:val="16"/>
          <w:szCs w:val="16"/>
          <w:color w:val="auto"/>
        </w:rPr>
      </w:pPr>
    </w:p>
    <w:p>
      <w:pPr>
        <w:ind w:left="1380" w:hanging="303"/>
        <w:spacing w:after="0"/>
        <w:tabs>
          <w:tab w:leader="none" w:pos="1380" w:val="left"/>
        </w:tabs>
        <w:numPr>
          <w:ilvl w:val="1"/>
          <w:numId w:val="15"/>
        </w:numPr>
        <w:rPr>
          <w:rFonts w:ascii="Arial" w:cs="Arial" w:eastAsia="Arial" w:hAnsi="Arial"/>
          <w:sz w:val="16"/>
          <w:szCs w:val="16"/>
          <w:color w:val="auto"/>
        </w:rPr>
      </w:pPr>
      <w:r>
        <w:rPr>
          <w:rFonts w:ascii="Arial" w:cs="Arial" w:eastAsia="Arial" w:hAnsi="Arial"/>
          <w:sz w:val="17"/>
          <w:szCs w:val="17"/>
          <w:color w:val="auto"/>
        </w:rPr>
        <w:t>January 28, 2017</w:t>
      </w:r>
    </w:p>
    <w:p>
      <w:pPr>
        <w:spacing w:after="0" w:line="7" w:lineRule="exact"/>
        <w:rPr>
          <w:rFonts w:ascii="Arial" w:cs="Arial" w:eastAsia="Arial" w:hAnsi="Arial"/>
          <w:sz w:val="16"/>
          <w:szCs w:val="16"/>
          <w:color w:val="auto"/>
        </w:rPr>
      </w:pPr>
    </w:p>
    <w:p>
      <w:pPr>
        <w:ind w:left="1380" w:hanging="303"/>
        <w:spacing w:after="0"/>
        <w:tabs>
          <w:tab w:leader="none" w:pos="1380" w:val="left"/>
        </w:tabs>
        <w:numPr>
          <w:ilvl w:val="1"/>
          <w:numId w:val="15"/>
        </w:numPr>
        <w:rPr>
          <w:rFonts w:ascii="Arial" w:cs="Arial" w:eastAsia="Arial" w:hAnsi="Arial"/>
          <w:sz w:val="16"/>
          <w:szCs w:val="16"/>
          <w:color w:val="auto"/>
        </w:rPr>
      </w:pPr>
      <w:r>
        <w:rPr>
          <w:rFonts w:ascii="Arial" w:cs="Arial" w:eastAsia="Arial" w:hAnsi="Arial"/>
          <w:sz w:val="17"/>
          <w:szCs w:val="17"/>
          <w:color w:val="auto"/>
        </w:rPr>
        <w:t>January 30, 2016</w:t>
      </w:r>
    </w:p>
    <w:p>
      <w:pPr>
        <w:spacing w:after="0" w:line="196" w:lineRule="exact"/>
        <w:rPr>
          <w:rFonts w:ascii="Arial" w:cs="Arial" w:eastAsia="Arial" w:hAnsi="Arial"/>
          <w:sz w:val="16"/>
          <w:szCs w:val="16"/>
          <w:color w:val="auto"/>
        </w:rPr>
      </w:pPr>
    </w:p>
    <w:p>
      <w:pPr>
        <w:ind w:left="740" w:hanging="311"/>
        <w:spacing w:after="0"/>
        <w:tabs>
          <w:tab w:leader="none" w:pos="7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Consolidated Balance Sheets as of:</w:t>
      </w:r>
    </w:p>
    <w:p>
      <w:pPr>
        <w:spacing w:after="0" w:line="7" w:lineRule="exact"/>
        <w:rPr>
          <w:rFonts w:ascii="Arial" w:cs="Arial" w:eastAsia="Arial" w:hAnsi="Arial"/>
          <w:sz w:val="17"/>
          <w:szCs w:val="17"/>
          <w:color w:val="auto"/>
        </w:rPr>
      </w:pPr>
    </w:p>
    <w:p>
      <w:pPr>
        <w:ind w:left="1380" w:hanging="303"/>
        <w:spacing w:after="0"/>
        <w:tabs>
          <w:tab w:leader="none" w:pos="1380" w:val="left"/>
        </w:tabs>
        <w:numPr>
          <w:ilvl w:val="1"/>
          <w:numId w:val="15"/>
        </w:numPr>
        <w:rPr>
          <w:rFonts w:ascii="Arial" w:cs="Arial" w:eastAsia="Arial" w:hAnsi="Arial"/>
          <w:sz w:val="16"/>
          <w:szCs w:val="16"/>
          <w:color w:val="auto"/>
        </w:rPr>
      </w:pPr>
      <w:r>
        <w:rPr>
          <w:rFonts w:ascii="Arial" w:cs="Arial" w:eastAsia="Arial" w:hAnsi="Arial"/>
          <w:sz w:val="17"/>
          <w:szCs w:val="17"/>
          <w:color w:val="auto"/>
        </w:rPr>
        <w:t>February 3, 2018</w:t>
      </w:r>
    </w:p>
    <w:p>
      <w:pPr>
        <w:spacing w:after="0" w:line="7" w:lineRule="exact"/>
        <w:rPr>
          <w:rFonts w:ascii="Arial" w:cs="Arial" w:eastAsia="Arial" w:hAnsi="Arial"/>
          <w:sz w:val="16"/>
          <w:szCs w:val="16"/>
          <w:color w:val="auto"/>
        </w:rPr>
      </w:pPr>
    </w:p>
    <w:p>
      <w:pPr>
        <w:ind w:left="1380" w:hanging="303"/>
        <w:spacing w:after="0"/>
        <w:tabs>
          <w:tab w:leader="none" w:pos="1380" w:val="left"/>
        </w:tabs>
        <w:numPr>
          <w:ilvl w:val="1"/>
          <w:numId w:val="15"/>
        </w:numPr>
        <w:rPr>
          <w:rFonts w:ascii="Arial" w:cs="Arial" w:eastAsia="Arial" w:hAnsi="Arial"/>
          <w:sz w:val="16"/>
          <w:szCs w:val="16"/>
          <w:color w:val="auto"/>
        </w:rPr>
      </w:pPr>
      <w:r>
        <w:rPr>
          <w:rFonts w:ascii="Arial" w:cs="Arial" w:eastAsia="Arial" w:hAnsi="Arial"/>
          <w:sz w:val="17"/>
          <w:szCs w:val="17"/>
          <w:color w:val="auto"/>
        </w:rPr>
        <w:t>January 28, 2017</w:t>
      </w:r>
    </w:p>
    <w:p>
      <w:pPr>
        <w:spacing w:after="0" w:line="196" w:lineRule="exact"/>
        <w:rPr>
          <w:rFonts w:ascii="Arial" w:cs="Arial" w:eastAsia="Arial" w:hAnsi="Arial"/>
          <w:sz w:val="16"/>
          <w:szCs w:val="16"/>
          <w:color w:val="auto"/>
        </w:rPr>
      </w:pPr>
    </w:p>
    <w:p>
      <w:pPr>
        <w:ind w:left="740" w:hanging="311"/>
        <w:spacing w:after="0"/>
        <w:tabs>
          <w:tab w:leader="none" w:pos="7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Consolidated Statements of Shareholders’ Equity for the fiscal years ended:</w:t>
      </w:r>
    </w:p>
    <w:p>
      <w:pPr>
        <w:spacing w:after="0" w:line="7" w:lineRule="exact"/>
        <w:rPr>
          <w:rFonts w:ascii="Arial" w:cs="Arial" w:eastAsia="Arial" w:hAnsi="Arial"/>
          <w:sz w:val="17"/>
          <w:szCs w:val="17"/>
          <w:color w:val="auto"/>
        </w:rPr>
      </w:pPr>
    </w:p>
    <w:p>
      <w:pPr>
        <w:ind w:left="1380" w:hanging="303"/>
        <w:spacing w:after="0"/>
        <w:tabs>
          <w:tab w:leader="none" w:pos="1380" w:val="left"/>
        </w:tabs>
        <w:numPr>
          <w:ilvl w:val="1"/>
          <w:numId w:val="15"/>
        </w:numPr>
        <w:rPr>
          <w:rFonts w:ascii="Arial" w:cs="Arial" w:eastAsia="Arial" w:hAnsi="Arial"/>
          <w:sz w:val="16"/>
          <w:szCs w:val="16"/>
          <w:color w:val="auto"/>
        </w:rPr>
      </w:pPr>
      <w:r>
        <w:rPr>
          <w:rFonts w:ascii="Arial" w:cs="Arial" w:eastAsia="Arial" w:hAnsi="Arial"/>
          <w:sz w:val="17"/>
          <w:szCs w:val="17"/>
          <w:color w:val="auto"/>
        </w:rPr>
        <w:t>February 3, 2018</w:t>
      </w:r>
    </w:p>
    <w:p>
      <w:pPr>
        <w:spacing w:after="0" w:line="7" w:lineRule="exact"/>
        <w:rPr>
          <w:rFonts w:ascii="Arial" w:cs="Arial" w:eastAsia="Arial" w:hAnsi="Arial"/>
          <w:sz w:val="16"/>
          <w:szCs w:val="16"/>
          <w:color w:val="auto"/>
        </w:rPr>
      </w:pPr>
    </w:p>
    <w:p>
      <w:pPr>
        <w:ind w:left="1380" w:hanging="303"/>
        <w:spacing w:after="0"/>
        <w:tabs>
          <w:tab w:leader="none" w:pos="1380" w:val="left"/>
        </w:tabs>
        <w:numPr>
          <w:ilvl w:val="1"/>
          <w:numId w:val="15"/>
        </w:numPr>
        <w:rPr>
          <w:rFonts w:ascii="Arial" w:cs="Arial" w:eastAsia="Arial" w:hAnsi="Arial"/>
          <w:sz w:val="16"/>
          <w:szCs w:val="16"/>
          <w:color w:val="auto"/>
        </w:rPr>
      </w:pPr>
      <w:r>
        <w:rPr>
          <w:rFonts w:ascii="Arial" w:cs="Arial" w:eastAsia="Arial" w:hAnsi="Arial"/>
          <w:sz w:val="17"/>
          <w:szCs w:val="17"/>
          <w:color w:val="auto"/>
        </w:rPr>
        <w:t>January 28, 2017</w:t>
      </w:r>
    </w:p>
    <w:p>
      <w:pPr>
        <w:spacing w:after="0" w:line="7" w:lineRule="exact"/>
        <w:rPr>
          <w:rFonts w:ascii="Arial" w:cs="Arial" w:eastAsia="Arial" w:hAnsi="Arial"/>
          <w:sz w:val="16"/>
          <w:szCs w:val="16"/>
          <w:color w:val="auto"/>
        </w:rPr>
      </w:pPr>
    </w:p>
    <w:p>
      <w:pPr>
        <w:ind w:left="1380" w:hanging="303"/>
        <w:spacing w:after="0"/>
        <w:tabs>
          <w:tab w:leader="none" w:pos="1380" w:val="left"/>
        </w:tabs>
        <w:numPr>
          <w:ilvl w:val="1"/>
          <w:numId w:val="15"/>
        </w:numPr>
        <w:rPr>
          <w:rFonts w:ascii="Arial" w:cs="Arial" w:eastAsia="Arial" w:hAnsi="Arial"/>
          <w:sz w:val="16"/>
          <w:szCs w:val="16"/>
          <w:color w:val="auto"/>
        </w:rPr>
      </w:pPr>
      <w:r>
        <w:rPr>
          <w:rFonts w:ascii="Arial" w:cs="Arial" w:eastAsia="Arial" w:hAnsi="Arial"/>
          <w:sz w:val="17"/>
          <w:szCs w:val="17"/>
          <w:color w:val="auto"/>
        </w:rPr>
        <w:t>January 30, 2016</w:t>
      </w:r>
    </w:p>
    <w:p>
      <w:pPr>
        <w:spacing w:after="0" w:line="196" w:lineRule="exact"/>
        <w:rPr>
          <w:rFonts w:ascii="Arial" w:cs="Arial" w:eastAsia="Arial" w:hAnsi="Arial"/>
          <w:sz w:val="16"/>
          <w:szCs w:val="16"/>
          <w:color w:val="auto"/>
        </w:rPr>
      </w:pPr>
    </w:p>
    <w:p>
      <w:pPr>
        <w:ind w:left="740" w:hanging="311"/>
        <w:spacing w:after="0"/>
        <w:tabs>
          <w:tab w:leader="none" w:pos="7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Consolidated Statements of Cash Flows for the fiscal years ended:</w:t>
      </w:r>
    </w:p>
    <w:p>
      <w:pPr>
        <w:spacing w:after="0" w:line="7" w:lineRule="exact"/>
        <w:rPr>
          <w:rFonts w:ascii="Arial" w:cs="Arial" w:eastAsia="Arial" w:hAnsi="Arial"/>
          <w:sz w:val="17"/>
          <w:szCs w:val="17"/>
          <w:color w:val="auto"/>
        </w:rPr>
      </w:pPr>
    </w:p>
    <w:p>
      <w:pPr>
        <w:ind w:left="1380" w:hanging="303"/>
        <w:spacing w:after="0"/>
        <w:tabs>
          <w:tab w:leader="none" w:pos="1380" w:val="left"/>
        </w:tabs>
        <w:numPr>
          <w:ilvl w:val="1"/>
          <w:numId w:val="15"/>
        </w:numPr>
        <w:rPr>
          <w:rFonts w:ascii="Arial" w:cs="Arial" w:eastAsia="Arial" w:hAnsi="Arial"/>
          <w:sz w:val="16"/>
          <w:szCs w:val="16"/>
          <w:color w:val="auto"/>
        </w:rPr>
      </w:pPr>
      <w:r>
        <w:rPr>
          <w:rFonts w:ascii="Arial" w:cs="Arial" w:eastAsia="Arial" w:hAnsi="Arial"/>
          <w:sz w:val="17"/>
          <w:szCs w:val="17"/>
          <w:color w:val="auto"/>
        </w:rPr>
        <w:t>February 3, 2018</w:t>
      </w:r>
    </w:p>
    <w:p>
      <w:pPr>
        <w:spacing w:after="0" w:line="7" w:lineRule="exact"/>
        <w:rPr>
          <w:rFonts w:ascii="Arial" w:cs="Arial" w:eastAsia="Arial" w:hAnsi="Arial"/>
          <w:sz w:val="16"/>
          <w:szCs w:val="16"/>
          <w:color w:val="auto"/>
        </w:rPr>
      </w:pPr>
    </w:p>
    <w:p>
      <w:pPr>
        <w:ind w:left="1380" w:hanging="303"/>
        <w:spacing w:after="0"/>
        <w:tabs>
          <w:tab w:leader="none" w:pos="1380" w:val="left"/>
        </w:tabs>
        <w:numPr>
          <w:ilvl w:val="1"/>
          <w:numId w:val="15"/>
        </w:numPr>
        <w:rPr>
          <w:rFonts w:ascii="Arial" w:cs="Arial" w:eastAsia="Arial" w:hAnsi="Arial"/>
          <w:sz w:val="16"/>
          <w:szCs w:val="16"/>
          <w:color w:val="auto"/>
        </w:rPr>
      </w:pPr>
      <w:r>
        <w:rPr>
          <w:rFonts w:ascii="Arial" w:cs="Arial" w:eastAsia="Arial" w:hAnsi="Arial"/>
          <w:sz w:val="17"/>
          <w:szCs w:val="17"/>
          <w:color w:val="auto"/>
        </w:rPr>
        <w:t>January 28, 2017</w:t>
      </w:r>
    </w:p>
    <w:p>
      <w:pPr>
        <w:spacing w:after="0" w:line="7" w:lineRule="exact"/>
        <w:rPr>
          <w:rFonts w:ascii="Arial" w:cs="Arial" w:eastAsia="Arial" w:hAnsi="Arial"/>
          <w:sz w:val="16"/>
          <w:szCs w:val="16"/>
          <w:color w:val="auto"/>
        </w:rPr>
      </w:pPr>
    </w:p>
    <w:p>
      <w:pPr>
        <w:ind w:left="1380" w:hanging="303"/>
        <w:spacing w:after="0"/>
        <w:tabs>
          <w:tab w:leader="none" w:pos="1380" w:val="left"/>
        </w:tabs>
        <w:numPr>
          <w:ilvl w:val="1"/>
          <w:numId w:val="15"/>
        </w:numPr>
        <w:rPr>
          <w:rFonts w:ascii="Arial" w:cs="Arial" w:eastAsia="Arial" w:hAnsi="Arial"/>
          <w:sz w:val="16"/>
          <w:szCs w:val="16"/>
          <w:color w:val="auto"/>
        </w:rPr>
      </w:pPr>
      <w:r>
        <w:rPr>
          <w:rFonts w:ascii="Arial" w:cs="Arial" w:eastAsia="Arial" w:hAnsi="Arial"/>
          <w:sz w:val="17"/>
          <w:szCs w:val="17"/>
          <w:color w:val="auto"/>
        </w:rPr>
        <w:t>January 30, 2016</w:t>
      </w:r>
    </w:p>
    <w:p>
      <w:pPr>
        <w:spacing w:after="0" w:line="196" w:lineRule="exact"/>
        <w:rPr>
          <w:rFonts w:ascii="Arial" w:cs="Arial" w:eastAsia="Arial" w:hAnsi="Arial"/>
          <w:sz w:val="16"/>
          <w:szCs w:val="16"/>
          <w:color w:val="auto"/>
        </w:rPr>
      </w:pPr>
    </w:p>
    <w:p>
      <w:pPr>
        <w:ind w:left="740" w:hanging="311"/>
        <w:spacing w:after="0"/>
        <w:tabs>
          <w:tab w:leader="none" w:pos="7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Notes to the 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56" w:right="1440" w:bottom="1440" w:gutter="0" w:footer="0" w:header="0"/>
        </w:sectPr>
      </w:pPr>
    </w:p>
    <w:bookmarkStart w:id="37" w:name="page38"/>
    <w:bookmarkEnd w:id="37"/>
    <w:p>
      <w:pPr>
        <w:ind w:left="1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95"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To the Board of Directors and Shareholders of</w:t>
      </w:r>
    </w:p>
    <w:p>
      <w:pPr>
        <w:ind w:left="100"/>
        <w:spacing w:after="0"/>
        <w:rPr>
          <w:sz w:val="20"/>
          <w:szCs w:val="20"/>
          <w:color w:val="auto"/>
        </w:rPr>
      </w:pPr>
      <w:r>
        <w:rPr>
          <w:rFonts w:ascii="Arial" w:cs="Arial" w:eastAsia="Arial" w:hAnsi="Arial"/>
          <w:sz w:val="17"/>
          <w:szCs w:val="17"/>
          <w:color w:val="auto"/>
        </w:rPr>
        <w:t>Foot Locker, Inc.:</w:t>
      </w:r>
    </w:p>
    <w:p>
      <w:pPr>
        <w:spacing w:after="0" w:line="169" w:lineRule="exact"/>
        <w:rPr>
          <w:sz w:val="20"/>
          <w:szCs w:val="20"/>
          <w:color w:val="auto"/>
        </w:rPr>
      </w:pPr>
    </w:p>
    <w:p>
      <w:pPr>
        <w:ind w:left="100"/>
        <w:spacing w:after="0"/>
        <w:rPr>
          <w:sz w:val="20"/>
          <w:szCs w:val="20"/>
          <w:color w:val="auto"/>
        </w:rPr>
      </w:pPr>
      <w:r>
        <w:rPr>
          <w:rFonts w:ascii="Arial" w:cs="Arial" w:eastAsia="Arial" w:hAnsi="Arial"/>
          <w:sz w:val="17"/>
          <w:szCs w:val="17"/>
          <w:color w:val="auto"/>
        </w:rPr>
        <w:t>Opinion on the Consolidated Financial Statements</w:t>
      </w:r>
    </w:p>
    <w:p>
      <w:pPr>
        <w:spacing w:after="0" w:line="88" w:lineRule="exact"/>
        <w:rPr>
          <w:sz w:val="20"/>
          <w:szCs w:val="20"/>
          <w:color w:val="auto"/>
        </w:rPr>
      </w:pPr>
    </w:p>
    <w:p>
      <w:pPr>
        <w:jc w:val="both"/>
        <w:ind w:left="100" w:right="99"/>
        <w:spacing w:after="0" w:line="191" w:lineRule="exact"/>
        <w:rPr>
          <w:sz w:val="20"/>
          <w:szCs w:val="20"/>
          <w:color w:val="auto"/>
        </w:rPr>
      </w:pPr>
      <w:r>
        <w:rPr>
          <w:rFonts w:ascii="Arial" w:cs="Arial" w:eastAsia="Arial" w:hAnsi="Arial"/>
          <w:sz w:val="17"/>
          <w:szCs w:val="17"/>
          <w:color w:val="auto"/>
        </w:rPr>
        <w:t>We have audited the accompanying consolidated balance sheets of Foot Locker, Inc. and subsidiaries (the “Company”) as of February 3, 2018 and January 28, 2017, the related consolidated statements of operations, comprehensive income, stockholders’ equity, and cash flows for each of the years in the three</w:t>
      </w:r>
      <w:r>
        <w:rPr>
          <w:rFonts w:ascii="MS PGothic" w:cs="MS PGothic" w:eastAsia="MS PGothic" w:hAnsi="MS PGothic"/>
          <w:sz w:val="17"/>
          <w:szCs w:val="17"/>
          <w:color w:val="auto"/>
        </w:rPr>
        <w:t>‑</w:t>
      </w:r>
      <w:r>
        <w:rPr>
          <w:rFonts w:ascii="Arial" w:cs="Arial" w:eastAsia="Arial" w:hAnsi="Arial"/>
          <w:sz w:val="17"/>
          <w:szCs w:val="17"/>
          <w:color w:val="auto"/>
        </w:rPr>
        <w:t>year period ended February 3, 2018 and the related notes (collectively, the “consolidated financial statements”). In our opinion, the consolidated financial statements present fairly, in all material respects, the financial position of the Company as of February 3, 2018 and January 28, 2017, and the results of its operations and its cash flows for each of the years in the three</w:t>
      </w:r>
      <w:r>
        <w:rPr>
          <w:rFonts w:ascii="MS PGothic" w:cs="MS PGothic" w:eastAsia="MS PGothic" w:hAnsi="MS PGothic"/>
          <w:sz w:val="17"/>
          <w:szCs w:val="17"/>
          <w:color w:val="auto"/>
        </w:rPr>
        <w:t>‑</w:t>
      </w:r>
      <w:r>
        <w:rPr>
          <w:rFonts w:ascii="Arial" w:cs="Arial" w:eastAsia="Arial" w:hAnsi="Arial"/>
          <w:sz w:val="17"/>
          <w:szCs w:val="17"/>
          <w:color w:val="auto"/>
        </w:rPr>
        <w:t>year period ended February 3, 2018, in conformity with U.S. generally accepted accounting principles.</w:t>
      </w:r>
    </w:p>
    <w:p>
      <w:pPr>
        <w:spacing w:after="0" w:line="165"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 xml:space="preserve">We also have audited, in accordance with the standards of the Public Company Accounting Oversight Board (United States) (PCAOB), the Company’s internal control over financial reporting as of February 3, 2018,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and our report dated March 29, 2018 expressed an unqualified opinion on the effectiveness of the Company’s internal control over financial reporting.</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Basis for Opinion</w:t>
      </w:r>
    </w:p>
    <w:p>
      <w:pPr>
        <w:spacing w:after="0" w:line="75"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7" w:lineRule="exact"/>
        <w:rPr>
          <w:sz w:val="20"/>
          <w:szCs w:val="20"/>
          <w:color w:val="auto"/>
        </w:rPr>
      </w:pPr>
    </w:p>
    <w:p>
      <w:pPr>
        <w:jc w:val="both"/>
        <w:ind w:left="100" w:right="99"/>
        <w:spacing w:after="0"/>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30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 KPMG LLP</w:t>
      </w:r>
    </w:p>
    <w:p>
      <w:pPr>
        <w:spacing w:after="0" w:line="18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We have served as the Company’s auditor since 1995.</w:t>
      </w:r>
    </w:p>
    <w:p>
      <w:pPr>
        <w:spacing w:after="0" w:line="17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New York, New York</w:t>
      </w:r>
    </w:p>
    <w:p>
      <w:pPr>
        <w:ind w:left="100"/>
        <w:spacing w:after="0"/>
        <w:rPr>
          <w:sz w:val="20"/>
          <w:szCs w:val="20"/>
          <w:color w:val="auto"/>
        </w:rPr>
      </w:pPr>
      <w:r>
        <w:rPr>
          <w:rFonts w:ascii="Arial" w:cs="Arial" w:eastAsia="Arial" w:hAnsi="Arial"/>
          <w:sz w:val="17"/>
          <w:szCs w:val="17"/>
          <w:color w:val="auto"/>
        </w:rPr>
        <w:t>March 29, 2018</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0" w:lineRule="exact"/>
        <w:rPr>
          <w:sz w:val="20"/>
          <w:szCs w:val="20"/>
          <w:color w:val="auto"/>
        </w:rPr>
      </w:pPr>
    </w:p>
    <w:p>
      <w:pPr>
        <w:spacing w:after="0" w:line="202"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47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2017</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color w:val="auto"/>
              </w:rPr>
              <w:t>2016</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2015</w:t>
            </w:r>
          </w:p>
        </w:tc>
      </w:tr>
      <w:tr>
        <w:trPr>
          <w:trHeight w:val="210"/>
        </w:trPr>
        <w:tc>
          <w:tcPr>
            <w:tcW w:w="4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00" w:type="dxa"/>
            <w:vAlign w:val="bottom"/>
            <w:gridSpan w:val="5"/>
          </w:tcPr>
          <w:p>
            <w:pPr>
              <w:jc w:val="right"/>
              <w:ind w:right="335"/>
              <w:spacing w:after="0"/>
              <w:rPr>
                <w:sz w:val="20"/>
                <w:szCs w:val="20"/>
                <w:color w:val="auto"/>
              </w:rPr>
            </w:pPr>
            <w:r>
              <w:rPr>
                <w:rFonts w:ascii="Arial" w:cs="Arial" w:eastAsia="Arial" w:hAnsi="Arial"/>
                <w:sz w:val="17"/>
                <w:szCs w:val="17"/>
                <w:color w:val="auto"/>
              </w:rPr>
              <w:t>(in millions, except per share amounts)</w:t>
            </w:r>
          </w:p>
        </w:tc>
      </w:tr>
      <w:tr>
        <w:trPr>
          <w:trHeight w:val="230"/>
        </w:trPr>
        <w:tc>
          <w:tcPr>
            <w:tcW w:w="47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Sales</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80" w:type="dxa"/>
            <w:vAlign w:val="bottom"/>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7,782</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7,766</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7,412</w:t>
            </w:r>
          </w:p>
        </w:tc>
      </w:tr>
      <w:tr>
        <w:trPr>
          <w:trHeight w:val="230"/>
        </w:trPr>
        <w:tc>
          <w:tcPr>
            <w:tcW w:w="4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Cost of sales</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5,326</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5,130</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4,907</w:t>
            </w:r>
          </w:p>
        </w:tc>
      </w:tr>
      <w:tr>
        <w:trPr>
          <w:trHeight w:val="230"/>
        </w:trPr>
        <w:tc>
          <w:tcPr>
            <w:tcW w:w="4780" w:type="dxa"/>
            <w:vAlign w:val="bottom"/>
          </w:tcPr>
          <w:p>
            <w:pPr>
              <w:spacing w:after="0"/>
              <w:rPr>
                <w:sz w:val="20"/>
                <w:szCs w:val="20"/>
                <w:color w:val="auto"/>
              </w:rPr>
            </w:pPr>
            <w:r>
              <w:rPr>
                <w:rFonts w:ascii="Arial" w:cs="Arial" w:eastAsia="Arial" w:hAnsi="Arial"/>
                <w:sz w:val="17"/>
                <w:szCs w:val="17"/>
                <w:color w:val="auto"/>
              </w:rPr>
              <w:t>Selling, general and administrative expenses</w:t>
            </w:r>
          </w:p>
        </w:tc>
        <w:tc>
          <w:tcPr>
            <w:tcW w:w="540" w:type="dxa"/>
            <w:vAlign w:val="bottom"/>
          </w:tcPr>
          <w:p>
            <w:pPr>
              <w:spacing w:after="0"/>
              <w:rPr>
                <w:sz w:val="19"/>
                <w:szCs w:val="19"/>
                <w:color w:val="auto"/>
              </w:rPr>
            </w:pPr>
          </w:p>
        </w:tc>
        <w:tc>
          <w:tcPr>
            <w:tcW w:w="980" w:type="dxa"/>
            <w:vAlign w:val="bottom"/>
          </w:tcPr>
          <w:p>
            <w:pPr>
              <w:jc w:val="right"/>
              <w:ind w:right="135"/>
              <w:spacing w:after="0"/>
              <w:rPr>
                <w:sz w:val="20"/>
                <w:szCs w:val="20"/>
                <w:color w:val="auto"/>
              </w:rPr>
            </w:pPr>
            <w:r>
              <w:rPr>
                <w:rFonts w:ascii="Arial" w:cs="Arial" w:eastAsia="Arial" w:hAnsi="Arial"/>
                <w:sz w:val="17"/>
                <w:szCs w:val="17"/>
                <w:b w:val="1"/>
                <w:bCs w:val="1"/>
                <w:color w:val="auto"/>
              </w:rPr>
              <w:t>1,501</w:t>
            </w:r>
          </w:p>
        </w:tc>
        <w:tc>
          <w:tcPr>
            <w:tcW w:w="340" w:type="dxa"/>
            <w:vAlign w:val="bottom"/>
          </w:tcPr>
          <w:p>
            <w:pPr>
              <w:spacing w:after="0"/>
              <w:rPr>
                <w:sz w:val="19"/>
                <w:szCs w:val="19"/>
                <w:color w:val="auto"/>
              </w:rPr>
            </w:pPr>
          </w:p>
        </w:tc>
        <w:tc>
          <w:tcPr>
            <w:tcW w:w="1000" w:type="dxa"/>
            <w:vAlign w:val="bottom"/>
          </w:tcPr>
          <w:p>
            <w:pPr>
              <w:jc w:val="right"/>
              <w:ind w:right="135"/>
              <w:spacing w:after="0"/>
              <w:rPr>
                <w:sz w:val="20"/>
                <w:szCs w:val="20"/>
                <w:color w:val="auto"/>
              </w:rPr>
            </w:pPr>
            <w:r>
              <w:rPr>
                <w:rFonts w:ascii="Arial" w:cs="Arial" w:eastAsia="Arial" w:hAnsi="Arial"/>
                <w:sz w:val="17"/>
                <w:szCs w:val="17"/>
                <w:color w:val="auto"/>
              </w:rPr>
              <w:t>1,472</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1,415</w:t>
            </w:r>
          </w:p>
        </w:tc>
      </w:tr>
      <w:tr>
        <w:trPr>
          <w:trHeight w:val="230"/>
        </w:trPr>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173</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158</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w:t>
            </w:r>
          </w:p>
        </w:tc>
      </w:tr>
      <w:tr>
        <w:trPr>
          <w:trHeight w:val="230"/>
        </w:trPr>
        <w:tc>
          <w:tcPr>
            <w:tcW w:w="47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Litigation and other charges</w:t>
            </w: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211</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6</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w:t>
            </w: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Income from operations</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571</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1,000</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837</w:t>
            </w:r>
          </w:p>
        </w:tc>
      </w:tr>
      <w:tr>
        <w:trPr>
          <w:trHeight w:val="230"/>
        </w:trPr>
        <w:tc>
          <w:tcPr>
            <w:tcW w:w="4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 / expense, net</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(2)</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2</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30"/>
        </w:trPr>
        <w:tc>
          <w:tcPr>
            <w:tcW w:w="47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Other income</w:t>
            </w: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(5)</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(6)</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Income before income taxes</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578</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1,004</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837</w:t>
            </w:r>
          </w:p>
        </w:tc>
      </w:tr>
      <w:tr>
        <w:trPr>
          <w:trHeight w:val="230"/>
        </w:trPr>
        <w:tc>
          <w:tcPr>
            <w:tcW w:w="47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Income tax expense</w:t>
            </w: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294</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340</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296</w:t>
            </w:r>
          </w:p>
        </w:tc>
      </w:tr>
      <w:tr>
        <w:trPr>
          <w:trHeight w:val="203"/>
        </w:trPr>
        <w:tc>
          <w:tcPr>
            <w:tcW w:w="4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284</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664</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541</w:t>
            </w:r>
          </w:p>
        </w:tc>
      </w:tr>
      <w:tr>
        <w:trPr>
          <w:trHeight w:val="216"/>
        </w:trPr>
        <w:tc>
          <w:tcPr>
            <w:tcW w:w="4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47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Basic earnings per share</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80" w:type="dxa"/>
            <w:vAlign w:val="bottom"/>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2.23</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4.95</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w:t>
            </w:r>
          </w:p>
        </w:tc>
      </w:tr>
      <w:tr>
        <w:trPr>
          <w:trHeight w:val="230"/>
        </w:trPr>
        <w:tc>
          <w:tcPr>
            <w:tcW w:w="4780" w:type="dxa"/>
            <w:vAlign w:val="bottom"/>
          </w:tcPr>
          <w:p>
            <w:pPr>
              <w:ind w:left="100"/>
              <w:spacing w:after="0"/>
              <w:rPr>
                <w:sz w:val="20"/>
                <w:szCs w:val="20"/>
                <w:color w:val="auto"/>
              </w:rPr>
            </w:pPr>
            <w:r>
              <w:rPr>
                <w:rFonts w:ascii="Arial" w:cs="Arial" w:eastAsia="Arial" w:hAnsi="Arial"/>
                <w:sz w:val="17"/>
                <w:szCs w:val="17"/>
                <w:color w:val="auto"/>
              </w:rPr>
              <w:t>Weighted-average shares outstanding</w:t>
            </w:r>
          </w:p>
        </w:tc>
        <w:tc>
          <w:tcPr>
            <w:tcW w:w="540" w:type="dxa"/>
            <w:vAlign w:val="bottom"/>
          </w:tcPr>
          <w:p>
            <w:pPr>
              <w:spacing w:after="0"/>
              <w:rPr>
                <w:sz w:val="19"/>
                <w:szCs w:val="19"/>
                <w:color w:val="auto"/>
              </w:rPr>
            </w:pPr>
          </w:p>
        </w:tc>
        <w:tc>
          <w:tcPr>
            <w:tcW w:w="980" w:type="dxa"/>
            <w:vAlign w:val="bottom"/>
          </w:tcPr>
          <w:p>
            <w:pPr>
              <w:jc w:val="right"/>
              <w:ind w:right="135"/>
              <w:spacing w:after="0"/>
              <w:rPr>
                <w:sz w:val="20"/>
                <w:szCs w:val="20"/>
                <w:color w:val="auto"/>
              </w:rPr>
            </w:pPr>
            <w:r>
              <w:rPr>
                <w:rFonts w:ascii="Arial" w:cs="Arial" w:eastAsia="Arial" w:hAnsi="Arial"/>
                <w:sz w:val="17"/>
                <w:szCs w:val="17"/>
                <w:b w:val="1"/>
                <w:bCs w:val="1"/>
                <w:color w:val="auto"/>
              </w:rPr>
              <w:t>127.2</w:t>
            </w:r>
          </w:p>
        </w:tc>
        <w:tc>
          <w:tcPr>
            <w:tcW w:w="340" w:type="dxa"/>
            <w:vAlign w:val="bottom"/>
          </w:tcPr>
          <w:p>
            <w:pPr>
              <w:spacing w:after="0"/>
              <w:rPr>
                <w:sz w:val="19"/>
                <w:szCs w:val="19"/>
                <w:color w:val="auto"/>
              </w:rPr>
            </w:pPr>
          </w:p>
        </w:tc>
        <w:tc>
          <w:tcPr>
            <w:tcW w:w="1000" w:type="dxa"/>
            <w:vAlign w:val="bottom"/>
          </w:tcPr>
          <w:p>
            <w:pPr>
              <w:jc w:val="right"/>
              <w:ind w:right="135"/>
              <w:spacing w:after="0"/>
              <w:rPr>
                <w:sz w:val="20"/>
                <w:szCs w:val="20"/>
                <w:color w:val="auto"/>
              </w:rPr>
            </w:pPr>
            <w:r>
              <w:rPr>
                <w:rFonts w:ascii="Arial" w:cs="Arial" w:eastAsia="Arial" w:hAnsi="Arial"/>
                <w:sz w:val="17"/>
                <w:szCs w:val="17"/>
                <w:color w:val="auto"/>
              </w:rPr>
              <w:t>134.0</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139.1</w:t>
            </w:r>
          </w:p>
        </w:tc>
      </w:tr>
      <w:tr>
        <w:trPr>
          <w:trHeight w:val="230"/>
        </w:trPr>
        <w:tc>
          <w:tcPr>
            <w:tcW w:w="47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4780" w:type="dxa"/>
            <w:vAlign w:val="bottom"/>
          </w:tcPr>
          <w:p>
            <w:pPr>
              <w:ind w:left="100"/>
              <w:spacing w:after="0"/>
              <w:rPr>
                <w:sz w:val="20"/>
                <w:szCs w:val="20"/>
                <w:color w:val="auto"/>
              </w:rPr>
            </w:pPr>
            <w:r>
              <w:rPr>
                <w:rFonts w:ascii="Arial" w:cs="Arial" w:eastAsia="Arial" w:hAnsi="Arial"/>
                <w:sz w:val="17"/>
                <w:szCs w:val="17"/>
                <w:color w:val="auto"/>
              </w:rPr>
              <w:t>Diluted earnings per share</w:t>
            </w: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ind w:right="135"/>
              <w:spacing w:after="0"/>
              <w:rPr>
                <w:sz w:val="20"/>
                <w:szCs w:val="20"/>
                <w:color w:val="auto"/>
              </w:rPr>
            </w:pPr>
            <w:r>
              <w:rPr>
                <w:rFonts w:ascii="Arial" w:cs="Arial" w:eastAsia="Arial" w:hAnsi="Arial"/>
                <w:sz w:val="17"/>
                <w:szCs w:val="17"/>
                <w:b w:val="1"/>
                <w:bCs w:val="1"/>
                <w:color w:val="auto"/>
              </w:rPr>
              <w:t>2.22</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35"/>
              <w:spacing w:after="0"/>
              <w:rPr>
                <w:sz w:val="20"/>
                <w:szCs w:val="20"/>
                <w:color w:val="auto"/>
              </w:rPr>
            </w:pPr>
            <w:r>
              <w:rPr>
                <w:rFonts w:ascii="Arial" w:cs="Arial" w:eastAsia="Arial" w:hAnsi="Arial"/>
                <w:sz w:val="17"/>
                <w:szCs w:val="17"/>
                <w:color w:val="auto"/>
              </w:rPr>
              <w:t>4.91</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3.84</w:t>
            </w:r>
          </w:p>
        </w:tc>
      </w:tr>
      <w:tr>
        <w:trPr>
          <w:trHeight w:val="230"/>
        </w:trPr>
        <w:tc>
          <w:tcPr>
            <w:tcW w:w="47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7"/>
                <w:szCs w:val="17"/>
                <w:color w:val="auto"/>
              </w:rPr>
              <w:t>Weighted-average shares outstanding, assuming dilution</w:t>
            </w: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127.9</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135.1</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140.8</w:t>
            </w: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00" w:lineRule="exact"/>
        <w:rPr>
          <w:sz w:val="20"/>
          <w:szCs w:val="20"/>
          <w:color w:val="auto"/>
        </w:rPr>
      </w:pPr>
    </w:p>
    <w:p>
      <w:pPr>
        <w:spacing w:after="0" w:line="256"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49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2017</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rPr>
              <w:t>2016</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2015</w:t>
            </w:r>
          </w:p>
        </w:tc>
        <w:tc>
          <w:tcPr>
            <w:tcW w:w="0" w:type="dxa"/>
            <w:vAlign w:val="bottom"/>
          </w:tcPr>
          <w:p>
            <w:pPr>
              <w:spacing w:after="0"/>
              <w:rPr>
                <w:sz w:val="1"/>
                <w:szCs w:val="1"/>
                <w:color w:val="auto"/>
              </w:rPr>
            </w:pPr>
          </w:p>
        </w:tc>
      </w:tr>
      <w:tr>
        <w:trPr>
          <w:trHeight w:val="210"/>
        </w:trPr>
        <w:tc>
          <w:tcPr>
            <w:tcW w:w="4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in millions)</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284</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664</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541</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7"/>
                <w:szCs w:val="17"/>
                <w:color w:val="auto"/>
              </w:rPr>
              <w:t>Other comprehensive income, net of income tax</w:t>
            </w: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7"/>
                <w:szCs w:val="17"/>
                <w:i w:val="1"/>
                <w:iCs w:val="1"/>
                <w:color w:val="auto"/>
              </w:rPr>
              <w:t>Foreign currency translation adjustment:</w:t>
            </w: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590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Translation adjustment arising during the period, net of income tax</w:t>
            </w:r>
          </w:p>
        </w:tc>
        <w:tc>
          <w:tcPr>
            <w:tcW w:w="76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114</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9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expense (benefit) of $18, $1 and $(2) million, respectively</w:t>
            </w:r>
          </w:p>
        </w:tc>
        <w:tc>
          <w:tcPr>
            <w:tcW w:w="9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(8)</w:t>
            </w: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30"/>
        </w:trPr>
        <w:tc>
          <w:tcPr>
            <w:tcW w:w="4940" w:type="dxa"/>
            <w:vAlign w:val="bottom"/>
          </w:tcPr>
          <w:p>
            <w:pPr>
              <w:ind w:left="120"/>
              <w:spacing w:after="0"/>
              <w:rPr>
                <w:sz w:val="20"/>
                <w:szCs w:val="20"/>
                <w:color w:val="auto"/>
              </w:rPr>
            </w:pPr>
            <w:r>
              <w:rPr>
                <w:rFonts w:ascii="Arial" w:cs="Arial" w:eastAsia="Arial" w:hAnsi="Arial"/>
                <w:sz w:val="17"/>
                <w:szCs w:val="17"/>
                <w:color w:val="auto"/>
              </w:rPr>
              <w:t>Reclassification due to the adoption of ASU 2018-02</w:t>
            </w:r>
          </w:p>
        </w:tc>
        <w:tc>
          <w:tcPr>
            <w:tcW w:w="960" w:type="dxa"/>
            <w:vAlign w:val="bottom"/>
          </w:tcPr>
          <w:p>
            <w:pPr>
              <w:spacing w:after="0"/>
              <w:rPr>
                <w:sz w:val="19"/>
                <w:szCs w:val="19"/>
                <w:color w:val="auto"/>
              </w:rPr>
            </w:pPr>
          </w:p>
        </w:tc>
        <w:tc>
          <w:tcPr>
            <w:tcW w:w="760" w:type="dxa"/>
            <w:vAlign w:val="bottom"/>
          </w:tcPr>
          <w:p>
            <w:pPr>
              <w:jc w:val="right"/>
              <w:ind w:right="35"/>
              <w:spacing w:after="0"/>
              <w:rPr>
                <w:sz w:val="20"/>
                <w:szCs w:val="20"/>
                <w:color w:val="auto"/>
              </w:rPr>
            </w:pPr>
            <w:r>
              <w:rPr>
                <w:rFonts w:ascii="Arial" w:cs="Arial" w:eastAsia="Arial" w:hAnsi="Arial"/>
                <w:sz w:val="17"/>
                <w:szCs w:val="17"/>
                <w:b w:val="1"/>
                <w:bCs w:val="1"/>
                <w:color w:val="auto"/>
              </w:rPr>
              <w:t>4</w:t>
            </w:r>
          </w:p>
        </w:tc>
        <w:tc>
          <w:tcPr>
            <w:tcW w:w="260" w:type="dxa"/>
            <w:vAlign w:val="bottom"/>
          </w:tcPr>
          <w:p>
            <w:pPr>
              <w:spacing w:after="0"/>
              <w:rPr>
                <w:sz w:val="19"/>
                <w:szCs w:val="19"/>
                <w:color w:val="auto"/>
              </w:rPr>
            </w:pPr>
          </w:p>
        </w:tc>
        <w:tc>
          <w:tcPr>
            <w:tcW w:w="96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7"/>
                <w:szCs w:val="17"/>
                <w:i w:val="1"/>
                <w:iCs w:val="1"/>
                <w:color w:val="auto"/>
              </w:rPr>
              <w:t>Cash flow hedges:</w:t>
            </w: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Change in fair value of derivatives, net of income tax</w:t>
            </w:r>
          </w:p>
        </w:tc>
        <w:tc>
          <w:tcPr>
            <w:tcW w:w="9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Available for sale securities:</w:t>
            </w:r>
          </w:p>
        </w:tc>
        <w:tc>
          <w:tcPr>
            <w:tcW w:w="9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120"/>
              <w:spacing w:after="0"/>
              <w:rPr>
                <w:sz w:val="20"/>
                <w:szCs w:val="20"/>
                <w:color w:val="auto"/>
              </w:rPr>
            </w:pPr>
            <w:r>
              <w:rPr>
                <w:rFonts w:ascii="Arial" w:cs="Arial" w:eastAsia="Arial" w:hAnsi="Arial"/>
                <w:sz w:val="17"/>
                <w:szCs w:val="17"/>
                <w:color w:val="auto"/>
              </w:rPr>
              <w:t>Unrealized gain on available-for-sale securities</w:t>
            </w:r>
          </w:p>
        </w:tc>
        <w:tc>
          <w:tcPr>
            <w:tcW w:w="960" w:type="dxa"/>
            <w:vAlign w:val="bottom"/>
          </w:tcPr>
          <w:p>
            <w:pPr>
              <w:spacing w:after="0"/>
              <w:rPr>
                <w:sz w:val="19"/>
                <w:szCs w:val="19"/>
                <w:color w:val="auto"/>
              </w:rPr>
            </w:pPr>
          </w:p>
        </w:tc>
        <w:tc>
          <w:tcPr>
            <w:tcW w:w="760" w:type="dxa"/>
            <w:vAlign w:val="bottom"/>
          </w:tcPr>
          <w:p>
            <w:pPr>
              <w:jc w:val="right"/>
              <w:ind w:right="35"/>
              <w:spacing w:after="0"/>
              <w:rPr>
                <w:sz w:val="20"/>
                <w:szCs w:val="20"/>
                <w:color w:val="auto"/>
              </w:rPr>
            </w:pPr>
            <w:r>
              <w:rPr>
                <w:rFonts w:ascii="Arial" w:cs="Arial" w:eastAsia="Arial" w:hAnsi="Arial"/>
                <w:sz w:val="17"/>
                <w:szCs w:val="17"/>
                <w:b w:val="1"/>
                <w:bCs w:val="1"/>
                <w:color w:val="auto"/>
              </w:rPr>
              <w:t>1</w:t>
            </w:r>
          </w:p>
        </w:tc>
        <w:tc>
          <w:tcPr>
            <w:tcW w:w="260" w:type="dxa"/>
            <w:vAlign w:val="bottom"/>
          </w:tcPr>
          <w:p>
            <w:pPr>
              <w:spacing w:after="0"/>
              <w:rPr>
                <w:sz w:val="19"/>
                <w:szCs w:val="19"/>
                <w:color w:val="auto"/>
              </w:rPr>
            </w:pPr>
          </w:p>
        </w:tc>
        <w:tc>
          <w:tcPr>
            <w:tcW w:w="96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7"/>
                <w:szCs w:val="17"/>
                <w:i w:val="1"/>
                <w:iCs w:val="1"/>
                <w:color w:val="auto"/>
              </w:rPr>
              <w:t>Pension and postretirement adjustments:</w:t>
            </w: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590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Net actuarial gain (loss) and foreign currency fluctuations arising during</w:t>
            </w:r>
          </w:p>
        </w:tc>
        <w:tc>
          <w:tcPr>
            <w:tcW w:w="7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5900" w:type="dxa"/>
            <w:vAlign w:val="bottom"/>
            <w:gridSpan w:val="2"/>
            <w:shd w:val="clear" w:color="auto" w:fill="CCEEFF"/>
          </w:tcPr>
          <w:p>
            <w:pPr>
              <w:ind w:left="240"/>
              <w:spacing w:after="0" w:line="189" w:lineRule="exact"/>
              <w:rPr>
                <w:sz w:val="20"/>
                <w:szCs w:val="20"/>
                <w:color w:val="auto"/>
              </w:rPr>
            </w:pPr>
            <w:r>
              <w:rPr>
                <w:rFonts w:ascii="Arial" w:cs="Arial" w:eastAsia="Arial" w:hAnsi="Arial"/>
                <w:sz w:val="17"/>
                <w:szCs w:val="17"/>
                <w:color w:val="auto"/>
              </w:rPr>
              <w:t>the year, net of income tax expense (benefit) of $2, $4 and $(10)</w:t>
            </w:r>
          </w:p>
        </w:tc>
        <w:tc>
          <w:tcPr>
            <w:tcW w:w="76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4</w:t>
            </w: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9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million, respectively</w:t>
            </w:r>
          </w:p>
        </w:tc>
        <w:tc>
          <w:tcPr>
            <w:tcW w:w="9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4</w:t>
            </w: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64"/>
        </w:trPr>
        <w:tc>
          <w:tcPr>
            <w:tcW w:w="5900" w:type="dxa"/>
            <w:vAlign w:val="bottom"/>
            <w:gridSpan w:val="2"/>
          </w:tcPr>
          <w:p>
            <w:pPr>
              <w:ind w:left="120"/>
              <w:spacing w:after="0"/>
              <w:rPr>
                <w:sz w:val="20"/>
                <w:szCs w:val="20"/>
                <w:color w:val="auto"/>
              </w:rPr>
            </w:pPr>
            <w:r>
              <w:rPr>
                <w:rFonts w:ascii="Arial" w:cs="Arial" w:eastAsia="Arial" w:hAnsi="Arial"/>
                <w:sz w:val="17"/>
                <w:szCs w:val="17"/>
                <w:color w:val="auto"/>
              </w:rPr>
              <w:t>Amortization of net actuarial gain/loss and prior service cost included</w:t>
            </w: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4940" w:type="dxa"/>
            <w:vAlign w:val="bottom"/>
          </w:tcPr>
          <w:p>
            <w:pPr>
              <w:ind w:left="240"/>
              <w:spacing w:after="0" w:line="189" w:lineRule="exact"/>
              <w:rPr>
                <w:sz w:val="20"/>
                <w:szCs w:val="20"/>
                <w:color w:val="auto"/>
              </w:rPr>
            </w:pPr>
            <w:r>
              <w:rPr>
                <w:rFonts w:ascii="Arial" w:cs="Arial" w:eastAsia="Arial" w:hAnsi="Arial"/>
                <w:sz w:val="17"/>
                <w:szCs w:val="17"/>
                <w:color w:val="auto"/>
              </w:rPr>
              <w:t>in net periodic benefit costs, net of income tax expense of $4,</w:t>
            </w:r>
          </w:p>
        </w:tc>
        <w:tc>
          <w:tcPr>
            <w:tcW w:w="960" w:type="dxa"/>
            <w:vAlign w:val="bottom"/>
          </w:tcPr>
          <w:p>
            <w:pPr>
              <w:jc w:val="right"/>
              <w:ind w:right="655"/>
              <w:spacing w:after="0" w:line="189" w:lineRule="exact"/>
              <w:rPr>
                <w:sz w:val="20"/>
                <w:szCs w:val="20"/>
                <w:color w:val="auto"/>
              </w:rPr>
            </w:pPr>
            <w:r>
              <w:rPr>
                <w:rFonts w:ascii="Arial" w:cs="Arial" w:eastAsia="Arial" w:hAnsi="Arial"/>
                <w:sz w:val="17"/>
                <w:szCs w:val="17"/>
                <w:color w:val="auto"/>
              </w:rPr>
              <w:t>$4</w:t>
            </w:r>
          </w:p>
        </w:tc>
        <w:tc>
          <w:tcPr>
            <w:tcW w:w="76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7</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940" w:type="dxa"/>
            <w:vAlign w:val="bottom"/>
          </w:tcPr>
          <w:p>
            <w:pPr>
              <w:ind w:left="240"/>
              <w:spacing w:after="0"/>
              <w:rPr>
                <w:sz w:val="20"/>
                <w:szCs w:val="20"/>
                <w:color w:val="auto"/>
              </w:rPr>
            </w:pPr>
            <w:r>
              <w:rPr>
                <w:rFonts w:ascii="Arial" w:cs="Arial" w:eastAsia="Arial" w:hAnsi="Arial"/>
                <w:sz w:val="17"/>
                <w:szCs w:val="17"/>
                <w:color w:val="auto"/>
              </w:rPr>
              <w:t>and $5 million, respectively</w:t>
            </w:r>
          </w:p>
        </w:tc>
        <w:tc>
          <w:tcPr>
            <w:tcW w:w="9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135"/>
              <w:spacing w:after="0"/>
              <w:rPr>
                <w:sz w:val="20"/>
                <w:szCs w:val="20"/>
                <w:color w:val="auto"/>
              </w:rPr>
            </w:pPr>
            <w:r>
              <w:rPr>
                <w:rFonts w:ascii="Arial" w:cs="Arial" w:eastAsia="Arial" w:hAnsi="Arial"/>
                <w:sz w:val="17"/>
                <w:szCs w:val="17"/>
                <w:color w:val="auto"/>
              </w:rPr>
              <w:t>8</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Reclassification due to the adoption of ASU 2018-02</w:t>
            </w:r>
          </w:p>
        </w:tc>
        <w:tc>
          <w:tcPr>
            <w:tcW w:w="9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(45)</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49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Comprehensive income</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368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667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494</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56"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5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2017</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2016</w:t>
            </w:r>
          </w:p>
        </w:tc>
      </w:tr>
      <w:tr>
        <w:trPr>
          <w:trHeight w:val="210"/>
        </w:trPr>
        <w:tc>
          <w:tcPr>
            <w:tcW w:w="5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60" w:type="dxa"/>
            <w:vAlign w:val="bottom"/>
            <w:gridSpan w:val="3"/>
          </w:tcPr>
          <w:p>
            <w:pPr>
              <w:jc w:val="right"/>
              <w:ind w:right="575"/>
              <w:spacing w:after="0"/>
              <w:rPr>
                <w:sz w:val="20"/>
                <w:szCs w:val="20"/>
                <w:color w:val="auto"/>
              </w:rPr>
            </w:pPr>
            <w:r>
              <w:rPr>
                <w:rFonts w:ascii="Arial" w:cs="Arial" w:eastAsia="Arial" w:hAnsi="Arial"/>
                <w:sz w:val="17"/>
                <w:szCs w:val="17"/>
                <w:color w:val="auto"/>
              </w:rPr>
              <w:t>($ in millions)</w:t>
            </w:r>
          </w:p>
        </w:tc>
      </w:tr>
      <w:tr>
        <w:trPr>
          <w:trHeight w:val="230"/>
        </w:trPr>
        <w:tc>
          <w:tcPr>
            <w:tcW w:w="5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6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5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Current assets:</w:t>
            </w:r>
          </w:p>
        </w:tc>
        <w:tc>
          <w:tcPr>
            <w:tcW w:w="16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5120" w:type="dxa"/>
            <w:vAlign w:val="bottom"/>
          </w:tcPr>
          <w:p>
            <w:pPr>
              <w:ind w:left="120"/>
              <w:spacing w:after="0"/>
              <w:rPr>
                <w:sz w:val="20"/>
                <w:szCs w:val="20"/>
                <w:color w:val="auto"/>
              </w:rPr>
            </w:pPr>
            <w:r>
              <w:rPr>
                <w:rFonts w:ascii="Arial" w:cs="Arial" w:eastAsia="Arial" w:hAnsi="Arial"/>
                <w:sz w:val="17"/>
                <w:szCs w:val="17"/>
                <w:color w:val="auto"/>
              </w:rPr>
              <w:t>Cash and cash equivalents</w:t>
            </w:r>
          </w:p>
        </w:tc>
        <w:tc>
          <w:tcPr>
            <w:tcW w:w="16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ind w:right="135"/>
              <w:spacing w:after="0"/>
              <w:rPr>
                <w:sz w:val="20"/>
                <w:szCs w:val="20"/>
                <w:color w:val="auto"/>
              </w:rPr>
            </w:pPr>
            <w:r>
              <w:rPr>
                <w:rFonts w:ascii="Arial" w:cs="Arial" w:eastAsia="Arial" w:hAnsi="Arial"/>
                <w:sz w:val="17"/>
                <w:szCs w:val="17"/>
                <w:b w:val="1"/>
                <w:bCs w:val="1"/>
                <w:color w:val="auto"/>
              </w:rPr>
              <w:t>849</w:t>
            </w: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1,046</w:t>
            </w:r>
          </w:p>
        </w:tc>
      </w:tr>
      <w:tr>
        <w:trPr>
          <w:trHeight w:val="230"/>
        </w:trPr>
        <w:tc>
          <w:tcPr>
            <w:tcW w:w="51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Merchandise inventories</w:t>
            </w:r>
          </w:p>
        </w:tc>
        <w:tc>
          <w:tcPr>
            <w:tcW w:w="16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1,278</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1,307</w:t>
            </w:r>
          </w:p>
        </w:tc>
      </w:tr>
      <w:tr>
        <w:trPr>
          <w:trHeight w:val="230"/>
        </w:trPr>
        <w:tc>
          <w:tcPr>
            <w:tcW w:w="512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Other current assets</w:t>
            </w:r>
          </w:p>
        </w:tc>
        <w:tc>
          <w:tcPr>
            <w:tcW w:w="16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424</w:t>
            </w: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280</w:t>
            </w:r>
          </w:p>
        </w:tc>
      </w:tr>
      <w:tr>
        <w:trPr>
          <w:trHeight w:val="210"/>
        </w:trPr>
        <w:tc>
          <w:tcPr>
            <w:tcW w:w="5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2,551</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2,633</w:t>
            </w:r>
          </w:p>
        </w:tc>
      </w:tr>
      <w:tr>
        <w:trPr>
          <w:trHeight w:val="230"/>
        </w:trPr>
        <w:tc>
          <w:tcPr>
            <w:tcW w:w="5120" w:type="dxa"/>
            <w:vAlign w:val="bottom"/>
          </w:tcPr>
          <w:p>
            <w:pPr>
              <w:spacing w:after="0"/>
              <w:rPr>
                <w:sz w:val="20"/>
                <w:szCs w:val="20"/>
                <w:color w:val="auto"/>
              </w:rPr>
            </w:pPr>
            <w:r>
              <w:rPr>
                <w:rFonts w:ascii="Arial" w:cs="Arial" w:eastAsia="Arial" w:hAnsi="Arial"/>
                <w:sz w:val="17"/>
                <w:szCs w:val="17"/>
                <w:color w:val="auto"/>
              </w:rPr>
              <w:t>Property and equipment, net</w:t>
            </w:r>
          </w:p>
        </w:tc>
        <w:tc>
          <w:tcPr>
            <w:tcW w:w="1640" w:type="dxa"/>
            <w:vAlign w:val="bottom"/>
          </w:tcPr>
          <w:p>
            <w:pPr>
              <w:spacing w:after="0"/>
              <w:rPr>
                <w:sz w:val="19"/>
                <w:szCs w:val="19"/>
                <w:color w:val="auto"/>
              </w:rPr>
            </w:pPr>
          </w:p>
        </w:tc>
        <w:tc>
          <w:tcPr>
            <w:tcW w:w="940" w:type="dxa"/>
            <w:vAlign w:val="bottom"/>
          </w:tcPr>
          <w:p>
            <w:pPr>
              <w:jc w:val="right"/>
              <w:ind w:right="135"/>
              <w:spacing w:after="0"/>
              <w:rPr>
                <w:sz w:val="20"/>
                <w:szCs w:val="20"/>
                <w:color w:val="auto"/>
              </w:rPr>
            </w:pPr>
            <w:r>
              <w:rPr>
                <w:rFonts w:ascii="Arial" w:cs="Arial" w:eastAsia="Arial" w:hAnsi="Arial"/>
                <w:sz w:val="17"/>
                <w:szCs w:val="17"/>
                <w:b w:val="1"/>
                <w:bCs w:val="1"/>
                <w:color w:val="auto"/>
              </w:rPr>
              <w:t>866</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765</w:t>
            </w:r>
          </w:p>
        </w:tc>
      </w:tr>
      <w:tr>
        <w:trPr>
          <w:trHeight w:val="230"/>
        </w:trPr>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Deferred taxes</w:t>
            </w:r>
          </w:p>
        </w:tc>
        <w:tc>
          <w:tcPr>
            <w:tcW w:w="16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48</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w:t>
            </w:r>
          </w:p>
        </w:tc>
      </w:tr>
      <w:tr>
        <w:trPr>
          <w:trHeight w:val="230"/>
        </w:trPr>
        <w:tc>
          <w:tcPr>
            <w:tcW w:w="5120" w:type="dxa"/>
            <w:vAlign w:val="bottom"/>
          </w:tcPr>
          <w:p>
            <w:pPr>
              <w:spacing w:after="0"/>
              <w:rPr>
                <w:sz w:val="20"/>
                <w:szCs w:val="20"/>
                <w:color w:val="auto"/>
              </w:rPr>
            </w:pPr>
            <w:r>
              <w:rPr>
                <w:rFonts w:ascii="Arial" w:cs="Arial" w:eastAsia="Arial" w:hAnsi="Arial"/>
                <w:sz w:val="17"/>
                <w:szCs w:val="17"/>
                <w:color w:val="auto"/>
              </w:rPr>
              <w:t>Goodwill</w:t>
            </w:r>
          </w:p>
        </w:tc>
        <w:tc>
          <w:tcPr>
            <w:tcW w:w="1640" w:type="dxa"/>
            <w:vAlign w:val="bottom"/>
          </w:tcPr>
          <w:p>
            <w:pPr>
              <w:spacing w:after="0"/>
              <w:rPr>
                <w:sz w:val="19"/>
                <w:szCs w:val="19"/>
                <w:color w:val="auto"/>
              </w:rPr>
            </w:pPr>
          </w:p>
        </w:tc>
        <w:tc>
          <w:tcPr>
            <w:tcW w:w="940" w:type="dxa"/>
            <w:vAlign w:val="bottom"/>
          </w:tcPr>
          <w:p>
            <w:pPr>
              <w:jc w:val="right"/>
              <w:ind w:right="135"/>
              <w:spacing w:after="0"/>
              <w:rPr>
                <w:sz w:val="20"/>
                <w:szCs w:val="20"/>
                <w:color w:val="auto"/>
              </w:rPr>
            </w:pPr>
            <w:r>
              <w:rPr>
                <w:rFonts w:ascii="Arial" w:cs="Arial" w:eastAsia="Arial" w:hAnsi="Arial"/>
                <w:sz w:val="17"/>
                <w:szCs w:val="17"/>
                <w:b w:val="1"/>
                <w:bCs w:val="1"/>
                <w:color w:val="auto"/>
              </w:rPr>
              <w:t>160</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155</w:t>
            </w:r>
          </w:p>
        </w:tc>
      </w:tr>
      <w:tr>
        <w:trPr>
          <w:trHeight w:val="230"/>
        </w:trPr>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Other intangible assets, net</w:t>
            </w:r>
          </w:p>
        </w:tc>
        <w:tc>
          <w:tcPr>
            <w:tcW w:w="16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46</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r>
      <w:tr>
        <w:trPr>
          <w:trHeight w:val="230"/>
        </w:trPr>
        <w:tc>
          <w:tcPr>
            <w:tcW w:w="5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Other assets</w:t>
            </w:r>
          </w:p>
        </w:tc>
        <w:tc>
          <w:tcPr>
            <w:tcW w:w="16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290</w:t>
            </w: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w:t>
            </w:r>
          </w:p>
        </w:tc>
      </w:tr>
      <w:tr>
        <w:trPr>
          <w:trHeight w:val="203"/>
        </w:trPr>
        <w:tc>
          <w:tcPr>
            <w:tcW w:w="512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3,961</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3,840</w:t>
            </w:r>
          </w:p>
        </w:tc>
      </w:tr>
      <w:tr>
        <w:trPr>
          <w:trHeight w:val="216"/>
        </w:trPr>
        <w:tc>
          <w:tcPr>
            <w:tcW w:w="5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5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AND SHAREHOLDERS’ EQUITY</w:t>
            </w:r>
          </w:p>
        </w:tc>
        <w:tc>
          <w:tcPr>
            <w:tcW w:w="16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5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16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5120" w:type="dxa"/>
            <w:vAlign w:val="bottom"/>
          </w:tcPr>
          <w:p>
            <w:pPr>
              <w:ind w:left="120"/>
              <w:spacing w:after="0"/>
              <w:rPr>
                <w:sz w:val="20"/>
                <w:szCs w:val="20"/>
                <w:color w:val="auto"/>
              </w:rPr>
            </w:pPr>
            <w:r>
              <w:rPr>
                <w:rFonts w:ascii="Arial" w:cs="Arial" w:eastAsia="Arial" w:hAnsi="Arial"/>
                <w:sz w:val="17"/>
                <w:szCs w:val="17"/>
                <w:color w:val="auto"/>
              </w:rPr>
              <w:t>Accounts payable</w:t>
            </w:r>
          </w:p>
        </w:tc>
        <w:tc>
          <w:tcPr>
            <w:tcW w:w="16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ind w:right="135"/>
              <w:spacing w:after="0"/>
              <w:rPr>
                <w:sz w:val="20"/>
                <w:szCs w:val="20"/>
                <w:color w:val="auto"/>
              </w:rPr>
            </w:pPr>
            <w:r>
              <w:rPr>
                <w:rFonts w:ascii="Arial" w:cs="Arial" w:eastAsia="Arial" w:hAnsi="Arial"/>
                <w:sz w:val="17"/>
                <w:szCs w:val="17"/>
                <w:b w:val="1"/>
                <w:bCs w:val="1"/>
                <w:color w:val="auto"/>
              </w:rPr>
              <w:t>258</w:t>
            </w: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249</w:t>
            </w:r>
          </w:p>
        </w:tc>
      </w:tr>
      <w:tr>
        <w:trPr>
          <w:trHeight w:val="230"/>
        </w:trPr>
        <w:tc>
          <w:tcPr>
            <w:tcW w:w="51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Accrued and other liabilities</w:t>
            </w:r>
          </w:p>
        </w:tc>
        <w:tc>
          <w:tcPr>
            <w:tcW w:w="16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358</w:t>
            </w: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363</w:t>
            </w:r>
          </w:p>
        </w:tc>
      </w:tr>
      <w:tr>
        <w:trPr>
          <w:trHeight w:val="210"/>
        </w:trPr>
        <w:tc>
          <w:tcPr>
            <w:tcW w:w="5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40" w:type="dxa"/>
            <w:vAlign w:val="bottom"/>
          </w:tcPr>
          <w:p>
            <w:pPr>
              <w:jc w:val="right"/>
              <w:ind w:right="135"/>
              <w:spacing w:after="0"/>
              <w:rPr>
                <w:sz w:val="20"/>
                <w:szCs w:val="20"/>
                <w:color w:val="auto"/>
              </w:rPr>
            </w:pPr>
            <w:r>
              <w:rPr>
                <w:rFonts w:ascii="Arial" w:cs="Arial" w:eastAsia="Arial" w:hAnsi="Arial"/>
                <w:sz w:val="17"/>
                <w:szCs w:val="17"/>
                <w:b w:val="1"/>
                <w:bCs w:val="1"/>
                <w:color w:val="auto"/>
              </w:rPr>
              <w:t>616</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612</w:t>
            </w:r>
          </w:p>
        </w:tc>
      </w:tr>
      <w:tr>
        <w:trPr>
          <w:trHeight w:val="230"/>
        </w:trPr>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Long-term debt</w:t>
            </w:r>
          </w:p>
        </w:tc>
        <w:tc>
          <w:tcPr>
            <w:tcW w:w="16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125</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w:t>
            </w:r>
          </w:p>
        </w:tc>
      </w:tr>
      <w:tr>
        <w:trPr>
          <w:trHeight w:val="230"/>
        </w:trPr>
        <w:tc>
          <w:tcPr>
            <w:tcW w:w="5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Other liabilities</w:t>
            </w:r>
          </w:p>
        </w:tc>
        <w:tc>
          <w:tcPr>
            <w:tcW w:w="16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701</w:t>
            </w: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391</w:t>
            </w: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16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1,442</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1,130</w:t>
            </w:r>
          </w:p>
        </w:tc>
      </w:tr>
      <w:tr>
        <w:trPr>
          <w:trHeight w:val="230"/>
        </w:trPr>
        <w:tc>
          <w:tcPr>
            <w:tcW w:w="5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Shareholders’ equity</w:t>
            </w:r>
          </w:p>
        </w:tc>
        <w:tc>
          <w:tcPr>
            <w:tcW w:w="16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2,519</w:t>
            </w: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2,710</w:t>
            </w:r>
          </w:p>
        </w:tc>
      </w:tr>
      <w:tr>
        <w:trPr>
          <w:trHeight w:val="203"/>
        </w:trPr>
        <w:tc>
          <w:tcPr>
            <w:tcW w:w="512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3,961</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3,840</w:t>
            </w: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14" w:lineRule="exact"/>
        <w:rPr>
          <w:sz w:val="20"/>
          <w:szCs w:val="20"/>
          <w:color w:val="auto"/>
        </w:rPr>
      </w:pPr>
    </w:p>
    <w:tbl>
      <w:tblPr>
        <w:tblLayout w:type="fixed"/>
        <w:tblInd w:w="100" w:type="dxa"/>
        <w:tblCellMar>
          <w:top w:w="0" w:type="dxa"/>
          <w:left w:w="0" w:type="dxa"/>
          <w:bottom w:w="0" w:type="dxa"/>
          <w:right w:w="0" w:type="dxa"/>
        </w:tblCellMar>
      </w:tblPr>
      <w:tr>
        <w:trPr>
          <w:trHeight w:val="149"/>
        </w:trPr>
        <w:tc>
          <w:tcPr>
            <w:tcW w:w="2760" w:type="dxa"/>
            <w:vAlign w:val="bottom"/>
          </w:tcPr>
          <w:p>
            <w:pPr>
              <w:spacing w:after="0"/>
              <w:rPr>
                <w:sz w:val="13"/>
                <w:szCs w:val="13"/>
                <w:color w:val="auto"/>
              </w:rPr>
            </w:pPr>
          </w:p>
        </w:tc>
        <w:tc>
          <w:tcPr>
            <w:tcW w:w="1700" w:type="dxa"/>
            <w:vAlign w:val="bottom"/>
            <w:gridSpan w:val="4"/>
          </w:tcPr>
          <w:p>
            <w:pPr>
              <w:jc w:val="right"/>
              <w:ind w:right="360"/>
              <w:spacing w:after="0"/>
              <w:rPr>
                <w:sz w:val="20"/>
                <w:szCs w:val="20"/>
                <w:color w:val="auto"/>
              </w:rPr>
            </w:pPr>
            <w:r>
              <w:rPr>
                <w:rFonts w:ascii="Arial" w:cs="Arial" w:eastAsia="Arial" w:hAnsi="Arial"/>
                <w:sz w:val="13"/>
                <w:szCs w:val="13"/>
                <w:b w:val="1"/>
                <w:bCs w:val="1"/>
                <w:color w:val="auto"/>
              </w:rPr>
              <w:t>Additional Paid-In</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40" w:type="dxa"/>
            <w:vAlign w:val="bottom"/>
            <w:gridSpan w:val="2"/>
          </w:tcPr>
          <w:p>
            <w:pPr>
              <w:ind w:left="120"/>
              <w:spacing w:after="0"/>
              <w:rPr>
                <w:sz w:val="20"/>
                <w:szCs w:val="20"/>
                <w:color w:val="auto"/>
              </w:rPr>
            </w:pPr>
            <w:r>
              <w:rPr>
                <w:rFonts w:ascii="Arial" w:cs="Arial" w:eastAsia="Arial" w:hAnsi="Arial"/>
                <w:sz w:val="13"/>
                <w:szCs w:val="13"/>
                <w:b w:val="1"/>
                <w:bCs w:val="1"/>
                <w:color w:val="auto"/>
              </w:rPr>
              <w:t>Accumulated</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49"/>
        </w:trPr>
        <w:tc>
          <w:tcPr>
            <w:tcW w:w="27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Capital</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&amp;</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center"/>
              <w:ind w:right="229"/>
              <w:spacing w:after="0"/>
              <w:rPr>
                <w:sz w:val="20"/>
                <w:szCs w:val="20"/>
                <w:color w:val="auto"/>
              </w:rPr>
            </w:pPr>
            <w:r>
              <w:rPr>
                <w:rFonts w:ascii="Arial" w:cs="Arial" w:eastAsia="Arial" w:hAnsi="Arial"/>
                <w:sz w:val="13"/>
                <w:szCs w:val="13"/>
                <w:b w:val="1"/>
                <w:bCs w:val="1"/>
                <w:color w:val="auto"/>
                <w:w w:val="97"/>
              </w:rPr>
              <w:t>Other</w:t>
            </w:r>
          </w:p>
        </w:tc>
        <w:tc>
          <w:tcPr>
            <w:tcW w:w="220" w:type="dxa"/>
            <w:vAlign w:val="bottom"/>
          </w:tcPr>
          <w:p>
            <w:pPr>
              <w:spacing w:after="0"/>
              <w:rPr>
                <w:sz w:val="12"/>
                <w:szCs w:val="12"/>
                <w:color w:val="auto"/>
              </w:rPr>
            </w:pPr>
          </w:p>
        </w:tc>
        <w:tc>
          <w:tcPr>
            <w:tcW w:w="680" w:type="dxa"/>
            <w:vAlign w:val="bottom"/>
          </w:tcPr>
          <w:p>
            <w:pPr>
              <w:jc w:val="center"/>
              <w:ind w:right="108"/>
              <w:spacing w:after="0"/>
              <w:rPr>
                <w:sz w:val="20"/>
                <w:szCs w:val="20"/>
                <w:color w:val="auto"/>
              </w:rPr>
            </w:pPr>
            <w:r>
              <w:rPr>
                <w:rFonts w:ascii="Arial" w:cs="Arial" w:eastAsia="Arial" w:hAnsi="Arial"/>
                <w:sz w:val="13"/>
                <w:szCs w:val="13"/>
                <w:b w:val="1"/>
                <w:bCs w:val="1"/>
                <w:color w:val="auto"/>
                <w:w w:val="96"/>
              </w:rPr>
              <w:t>Total</w:t>
            </w:r>
          </w:p>
        </w:tc>
      </w:tr>
      <w:tr>
        <w:trPr>
          <w:trHeight w:val="157"/>
        </w:trPr>
        <w:tc>
          <w:tcPr>
            <w:tcW w:w="2760" w:type="dxa"/>
            <w:vAlign w:val="bottom"/>
          </w:tcPr>
          <w:p>
            <w:pPr>
              <w:spacing w:after="0"/>
              <w:rPr>
                <w:sz w:val="13"/>
                <w:szCs w:val="13"/>
                <w:color w:val="auto"/>
              </w:rPr>
            </w:pPr>
          </w:p>
        </w:tc>
        <w:tc>
          <w:tcPr>
            <w:tcW w:w="1700" w:type="dxa"/>
            <w:vAlign w:val="bottom"/>
            <w:gridSpan w:val="4"/>
          </w:tcPr>
          <w:p>
            <w:pPr>
              <w:jc w:val="right"/>
              <w:ind w:right="440"/>
              <w:spacing w:after="0"/>
              <w:rPr>
                <w:sz w:val="20"/>
                <w:szCs w:val="20"/>
                <w:color w:val="auto"/>
              </w:rPr>
            </w:pPr>
            <w:r>
              <w:rPr>
                <w:rFonts w:ascii="Arial" w:cs="Arial" w:eastAsia="Arial" w:hAnsi="Arial"/>
                <w:sz w:val="13"/>
                <w:szCs w:val="13"/>
                <w:b w:val="1"/>
                <w:bCs w:val="1"/>
                <w:color w:val="auto"/>
              </w:rPr>
              <w:t>Common Stock</w:t>
            </w:r>
          </w:p>
        </w:tc>
        <w:tc>
          <w:tcPr>
            <w:tcW w:w="1580" w:type="dxa"/>
            <w:vAlign w:val="bottom"/>
            <w:gridSpan w:val="4"/>
          </w:tcPr>
          <w:p>
            <w:pPr>
              <w:jc w:val="right"/>
              <w:ind w:right="360"/>
              <w:spacing w:after="0"/>
              <w:rPr>
                <w:sz w:val="20"/>
                <w:szCs w:val="20"/>
                <w:color w:val="auto"/>
              </w:rPr>
            </w:pPr>
            <w:r>
              <w:rPr>
                <w:rFonts w:ascii="Arial" w:cs="Arial" w:eastAsia="Arial" w:hAnsi="Arial"/>
                <w:sz w:val="13"/>
                <w:szCs w:val="13"/>
                <w:b w:val="1"/>
                <w:bCs w:val="1"/>
                <w:color w:val="auto"/>
              </w:rPr>
              <w:t>Treasury Stock</w:t>
            </w:r>
          </w:p>
        </w:tc>
        <w:tc>
          <w:tcPr>
            <w:tcW w:w="840" w:type="dxa"/>
            <w:vAlign w:val="bottom"/>
            <w:gridSpan w:val="2"/>
          </w:tcPr>
          <w:p>
            <w:pPr>
              <w:jc w:val="right"/>
              <w:ind w:right="88"/>
              <w:spacing w:after="0"/>
              <w:rPr>
                <w:sz w:val="20"/>
                <w:szCs w:val="20"/>
                <w:color w:val="auto"/>
              </w:rPr>
            </w:pPr>
            <w:r>
              <w:rPr>
                <w:rFonts w:ascii="Arial" w:cs="Arial" w:eastAsia="Arial" w:hAnsi="Arial"/>
                <w:sz w:val="13"/>
                <w:szCs w:val="13"/>
                <w:b w:val="1"/>
                <w:bCs w:val="1"/>
                <w:color w:val="auto"/>
              </w:rPr>
              <w:t>Retained</w:t>
            </w:r>
          </w:p>
        </w:tc>
        <w:tc>
          <w:tcPr>
            <w:tcW w:w="10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Comprehensive</w:t>
            </w: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Shareholders'</w:t>
            </w:r>
          </w:p>
        </w:tc>
      </w:tr>
      <w:tr>
        <w:trPr>
          <w:trHeight w:val="129"/>
        </w:trPr>
        <w:tc>
          <w:tcPr>
            <w:tcW w:w="276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(shares in thousands, amounts in millions)</w:t>
            </w:r>
          </w:p>
        </w:tc>
        <w:tc>
          <w:tcPr>
            <w:tcW w:w="960" w:type="dxa"/>
            <w:vAlign w:val="bottom"/>
            <w:tcBorders>
              <w:top w:val="single" w:sz="8" w:color="auto"/>
              <w:bottom w:val="single" w:sz="8" w:color="auto"/>
            </w:tcBorders>
          </w:tcPr>
          <w:p>
            <w:pPr>
              <w:jc w:val="right"/>
              <w:ind w:right="269"/>
              <w:spacing w:after="0" w:line="129" w:lineRule="exact"/>
              <w:rPr>
                <w:sz w:val="20"/>
                <w:szCs w:val="20"/>
                <w:color w:val="auto"/>
              </w:rPr>
            </w:pPr>
            <w:r>
              <w:rPr>
                <w:rFonts w:ascii="Arial" w:cs="Arial" w:eastAsia="Arial" w:hAnsi="Arial"/>
                <w:sz w:val="13"/>
                <w:szCs w:val="13"/>
                <w:b w:val="1"/>
                <w:bCs w:val="1"/>
                <w:color w:val="auto"/>
              </w:rPr>
              <w:t>Shares</w:t>
            </w:r>
          </w:p>
        </w:tc>
        <w:tc>
          <w:tcPr>
            <w:tcW w:w="640" w:type="dxa"/>
            <w:vAlign w:val="bottom"/>
            <w:tcBorders>
              <w:top w:val="single" w:sz="8" w:color="auto"/>
              <w:bottom w:val="single" w:sz="8" w:color="auto"/>
            </w:tcBorders>
            <w:gridSpan w:val="2"/>
          </w:tcPr>
          <w:p>
            <w:pPr>
              <w:jc w:val="right"/>
              <w:ind w:right="28"/>
              <w:spacing w:after="0" w:line="129" w:lineRule="exact"/>
              <w:rPr>
                <w:sz w:val="20"/>
                <w:szCs w:val="20"/>
                <w:color w:val="auto"/>
              </w:rPr>
            </w:pPr>
            <w:r>
              <w:rPr>
                <w:rFonts w:ascii="Arial" w:cs="Arial" w:eastAsia="Arial" w:hAnsi="Arial"/>
                <w:sz w:val="13"/>
                <w:szCs w:val="13"/>
                <w:b w:val="1"/>
                <w:bCs w:val="1"/>
                <w:color w:val="auto"/>
              </w:rPr>
              <w:t>Amount</w:t>
            </w:r>
          </w:p>
        </w:tc>
        <w:tc>
          <w:tcPr>
            <w:tcW w:w="100" w:type="dxa"/>
            <w:vAlign w:val="bottom"/>
            <w:tcBorders>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129"/>
              <w:spacing w:after="0" w:line="129" w:lineRule="exact"/>
              <w:rPr>
                <w:sz w:val="20"/>
                <w:szCs w:val="20"/>
                <w:color w:val="auto"/>
              </w:rPr>
            </w:pPr>
            <w:r>
              <w:rPr>
                <w:rFonts w:ascii="Arial" w:cs="Arial" w:eastAsia="Arial" w:hAnsi="Arial"/>
                <w:sz w:val="13"/>
                <w:szCs w:val="13"/>
                <w:b w:val="1"/>
                <w:bCs w:val="1"/>
                <w:color w:val="auto"/>
              </w:rPr>
              <w:t>Shares</w:t>
            </w: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48"/>
              <w:spacing w:after="0" w:line="129" w:lineRule="exact"/>
              <w:rPr>
                <w:sz w:val="20"/>
                <w:szCs w:val="20"/>
                <w:color w:val="auto"/>
              </w:rPr>
            </w:pPr>
            <w:r>
              <w:rPr>
                <w:rFonts w:ascii="Arial" w:cs="Arial" w:eastAsia="Arial" w:hAnsi="Arial"/>
                <w:sz w:val="13"/>
                <w:szCs w:val="13"/>
                <w:b w:val="1"/>
                <w:bCs w:val="1"/>
                <w:color w:val="auto"/>
                <w:w w:val="93"/>
              </w:rPr>
              <w:t>Amount</w:t>
            </w:r>
          </w:p>
        </w:tc>
        <w:tc>
          <w:tcPr>
            <w:tcW w:w="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2"/>
          </w:tcPr>
          <w:p>
            <w:pPr>
              <w:jc w:val="right"/>
              <w:ind w:right="88"/>
              <w:spacing w:after="0" w:line="129" w:lineRule="exact"/>
              <w:rPr>
                <w:sz w:val="20"/>
                <w:szCs w:val="20"/>
                <w:color w:val="auto"/>
              </w:rPr>
            </w:pPr>
            <w:r>
              <w:rPr>
                <w:rFonts w:ascii="Arial" w:cs="Arial" w:eastAsia="Arial" w:hAnsi="Arial"/>
                <w:sz w:val="13"/>
                <w:szCs w:val="13"/>
                <w:b w:val="1"/>
                <w:bCs w:val="1"/>
                <w:color w:val="auto"/>
              </w:rPr>
              <w:t>Earnings</w:t>
            </w:r>
          </w:p>
        </w:tc>
        <w:tc>
          <w:tcPr>
            <w:tcW w:w="2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229"/>
              <w:spacing w:after="0" w:line="129" w:lineRule="exact"/>
              <w:rPr>
                <w:sz w:val="20"/>
                <w:szCs w:val="20"/>
                <w:color w:val="auto"/>
              </w:rPr>
            </w:pPr>
            <w:r>
              <w:rPr>
                <w:rFonts w:ascii="Arial" w:cs="Arial" w:eastAsia="Arial" w:hAnsi="Arial"/>
                <w:sz w:val="13"/>
                <w:szCs w:val="13"/>
                <w:b w:val="1"/>
                <w:bCs w:val="1"/>
                <w:color w:val="auto"/>
                <w:w w:val="98"/>
              </w:rPr>
              <w:t>Loss</w:t>
            </w:r>
          </w:p>
        </w:tc>
        <w:tc>
          <w:tcPr>
            <w:tcW w:w="2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ind w:right="108"/>
              <w:spacing w:after="0" w:line="129" w:lineRule="exact"/>
              <w:rPr>
                <w:sz w:val="20"/>
                <w:szCs w:val="20"/>
                <w:color w:val="auto"/>
              </w:rPr>
            </w:pPr>
            <w:r>
              <w:rPr>
                <w:rFonts w:ascii="Arial" w:cs="Arial" w:eastAsia="Arial" w:hAnsi="Arial"/>
                <w:sz w:val="13"/>
                <w:szCs w:val="13"/>
                <w:b w:val="1"/>
                <w:bCs w:val="1"/>
                <w:color w:val="auto"/>
                <w:w w:val="95"/>
              </w:rPr>
              <w:t>Equity</w:t>
            </w:r>
          </w:p>
        </w:tc>
      </w:tr>
      <w:tr>
        <w:trPr>
          <w:trHeight w:val="183"/>
        </w:trPr>
        <w:tc>
          <w:tcPr>
            <w:tcW w:w="27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at January 31, 2015</w:t>
            </w: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170,529</w:t>
            </w: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979</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(29,665)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(944)</w:t>
            </w:r>
          </w:p>
        </w:tc>
        <w:tc>
          <w:tcPr>
            <w:tcW w:w="240" w:type="dxa"/>
            <w:vAlign w:val="bottom"/>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2,780</w:t>
            </w:r>
          </w:p>
        </w:tc>
        <w:tc>
          <w:tcPr>
            <w:tcW w:w="2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(319)</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2,496</w:t>
            </w:r>
          </w:p>
        </w:tc>
      </w:tr>
      <w:tr>
        <w:trPr>
          <w:trHeight w:val="203"/>
        </w:trPr>
        <w:tc>
          <w:tcPr>
            <w:tcW w:w="2760" w:type="dxa"/>
            <w:vAlign w:val="bottom"/>
          </w:tcPr>
          <w:p>
            <w:pPr>
              <w:spacing w:after="0"/>
              <w:rPr>
                <w:sz w:val="20"/>
                <w:szCs w:val="20"/>
                <w:color w:val="auto"/>
              </w:rPr>
            </w:pPr>
            <w:r>
              <w:rPr>
                <w:rFonts w:ascii="Arial" w:cs="Arial" w:eastAsia="Arial" w:hAnsi="Arial"/>
                <w:sz w:val="14"/>
                <w:szCs w:val="14"/>
                <w:color w:val="auto"/>
              </w:rPr>
              <w:t>Restricted stock issued</w:t>
            </w: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299</w:t>
            </w:r>
          </w:p>
        </w:tc>
        <w:tc>
          <w:tcPr>
            <w:tcW w:w="20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Issued under director and stock plans</w:t>
            </w: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2,570</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r>
      <w:tr>
        <w:trPr>
          <w:trHeight w:val="203"/>
        </w:trPr>
        <w:tc>
          <w:tcPr>
            <w:tcW w:w="2760" w:type="dxa"/>
            <w:vAlign w:val="bottom"/>
          </w:tcPr>
          <w:p>
            <w:pPr>
              <w:spacing w:after="0"/>
              <w:rPr>
                <w:sz w:val="20"/>
                <w:szCs w:val="20"/>
                <w:color w:val="auto"/>
              </w:rPr>
            </w:pPr>
            <w:r>
              <w:rPr>
                <w:rFonts w:ascii="Arial" w:cs="Arial" w:eastAsia="Arial" w:hAnsi="Arial"/>
                <w:sz w:val="14"/>
                <w:szCs w:val="14"/>
                <w:color w:val="auto"/>
              </w:rPr>
              <w:t>Share-based compensation expense</w:t>
            </w: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03"/>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Excess tax benefits from equity awards</w:t>
            </w: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203"/>
        </w:trPr>
        <w:tc>
          <w:tcPr>
            <w:tcW w:w="2760" w:type="dxa"/>
            <w:vAlign w:val="bottom"/>
          </w:tcPr>
          <w:p>
            <w:pPr>
              <w:spacing w:after="0"/>
              <w:rPr>
                <w:sz w:val="20"/>
                <w:szCs w:val="20"/>
                <w:color w:val="auto"/>
              </w:rPr>
            </w:pPr>
            <w:r>
              <w:rPr>
                <w:rFonts w:ascii="Arial" w:cs="Arial" w:eastAsia="Arial" w:hAnsi="Arial"/>
                <w:sz w:val="14"/>
                <w:szCs w:val="14"/>
                <w:color w:val="auto"/>
              </w:rPr>
              <w:t>Forfeitures of restricted stock</w:t>
            </w: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(45)</w:t>
            </w:r>
          </w:p>
        </w:tc>
        <w:tc>
          <w:tcPr>
            <w:tcW w:w="16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Shares of common stock used to satisfy</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157"/>
        </w:trPr>
        <w:tc>
          <w:tcPr>
            <w:tcW w:w="2760" w:type="dxa"/>
            <w:vAlign w:val="bottom"/>
            <w:shd w:val="clear" w:color="auto" w:fill="CCEEFF"/>
          </w:tcPr>
          <w:p>
            <w:pPr>
              <w:ind w:left="80"/>
              <w:spacing w:after="0" w:line="157" w:lineRule="exact"/>
              <w:rPr>
                <w:sz w:val="20"/>
                <w:szCs w:val="20"/>
                <w:color w:val="auto"/>
              </w:rPr>
            </w:pPr>
            <w:r>
              <w:rPr>
                <w:rFonts w:ascii="Arial" w:cs="Arial" w:eastAsia="Arial" w:hAnsi="Arial"/>
                <w:sz w:val="14"/>
                <w:szCs w:val="14"/>
                <w:color w:val="auto"/>
              </w:rPr>
              <w:t>tax withholding obligations</w:t>
            </w:r>
          </w:p>
        </w:tc>
        <w:tc>
          <w:tcPr>
            <w:tcW w:w="960" w:type="dxa"/>
            <w:vAlign w:val="bottom"/>
            <w:shd w:val="clear" w:color="auto" w:fill="CCEEFF"/>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(142)</w:t>
            </w: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(9)</w:t>
            </w: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(9)</w:t>
            </w:r>
          </w:p>
        </w:tc>
      </w:tr>
      <w:tr>
        <w:trPr>
          <w:trHeight w:val="203"/>
        </w:trPr>
        <w:tc>
          <w:tcPr>
            <w:tcW w:w="2760" w:type="dxa"/>
            <w:vAlign w:val="bottom"/>
          </w:tcPr>
          <w:p>
            <w:pPr>
              <w:spacing w:after="0"/>
              <w:rPr>
                <w:sz w:val="20"/>
                <w:szCs w:val="20"/>
                <w:color w:val="auto"/>
              </w:rPr>
            </w:pPr>
            <w:r>
              <w:rPr>
                <w:rFonts w:ascii="Arial" w:cs="Arial" w:eastAsia="Arial" w:hAnsi="Arial"/>
                <w:sz w:val="14"/>
                <w:szCs w:val="14"/>
                <w:color w:val="auto"/>
              </w:rPr>
              <w:t>Share repurchases</w:t>
            </w: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(6,693)</w:t>
            </w:r>
          </w:p>
        </w:tc>
        <w:tc>
          <w:tcPr>
            <w:tcW w:w="16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(419)</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(419)</w:t>
            </w:r>
          </w:p>
        </w:tc>
      </w:tr>
      <w:tr>
        <w:trPr>
          <w:trHeight w:val="207"/>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Reissued - employee stock purchase plan</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157"/>
        </w:trPr>
        <w:tc>
          <w:tcPr>
            <w:tcW w:w="2760" w:type="dxa"/>
            <w:vAlign w:val="bottom"/>
            <w:shd w:val="clear" w:color="auto" w:fill="CCEEFF"/>
          </w:tcPr>
          <w:p>
            <w:pPr>
              <w:ind w:left="80"/>
              <w:spacing w:after="0" w:line="157" w:lineRule="exact"/>
              <w:rPr>
                <w:sz w:val="20"/>
                <w:szCs w:val="20"/>
                <w:color w:val="auto"/>
              </w:rPr>
            </w:pPr>
            <w:r>
              <w:rPr>
                <w:rFonts w:ascii="Arial" w:cs="Arial" w:eastAsia="Arial" w:hAnsi="Arial"/>
                <w:sz w:val="14"/>
                <w:szCs w:val="14"/>
                <w:color w:val="auto"/>
              </w:rPr>
              <w:t>("ESPP")</w:t>
            </w:r>
          </w:p>
        </w:tc>
        <w:tc>
          <w:tcPr>
            <w:tcW w:w="960" w:type="dxa"/>
            <w:vAlign w:val="bottom"/>
            <w:shd w:val="clear" w:color="auto" w:fill="CCEEFF"/>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line="157" w:lineRule="exact"/>
              <w:rPr>
                <w:sz w:val="20"/>
                <w:szCs w:val="20"/>
                <w:color w:val="auto"/>
              </w:rPr>
            </w:pPr>
            <w:r>
              <w:rPr>
                <w:rFonts w:ascii="Arial" w:cs="Arial" w:eastAsia="Arial" w:hAnsi="Arial"/>
                <w:sz w:val="14"/>
                <w:szCs w:val="14"/>
                <w:color w:val="auto"/>
              </w:rPr>
              <w:t>124</w:t>
            </w: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w:t>
            </w:r>
          </w:p>
        </w:tc>
      </w:tr>
      <w:tr>
        <w:trPr>
          <w:trHeight w:val="203"/>
        </w:trPr>
        <w:tc>
          <w:tcPr>
            <w:tcW w:w="2760" w:type="dxa"/>
            <w:vAlign w:val="bottom"/>
          </w:tcPr>
          <w:p>
            <w:pPr>
              <w:spacing w:after="0"/>
              <w:rPr>
                <w:sz w:val="20"/>
                <w:szCs w:val="20"/>
                <w:color w:val="auto"/>
              </w:rPr>
            </w:pPr>
            <w:r>
              <w:rPr>
                <w:rFonts w:ascii="Arial" w:cs="Arial" w:eastAsia="Arial" w:hAnsi="Arial"/>
                <w:sz w:val="14"/>
                <w:szCs w:val="14"/>
                <w:color w:val="auto"/>
              </w:rPr>
              <w:t>Net income</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541</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541</w:t>
            </w:r>
          </w:p>
        </w:tc>
      </w:tr>
      <w:tr>
        <w:trPr>
          <w:trHeight w:val="207"/>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Cash dividends declared on common stock</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157"/>
        </w:trPr>
        <w:tc>
          <w:tcPr>
            <w:tcW w:w="2760" w:type="dxa"/>
            <w:vAlign w:val="bottom"/>
            <w:shd w:val="clear" w:color="auto" w:fill="CCEEFF"/>
          </w:tcPr>
          <w:p>
            <w:pPr>
              <w:ind w:left="80"/>
              <w:spacing w:after="0" w:line="157" w:lineRule="exact"/>
              <w:rPr>
                <w:sz w:val="20"/>
                <w:szCs w:val="20"/>
                <w:color w:val="auto"/>
              </w:rPr>
            </w:pPr>
            <w:r>
              <w:rPr>
                <w:rFonts w:ascii="Arial" w:cs="Arial" w:eastAsia="Arial" w:hAnsi="Arial"/>
                <w:sz w:val="14"/>
                <w:szCs w:val="14"/>
                <w:color w:val="auto"/>
              </w:rPr>
              <w:t>($1.00 per share)</w:t>
            </w: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(139)</w:t>
            </w: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(139)</w:t>
            </w:r>
          </w:p>
        </w:tc>
      </w:tr>
      <w:tr>
        <w:trPr>
          <w:trHeight w:val="203"/>
        </w:trPr>
        <w:tc>
          <w:tcPr>
            <w:tcW w:w="2760" w:type="dxa"/>
            <w:vAlign w:val="bottom"/>
          </w:tcPr>
          <w:p>
            <w:pPr>
              <w:spacing w:after="0"/>
              <w:rPr>
                <w:sz w:val="20"/>
                <w:szCs w:val="20"/>
                <w:color w:val="auto"/>
              </w:rPr>
            </w:pPr>
            <w:r>
              <w:rPr>
                <w:rFonts w:ascii="Arial" w:cs="Arial" w:eastAsia="Arial" w:hAnsi="Arial"/>
                <w:sz w:val="14"/>
                <w:szCs w:val="14"/>
                <w:color w:val="auto"/>
              </w:rPr>
              <w:t>Translation adjustment, net of tax</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(44)</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203"/>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Change in cash flow hedges, net of tax</w:t>
            </w: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80"/>
        </w:trPr>
        <w:tc>
          <w:tcPr>
            <w:tcW w:w="2760" w:type="dxa"/>
            <w:vAlign w:val="bottom"/>
          </w:tcPr>
          <w:p>
            <w:pPr>
              <w:spacing w:after="0"/>
              <w:rPr>
                <w:sz w:val="20"/>
                <w:szCs w:val="20"/>
                <w:color w:val="auto"/>
              </w:rPr>
            </w:pPr>
            <w:r>
              <w:rPr>
                <w:rFonts w:ascii="Arial" w:cs="Arial" w:eastAsia="Arial" w:hAnsi="Arial"/>
                <w:sz w:val="14"/>
                <w:szCs w:val="14"/>
                <w:color w:val="auto"/>
              </w:rPr>
              <w:t>Pension and postretirement adjustments,</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57"/>
        </w:trPr>
        <w:tc>
          <w:tcPr>
            <w:tcW w:w="2760" w:type="dxa"/>
            <w:vAlign w:val="bottom"/>
            <w:tcBorders>
              <w:bottom w:val="single" w:sz="8" w:color="auto"/>
            </w:tcBorders>
          </w:tcPr>
          <w:p>
            <w:pPr>
              <w:ind w:left="80"/>
              <w:spacing w:after="0" w:line="157" w:lineRule="exact"/>
              <w:rPr>
                <w:sz w:val="20"/>
                <w:szCs w:val="20"/>
                <w:color w:val="auto"/>
              </w:rPr>
            </w:pPr>
            <w:r>
              <w:rPr>
                <w:rFonts w:ascii="Arial" w:cs="Arial" w:eastAsia="Arial" w:hAnsi="Arial"/>
                <w:sz w:val="14"/>
                <w:szCs w:val="14"/>
                <w:color w:val="auto"/>
              </w:rPr>
              <w:t>net of tax</w:t>
            </w:r>
          </w:p>
        </w:tc>
        <w:tc>
          <w:tcPr>
            <w:tcW w:w="9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(8)</w:t>
            </w: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(8)</w:t>
            </w:r>
          </w:p>
        </w:tc>
      </w:tr>
      <w:tr>
        <w:trPr>
          <w:trHeight w:val="183"/>
        </w:trPr>
        <w:tc>
          <w:tcPr>
            <w:tcW w:w="27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at January 30, 2016</w:t>
            </w: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173,398</w:t>
            </w: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1,108</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(36,421)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(1,371)</w:t>
            </w:r>
          </w:p>
        </w:tc>
        <w:tc>
          <w:tcPr>
            <w:tcW w:w="240" w:type="dxa"/>
            <w:vAlign w:val="bottom"/>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3,182</w:t>
            </w:r>
          </w:p>
        </w:tc>
        <w:tc>
          <w:tcPr>
            <w:tcW w:w="2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(366)</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2,553</w:t>
            </w:r>
          </w:p>
        </w:tc>
      </w:tr>
      <w:tr>
        <w:trPr>
          <w:trHeight w:val="203"/>
        </w:trPr>
        <w:tc>
          <w:tcPr>
            <w:tcW w:w="2760" w:type="dxa"/>
            <w:vAlign w:val="bottom"/>
          </w:tcPr>
          <w:p>
            <w:pPr>
              <w:spacing w:after="0"/>
              <w:rPr>
                <w:sz w:val="20"/>
                <w:szCs w:val="20"/>
                <w:color w:val="auto"/>
              </w:rPr>
            </w:pPr>
            <w:r>
              <w:rPr>
                <w:rFonts w:ascii="Arial" w:cs="Arial" w:eastAsia="Arial" w:hAnsi="Arial"/>
                <w:sz w:val="14"/>
                <w:szCs w:val="14"/>
                <w:color w:val="auto"/>
              </w:rPr>
              <w:t>Restricted stock issued</w:t>
            </w: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203</w:t>
            </w:r>
          </w:p>
        </w:tc>
        <w:tc>
          <w:tcPr>
            <w:tcW w:w="20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Issued under director and stock plans</w:t>
            </w: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1,342</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203"/>
        </w:trPr>
        <w:tc>
          <w:tcPr>
            <w:tcW w:w="2760" w:type="dxa"/>
            <w:vAlign w:val="bottom"/>
          </w:tcPr>
          <w:p>
            <w:pPr>
              <w:spacing w:after="0"/>
              <w:rPr>
                <w:sz w:val="20"/>
                <w:szCs w:val="20"/>
                <w:color w:val="auto"/>
              </w:rPr>
            </w:pPr>
            <w:r>
              <w:rPr>
                <w:rFonts w:ascii="Arial" w:cs="Arial" w:eastAsia="Arial" w:hAnsi="Arial"/>
                <w:sz w:val="14"/>
                <w:szCs w:val="14"/>
                <w:color w:val="auto"/>
              </w:rPr>
              <w:t>Share-based compensation expense</w:t>
            </w: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03"/>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Excess tax benefits from equity awards</w:t>
            </w: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203"/>
        </w:trPr>
        <w:tc>
          <w:tcPr>
            <w:tcW w:w="2760" w:type="dxa"/>
            <w:vAlign w:val="bottom"/>
          </w:tcPr>
          <w:p>
            <w:pPr>
              <w:spacing w:after="0"/>
              <w:rPr>
                <w:sz w:val="20"/>
                <w:szCs w:val="20"/>
                <w:color w:val="auto"/>
              </w:rPr>
            </w:pPr>
            <w:r>
              <w:rPr>
                <w:rFonts w:ascii="Arial" w:cs="Arial" w:eastAsia="Arial" w:hAnsi="Arial"/>
                <w:sz w:val="14"/>
                <w:szCs w:val="14"/>
                <w:color w:val="auto"/>
              </w:rPr>
              <w:t>Forfeitures of restricted stock</w:t>
            </w: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w:t>
            </w:r>
          </w:p>
        </w:tc>
        <w:tc>
          <w:tcPr>
            <w:tcW w:w="16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Shares of common stock used to satisfy</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157"/>
        </w:trPr>
        <w:tc>
          <w:tcPr>
            <w:tcW w:w="2760" w:type="dxa"/>
            <w:vAlign w:val="bottom"/>
            <w:shd w:val="clear" w:color="auto" w:fill="CCEEFF"/>
          </w:tcPr>
          <w:p>
            <w:pPr>
              <w:ind w:left="80"/>
              <w:spacing w:after="0" w:line="157" w:lineRule="exact"/>
              <w:rPr>
                <w:sz w:val="20"/>
                <w:szCs w:val="20"/>
                <w:color w:val="auto"/>
              </w:rPr>
            </w:pPr>
            <w:r>
              <w:rPr>
                <w:rFonts w:ascii="Arial" w:cs="Arial" w:eastAsia="Arial" w:hAnsi="Arial"/>
                <w:sz w:val="14"/>
                <w:szCs w:val="14"/>
                <w:color w:val="auto"/>
              </w:rPr>
              <w:t>tax withholding obligations</w:t>
            </w:r>
          </w:p>
        </w:tc>
        <w:tc>
          <w:tcPr>
            <w:tcW w:w="960" w:type="dxa"/>
            <w:vAlign w:val="bottom"/>
            <w:shd w:val="clear" w:color="auto" w:fill="CCEEFF"/>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(102)</w:t>
            </w: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(7)</w:t>
            </w: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(7)</w:t>
            </w:r>
          </w:p>
        </w:tc>
      </w:tr>
      <w:tr>
        <w:trPr>
          <w:trHeight w:val="203"/>
        </w:trPr>
        <w:tc>
          <w:tcPr>
            <w:tcW w:w="2760" w:type="dxa"/>
            <w:vAlign w:val="bottom"/>
          </w:tcPr>
          <w:p>
            <w:pPr>
              <w:spacing w:after="0"/>
              <w:rPr>
                <w:sz w:val="20"/>
                <w:szCs w:val="20"/>
                <w:color w:val="auto"/>
              </w:rPr>
            </w:pPr>
            <w:r>
              <w:rPr>
                <w:rFonts w:ascii="Arial" w:cs="Arial" w:eastAsia="Arial" w:hAnsi="Arial"/>
                <w:sz w:val="14"/>
                <w:szCs w:val="14"/>
                <w:color w:val="auto"/>
              </w:rPr>
              <w:t>Share repurchases</w:t>
            </w: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(6,985)</w:t>
            </w:r>
          </w:p>
        </w:tc>
        <w:tc>
          <w:tcPr>
            <w:tcW w:w="16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(432)</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(432)</w:t>
            </w:r>
          </w:p>
        </w:tc>
      </w:tr>
      <w:tr>
        <w:trPr>
          <w:trHeight w:val="203"/>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Reissued - ESPP</w:t>
            </w: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81</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203"/>
        </w:trPr>
        <w:tc>
          <w:tcPr>
            <w:tcW w:w="2760" w:type="dxa"/>
            <w:vAlign w:val="bottom"/>
          </w:tcPr>
          <w:p>
            <w:pPr>
              <w:spacing w:after="0"/>
              <w:rPr>
                <w:sz w:val="20"/>
                <w:szCs w:val="20"/>
                <w:color w:val="auto"/>
              </w:rPr>
            </w:pPr>
            <w:r>
              <w:rPr>
                <w:rFonts w:ascii="Arial" w:cs="Arial" w:eastAsia="Arial" w:hAnsi="Arial"/>
                <w:sz w:val="14"/>
                <w:szCs w:val="14"/>
                <w:color w:val="auto"/>
              </w:rPr>
              <w:t>Retirement of treasury stock</w:t>
            </w: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(42,327)</w:t>
            </w:r>
          </w:p>
        </w:tc>
        <w:tc>
          <w:tcPr>
            <w:tcW w:w="20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(283)</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42,327</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1,728</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(1,445)</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664</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664</w:t>
            </w:r>
          </w:p>
        </w:tc>
      </w:tr>
      <w:tr>
        <w:trPr>
          <w:trHeight w:val="207"/>
        </w:trPr>
        <w:tc>
          <w:tcPr>
            <w:tcW w:w="2760" w:type="dxa"/>
            <w:vAlign w:val="bottom"/>
          </w:tcPr>
          <w:p>
            <w:pPr>
              <w:spacing w:after="0"/>
              <w:rPr>
                <w:sz w:val="20"/>
                <w:szCs w:val="20"/>
                <w:color w:val="auto"/>
              </w:rPr>
            </w:pPr>
            <w:r>
              <w:rPr>
                <w:rFonts w:ascii="Arial" w:cs="Arial" w:eastAsia="Arial" w:hAnsi="Arial"/>
                <w:sz w:val="14"/>
                <w:szCs w:val="14"/>
                <w:color w:val="auto"/>
              </w:rPr>
              <w:t>Cash dividends declared on common stock</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157"/>
        </w:trPr>
        <w:tc>
          <w:tcPr>
            <w:tcW w:w="2760" w:type="dxa"/>
            <w:vAlign w:val="bottom"/>
          </w:tcPr>
          <w:p>
            <w:pPr>
              <w:ind w:left="80"/>
              <w:spacing w:after="0" w:line="157" w:lineRule="exact"/>
              <w:rPr>
                <w:sz w:val="20"/>
                <w:szCs w:val="20"/>
                <w:color w:val="auto"/>
              </w:rPr>
            </w:pPr>
            <w:r>
              <w:rPr>
                <w:rFonts w:ascii="Arial" w:cs="Arial" w:eastAsia="Arial" w:hAnsi="Arial"/>
                <w:sz w:val="14"/>
                <w:szCs w:val="14"/>
                <w:color w:val="auto"/>
              </w:rPr>
              <w:t>($1.10 per share)</w:t>
            </w: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jc w:val="right"/>
              <w:spacing w:after="0" w:line="157" w:lineRule="exact"/>
              <w:rPr>
                <w:sz w:val="20"/>
                <w:szCs w:val="20"/>
                <w:color w:val="auto"/>
              </w:rPr>
            </w:pPr>
            <w:r>
              <w:rPr>
                <w:rFonts w:ascii="Arial" w:cs="Arial" w:eastAsia="Arial" w:hAnsi="Arial"/>
                <w:sz w:val="14"/>
                <w:szCs w:val="14"/>
                <w:color w:val="auto"/>
              </w:rPr>
              <w:t>(147)</w:t>
            </w: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(147)</w:t>
            </w:r>
          </w:p>
        </w:tc>
      </w:tr>
      <w:tr>
        <w:trPr>
          <w:trHeight w:val="203"/>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Translation adjustment, net of tax</w:t>
            </w: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203"/>
        </w:trPr>
        <w:tc>
          <w:tcPr>
            <w:tcW w:w="2760" w:type="dxa"/>
            <w:vAlign w:val="bottom"/>
          </w:tcPr>
          <w:p>
            <w:pPr>
              <w:spacing w:after="0"/>
              <w:rPr>
                <w:sz w:val="20"/>
                <w:szCs w:val="20"/>
                <w:color w:val="auto"/>
              </w:rPr>
            </w:pPr>
            <w:r>
              <w:rPr>
                <w:rFonts w:ascii="Arial" w:cs="Arial" w:eastAsia="Arial" w:hAnsi="Arial"/>
                <w:sz w:val="14"/>
                <w:szCs w:val="14"/>
                <w:color w:val="auto"/>
              </w:rPr>
              <w:t>Change in cash flow hedges, net of tax</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0"/>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Pension and postretirement adjustments,</w:t>
            </w: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157"/>
        </w:trPr>
        <w:tc>
          <w:tcPr>
            <w:tcW w:w="2760" w:type="dxa"/>
            <w:vAlign w:val="bottom"/>
            <w:tcBorders>
              <w:bottom w:val="single" w:sz="8" w:color="auto"/>
            </w:tcBorders>
            <w:shd w:val="clear" w:color="auto" w:fill="CCEEFF"/>
          </w:tcPr>
          <w:p>
            <w:pPr>
              <w:ind w:left="80"/>
              <w:spacing w:after="0" w:line="157" w:lineRule="exact"/>
              <w:rPr>
                <w:sz w:val="20"/>
                <w:szCs w:val="20"/>
                <w:color w:val="auto"/>
              </w:rPr>
            </w:pPr>
            <w:r>
              <w:rPr>
                <w:rFonts w:ascii="Arial" w:cs="Arial" w:eastAsia="Arial" w:hAnsi="Arial"/>
                <w:sz w:val="14"/>
                <w:szCs w:val="14"/>
                <w:color w:val="auto"/>
              </w:rPr>
              <w:t>net of tax</w:t>
            </w:r>
          </w:p>
        </w:tc>
        <w:tc>
          <w:tcPr>
            <w:tcW w:w="96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9"/>
              <w:spacing w:after="0" w:line="157" w:lineRule="exact"/>
              <w:rPr>
                <w:sz w:val="20"/>
                <w:szCs w:val="20"/>
                <w:color w:val="auto"/>
              </w:rPr>
            </w:pPr>
            <w:r>
              <w:rPr>
                <w:rFonts w:ascii="Arial" w:cs="Arial" w:eastAsia="Arial" w:hAnsi="Arial"/>
                <w:sz w:val="14"/>
                <w:szCs w:val="14"/>
                <w:color w:val="auto"/>
              </w:rPr>
              <w:t>12</w:t>
            </w:r>
          </w:p>
        </w:tc>
        <w:tc>
          <w:tcPr>
            <w:tcW w:w="2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12</w:t>
            </w:r>
          </w:p>
        </w:tc>
      </w:tr>
      <w:tr>
        <w:trPr>
          <w:trHeight w:val="183"/>
        </w:trPr>
        <w:tc>
          <w:tcPr>
            <w:tcW w:w="2760" w:type="dxa"/>
            <w:vAlign w:val="bottom"/>
          </w:tcPr>
          <w:p>
            <w:pPr>
              <w:spacing w:after="0"/>
              <w:rPr>
                <w:sz w:val="20"/>
                <w:szCs w:val="20"/>
                <w:color w:val="auto"/>
              </w:rPr>
            </w:pPr>
            <w:r>
              <w:rPr>
                <w:rFonts w:ascii="Arial" w:cs="Arial" w:eastAsia="Arial" w:hAnsi="Arial"/>
                <w:sz w:val="14"/>
                <w:szCs w:val="14"/>
                <w:b w:val="1"/>
                <w:bCs w:val="1"/>
                <w:color w:val="auto"/>
              </w:rPr>
              <w:t>Balance at January 28, 2017</w:t>
            </w:r>
          </w:p>
        </w:tc>
        <w:tc>
          <w:tcPr>
            <w:tcW w:w="960" w:type="dxa"/>
            <w:vAlign w:val="bottom"/>
          </w:tcPr>
          <w:p>
            <w:pPr>
              <w:jc w:val="right"/>
              <w:ind w:right="89"/>
              <w:spacing w:after="0"/>
              <w:rPr>
                <w:sz w:val="20"/>
                <w:szCs w:val="20"/>
                <w:color w:val="auto"/>
              </w:rPr>
            </w:pPr>
            <w:r>
              <w:rPr>
                <w:rFonts w:ascii="Arial" w:cs="Arial" w:eastAsia="Arial" w:hAnsi="Arial"/>
                <w:sz w:val="14"/>
                <w:szCs w:val="14"/>
                <w:b w:val="1"/>
                <w:bCs w:val="1"/>
                <w:color w:val="auto"/>
              </w:rPr>
              <w:t>132,616</w:t>
            </w:r>
          </w:p>
        </w:tc>
        <w:tc>
          <w:tcPr>
            <w:tcW w:w="200" w:type="dxa"/>
            <w:vAlign w:val="bottom"/>
          </w:tcPr>
          <w:p>
            <w:pPr>
              <w:jc w:val="right"/>
              <w:ind w:right="31"/>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900</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(1,120)</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(81)</w:t>
            </w:r>
          </w:p>
        </w:tc>
        <w:tc>
          <w:tcPr>
            <w:tcW w:w="240" w:type="dxa"/>
            <w:vAlign w:val="bottom"/>
          </w:tcPr>
          <w:p>
            <w:pPr>
              <w:jc w:val="right"/>
              <w:ind w:right="11"/>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b w:val="1"/>
                <w:bCs w:val="1"/>
                <w:color w:val="auto"/>
              </w:rPr>
              <w:t>2,254</w:t>
            </w:r>
          </w:p>
        </w:tc>
        <w:tc>
          <w:tcPr>
            <w:tcW w:w="280" w:type="dxa"/>
            <w:vAlign w:val="bottom"/>
          </w:tcPr>
          <w:p>
            <w:pPr>
              <w:ind w:left="120"/>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(363)</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2,710</w:t>
            </w:r>
          </w:p>
        </w:tc>
      </w:tr>
      <w:tr>
        <w:trPr>
          <w:trHeight w:val="203"/>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Restricted stock issued</w:t>
            </w: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169</w:t>
            </w:r>
          </w:p>
        </w:tc>
        <w:tc>
          <w:tcPr>
            <w:tcW w:w="2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2760" w:type="dxa"/>
            <w:vAlign w:val="bottom"/>
          </w:tcPr>
          <w:p>
            <w:pPr>
              <w:spacing w:after="0"/>
              <w:rPr>
                <w:sz w:val="20"/>
                <w:szCs w:val="20"/>
                <w:color w:val="auto"/>
              </w:rPr>
            </w:pPr>
            <w:r>
              <w:rPr>
                <w:rFonts w:ascii="Arial" w:cs="Arial" w:eastAsia="Arial" w:hAnsi="Arial"/>
                <w:sz w:val="14"/>
                <w:szCs w:val="14"/>
                <w:color w:val="auto"/>
              </w:rPr>
              <w:t>Issued under director and stock plans</w:t>
            </w: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608</w:t>
            </w:r>
          </w:p>
        </w:tc>
        <w:tc>
          <w:tcPr>
            <w:tcW w:w="2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03"/>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Share-based compensation expense</w:t>
            </w: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r>
      <w:tr>
        <w:trPr>
          <w:trHeight w:val="207"/>
        </w:trPr>
        <w:tc>
          <w:tcPr>
            <w:tcW w:w="2760" w:type="dxa"/>
            <w:vAlign w:val="bottom"/>
          </w:tcPr>
          <w:p>
            <w:pPr>
              <w:spacing w:after="0"/>
              <w:rPr>
                <w:sz w:val="20"/>
                <w:szCs w:val="20"/>
                <w:color w:val="auto"/>
              </w:rPr>
            </w:pPr>
            <w:r>
              <w:rPr>
                <w:rFonts w:ascii="Arial" w:cs="Arial" w:eastAsia="Arial" w:hAnsi="Arial"/>
                <w:sz w:val="14"/>
                <w:szCs w:val="14"/>
                <w:color w:val="auto"/>
              </w:rPr>
              <w:t>Shares of common stock used to satisfy</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157"/>
        </w:trPr>
        <w:tc>
          <w:tcPr>
            <w:tcW w:w="2760" w:type="dxa"/>
            <w:vAlign w:val="bottom"/>
          </w:tcPr>
          <w:p>
            <w:pPr>
              <w:ind w:left="80"/>
              <w:spacing w:after="0" w:line="157" w:lineRule="exact"/>
              <w:rPr>
                <w:sz w:val="20"/>
                <w:szCs w:val="20"/>
                <w:color w:val="auto"/>
              </w:rPr>
            </w:pPr>
            <w:r>
              <w:rPr>
                <w:rFonts w:ascii="Arial" w:cs="Arial" w:eastAsia="Arial" w:hAnsi="Arial"/>
                <w:sz w:val="14"/>
                <w:szCs w:val="14"/>
                <w:color w:val="auto"/>
              </w:rPr>
              <w:t>tax withholding obligations</w:t>
            </w:r>
          </w:p>
        </w:tc>
        <w:tc>
          <w:tcPr>
            <w:tcW w:w="960" w:type="dxa"/>
            <w:vAlign w:val="bottom"/>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54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7" w:lineRule="exact"/>
              <w:rPr>
                <w:sz w:val="20"/>
                <w:szCs w:val="20"/>
                <w:color w:val="auto"/>
              </w:rPr>
            </w:pPr>
            <w:r>
              <w:rPr>
                <w:rFonts w:ascii="Arial" w:cs="Arial" w:eastAsia="Arial" w:hAnsi="Arial"/>
                <w:sz w:val="14"/>
                <w:szCs w:val="14"/>
                <w:color w:val="auto"/>
              </w:rPr>
              <w:t>(140)</w:t>
            </w:r>
          </w:p>
        </w:tc>
        <w:tc>
          <w:tcPr>
            <w:tcW w:w="160" w:type="dxa"/>
            <w:vAlign w:val="bottom"/>
          </w:tcPr>
          <w:p>
            <w:pPr>
              <w:spacing w:after="0"/>
              <w:rPr>
                <w:sz w:val="13"/>
                <w:szCs w:val="13"/>
                <w:color w:val="auto"/>
              </w:rPr>
            </w:pPr>
          </w:p>
        </w:tc>
        <w:tc>
          <w:tcPr>
            <w:tcW w:w="66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(10)</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(10)</w:t>
            </w:r>
          </w:p>
        </w:tc>
      </w:tr>
      <w:tr>
        <w:trPr>
          <w:trHeight w:val="203"/>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Share repurchases</w:t>
            </w: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(12,414)</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(467)</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w:t>
            </w:r>
          </w:p>
        </w:tc>
      </w:tr>
      <w:tr>
        <w:trPr>
          <w:trHeight w:val="203"/>
        </w:trPr>
        <w:tc>
          <w:tcPr>
            <w:tcW w:w="2760" w:type="dxa"/>
            <w:vAlign w:val="bottom"/>
          </w:tcPr>
          <w:p>
            <w:pPr>
              <w:spacing w:after="0"/>
              <w:rPr>
                <w:sz w:val="20"/>
                <w:szCs w:val="20"/>
                <w:color w:val="auto"/>
              </w:rPr>
            </w:pPr>
            <w:r>
              <w:rPr>
                <w:rFonts w:ascii="Arial" w:cs="Arial" w:eastAsia="Arial" w:hAnsi="Arial"/>
                <w:sz w:val="14"/>
                <w:szCs w:val="14"/>
                <w:color w:val="auto"/>
              </w:rPr>
              <w:t>Reissued - ESPP</w:t>
            </w: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110</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03"/>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Retirement of treasury stock</w:t>
            </w: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(12,131)</w:t>
            </w:r>
          </w:p>
        </w:tc>
        <w:tc>
          <w:tcPr>
            <w:tcW w:w="2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(84)</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12,131</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2760" w:type="dxa"/>
            <w:vAlign w:val="bottom"/>
          </w:tcPr>
          <w:p>
            <w:pPr>
              <w:spacing w:after="0"/>
              <w:rPr>
                <w:sz w:val="20"/>
                <w:szCs w:val="20"/>
                <w:color w:val="auto"/>
              </w:rPr>
            </w:pPr>
            <w:r>
              <w:rPr>
                <w:rFonts w:ascii="Arial" w:cs="Arial" w:eastAsia="Arial" w:hAnsi="Arial"/>
                <w:sz w:val="14"/>
                <w:szCs w:val="14"/>
                <w:color w:val="auto"/>
              </w:rPr>
              <w:t>Net income</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284</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284</w:t>
            </w:r>
          </w:p>
        </w:tc>
      </w:tr>
      <w:tr>
        <w:trPr>
          <w:trHeight w:val="207"/>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Cash dividends declared on common stock</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157"/>
        </w:trPr>
        <w:tc>
          <w:tcPr>
            <w:tcW w:w="2760" w:type="dxa"/>
            <w:vAlign w:val="bottom"/>
            <w:shd w:val="clear" w:color="auto" w:fill="CCEEFF"/>
          </w:tcPr>
          <w:p>
            <w:pPr>
              <w:ind w:left="80"/>
              <w:spacing w:after="0" w:line="157" w:lineRule="exact"/>
              <w:rPr>
                <w:sz w:val="20"/>
                <w:szCs w:val="20"/>
                <w:color w:val="auto"/>
              </w:rPr>
            </w:pPr>
            <w:r>
              <w:rPr>
                <w:rFonts w:ascii="Arial" w:cs="Arial" w:eastAsia="Arial" w:hAnsi="Arial"/>
                <w:sz w:val="14"/>
                <w:szCs w:val="14"/>
                <w:color w:val="auto"/>
              </w:rPr>
              <w:t>($1.24 per share)</w:t>
            </w: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(157)</w:t>
            </w: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(157)</w:t>
            </w:r>
          </w:p>
        </w:tc>
      </w:tr>
      <w:tr>
        <w:trPr>
          <w:trHeight w:val="203"/>
        </w:trPr>
        <w:tc>
          <w:tcPr>
            <w:tcW w:w="2760" w:type="dxa"/>
            <w:vAlign w:val="bottom"/>
          </w:tcPr>
          <w:p>
            <w:pPr>
              <w:spacing w:after="0"/>
              <w:rPr>
                <w:sz w:val="20"/>
                <w:szCs w:val="20"/>
                <w:color w:val="auto"/>
              </w:rPr>
            </w:pPr>
            <w:r>
              <w:rPr>
                <w:rFonts w:ascii="Arial" w:cs="Arial" w:eastAsia="Arial" w:hAnsi="Arial"/>
                <w:sz w:val="14"/>
                <w:szCs w:val="14"/>
                <w:color w:val="auto"/>
              </w:rPr>
              <w:t>Translation adjustment, net of tax</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114</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114</w:t>
            </w:r>
          </w:p>
        </w:tc>
      </w:tr>
      <w:tr>
        <w:trPr>
          <w:trHeight w:val="203"/>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Change in cash flow hedges, net of tax</w:t>
            </w: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80"/>
        </w:trPr>
        <w:tc>
          <w:tcPr>
            <w:tcW w:w="2760" w:type="dxa"/>
            <w:vAlign w:val="bottom"/>
          </w:tcPr>
          <w:p>
            <w:pPr>
              <w:spacing w:after="0"/>
              <w:rPr>
                <w:sz w:val="20"/>
                <w:szCs w:val="20"/>
                <w:color w:val="auto"/>
              </w:rPr>
            </w:pPr>
            <w:r>
              <w:rPr>
                <w:rFonts w:ascii="Arial" w:cs="Arial" w:eastAsia="Arial" w:hAnsi="Arial"/>
                <w:sz w:val="14"/>
                <w:szCs w:val="14"/>
                <w:color w:val="auto"/>
              </w:rPr>
              <w:t>Pension and postretirement adjustments,</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57"/>
        </w:trPr>
        <w:tc>
          <w:tcPr>
            <w:tcW w:w="2760" w:type="dxa"/>
            <w:vAlign w:val="bottom"/>
          </w:tcPr>
          <w:p>
            <w:pPr>
              <w:ind w:left="80"/>
              <w:spacing w:after="0" w:line="157" w:lineRule="exact"/>
              <w:rPr>
                <w:sz w:val="20"/>
                <w:szCs w:val="20"/>
                <w:color w:val="auto"/>
              </w:rPr>
            </w:pPr>
            <w:r>
              <w:rPr>
                <w:rFonts w:ascii="Arial" w:cs="Arial" w:eastAsia="Arial" w:hAnsi="Arial"/>
                <w:sz w:val="14"/>
                <w:szCs w:val="14"/>
                <w:color w:val="auto"/>
              </w:rPr>
              <w:t>net of tax</w:t>
            </w: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jc w:val="right"/>
              <w:ind w:right="9"/>
              <w:spacing w:after="0" w:line="157" w:lineRule="exact"/>
              <w:rPr>
                <w:sz w:val="20"/>
                <w:szCs w:val="20"/>
                <w:color w:val="auto"/>
              </w:rPr>
            </w:pPr>
            <w:r>
              <w:rPr>
                <w:rFonts w:ascii="Arial" w:cs="Arial" w:eastAsia="Arial" w:hAnsi="Arial"/>
                <w:sz w:val="14"/>
                <w:szCs w:val="14"/>
                <w:color w:val="auto"/>
              </w:rPr>
              <w:t>11</w:t>
            </w:r>
          </w:p>
        </w:tc>
        <w:tc>
          <w:tcPr>
            <w:tcW w:w="22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11</w:t>
            </w:r>
          </w:p>
        </w:tc>
      </w:tr>
      <w:tr>
        <w:trPr>
          <w:trHeight w:val="180"/>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Unrealized gain on available-for-sale</w:t>
            </w: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157"/>
        </w:trPr>
        <w:tc>
          <w:tcPr>
            <w:tcW w:w="2760" w:type="dxa"/>
            <w:vAlign w:val="bottom"/>
            <w:shd w:val="clear" w:color="auto" w:fill="CCEEFF"/>
          </w:tcPr>
          <w:p>
            <w:pPr>
              <w:ind w:left="80"/>
              <w:spacing w:after="0" w:line="157" w:lineRule="exact"/>
              <w:rPr>
                <w:sz w:val="20"/>
                <w:szCs w:val="20"/>
                <w:color w:val="auto"/>
              </w:rPr>
            </w:pPr>
            <w:r>
              <w:rPr>
                <w:rFonts w:ascii="Arial" w:cs="Arial" w:eastAsia="Arial" w:hAnsi="Arial"/>
                <w:sz w:val="14"/>
                <w:szCs w:val="14"/>
                <w:color w:val="auto"/>
              </w:rPr>
              <w:t>securities</w:t>
            </w: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9"/>
              <w:spacing w:after="0" w:line="157" w:lineRule="exact"/>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w:t>
            </w:r>
          </w:p>
        </w:tc>
      </w:tr>
      <w:tr>
        <w:trPr>
          <w:trHeight w:val="180"/>
        </w:trPr>
        <w:tc>
          <w:tcPr>
            <w:tcW w:w="2760" w:type="dxa"/>
            <w:vAlign w:val="bottom"/>
          </w:tcPr>
          <w:p>
            <w:pPr>
              <w:spacing w:after="0"/>
              <w:rPr>
                <w:sz w:val="20"/>
                <w:szCs w:val="20"/>
                <w:color w:val="auto"/>
              </w:rPr>
            </w:pPr>
            <w:r>
              <w:rPr>
                <w:rFonts w:ascii="Arial" w:cs="Arial" w:eastAsia="Arial" w:hAnsi="Arial"/>
                <w:sz w:val="14"/>
                <w:szCs w:val="14"/>
                <w:color w:val="auto"/>
              </w:rPr>
              <w:t>Reclassification due to the adoption of</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57"/>
        </w:trPr>
        <w:tc>
          <w:tcPr>
            <w:tcW w:w="2760" w:type="dxa"/>
            <w:vAlign w:val="bottom"/>
            <w:tcBorders>
              <w:bottom w:val="single" w:sz="8" w:color="auto"/>
            </w:tcBorders>
          </w:tcPr>
          <w:p>
            <w:pPr>
              <w:ind w:left="80"/>
              <w:spacing w:after="0" w:line="157" w:lineRule="exact"/>
              <w:rPr>
                <w:sz w:val="20"/>
                <w:szCs w:val="20"/>
                <w:color w:val="auto"/>
              </w:rPr>
            </w:pPr>
            <w:r>
              <w:rPr>
                <w:rFonts w:ascii="Arial" w:cs="Arial" w:eastAsia="Arial" w:hAnsi="Arial"/>
                <w:sz w:val="14"/>
                <w:szCs w:val="14"/>
                <w:color w:val="auto"/>
              </w:rPr>
              <w:t>ASU 2018-02</w:t>
            </w:r>
          </w:p>
        </w:tc>
        <w:tc>
          <w:tcPr>
            <w:tcW w:w="9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41</w:t>
            </w: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(41)</w:t>
            </w: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r>
      <w:tr>
        <w:trPr>
          <w:trHeight w:val="183"/>
        </w:trPr>
        <w:tc>
          <w:tcPr>
            <w:tcW w:w="2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Balance at February 3, 2018</w:t>
            </w:r>
          </w:p>
        </w:tc>
        <w:tc>
          <w:tcPr>
            <w:tcW w:w="9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121,262</w:t>
            </w: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842</w:t>
            </w: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(1,433)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(63)</w:t>
            </w:r>
          </w:p>
        </w:tc>
        <w:tc>
          <w:tcPr>
            <w:tcW w:w="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2,519</w:t>
            </w:r>
          </w:p>
        </w:tc>
      </w:tr>
    </w:tbl>
    <w:p>
      <w:pPr>
        <w:spacing w:after="0" w:line="21" w:lineRule="exact"/>
        <w:rPr>
          <w:sz w:val="20"/>
          <w:szCs w:val="20"/>
          <w:color w:val="auto"/>
        </w:rPr>
      </w:pPr>
    </w:p>
    <w:p>
      <w:pPr>
        <w:ind w:left="2180"/>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56"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56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2017</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2016 *</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97"/>
              </w:rPr>
              <w:t>2015 *</w:t>
            </w:r>
          </w:p>
        </w:tc>
        <w:tc>
          <w:tcPr>
            <w:tcW w:w="0" w:type="dxa"/>
            <w:vAlign w:val="bottom"/>
          </w:tcPr>
          <w:p>
            <w:pPr>
              <w:spacing w:after="0"/>
              <w:rPr>
                <w:sz w:val="1"/>
                <w:szCs w:val="1"/>
                <w:color w:val="auto"/>
              </w:rPr>
            </w:pPr>
          </w:p>
        </w:tc>
      </w:tr>
      <w:tr>
        <w:trPr>
          <w:trHeight w:val="219"/>
        </w:trPr>
        <w:tc>
          <w:tcPr>
            <w:tcW w:w="5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in millions)</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600" w:type="dxa"/>
            <w:vAlign w:val="bottom"/>
          </w:tcPr>
          <w:p>
            <w:pPr>
              <w:spacing w:after="0"/>
              <w:rPr>
                <w:sz w:val="20"/>
                <w:szCs w:val="20"/>
                <w:color w:val="auto"/>
              </w:rPr>
            </w:pPr>
            <w:r>
              <w:rPr>
                <w:rFonts w:ascii="Arial" w:cs="Arial" w:eastAsia="Arial" w:hAnsi="Arial"/>
                <w:sz w:val="17"/>
                <w:szCs w:val="17"/>
                <w:b w:val="1"/>
                <w:bCs w:val="1"/>
                <w:color w:val="auto"/>
              </w:rPr>
              <w:t>From operating activities:</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Net income</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284</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664</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541</w:t>
            </w:r>
          </w:p>
        </w:tc>
        <w:tc>
          <w:tcPr>
            <w:tcW w:w="0" w:type="dxa"/>
            <w:vAlign w:val="bottom"/>
          </w:tcPr>
          <w:p>
            <w:pPr>
              <w:spacing w:after="0"/>
              <w:rPr>
                <w:sz w:val="1"/>
                <w:szCs w:val="1"/>
                <w:color w:val="auto"/>
              </w:rPr>
            </w:pPr>
          </w:p>
        </w:tc>
      </w:tr>
      <w:tr>
        <w:trPr>
          <w:trHeight w:val="210"/>
        </w:trPr>
        <w:tc>
          <w:tcPr>
            <w:tcW w:w="5600" w:type="dxa"/>
            <w:vAlign w:val="bottom"/>
          </w:tcPr>
          <w:p>
            <w:pPr>
              <w:ind w:left="120"/>
              <w:spacing w:after="0"/>
              <w:rPr>
                <w:sz w:val="20"/>
                <w:szCs w:val="20"/>
                <w:color w:val="auto"/>
              </w:rPr>
            </w:pPr>
            <w:r>
              <w:rPr>
                <w:rFonts w:ascii="Arial" w:cs="Arial" w:eastAsia="Arial" w:hAnsi="Arial"/>
                <w:sz w:val="17"/>
                <w:szCs w:val="17"/>
                <w:color w:val="auto"/>
              </w:rPr>
              <w:t>Adjustments to reconcile net income to net cash provided by operating</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600" w:type="dxa"/>
            <w:vAlign w:val="bottom"/>
          </w:tcPr>
          <w:p>
            <w:pPr>
              <w:ind w:left="160"/>
              <w:spacing w:after="0"/>
              <w:rPr>
                <w:sz w:val="20"/>
                <w:szCs w:val="20"/>
                <w:color w:val="auto"/>
              </w:rPr>
            </w:pPr>
            <w:r>
              <w:rPr>
                <w:rFonts w:ascii="Arial" w:cs="Arial" w:eastAsia="Arial" w:hAnsi="Arial"/>
                <w:sz w:val="17"/>
                <w:szCs w:val="17"/>
                <w:color w:val="auto"/>
              </w:rPr>
              <w:t>activities:</w:t>
            </w: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Non-cash impairment charges</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20</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6</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6"/>
        </w:trPr>
        <w:tc>
          <w:tcPr>
            <w:tcW w:w="5600" w:type="dxa"/>
            <w:vAlign w:val="bottom"/>
          </w:tcPr>
          <w:p>
            <w:pPr>
              <w:ind w:left="220"/>
              <w:spacing w:after="0"/>
              <w:rPr>
                <w:sz w:val="20"/>
                <w:szCs w:val="20"/>
                <w:color w:val="auto"/>
              </w:rPr>
            </w:pPr>
            <w:r>
              <w:rPr>
                <w:rFonts w:ascii="Arial" w:cs="Arial" w:eastAsia="Arial" w:hAnsi="Arial"/>
                <w:sz w:val="17"/>
                <w:szCs w:val="17"/>
                <w:color w:val="auto"/>
              </w:rPr>
              <w:t>Depreciation and amortization</w:t>
            </w:r>
          </w:p>
        </w:tc>
        <w:tc>
          <w:tcPr>
            <w:tcW w:w="300" w:type="dxa"/>
            <w:vAlign w:val="bottom"/>
          </w:tcPr>
          <w:p>
            <w:pPr>
              <w:spacing w:after="0"/>
              <w:rPr>
                <w:sz w:val="18"/>
                <w:szCs w:val="18"/>
                <w:color w:val="auto"/>
              </w:rPr>
            </w:pPr>
          </w:p>
        </w:tc>
        <w:tc>
          <w:tcPr>
            <w:tcW w:w="760" w:type="dxa"/>
            <w:vAlign w:val="bottom"/>
          </w:tcPr>
          <w:p>
            <w:pPr>
              <w:jc w:val="right"/>
              <w:ind w:right="35"/>
              <w:spacing w:after="0"/>
              <w:rPr>
                <w:sz w:val="20"/>
                <w:szCs w:val="20"/>
                <w:color w:val="auto"/>
              </w:rPr>
            </w:pPr>
            <w:r>
              <w:rPr>
                <w:rFonts w:ascii="Arial" w:cs="Arial" w:eastAsia="Arial" w:hAnsi="Arial"/>
                <w:sz w:val="17"/>
                <w:szCs w:val="17"/>
                <w:b w:val="1"/>
                <w:bCs w:val="1"/>
                <w:color w:val="auto"/>
              </w:rPr>
              <w:t>173</w:t>
            </w:r>
          </w:p>
        </w:tc>
        <w:tc>
          <w:tcPr>
            <w:tcW w:w="260" w:type="dxa"/>
            <w:vAlign w:val="bottom"/>
          </w:tcPr>
          <w:p>
            <w:pPr>
              <w:spacing w:after="0"/>
              <w:rPr>
                <w:sz w:val="18"/>
                <w:szCs w:val="18"/>
                <w:color w:val="auto"/>
              </w:rPr>
            </w:pPr>
          </w:p>
        </w:tc>
        <w:tc>
          <w:tcPr>
            <w:tcW w:w="960" w:type="dxa"/>
            <w:vAlign w:val="bottom"/>
          </w:tcPr>
          <w:p>
            <w:pPr>
              <w:jc w:val="right"/>
              <w:ind w:right="135"/>
              <w:spacing w:after="0"/>
              <w:rPr>
                <w:sz w:val="20"/>
                <w:szCs w:val="20"/>
                <w:color w:val="auto"/>
              </w:rPr>
            </w:pPr>
            <w:r>
              <w:rPr>
                <w:rFonts w:ascii="Arial" w:cs="Arial" w:eastAsia="Arial" w:hAnsi="Arial"/>
                <w:sz w:val="17"/>
                <w:szCs w:val="17"/>
                <w:color w:val="auto"/>
              </w:rPr>
              <w:t>158</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148</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Deferred income taxes</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105</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6"/>
        </w:trPr>
        <w:tc>
          <w:tcPr>
            <w:tcW w:w="5600" w:type="dxa"/>
            <w:vAlign w:val="bottom"/>
          </w:tcPr>
          <w:p>
            <w:pPr>
              <w:ind w:left="220"/>
              <w:spacing w:after="0"/>
              <w:rPr>
                <w:sz w:val="20"/>
                <w:szCs w:val="20"/>
                <w:color w:val="auto"/>
              </w:rPr>
            </w:pPr>
            <w:r>
              <w:rPr>
                <w:rFonts w:ascii="Arial" w:cs="Arial" w:eastAsia="Arial" w:hAnsi="Arial"/>
                <w:sz w:val="17"/>
                <w:szCs w:val="17"/>
                <w:color w:val="auto"/>
              </w:rPr>
              <w:t>Share-based compensation expense</w:t>
            </w:r>
          </w:p>
        </w:tc>
        <w:tc>
          <w:tcPr>
            <w:tcW w:w="300" w:type="dxa"/>
            <w:vAlign w:val="bottom"/>
          </w:tcPr>
          <w:p>
            <w:pPr>
              <w:spacing w:after="0"/>
              <w:rPr>
                <w:sz w:val="18"/>
                <w:szCs w:val="18"/>
                <w:color w:val="auto"/>
              </w:rPr>
            </w:pPr>
          </w:p>
        </w:tc>
        <w:tc>
          <w:tcPr>
            <w:tcW w:w="760" w:type="dxa"/>
            <w:vAlign w:val="bottom"/>
          </w:tcPr>
          <w:p>
            <w:pPr>
              <w:jc w:val="right"/>
              <w:ind w:right="35"/>
              <w:spacing w:after="0"/>
              <w:rPr>
                <w:sz w:val="20"/>
                <w:szCs w:val="20"/>
                <w:color w:val="auto"/>
              </w:rPr>
            </w:pPr>
            <w:r>
              <w:rPr>
                <w:rFonts w:ascii="Arial" w:cs="Arial" w:eastAsia="Arial" w:hAnsi="Arial"/>
                <w:sz w:val="17"/>
                <w:szCs w:val="17"/>
                <w:b w:val="1"/>
                <w:bCs w:val="1"/>
                <w:color w:val="auto"/>
              </w:rPr>
              <w:t>15</w:t>
            </w:r>
          </w:p>
        </w:tc>
        <w:tc>
          <w:tcPr>
            <w:tcW w:w="260" w:type="dxa"/>
            <w:vAlign w:val="bottom"/>
          </w:tcPr>
          <w:p>
            <w:pPr>
              <w:spacing w:after="0"/>
              <w:rPr>
                <w:sz w:val="18"/>
                <w:szCs w:val="18"/>
                <w:color w:val="auto"/>
              </w:rPr>
            </w:pPr>
          </w:p>
        </w:tc>
        <w:tc>
          <w:tcPr>
            <w:tcW w:w="960" w:type="dxa"/>
            <w:vAlign w:val="bottom"/>
          </w:tcPr>
          <w:p>
            <w:pPr>
              <w:jc w:val="right"/>
              <w:ind w:right="135"/>
              <w:spacing w:after="0"/>
              <w:rPr>
                <w:sz w:val="20"/>
                <w:szCs w:val="20"/>
                <w:color w:val="auto"/>
              </w:rPr>
            </w:pPr>
            <w:r>
              <w:rPr>
                <w:rFonts w:ascii="Arial" w:cs="Arial" w:eastAsia="Arial" w:hAnsi="Arial"/>
                <w:sz w:val="17"/>
                <w:szCs w:val="17"/>
                <w:color w:val="auto"/>
              </w:rPr>
              <w:t>22</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Qualified pension plan contributions</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(25)</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(36)</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6"/>
        </w:trPr>
        <w:tc>
          <w:tcPr>
            <w:tcW w:w="5600" w:type="dxa"/>
            <w:vAlign w:val="bottom"/>
          </w:tcPr>
          <w:p>
            <w:pPr>
              <w:ind w:left="220"/>
              <w:spacing w:after="0"/>
              <w:rPr>
                <w:sz w:val="20"/>
                <w:szCs w:val="20"/>
                <w:color w:val="auto"/>
              </w:rPr>
            </w:pPr>
            <w:r>
              <w:rPr>
                <w:rFonts w:ascii="Arial" w:cs="Arial" w:eastAsia="Arial" w:hAnsi="Arial"/>
                <w:sz w:val="17"/>
                <w:szCs w:val="17"/>
                <w:color w:val="auto"/>
              </w:rPr>
              <w:t>Change in assets and liabilities:</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Merchandise inventories</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69</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(25)</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16"/>
        </w:trPr>
        <w:tc>
          <w:tcPr>
            <w:tcW w:w="5600" w:type="dxa"/>
            <w:vAlign w:val="bottom"/>
          </w:tcPr>
          <w:p>
            <w:pPr>
              <w:ind w:left="320"/>
              <w:spacing w:after="0"/>
              <w:rPr>
                <w:sz w:val="20"/>
                <w:szCs w:val="20"/>
                <w:color w:val="auto"/>
              </w:rPr>
            </w:pPr>
            <w:r>
              <w:rPr>
                <w:rFonts w:ascii="Arial" w:cs="Arial" w:eastAsia="Arial" w:hAnsi="Arial"/>
                <w:sz w:val="17"/>
                <w:szCs w:val="17"/>
                <w:color w:val="auto"/>
              </w:rPr>
              <w:t>Accounts payable</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18"/>
                <w:szCs w:val="18"/>
                <w:color w:val="auto"/>
              </w:rPr>
            </w:pPr>
          </w:p>
        </w:tc>
        <w:tc>
          <w:tcPr>
            <w:tcW w:w="960" w:type="dxa"/>
            <w:vAlign w:val="bottom"/>
          </w:tcPr>
          <w:p>
            <w:pPr>
              <w:jc w:val="right"/>
              <w:ind w:right="95"/>
              <w:spacing w:after="0"/>
              <w:rPr>
                <w:sz w:val="20"/>
                <w:szCs w:val="20"/>
                <w:color w:val="auto"/>
              </w:rPr>
            </w:pPr>
            <w:r>
              <w:rPr>
                <w:rFonts w:ascii="Arial" w:cs="Arial" w:eastAsia="Arial" w:hAnsi="Arial"/>
                <w:sz w:val="17"/>
                <w:szCs w:val="17"/>
                <w:color w:val="auto"/>
              </w:rPr>
              <w:t>(31)</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Accrued and other liabilities</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(30)</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27</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5600" w:type="dxa"/>
            <w:vAlign w:val="bottom"/>
          </w:tcPr>
          <w:p>
            <w:pPr>
              <w:ind w:left="320"/>
              <w:spacing w:after="0"/>
              <w:rPr>
                <w:sz w:val="20"/>
                <w:szCs w:val="20"/>
                <w:color w:val="auto"/>
              </w:rPr>
            </w:pPr>
            <w:r>
              <w:rPr>
                <w:rFonts w:ascii="Arial" w:cs="Arial" w:eastAsia="Arial" w:hAnsi="Arial"/>
                <w:sz w:val="17"/>
                <w:szCs w:val="17"/>
                <w:color w:val="auto"/>
              </w:rPr>
              <w:t>Pension litigation accrual</w:t>
            </w:r>
          </w:p>
        </w:tc>
        <w:tc>
          <w:tcPr>
            <w:tcW w:w="300" w:type="dxa"/>
            <w:vAlign w:val="bottom"/>
          </w:tcPr>
          <w:p>
            <w:pPr>
              <w:spacing w:after="0"/>
              <w:rPr>
                <w:sz w:val="18"/>
                <w:szCs w:val="18"/>
                <w:color w:val="auto"/>
              </w:rPr>
            </w:pPr>
          </w:p>
        </w:tc>
        <w:tc>
          <w:tcPr>
            <w:tcW w:w="760" w:type="dxa"/>
            <w:vAlign w:val="bottom"/>
          </w:tcPr>
          <w:p>
            <w:pPr>
              <w:jc w:val="right"/>
              <w:ind w:right="35"/>
              <w:spacing w:after="0"/>
              <w:rPr>
                <w:sz w:val="20"/>
                <w:szCs w:val="20"/>
                <w:color w:val="auto"/>
              </w:rPr>
            </w:pPr>
            <w:r>
              <w:rPr>
                <w:rFonts w:ascii="Arial" w:cs="Arial" w:eastAsia="Arial" w:hAnsi="Arial"/>
                <w:sz w:val="17"/>
                <w:szCs w:val="17"/>
                <w:b w:val="1"/>
                <w:bCs w:val="1"/>
                <w:color w:val="auto"/>
              </w:rPr>
              <w:t>178</w:t>
            </w:r>
          </w:p>
        </w:tc>
        <w:tc>
          <w:tcPr>
            <w:tcW w:w="260" w:type="dxa"/>
            <w:vAlign w:val="bottom"/>
          </w:tcPr>
          <w:p>
            <w:pPr>
              <w:spacing w:after="0"/>
              <w:rPr>
                <w:sz w:val="18"/>
                <w:szCs w:val="18"/>
                <w:color w:val="auto"/>
              </w:rPr>
            </w:pPr>
          </w:p>
        </w:tc>
        <w:tc>
          <w:tcPr>
            <w:tcW w:w="96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6"/>
        </w:trPr>
        <w:tc>
          <w:tcPr>
            <w:tcW w:w="56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7"/>
                <w:szCs w:val="17"/>
                <w:color w:val="auto"/>
              </w:rPr>
              <w:t>Other, net</w:t>
            </w: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24</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60</w:t>
            </w: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196"/>
        </w:trPr>
        <w:tc>
          <w:tcPr>
            <w:tcW w:w="5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Net cash provided by operating activities</w:t>
            </w: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813</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844</w:t>
            </w: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791</w:t>
            </w:r>
          </w:p>
        </w:tc>
        <w:tc>
          <w:tcPr>
            <w:tcW w:w="0" w:type="dxa"/>
            <w:vAlign w:val="bottom"/>
          </w:tcPr>
          <w:p>
            <w:pPr>
              <w:spacing w:after="0"/>
              <w:rPr>
                <w:sz w:val="1"/>
                <w:szCs w:val="1"/>
                <w:color w:val="auto"/>
              </w:rPr>
            </w:pPr>
          </w:p>
        </w:tc>
      </w:tr>
      <w:tr>
        <w:trPr>
          <w:trHeight w:val="196"/>
        </w:trPr>
        <w:tc>
          <w:tcPr>
            <w:tcW w:w="5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7"/>
                <w:szCs w:val="17"/>
                <w:b w:val="1"/>
                <w:bCs w:val="1"/>
                <w:color w:val="auto"/>
              </w:rPr>
              <w:t>From investing activities:</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Capital expenditures</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(274)</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(266)</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w:t>
            </w:r>
          </w:p>
        </w:tc>
        <w:tc>
          <w:tcPr>
            <w:tcW w:w="0" w:type="dxa"/>
            <w:vAlign w:val="bottom"/>
          </w:tcPr>
          <w:p>
            <w:pPr>
              <w:spacing w:after="0"/>
              <w:rPr>
                <w:sz w:val="1"/>
                <w:szCs w:val="1"/>
                <w:color w:val="auto"/>
              </w:rPr>
            </w:pPr>
          </w:p>
        </w:tc>
      </w:tr>
      <w:tr>
        <w:trPr>
          <w:trHeight w:val="216"/>
        </w:trPr>
        <w:tc>
          <w:tcPr>
            <w:tcW w:w="5600" w:type="dxa"/>
            <w:vAlign w:val="bottom"/>
          </w:tcPr>
          <w:p>
            <w:pPr>
              <w:ind w:left="120"/>
              <w:spacing w:after="0"/>
              <w:rPr>
                <w:sz w:val="20"/>
                <w:szCs w:val="20"/>
                <w:color w:val="auto"/>
              </w:rPr>
            </w:pPr>
            <w:r>
              <w:rPr>
                <w:rFonts w:ascii="Arial" w:cs="Arial" w:eastAsia="Arial" w:hAnsi="Arial"/>
                <w:sz w:val="17"/>
                <w:szCs w:val="17"/>
                <w:color w:val="auto"/>
              </w:rPr>
              <w:t>Cash paid for a cost method investment</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(15)</w:t>
            </w:r>
          </w:p>
        </w:tc>
        <w:tc>
          <w:tcPr>
            <w:tcW w:w="260" w:type="dxa"/>
            <w:vAlign w:val="bottom"/>
          </w:tcPr>
          <w:p>
            <w:pPr>
              <w:spacing w:after="0"/>
              <w:rPr>
                <w:sz w:val="18"/>
                <w:szCs w:val="18"/>
                <w:color w:val="auto"/>
              </w:rPr>
            </w:pPr>
          </w:p>
        </w:tc>
        <w:tc>
          <w:tcPr>
            <w:tcW w:w="96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56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Purchase of business, net of cash acquired</w:t>
            </w: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96"/>
        </w:trPr>
        <w:tc>
          <w:tcPr>
            <w:tcW w:w="5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Net cash used in investing activities</w:t>
            </w: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(289)</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(266)</w:t>
            </w: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(230)</w:t>
            </w:r>
          </w:p>
        </w:tc>
        <w:tc>
          <w:tcPr>
            <w:tcW w:w="0" w:type="dxa"/>
            <w:vAlign w:val="bottom"/>
          </w:tcPr>
          <w:p>
            <w:pPr>
              <w:spacing w:after="0"/>
              <w:rPr>
                <w:sz w:val="1"/>
                <w:szCs w:val="1"/>
                <w:color w:val="auto"/>
              </w:rPr>
            </w:pPr>
          </w:p>
        </w:tc>
      </w:tr>
      <w:tr>
        <w:trPr>
          <w:trHeight w:val="196"/>
        </w:trPr>
        <w:tc>
          <w:tcPr>
            <w:tcW w:w="5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7"/>
                <w:szCs w:val="17"/>
                <w:b w:val="1"/>
                <w:bCs w:val="1"/>
                <w:color w:val="auto"/>
              </w:rPr>
              <w:t>From financing activities:</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Purchase of treasury shares</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(467)</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(432)</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w:t>
            </w:r>
          </w:p>
        </w:tc>
        <w:tc>
          <w:tcPr>
            <w:tcW w:w="0" w:type="dxa"/>
            <w:vAlign w:val="bottom"/>
          </w:tcPr>
          <w:p>
            <w:pPr>
              <w:spacing w:after="0"/>
              <w:rPr>
                <w:sz w:val="1"/>
                <w:szCs w:val="1"/>
                <w:color w:val="auto"/>
              </w:rPr>
            </w:pPr>
          </w:p>
        </w:tc>
      </w:tr>
      <w:tr>
        <w:trPr>
          <w:trHeight w:val="216"/>
        </w:trPr>
        <w:tc>
          <w:tcPr>
            <w:tcW w:w="5600" w:type="dxa"/>
            <w:vAlign w:val="bottom"/>
          </w:tcPr>
          <w:p>
            <w:pPr>
              <w:ind w:left="120"/>
              <w:spacing w:after="0"/>
              <w:rPr>
                <w:sz w:val="20"/>
                <w:szCs w:val="20"/>
                <w:color w:val="auto"/>
              </w:rPr>
            </w:pPr>
            <w:r>
              <w:rPr>
                <w:rFonts w:ascii="Arial" w:cs="Arial" w:eastAsia="Arial" w:hAnsi="Arial"/>
                <w:sz w:val="17"/>
                <w:szCs w:val="17"/>
                <w:color w:val="auto"/>
              </w:rPr>
              <w:t>Dividends paid on common stock</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(157)</w:t>
            </w:r>
          </w:p>
        </w:tc>
        <w:tc>
          <w:tcPr>
            <w:tcW w:w="260" w:type="dxa"/>
            <w:vAlign w:val="bottom"/>
          </w:tcPr>
          <w:p>
            <w:pPr>
              <w:spacing w:after="0"/>
              <w:rPr>
                <w:sz w:val="18"/>
                <w:szCs w:val="18"/>
                <w:color w:val="auto"/>
              </w:rPr>
            </w:pPr>
          </w:p>
        </w:tc>
        <w:tc>
          <w:tcPr>
            <w:tcW w:w="960" w:type="dxa"/>
            <w:vAlign w:val="bottom"/>
          </w:tcPr>
          <w:p>
            <w:pPr>
              <w:jc w:val="right"/>
              <w:ind w:right="95"/>
              <w:spacing w:after="0"/>
              <w:rPr>
                <w:sz w:val="20"/>
                <w:szCs w:val="20"/>
                <w:color w:val="auto"/>
              </w:rPr>
            </w:pPr>
            <w:r>
              <w:rPr>
                <w:rFonts w:ascii="Arial" w:cs="Arial" w:eastAsia="Arial" w:hAnsi="Arial"/>
                <w:sz w:val="17"/>
                <w:szCs w:val="17"/>
                <w:color w:val="auto"/>
              </w:rPr>
              <w:t>(147)</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Proceeds from exercise of stock options</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13</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29</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16"/>
        </w:trPr>
        <w:tc>
          <w:tcPr>
            <w:tcW w:w="5600" w:type="dxa"/>
            <w:vAlign w:val="bottom"/>
          </w:tcPr>
          <w:p>
            <w:pPr>
              <w:ind w:left="120"/>
              <w:spacing w:after="0"/>
              <w:rPr>
                <w:sz w:val="20"/>
                <w:szCs w:val="20"/>
                <w:color w:val="auto"/>
              </w:rPr>
            </w:pPr>
            <w:r>
              <w:rPr>
                <w:rFonts w:ascii="Arial" w:cs="Arial" w:eastAsia="Arial" w:hAnsi="Arial"/>
                <w:sz w:val="17"/>
                <w:szCs w:val="17"/>
                <w:color w:val="auto"/>
              </w:rPr>
              <w:t>Treasury stock reissued under employee stock plan</w:t>
            </w:r>
          </w:p>
        </w:tc>
        <w:tc>
          <w:tcPr>
            <w:tcW w:w="300" w:type="dxa"/>
            <w:vAlign w:val="bottom"/>
          </w:tcPr>
          <w:p>
            <w:pPr>
              <w:spacing w:after="0"/>
              <w:rPr>
                <w:sz w:val="18"/>
                <w:szCs w:val="18"/>
                <w:color w:val="auto"/>
              </w:rPr>
            </w:pPr>
          </w:p>
        </w:tc>
        <w:tc>
          <w:tcPr>
            <w:tcW w:w="760" w:type="dxa"/>
            <w:vAlign w:val="bottom"/>
          </w:tcPr>
          <w:p>
            <w:pPr>
              <w:jc w:val="right"/>
              <w:ind w:right="35"/>
              <w:spacing w:after="0"/>
              <w:rPr>
                <w:sz w:val="20"/>
                <w:szCs w:val="20"/>
                <w:color w:val="auto"/>
              </w:rPr>
            </w:pPr>
            <w:r>
              <w:rPr>
                <w:rFonts w:ascii="Arial" w:cs="Arial" w:eastAsia="Arial" w:hAnsi="Arial"/>
                <w:sz w:val="17"/>
                <w:szCs w:val="17"/>
                <w:b w:val="1"/>
                <w:bCs w:val="1"/>
                <w:color w:val="auto"/>
              </w:rPr>
              <w:t>5</w:t>
            </w:r>
          </w:p>
        </w:tc>
        <w:tc>
          <w:tcPr>
            <w:tcW w:w="260" w:type="dxa"/>
            <w:vAlign w:val="bottom"/>
          </w:tcPr>
          <w:p>
            <w:pPr>
              <w:spacing w:after="0"/>
              <w:rPr>
                <w:sz w:val="18"/>
                <w:szCs w:val="18"/>
                <w:color w:val="auto"/>
              </w:rPr>
            </w:pPr>
          </w:p>
        </w:tc>
        <w:tc>
          <w:tcPr>
            <w:tcW w:w="960" w:type="dxa"/>
            <w:vAlign w:val="bottom"/>
          </w:tcPr>
          <w:p>
            <w:pPr>
              <w:jc w:val="right"/>
              <w:ind w:right="135"/>
              <w:spacing w:after="0"/>
              <w:rPr>
                <w:sz w:val="20"/>
                <w:szCs w:val="20"/>
                <w:color w:val="auto"/>
              </w:rPr>
            </w:pPr>
            <w:r>
              <w:rPr>
                <w:rFonts w:ascii="Arial" w:cs="Arial" w:eastAsia="Arial" w:hAnsi="Arial"/>
                <w:sz w:val="17"/>
                <w:szCs w:val="17"/>
                <w:color w:val="auto"/>
              </w:rPr>
              <w:t>4</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83"/>
        </w:trPr>
        <w:tc>
          <w:tcPr>
            <w:tcW w:w="5600" w:type="dxa"/>
            <w:vAlign w:val="bottom"/>
            <w:shd w:val="clear" w:color="auto" w:fill="CCEEFF"/>
          </w:tcPr>
          <w:p>
            <w:pPr>
              <w:ind w:left="120"/>
              <w:spacing w:after="0" w:line="183" w:lineRule="exact"/>
              <w:rPr>
                <w:sz w:val="20"/>
                <w:szCs w:val="20"/>
                <w:color w:val="auto"/>
              </w:rPr>
            </w:pPr>
            <w:r>
              <w:rPr>
                <w:rFonts w:ascii="Arial" w:cs="Arial" w:eastAsia="Arial" w:hAnsi="Arial"/>
                <w:sz w:val="17"/>
                <w:szCs w:val="17"/>
                <w:color w:val="auto"/>
              </w:rPr>
              <w:t>Shares of common stock repurchased to satisfy tax withholding</w:t>
            </w:r>
          </w:p>
        </w:tc>
        <w:tc>
          <w:tcPr>
            <w:tcW w:w="3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(10)</w:t>
            </w: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6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obligations</w:t>
            </w:r>
          </w:p>
        </w:tc>
        <w:tc>
          <w:tcPr>
            <w:tcW w:w="3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(7)</w:t>
            </w: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16"/>
        </w:trPr>
        <w:tc>
          <w:tcPr>
            <w:tcW w:w="5600" w:type="dxa"/>
            <w:vAlign w:val="bottom"/>
          </w:tcPr>
          <w:p>
            <w:pPr>
              <w:ind w:left="120"/>
              <w:spacing w:after="0"/>
              <w:rPr>
                <w:sz w:val="20"/>
                <w:szCs w:val="20"/>
                <w:color w:val="auto"/>
              </w:rPr>
            </w:pPr>
            <w:r>
              <w:rPr>
                <w:rFonts w:ascii="Arial" w:cs="Arial" w:eastAsia="Arial" w:hAnsi="Arial"/>
                <w:sz w:val="17"/>
                <w:szCs w:val="17"/>
                <w:color w:val="auto"/>
              </w:rPr>
              <w:t>Payment of revolving credit agreement costs</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18"/>
                <w:szCs w:val="18"/>
                <w:color w:val="auto"/>
              </w:rPr>
            </w:pPr>
          </w:p>
        </w:tc>
        <w:tc>
          <w:tcPr>
            <w:tcW w:w="960" w:type="dxa"/>
            <w:vAlign w:val="bottom"/>
          </w:tcPr>
          <w:p>
            <w:pPr>
              <w:jc w:val="right"/>
              <w:ind w:right="95"/>
              <w:spacing w:after="0"/>
              <w:rPr>
                <w:sz w:val="20"/>
                <w:szCs w:val="20"/>
                <w:color w:val="auto"/>
              </w:rPr>
            </w:pPr>
            <w:r>
              <w:rPr>
                <w:rFonts w:ascii="Arial" w:cs="Arial" w:eastAsia="Arial" w:hAnsi="Arial"/>
                <w:sz w:val="17"/>
                <w:szCs w:val="17"/>
                <w:color w:val="auto"/>
              </w:rPr>
              <w:t>(2)</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56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Reduction in obligations under capital leases</w:t>
            </w: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(1)</w:t>
            </w: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96"/>
        </w:trPr>
        <w:tc>
          <w:tcPr>
            <w:tcW w:w="5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Net cash used in financing activities</w:t>
            </w: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(616)</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(556)</w:t>
            </w: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183"/>
        </w:trPr>
        <w:tc>
          <w:tcPr>
            <w:tcW w:w="5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5600" w:type="dxa"/>
            <w:vAlign w:val="bottom"/>
          </w:tcPr>
          <w:p>
            <w:pPr>
              <w:spacing w:after="0"/>
              <w:rPr>
                <w:sz w:val="20"/>
                <w:szCs w:val="20"/>
                <w:color w:val="auto"/>
              </w:rPr>
            </w:pPr>
            <w:r>
              <w:rPr>
                <w:rFonts w:ascii="Arial" w:cs="Arial" w:eastAsia="Arial" w:hAnsi="Arial"/>
                <w:sz w:val="17"/>
                <w:szCs w:val="17"/>
                <w:color w:val="auto"/>
              </w:rPr>
              <w:t>Effect of exchange rate fluctuations on cash, cash equivalents, and</w:t>
            </w:r>
          </w:p>
        </w:tc>
        <w:tc>
          <w:tcPr>
            <w:tcW w:w="300" w:type="dxa"/>
            <w:vAlign w:val="bottom"/>
          </w:tcPr>
          <w:p>
            <w:pPr>
              <w:spacing w:after="0"/>
              <w:rPr>
                <w:sz w:val="22"/>
                <w:szCs w:val="22"/>
                <w:color w:val="auto"/>
              </w:rPr>
            </w:pPr>
          </w:p>
        </w:tc>
        <w:tc>
          <w:tcPr>
            <w:tcW w:w="76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50</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56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restricted cash</w:t>
            </w: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3</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Net change in cash, cash equivalents, and restricted cash</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(42)</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25</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Cash, cash equivalents, and restricted cash at beginning of year</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1,073</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1,048</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993</w:t>
            </w:r>
          </w:p>
        </w:tc>
        <w:tc>
          <w:tcPr>
            <w:tcW w:w="0" w:type="dxa"/>
            <w:vAlign w:val="bottom"/>
          </w:tcPr>
          <w:p>
            <w:pPr>
              <w:spacing w:after="0"/>
              <w:rPr>
                <w:sz w:val="1"/>
                <w:szCs w:val="1"/>
                <w:color w:val="auto"/>
              </w:rPr>
            </w:pPr>
          </w:p>
        </w:tc>
      </w:tr>
      <w:tr>
        <w:trPr>
          <w:trHeight w:val="203"/>
        </w:trPr>
        <w:tc>
          <w:tcPr>
            <w:tcW w:w="5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Cash, cash equivalents, and restricted cash at end of year</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1,031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1,073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1,048</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paid during the year:</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120"/>
              <w:spacing w:after="0"/>
              <w:rPr>
                <w:sz w:val="20"/>
                <w:szCs w:val="20"/>
                <w:color w:val="auto"/>
              </w:rPr>
            </w:pPr>
            <w:r>
              <w:rPr>
                <w:rFonts w:ascii="Arial" w:cs="Arial" w:eastAsia="Arial" w:hAnsi="Arial"/>
                <w:sz w:val="17"/>
                <w:szCs w:val="17"/>
                <w:color w:val="auto"/>
              </w:rPr>
              <w:t>Interest</w:t>
            </w:r>
          </w:p>
        </w:tc>
        <w:tc>
          <w:tcPr>
            <w:tcW w:w="3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760" w:type="dxa"/>
            <w:vAlign w:val="bottom"/>
          </w:tcPr>
          <w:p>
            <w:pPr>
              <w:jc w:val="right"/>
              <w:ind w:right="35"/>
              <w:spacing w:after="0"/>
              <w:rPr>
                <w:sz w:val="20"/>
                <w:szCs w:val="20"/>
                <w:color w:val="auto"/>
              </w:rPr>
            </w:pPr>
            <w:r>
              <w:rPr>
                <w:rFonts w:ascii="Arial" w:cs="Arial" w:eastAsia="Arial" w:hAnsi="Arial"/>
                <w:sz w:val="17"/>
                <w:szCs w:val="17"/>
                <w:b w:val="1"/>
                <w:bCs w:val="1"/>
                <w:color w:val="auto"/>
              </w:rPr>
              <w:t>11</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35"/>
              <w:spacing w:after="0"/>
              <w:rPr>
                <w:sz w:val="20"/>
                <w:szCs w:val="20"/>
                <w:color w:val="auto"/>
              </w:rPr>
            </w:pPr>
            <w:r>
              <w:rPr>
                <w:rFonts w:ascii="Arial" w:cs="Arial" w:eastAsia="Arial" w:hAnsi="Arial"/>
                <w:sz w:val="17"/>
                <w:szCs w:val="17"/>
                <w:color w:val="auto"/>
              </w:rPr>
              <w:t>11</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Income taxes</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237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341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283</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183" w:lineRule="exact"/>
        <w:rPr>
          <w:sz w:val="20"/>
          <w:szCs w:val="20"/>
          <w:color w:val="auto"/>
        </w:rPr>
      </w:pPr>
    </w:p>
    <w:p>
      <w:pPr>
        <w:ind w:left="100" w:right="139" w:firstLine="5"/>
        <w:spacing w:after="0" w:line="230" w:lineRule="auto"/>
        <w:tabs>
          <w:tab w:leader="none" w:pos="184" w:val="left"/>
        </w:tabs>
        <w:numPr>
          <w:ilvl w:val="0"/>
          <w:numId w:val="16"/>
        </w:numPr>
        <w:rPr>
          <w:rFonts w:ascii="Arial" w:cs="Arial" w:eastAsia="Arial" w:hAnsi="Arial"/>
          <w:sz w:val="13"/>
          <w:szCs w:val="13"/>
          <w:color w:val="auto"/>
        </w:rPr>
      </w:pPr>
      <w:r>
        <w:rPr>
          <w:rFonts w:ascii="Arial" w:cs="Arial" w:eastAsia="Arial" w:hAnsi="Arial"/>
          <w:sz w:val="13"/>
          <w:szCs w:val="13"/>
          <w:color w:val="auto"/>
        </w:rPr>
        <w:t xml:space="preserve">Amounts for 2016 and 2015 have been revised from previously reported amounts to reflect the adoption of new accounting standards in 2017. For additional information, see Note 1, </w:t>
      </w:r>
      <w:r>
        <w:rPr>
          <w:rFonts w:ascii="Arial" w:cs="Arial" w:eastAsia="Arial" w:hAnsi="Arial"/>
          <w:sz w:val="13"/>
          <w:szCs w:val="13"/>
          <w:i w:val="1"/>
          <w:iCs w:val="1"/>
          <w:color w:val="auto"/>
        </w:rPr>
        <w:t>Summary of Significant Accounting Policies</w:t>
      </w:r>
      <w:r>
        <w:rPr>
          <w:rFonts w:ascii="Arial" w:cs="Arial" w:eastAsia="Arial" w:hAnsi="Arial"/>
          <w:sz w:val="13"/>
          <w:szCs w:val="13"/>
          <w:color w:val="auto"/>
        </w:rPr>
        <w: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83"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Basis of Presentation</w:t>
      </w:r>
    </w:p>
    <w:p>
      <w:pPr>
        <w:spacing w:after="0" w:line="201"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The consolidated financial statements include the accounts of Foot Locker, Inc. and its domestic and international subsidiaries (the “Company”), all of which are wholly owned. All significant intercompany amounts have been eliminated. The preparation of financial statements in conformity with U.S. generally accepted accounting principles requires management to make estimates and assumptions relating to the reporting of assets and liabilities and the disclosure of contingent liabilities at the date of the financial statements, and the reported amounts of revenues and expenses during the reporting period. Actual results may differ from those estimates.</w:t>
      </w:r>
    </w:p>
    <w:p>
      <w:pPr>
        <w:spacing w:after="0" w:line="157"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Reporting Year</w:t>
      </w:r>
    </w:p>
    <w:p>
      <w:pPr>
        <w:spacing w:after="0" w:line="201"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The fiscal year end for the Company is the Saturday closest to the last day in January. Fiscal year 2017 represents the 53 weeks ended February 3, 2018. Fiscal years 2016 and 2015 represented the 52 weeks ended January 28, 2017 and January 30, 2016, respectively. References to years in this annual report relate to fiscal years rather than calendar years.</w:t>
      </w:r>
    </w:p>
    <w:p>
      <w:pPr>
        <w:spacing w:after="0" w:line="159"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Revenue Recognition</w:t>
      </w:r>
    </w:p>
    <w:p>
      <w:pPr>
        <w:spacing w:after="0" w:line="201"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Revenue from retail stores is recognized at the point of sale when the product is delivered to customers. Internet and catalog sales revenue is recognized upon estimated product receipt by the customer. Sales include shipping and handling fees for all periods presented. Sales include merchandise, net of returns, and exclude taxes. The Company provides for estimated returns based on return history and sales levels. Revenue from layaway sales is recognized when the customer receives the product, rather than when the initial deposit is paid.</w:t>
      </w:r>
    </w:p>
    <w:p>
      <w:pPr>
        <w:spacing w:after="0" w:line="159" w:lineRule="exact"/>
        <w:rPr>
          <w:sz w:val="20"/>
          <w:szCs w:val="20"/>
          <w:color w:val="auto"/>
        </w:rPr>
      </w:pPr>
    </w:p>
    <w:p>
      <w:pPr>
        <w:jc w:val="both"/>
        <w:ind w:left="100" w:right="99"/>
        <w:spacing w:after="0" w:line="248" w:lineRule="auto"/>
        <w:rPr>
          <w:sz w:val="20"/>
          <w:szCs w:val="20"/>
          <w:color w:val="auto"/>
        </w:rPr>
      </w:pPr>
      <w:r>
        <w:rPr>
          <w:rFonts w:ascii="Arial" w:cs="Arial" w:eastAsia="Arial" w:hAnsi="Arial"/>
          <w:sz w:val="17"/>
          <w:szCs w:val="17"/>
          <w:color w:val="auto"/>
        </w:rPr>
        <w:t xml:space="preserve">Please see the </w:t>
      </w:r>
      <w:r>
        <w:rPr>
          <w:rFonts w:ascii="Arial" w:cs="Arial" w:eastAsia="Arial" w:hAnsi="Arial"/>
          <w:sz w:val="17"/>
          <w:szCs w:val="17"/>
          <w:i w:val="1"/>
          <w:iCs w:val="1"/>
          <w:color w:val="auto"/>
        </w:rPr>
        <w:t>Recent Accounting Pronouncements</w:t>
      </w:r>
      <w:r>
        <w:rPr>
          <w:rFonts w:ascii="Arial" w:cs="Arial" w:eastAsia="Arial" w:hAnsi="Arial"/>
          <w:sz w:val="17"/>
          <w:szCs w:val="17"/>
          <w:color w:val="auto"/>
        </w:rPr>
        <w:t xml:space="preserve"> section later in this note regarding the accounting changes relating to the 2018 adoption of Accounting Standards Update (“ASU”)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Customers.</w:t>
      </w:r>
    </w:p>
    <w:p>
      <w:pPr>
        <w:spacing w:after="0" w:line="150"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Gift Cards</w:t>
      </w:r>
    </w:p>
    <w:p>
      <w:pPr>
        <w:spacing w:after="0" w:line="201" w:lineRule="exact"/>
        <w:rPr>
          <w:sz w:val="20"/>
          <w:szCs w:val="20"/>
          <w:color w:val="auto"/>
        </w:rPr>
      </w:pPr>
    </w:p>
    <w:p>
      <w:pPr>
        <w:jc w:val="both"/>
        <w:ind w:left="100" w:right="99"/>
        <w:spacing w:after="0"/>
        <w:rPr>
          <w:sz w:val="20"/>
          <w:szCs w:val="20"/>
          <w:color w:val="auto"/>
        </w:rPr>
      </w:pPr>
      <w:r>
        <w:rPr>
          <w:rFonts w:ascii="Arial" w:cs="Arial" w:eastAsia="Arial" w:hAnsi="Arial"/>
          <w:sz w:val="17"/>
          <w:szCs w:val="17"/>
          <w:color w:val="auto"/>
        </w:rPr>
        <w:t>The Company sells gift cards to its customers, which do not have expiration dates. Revenue from gift card sales is recorded when the gift cards are redeemed or when the likelihood of the gift card being redeemed by the customer is remote and there is no legal obligation to remit the value of unredeemed gift cards to the relevant jurisdictions, referred to as breakage. The Company has determined its gift card breakage rate based upon historical redemption patterns. Historical experience indicates that after 12 months, the likelihood of redemption is deemed to be remote. Gift card breakage income is included in selling, general and administrative expenses and unredeemed gift cards are recorded as a current liability. Gift card breakage was $6 million for both 2017 and 2016, and was $5 million for 2015.</w:t>
      </w:r>
    </w:p>
    <w:p>
      <w:pPr>
        <w:spacing w:after="0" w:line="315" w:lineRule="exact"/>
        <w:rPr>
          <w:sz w:val="20"/>
          <w:szCs w:val="20"/>
          <w:color w:val="auto"/>
        </w:rPr>
      </w:pPr>
    </w:p>
    <w:p>
      <w:pPr>
        <w:jc w:val="both"/>
        <w:ind w:left="100" w:right="99"/>
        <w:spacing w:after="0" w:line="265" w:lineRule="auto"/>
        <w:rPr>
          <w:sz w:val="20"/>
          <w:szCs w:val="20"/>
          <w:color w:val="auto"/>
        </w:rPr>
      </w:pPr>
      <w:r>
        <w:rPr>
          <w:rFonts w:ascii="Arial" w:cs="Arial" w:eastAsia="Arial" w:hAnsi="Arial"/>
          <w:sz w:val="17"/>
          <w:szCs w:val="17"/>
          <w:color w:val="auto"/>
        </w:rPr>
        <w:t xml:space="preserve">Please see the </w:t>
      </w:r>
      <w:r>
        <w:rPr>
          <w:rFonts w:ascii="Arial" w:cs="Arial" w:eastAsia="Arial" w:hAnsi="Arial"/>
          <w:sz w:val="17"/>
          <w:szCs w:val="17"/>
          <w:i w:val="1"/>
          <w:iCs w:val="1"/>
          <w:color w:val="auto"/>
        </w:rPr>
        <w:t>Recent Accounting Pronouncements</w:t>
      </w:r>
      <w:r>
        <w:rPr>
          <w:rFonts w:ascii="Arial" w:cs="Arial" w:eastAsia="Arial" w:hAnsi="Arial"/>
          <w:sz w:val="17"/>
          <w:szCs w:val="17"/>
          <w:color w:val="auto"/>
        </w:rPr>
        <w:t xml:space="preserve"> section later in this note regarding the accounting changes relating to the 2018 adoption of ASU 2014-09, </w:t>
      </w:r>
      <w:r>
        <w:rPr>
          <w:rFonts w:ascii="Arial" w:cs="Arial" w:eastAsia="Arial" w:hAnsi="Arial"/>
          <w:sz w:val="17"/>
          <w:szCs w:val="17"/>
          <w:i w:val="1"/>
          <w:iCs w:val="1"/>
          <w:color w:val="auto"/>
        </w:rPr>
        <w:t>Revenue from Contracts with Customers.</w:t>
      </w:r>
    </w:p>
    <w:p>
      <w:pPr>
        <w:spacing w:after="0" w:line="136"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Store Pre-Opening and Closing Costs</w:t>
      </w:r>
    </w:p>
    <w:p>
      <w:pPr>
        <w:spacing w:after="0" w:line="201"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Store pre-opening costs are charged to expense as incurred. In the event a store is closed before its lease has expired, the estimated post-closing lease exit costs, less any sublease rental income, is provided for once the store ceases to be used.</w:t>
      </w:r>
    </w:p>
    <w:p>
      <w:pPr>
        <w:spacing w:after="0" w:line="157"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Advertising Costs and Sales Promotion</w:t>
      </w:r>
    </w:p>
    <w:p>
      <w:pPr>
        <w:spacing w:after="0" w:line="201"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Advertising and sales promotion costs are expensed at the time the advertising or promotion takes place, net of reimbursements for cooperative advertising. Advertising expenses also include advertising costs as required by some of the Company’s mall-based leases. Cooperative advertising reimbursements earned for the launch and promotion of certain products agreed upon with vendors are recorded in the same period as the associated expenses are incurred.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3"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Digital advertising costs are expensed as incurred, net of reimbursements for cooperative advertising. Digital advertising includes search engine marketing, such as display ads and keyword search terms, and other various forms of digital advertising. Reimbursement received in excess of expenses incurred related to specific, incremental, and identifiable advertising costs is accounted for as a reduction to the cost of merchandise and is reflected in cost of sales as the merchandise is sold.</w:t>
      </w:r>
    </w:p>
    <w:p>
      <w:pPr>
        <w:spacing w:after="0" w:line="177"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Advertising costs, including digital advertising, which are included as a component of selling, general and administrative expenses, were as follows:</w:t>
      </w:r>
    </w:p>
    <w:p>
      <w:pPr>
        <w:spacing w:after="0" w:line="57"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43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2017</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2016</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2015</w:t>
            </w:r>
          </w:p>
        </w:tc>
      </w:tr>
      <w:tr>
        <w:trPr>
          <w:trHeight w:val="196"/>
        </w:trPr>
        <w:tc>
          <w:tcPr>
            <w:tcW w:w="4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in millions)</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7"/>
                <w:szCs w:val="17"/>
                <w:color w:val="auto"/>
              </w:rPr>
              <w:t>Advertising expenses</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108</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118</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r>
      <w:tr>
        <w:trPr>
          <w:trHeight w:val="216"/>
        </w:trPr>
        <w:tc>
          <w:tcPr>
            <w:tcW w:w="4340" w:type="dxa"/>
            <w:vAlign w:val="bottom"/>
          </w:tcPr>
          <w:p>
            <w:pPr>
              <w:spacing w:after="0"/>
              <w:rPr>
                <w:sz w:val="20"/>
                <w:szCs w:val="20"/>
                <w:color w:val="auto"/>
              </w:rPr>
            </w:pPr>
            <w:r>
              <w:rPr>
                <w:rFonts w:ascii="Arial" w:cs="Arial" w:eastAsia="Arial" w:hAnsi="Arial"/>
                <w:sz w:val="17"/>
                <w:szCs w:val="17"/>
                <w:color w:val="auto"/>
              </w:rPr>
              <w:t>Digital advertising expenses</w:t>
            </w:r>
          </w:p>
        </w:tc>
        <w:tc>
          <w:tcPr>
            <w:tcW w:w="1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96</w:t>
            </w:r>
          </w:p>
        </w:tc>
        <w:tc>
          <w:tcPr>
            <w:tcW w:w="200" w:type="dxa"/>
            <w:vAlign w:val="bottom"/>
          </w:tcPr>
          <w:p>
            <w:pPr>
              <w:spacing w:after="0"/>
              <w:rPr>
                <w:sz w:val="18"/>
                <w:szCs w:val="18"/>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84</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65</w:t>
            </w:r>
          </w:p>
        </w:tc>
      </w:tr>
      <w:tr>
        <w:trPr>
          <w:trHeight w:val="216"/>
        </w:trPr>
        <w:tc>
          <w:tcPr>
            <w:tcW w:w="4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Cooperative advertising reimbursements</w:t>
            </w:r>
          </w:p>
        </w:tc>
        <w:tc>
          <w:tcPr>
            <w:tcW w:w="1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r>
      <w:tr>
        <w:trPr>
          <w:trHeight w:val="190"/>
        </w:trPr>
        <w:tc>
          <w:tcPr>
            <w:tcW w:w="434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Net advertising expense</w:t>
            </w:r>
          </w:p>
        </w:tc>
        <w:tc>
          <w:tcPr>
            <w:tcW w:w="14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184</w:t>
            </w:r>
          </w:p>
        </w:tc>
        <w:tc>
          <w:tcPr>
            <w:tcW w:w="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color w:val="auto"/>
              </w:rPr>
              <w:t>182</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165</w:t>
            </w:r>
          </w:p>
        </w:tc>
      </w:tr>
    </w:tbl>
    <w:p>
      <w:pPr>
        <w:spacing w:after="0" w:line="165"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Catalog Costs</w:t>
      </w:r>
    </w:p>
    <w:p>
      <w:pPr>
        <w:spacing w:after="0" w:line="201"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Catalog costs, which are primarily comprised of paper, printing, and postage, are capitalized and amortized over the expected customer response period related to each catalog, which is generally 90 days. Cooperative reimbursements earned for the promotion of certain products are agreed upon with vendors and are recorded in the same period as the associated catalog expenses are amortized. Prepaid catalog costs were $1 million at both February 3, 2018 and January 28, 2017.</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Catalog costs, which are included as a component of selling, general and administrative expenses, were as follows:</w:t>
      </w:r>
    </w:p>
    <w:p>
      <w:pPr>
        <w:spacing w:after="0" w:line="82"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39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2017</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2016</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2015</w:t>
            </w:r>
          </w:p>
        </w:tc>
      </w:tr>
      <w:tr>
        <w:trPr>
          <w:trHeight w:val="210"/>
        </w:trPr>
        <w:tc>
          <w:tcPr>
            <w:tcW w:w="39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in millions)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3900" w:type="dxa"/>
            <w:vAlign w:val="bottom"/>
            <w:shd w:val="clear" w:color="auto" w:fill="CCEEFF"/>
          </w:tcPr>
          <w:p>
            <w:pPr>
              <w:spacing w:after="0"/>
              <w:rPr>
                <w:sz w:val="20"/>
                <w:szCs w:val="20"/>
                <w:color w:val="auto"/>
              </w:rPr>
            </w:pPr>
            <w:r>
              <w:rPr>
                <w:rFonts w:ascii="Arial" w:cs="Arial" w:eastAsia="Arial" w:hAnsi="Arial"/>
                <w:sz w:val="17"/>
                <w:szCs w:val="17"/>
                <w:color w:val="auto"/>
              </w:rPr>
              <w:t>Catalog costs</w:t>
            </w: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26</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r>
      <w:tr>
        <w:trPr>
          <w:trHeight w:val="230"/>
        </w:trPr>
        <w:tc>
          <w:tcPr>
            <w:tcW w:w="39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Cooperative reimbursements</w:t>
            </w:r>
          </w:p>
        </w:tc>
        <w:tc>
          <w:tcPr>
            <w:tcW w:w="18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r>
      <w:tr>
        <w:trPr>
          <w:trHeight w:val="203"/>
        </w:trPr>
        <w:tc>
          <w:tcPr>
            <w:tcW w:w="3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Net catalog expense</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w:t>
            </w:r>
          </w:p>
        </w:tc>
      </w:tr>
    </w:tbl>
    <w:p>
      <w:pPr>
        <w:spacing w:after="0" w:line="165"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Earnings Per Share</w:t>
      </w:r>
    </w:p>
    <w:p>
      <w:pPr>
        <w:spacing w:after="0" w:line="120"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The Company accounts for and discloses earnings per share using the treasury stock method. Basic earnings per share is computed by dividing net income for the period by the weighted-average number of common shares outstanding at the end of the period. Restricted stock awards, which contain non-forfeitable rights to dividends, are considered participating securities and are included in the calculation of basic earnings per share. Diluted earnings per share reflects the weighted-average number of common shares outstanding during the period used in the basic earnings per share computation plus dilutive common stock equivalents.</w:t>
      </w:r>
    </w:p>
    <w:p>
      <w:pPr>
        <w:spacing w:after="0" w:line="94" w:lineRule="exact"/>
        <w:rPr>
          <w:sz w:val="20"/>
          <w:szCs w:val="20"/>
          <w:color w:val="auto"/>
        </w:rPr>
      </w:pPr>
    </w:p>
    <w:tbl>
      <w:tblPr>
        <w:tblLayout w:type="fixed"/>
        <w:tblInd w:w="100" w:type="dxa"/>
        <w:tblCellMar>
          <w:top w:w="0" w:type="dxa"/>
          <w:left w:w="0" w:type="dxa"/>
          <w:bottom w:w="0" w:type="dxa"/>
          <w:right w:w="0" w:type="dxa"/>
        </w:tblCellMar>
      </w:tblPr>
      <w:tr>
        <w:trPr>
          <w:trHeight w:val="205"/>
        </w:trPr>
        <w:tc>
          <w:tcPr>
            <w:tcW w:w="5440" w:type="dxa"/>
            <w:vAlign w:val="bottom"/>
          </w:tcPr>
          <w:p>
            <w:pPr>
              <w:spacing w:after="0"/>
              <w:rPr>
                <w:sz w:val="20"/>
                <w:szCs w:val="20"/>
                <w:color w:val="auto"/>
              </w:rPr>
            </w:pPr>
            <w:r>
              <w:rPr>
                <w:rFonts w:ascii="Arial" w:cs="Arial" w:eastAsia="Arial" w:hAnsi="Arial"/>
                <w:sz w:val="17"/>
                <w:szCs w:val="17"/>
                <w:color w:val="auto"/>
              </w:rPr>
              <w:t>The computation of basic and diluted earnings per share is as follows: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88"/>
        </w:trPr>
        <w:tc>
          <w:tcPr>
            <w:tcW w:w="5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2017</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2016</w:t>
            </w: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2015</w:t>
            </w:r>
          </w:p>
        </w:tc>
        <w:tc>
          <w:tcPr>
            <w:tcW w:w="40" w:type="dxa"/>
            <w:vAlign w:val="bottom"/>
          </w:tcPr>
          <w:p>
            <w:pPr>
              <w:spacing w:after="0"/>
              <w:rPr>
                <w:sz w:val="24"/>
                <w:szCs w:val="24"/>
                <w:color w:val="auto"/>
              </w:rPr>
            </w:pPr>
          </w:p>
        </w:tc>
      </w:tr>
      <w:tr>
        <w:trPr>
          <w:trHeight w:val="210"/>
        </w:trPr>
        <w:tc>
          <w:tcPr>
            <w:tcW w:w="5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00" w:type="dxa"/>
            <w:vAlign w:val="bottom"/>
            <w:gridSpan w:val="5"/>
          </w:tcPr>
          <w:p>
            <w:pPr>
              <w:jc w:val="right"/>
              <w:ind w:right="395"/>
              <w:spacing w:after="0"/>
              <w:rPr>
                <w:sz w:val="20"/>
                <w:szCs w:val="20"/>
                <w:color w:val="auto"/>
              </w:rPr>
            </w:pPr>
            <w:r>
              <w:rPr>
                <w:rFonts w:ascii="Arial" w:cs="Arial" w:eastAsia="Arial" w:hAnsi="Arial"/>
                <w:sz w:val="17"/>
                <w:szCs w:val="17"/>
                <w:color w:val="auto"/>
              </w:rPr>
              <w:t>(in millions, except per share data)</w:t>
            </w:r>
          </w:p>
        </w:tc>
        <w:tc>
          <w:tcPr>
            <w:tcW w:w="40" w:type="dxa"/>
            <w:vAlign w:val="bottom"/>
          </w:tcPr>
          <w:p>
            <w:pPr>
              <w:spacing w:after="0"/>
              <w:rPr>
                <w:sz w:val="18"/>
                <w:szCs w:val="18"/>
                <w:color w:val="auto"/>
              </w:rPr>
            </w:pPr>
          </w:p>
        </w:tc>
      </w:tr>
      <w:tr>
        <w:trPr>
          <w:trHeight w:val="230"/>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284</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664</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541</w:t>
            </w:r>
          </w:p>
        </w:tc>
        <w:tc>
          <w:tcPr>
            <w:tcW w:w="40" w:type="dxa"/>
            <w:vAlign w:val="bottom"/>
          </w:tcPr>
          <w:p>
            <w:pPr>
              <w:spacing w:after="0"/>
              <w:rPr>
                <w:sz w:val="19"/>
                <w:szCs w:val="19"/>
                <w:color w:val="auto"/>
              </w:rPr>
            </w:pPr>
          </w:p>
        </w:tc>
      </w:tr>
      <w:tr>
        <w:trPr>
          <w:trHeight w:val="230"/>
        </w:trPr>
        <w:tc>
          <w:tcPr>
            <w:tcW w:w="5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common shares outstanding</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127.2</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134.0</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139.1</w:t>
            </w:r>
          </w:p>
        </w:tc>
        <w:tc>
          <w:tcPr>
            <w:tcW w:w="40" w:type="dxa"/>
            <w:vAlign w:val="bottom"/>
          </w:tcPr>
          <w:p>
            <w:pPr>
              <w:spacing w:after="0"/>
              <w:rPr>
                <w:sz w:val="19"/>
                <w:szCs w:val="19"/>
                <w:color w:val="auto"/>
              </w:rPr>
            </w:pPr>
          </w:p>
        </w:tc>
      </w:tr>
      <w:tr>
        <w:trPr>
          <w:trHeight w:val="230"/>
        </w:trPr>
        <w:tc>
          <w:tcPr>
            <w:tcW w:w="54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Dilutive effect of potential common shares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0.7</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40" w:type="dxa"/>
            <w:vAlign w:val="bottom"/>
          </w:tcPr>
          <w:p>
            <w:pPr>
              <w:spacing w:after="0"/>
              <w:rPr>
                <w:sz w:val="19"/>
                <w:szCs w:val="19"/>
                <w:color w:val="auto"/>
              </w:rPr>
            </w:pPr>
          </w:p>
        </w:tc>
      </w:tr>
      <w:tr>
        <w:trPr>
          <w:trHeight w:val="203"/>
        </w:trPr>
        <w:tc>
          <w:tcPr>
            <w:tcW w:w="5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Weighted-average common shares outstanding assuming dilution</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127.9</w:t>
            </w: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135.1</w:t>
            </w: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140.8</w:t>
            </w:r>
          </w:p>
        </w:tc>
        <w:tc>
          <w:tcPr>
            <w:tcW w:w="40" w:type="dxa"/>
            <w:vAlign w:val="bottom"/>
          </w:tcPr>
          <w:p>
            <w:pPr>
              <w:spacing w:after="0"/>
              <w:rPr>
                <w:sz w:val="17"/>
                <w:szCs w:val="17"/>
                <w:color w:val="auto"/>
              </w:rPr>
            </w:pPr>
          </w:p>
        </w:tc>
      </w:tr>
      <w:tr>
        <w:trPr>
          <w:trHeight w:val="216"/>
        </w:trPr>
        <w:tc>
          <w:tcPr>
            <w:tcW w:w="5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Earnings per share - basic</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2.23</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4.95</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w:t>
            </w:r>
          </w:p>
        </w:tc>
        <w:tc>
          <w:tcPr>
            <w:tcW w:w="40" w:type="dxa"/>
            <w:vAlign w:val="bottom"/>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7"/>
                <w:szCs w:val="17"/>
                <w:color w:val="auto"/>
              </w:rPr>
              <w:t>Earnings per share - diluted</w:t>
            </w:r>
          </w:p>
        </w:tc>
        <w:tc>
          <w:tcPr>
            <w:tcW w:w="2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2.22</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4.91</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3.84</w:t>
            </w:r>
          </w:p>
        </w:tc>
        <w:tc>
          <w:tcPr>
            <w:tcW w:w="40" w:type="dxa"/>
            <w:vAlign w:val="bottom"/>
          </w:tcPr>
          <w:p>
            <w:pPr>
              <w:spacing w:after="0"/>
              <w:rPr>
                <w:sz w:val="19"/>
                <w:szCs w:val="19"/>
                <w:color w:val="auto"/>
              </w:rPr>
            </w:pPr>
          </w:p>
        </w:tc>
      </w:tr>
      <w:tr>
        <w:trPr>
          <w:trHeight w:val="230"/>
        </w:trPr>
        <w:tc>
          <w:tcPr>
            <w:tcW w:w="5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54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Anti-dilutive share-based awards excluded from diluted calculation</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w:t>
            </w:r>
          </w:p>
        </w:tc>
        <w:tc>
          <w:tcPr>
            <w:tcW w:w="40" w:type="dxa"/>
            <w:vAlign w:val="bottom"/>
          </w:tcPr>
          <w:p>
            <w:pPr>
              <w:spacing w:after="0"/>
              <w:rPr>
                <w:sz w:val="19"/>
                <w:szCs w:val="19"/>
                <w:color w:val="auto"/>
              </w:rPr>
            </w:pPr>
          </w:p>
        </w:tc>
      </w:tr>
      <w:tr>
        <w:trPr>
          <w:trHeight w:val="597"/>
        </w:trPr>
        <w:tc>
          <w:tcPr>
            <w:tcW w:w="5440" w:type="dxa"/>
            <w:vAlign w:val="bottom"/>
          </w:tcPr>
          <w:p>
            <w:pPr>
              <w:ind w:left="4320"/>
              <w:spacing w:after="0"/>
              <w:rPr>
                <w:sz w:val="20"/>
                <w:szCs w:val="20"/>
                <w:color w:val="auto"/>
              </w:rPr>
            </w:pPr>
            <w:r>
              <w:rPr>
                <w:rFonts w:ascii="Arial" w:cs="Arial" w:eastAsia="Arial" w:hAnsi="Arial"/>
                <w:sz w:val="17"/>
                <w:szCs w:val="17"/>
                <w:color w:val="auto"/>
              </w:rPr>
              <w:t>43</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2"/>
        </w:trPr>
        <w:tc>
          <w:tcPr>
            <w:tcW w:w="5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r>
        <w:trPr>
          <w:trHeight w:val="20"/>
        </w:trPr>
        <w:tc>
          <w:tcPr>
            <w:tcW w:w="544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3"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The Company adopted ASU 2016-09 during the first quarter of 2017. As a result, excess tax benefits and tax deficiencies are no longer included as assumed proceeds in the calculation of diluted shares outstanding. This change was adopted prospectively.</w:t>
      </w:r>
    </w:p>
    <w:p>
      <w:pPr>
        <w:spacing w:after="0" w:line="175"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Contingently issuable shares of 0.2 million, for all periods presented, have not been included as the vesting conditions have not been satisfied. These shares relate to restricted stock unit awards issued in connection with the Company’s long-term incentive program.</w:t>
      </w:r>
    </w:p>
    <w:p>
      <w:pPr>
        <w:spacing w:after="0" w:line="157"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Share-Based Compensation</w:t>
      </w:r>
    </w:p>
    <w:p>
      <w:pPr>
        <w:spacing w:after="0" w:line="201"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 xml:space="preserve">The Company recognizes compensation expense for share-based awards based on the grant date fair value of those awards. Additionally, stock-based compensation expense is recognized on a straight-line basis over the requisite service period for each vesting tranche of the award. See Note 21, </w:t>
      </w:r>
      <w:r>
        <w:rPr>
          <w:rFonts w:ascii="Arial" w:cs="Arial" w:eastAsia="Arial" w:hAnsi="Arial"/>
          <w:sz w:val="17"/>
          <w:szCs w:val="17"/>
          <w:i w:val="1"/>
          <w:iCs w:val="1"/>
          <w:color w:val="auto"/>
        </w:rPr>
        <w:t>Share-Based Compensation,</w:t>
      </w:r>
      <w:r>
        <w:rPr>
          <w:rFonts w:ascii="Arial" w:cs="Arial" w:eastAsia="Arial" w:hAnsi="Arial"/>
          <w:sz w:val="17"/>
          <w:szCs w:val="17"/>
          <w:color w:val="auto"/>
        </w:rPr>
        <w:t xml:space="preserve"> for information on the assumptions used to calculate the fair value of share-based compensation. Upon exercise of stock options, issuance of restricted stock or units, or issuance of shares under the employees stock purchase plan, the Company will issue authorized but unissued common stock or use common stock held in treasury.</w:t>
      </w:r>
    </w:p>
    <w:p>
      <w:pPr>
        <w:spacing w:after="0" w:line="157"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Cash, Cash Equivalents and Restricted Cash</w:t>
      </w:r>
    </w:p>
    <w:p>
      <w:pPr>
        <w:spacing w:after="0" w:line="201"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Cash consists of funds held on hand and in bank accounts. Cash equivalents include amounts on demand with banks and all highly liquid investments with original maturities of three months or less, including money market funds. Additionally, amounts due from third-party credit card processors for the settlement of debit and credit card transactions are included as cash equivalents as they are generally collected within three business days. Restricted cash represents cash that is restricted as to withdrawal or use under the terms of various agreements. Restricted cash includes amounts held in a qualified settlement fund in connection with the pension litigation, amounts held in escrow in connection with various leasing arrangements in Europe, and deposits held in insurance trusts in order to satisfy the requirement to collateralize part of the self-insured workers’ compensation and liability claims.</w:t>
      </w:r>
    </w:p>
    <w:p>
      <w:pPr>
        <w:spacing w:after="0" w:line="177"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The following table provides the reconciliation of cash, cash equivalents, and restricted cash, as reported on our consolidated statements of cash flows.</w:t>
      </w:r>
    </w:p>
    <w:p>
      <w:pPr>
        <w:spacing w:after="0" w:line="30" w:lineRule="exact"/>
        <w:rPr>
          <w:sz w:val="20"/>
          <w:szCs w:val="20"/>
          <w:color w:val="auto"/>
        </w:rPr>
      </w:pPr>
    </w:p>
    <w:tbl>
      <w:tblPr>
        <w:tblLayout w:type="fixed"/>
        <w:tblInd w:w="100" w:type="dxa"/>
        <w:tblCellMar>
          <w:top w:w="0" w:type="dxa"/>
          <w:left w:w="0" w:type="dxa"/>
          <w:bottom w:w="0" w:type="dxa"/>
          <w:right w:w="0" w:type="dxa"/>
        </w:tblCellMar>
      </w:tblPr>
      <w:tr>
        <w:trPr>
          <w:trHeight w:val="236"/>
        </w:trPr>
        <w:tc>
          <w:tcPr>
            <w:tcW w:w="45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2017</w:t>
            </w: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2016</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2015</w:t>
            </w:r>
          </w:p>
        </w:tc>
      </w:tr>
      <w:tr>
        <w:trPr>
          <w:trHeight w:val="214"/>
        </w:trPr>
        <w:tc>
          <w:tcPr>
            <w:tcW w:w="4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95"/>
              <w:spacing w:after="0"/>
              <w:rPr>
                <w:sz w:val="20"/>
                <w:szCs w:val="20"/>
                <w:color w:val="auto"/>
              </w:rPr>
            </w:pPr>
            <w:r>
              <w:rPr>
                <w:rFonts w:ascii="Arial" w:cs="Arial" w:eastAsia="Arial" w:hAnsi="Arial"/>
                <w:sz w:val="17"/>
                <w:szCs w:val="17"/>
                <w:color w:val="auto"/>
                <w:w w:val="99"/>
              </w:rPr>
              <w:t>in millions)</w:t>
            </w: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59"/>
        </w:trPr>
        <w:tc>
          <w:tcPr>
            <w:tcW w:w="4540" w:type="dxa"/>
            <w:vAlign w:val="bottom"/>
            <w:shd w:val="clear" w:color="auto" w:fill="CCEEFF"/>
          </w:tcPr>
          <w:p>
            <w:pPr>
              <w:spacing w:after="0"/>
              <w:rPr>
                <w:sz w:val="20"/>
                <w:szCs w:val="20"/>
                <w:color w:val="auto"/>
              </w:rPr>
            </w:pPr>
            <w:r>
              <w:rPr>
                <w:rFonts w:ascii="Arial" w:cs="Arial" w:eastAsia="Arial" w:hAnsi="Arial"/>
                <w:sz w:val="17"/>
                <w:szCs w:val="17"/>
                <w:color w:val="auto"/>
              </w:rPr>
              <w:t xml:space="preserve">Cash and cash equivalents </w:t>
            </w:r>
            <w:r>
              <w:rPr>
                <w:rFonts w:ascii="Arial" w:cs="Arial" w:eastAsia="Arial" w:hAnsi="Arial"/>
                <w:sz w:val="8"/>
                <w:szCs w:val="8"/>
                <w:color w:val="auto"/>
              </w:rPr>
              <w:t>(1)</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849</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1,046</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1,021</w:t>
            </w:r>
          </w:p>
        </w:tc>
      </w:tr>
      <w:tr>
        <w:trPr>
          <w:trHeight w:val="230"/>
        </w:trPr>
        <w:tc>
          <w:tcPr>
            <w:tcW w:w="4540" w:type="dxa"/>
            <w:vAlign w:val="bottom"/>
          </w:tcPr>
          <w:p>
            <w:pPr>
              <w:spacing w:after="0"/>
              <w:rPr>
                <w:sz w:val="20"/>
                <w:szCs w:val="20"/>
                <w:color w:val="auto"/>
              </w:rPr>
            </w:pPr>
            <w:r>
              <w:rPr>
                <w:rFonts w:ascii="Arial" w:cs="Arial" w:eastAsia="Arial" w:hAnsi="Arial"/>
                <w:sz w:val="17"/>
                <w:szCs w:val="17"/>
                <w:color w:val="auto"/>
              </w:rPr>
              <w:t>Restricted cash included in other current assets</w:t>
            </w:r>
          </w:p>
        </w:tc>
        <w:tc>
          <w:tcPr>
            <w:tcW w:w="600" w:type="dxa"/>
            <w:vAlign w:val="bottom"/>
          </w:tcPr>
          <w:p>
            <w:pPr>
              <w:spacing w:after="0"/>
              <w:rPr>
                <w:sz w:val="19"/>
                <w:szCs w:val="19"/>
                <w:color w:val="auto"/>
              </w:rPr>
            </w:pPr>
          </w:p>
        </w:tc>
        <w:tc>
          <w:tcPr>
            <w:tcW w:w="1000" w:type="dxa"/>
            <w:vAlign w:val="bottom"/>
          </w:tcPr>
          <w:p>
            <w:pPr>
              <w:jc w:val="right"/>
              <w:ind w:right="115"/>
              <w:spacing w:after="0"/>
              <w:rPr>
                <w:sz w:val="20"/>
                <w:szCs w:val="20"/>
                <w:color w:val="auto"/>
              </w:rPr>
            </w:pPr>
            <w:r>
              <w:rPr>
                <w:rFonts w:ascii="Arial" w:cs="Arial" w:eastAsia="Arial" w:hAnsi="Arial"/>
                <w:sz w:val="17"/>
                <w:szCs w:val="17"/>
                <w:b w:val="1"/>
                <w:bCs w:val="1"/>
                <w:color w:val="auto"/>
              </w:rPr>
              <w:t>1</w:t>
            </w:r>
          </w:p>
        </w:tc>
        <w:tc>
          <w:tcPr>
            <w:tcW w:w="360" w:type="dxa"/>
            <w:vAlign w:val="bottom"/>
          </w:tcPr>
          <w:p>
            <w:pPr>
              <w:spacing w:after="0"/>
              <w:rPr>
                <w:sz w:val="19"/>
                <w:szCs w:val="19"/>
                <w:color w:val="auto"/>
              </w:rPr>
            </w:pPr>
          </w:p>
        </w:tc>
        <w:tc>
          <w:tcPr>
            <w:tcW w:w="110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30"/>
        </w:trPr>
        <w:tc>
          <w:tcPr>
            <w:tcW w:w="4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 xml:space="preserve">Restricted cash included in other non-current assets </w:t>
            </w:r>
            <w:r>
              <w:rPr>
                <w:rFonts w:ascii="Arial" w:cs="Arial" w:eastAsia="Arial" w:hAnsi="Arial"/>
                <w:sz w:val="8"/>
                <w:szCs w:val="8"/>
                <w:color w:val="auto"/>
              </w:rPr>
              <w:t>(2)</w:t>
            </w:r>
          </w:p>
        </w:tc>
        <w:tc>
          <w:tcPr>
            <w:tcW w:w="6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181</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27</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r>
      <w:tr>
        <w:trPr>
          <w:trHeight w:val="230"/>
        </w:trPr>
        <w:tc>
          <w:tcPr>
            <w:tcW w:w="45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Cash, cash equivalents, and restricted cash</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1,031</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1,073</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1,048</w:t>
            </w:r>
          </w:p>
        </w:tc>
      </w:tr>
    </w:tbl>
    <w:p>
      <w:pPr>
        <w:spacing w:after="0" w:line="80" w:lineRule="exact"/>
        <w:rPr>
          <w:sz w:val="20"/>
          <w:szCs w:val="20"/>
          <w:color w:val="auto"/>
        </w:rPr>
      </w:pPr>
    </w:p>
    <w:p>
      <w:pPr>
        <w:ind w:left="420" w:right="99" w:hanging="315"/>
        <w:spacing w:after="0" w:line="231" w:lineRule="auto"/>
        <w:tabs>
          <w:tab w:leader="none" w:pos="420" w:val="left"/>
        </w:tabs>
        <w:numPr>
          <w:ilvl w:val="0"/>
          <w:numId w:val="17"/>
        </w:numPr>
        <w:rPr>
          <w:rFonts w:ascii="Arial" w:cs="Arial" w:eastAsia="Arial" w:hAnsi="Arial"/>
          <w:sz w:val="12"/>
          <w:szCs w:val="12"/>
          <w:color w:val="auto"/>
        </w:rPr>
      </w:pPr>
      <w:r>
        <w:rPr>
          <w:rFonts w:ascii="Arial" w:cs="Arial" w:eastAsia="Arial" w:hAnsi="Arial"/>
          <w:sz w:val="14"/>
          <w:szCs w:val="14"/>
          <w:color w:val="auto"/>
        </w:rPr>
        <w:t>Includes cash equivalents of $780 million, $1,000 million, and $983 million for the year ended February 3, 2018, January 28, 2017, and January 30, 2016, respectively.</w:t>
      </w:r>
    </w:p>
    <w:p>
      <w:pPr>
        <w:spacing w:after="0" w:line="81" w:lineRule="exact"/>
        <w:rPr>
          <w:rFonts w:ascii="Arial" w:cs="Arial" w:eastAsia="Arial" w:hAnsi="Arial"/>
          <w:sz w:val="12"/>
          <w:szCs w:val="12"/>
          <w:color w:val="auto"/>
        </w:rPr>
      </w:pPr>
    </w:p>
    <w:p>
      <w:pPr>
        <w:ind w:left="420" w:right="99" w:hanging="315"/>
        <w:spacing w:after="0" w:line="231" w:lineRule="auto"/>
        <w:tabs>
          <w:tab w:leader="none" w:pos="420" w:val="left"/>
        </w:tabs>
        <w:numPr>
          <w:ilvl w:val="0"/>
          <w:numId w:val="17"/>
        </w:numPr>
        <w:rPr>
          <w:rFonts w:ascii="Arial" w:cs="Arial" w:eastAsia="Arial" w:hAnsi="Arial"/>
          <w:sz w:val="12"/>
          <w:szCs w:val="12"/>
          <w:color w:val="auto"/>
        </w:rPr>
      </w:pPr>
      <w:r>
        <w:rPr>
          <w:rFonts w:ascii="Arial" w:cs="Arial" w:eastAsia="Arial" w:hAnsi="Arial"/>
          <w:sz w:val="14"/>
          <w:szCs w:val="14"/>
          <w:color w:val="auto"/>
        </w:rPr>
        <w:t xml:space="preserve">Restricted cash for the year ended February 3, 2018 includes $150 million deposited to a qualified settlement fund in connection with the pension litigation. Please see Note 22, </w:t>
      </w:r>
      <w:r>
        <w:rPr>
          <w:rFonts w:ascii="Arial" w:cs="Arial" w:eastAsia="Arial" w:hAnsi="Arial"/>
          <w:sz w:val="14"/>
          <w:szCs w:val="14"/>
          <w:i w:val="1"/>
          <w:iCs w:val="1"/>
          <w:color w:val="auto"/>
        </w:rPr>
        <w:t>Legal Proceedings</w:t>
      </w:r>
      <w:r>
        <w:rPr>
          <w:rFonts w:ascii="Arial" w:cs="Arial" w:eastAsia="Arial" w:hAnsi="Arial"/>
          <w:sz w:val="14"/>
          <w:szCs w:val="14"/>
          <w:color w:val="auto"/>
        </w:rPr>
        <w:t xml:space="preserve"> for further information.</w:t>
      </w:r>
    </w:p>
    <w:p>
      <w:pPr>
        <w:spacing w:after="0" w:line="220"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Investments</w:t>
      </w:r>
    </w:p>
    <w:p>
      <w:pPr>
        <w:spacing w:after="0" w:line="201"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Changes in the fair value of available-for-sale securities are reported as a component of accumulated other comprehensive loss in the Consolidated Statements of Shareholders’ Equity and are not reflected in the Consolidated Statements of Operations until a sale transaction occurs or when declines in fair value are deemed to be other-than-temporary. Available-for-sale securities are routinely reviewed for other-than-temporary declines in fair value below the cost basis, and when events or changes in circumstances indicate the carrying value of a security may not be recoverable, the security is written down to fair value. As of February 3, 2018, the Company held one available-for-sale security, which was the Company’s $7 million auction rate security. See Note 19</w:t>
      </w:r>
      <w:r>
        <w:rPr>
          <w:rFonts w:ascii="Arial" w:cs="Arial" w:eastAsia="Arial" w:hAnsi="Arial"/>
          <w:sz w:val="17"/>
          <w:szCs w:val="17"/>
          <w:i w:val="1"/>
          <w:iCs w:val="1"/>
          <w:color w:val="auto"/>
        </w:rPr>
        <w:t>, 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Measurements</w:t>
      </w:r>
      <w:r>
        <w:rPr>
          <w:rFonts w:ascii="Arial" w:cs="Arial" w:eastAsia="Arial" w:hAnsi="Arial"/>
          <w:sz w:val="17"/>
          <w:szCs w:val="17"/>
          <w:color w:val="auto"/>
        </w:rPr>
        <w:t>, for further discussion.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Additionally, the Company’s investment in a privately-held company is accounted for using the cost method and had</w:t>
      </w:r>
    </w:p>
    <w:p>
      <w:pPr>
        <w:spacing w:after="0" w:line="34" w:lineRule="exact"/>
        <w:rPr>
          <w:sz w:val="20"/>
          <w:szCs w:val="20"/>
          <w:color w:val="auto"/>
        </w:rPr>
      </w:pPr>
    </w:p>
    <w:p>
      <w:pPr>
        <w:jc w:val="both"/>
        <w:ind w:left="100" w:right="99"/>
        <w:spacing w:after="0" w:line="241" w:lineRule="auto"/>
        <w:rPr>
          <w:sz w:val="20"/>
          <w:szCs w:val="20"/>
          <w:color w:val="auto"/>
        </w:rPr>
      </w:pPr>
      <w:r>
        <w:rPr>
          <w:rFonts w:ascii="Arial" w:cs="Arial" w:eastAsia="Arial" w:hAnsi="Arial"/>
          <w:sz w:val="17"/>
          <w:szCs w:val="17"/>
          <w:color w:val="auto"/>
        </w:rPr>
        <w:t>a carrying value of $15 million as of February 3, 2018. This investment is included within other assets. If a significant adverse effect on the fair value of the investment were to occur and was deemed to be other-than-temporary, the fair value of the investment would be estimated, and the amount by which the carrying value of the cost-method investment exceeds its fair value would be recorded as an impairment loss.</w:t>
      </w:r>
    </w:p>
    <w:p>
      <w:pPr>
        <w:spacing w:after="0" w:line="156"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Merchandise Inventories and Cost of Sales</w:t>
      </w:r>
    </w:p>
    <w:p>
      <w:pPr>
        <w:spacing w:after="0" w:line="201"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Merchandise inventories for the Company’s Athletic Stores are valued at the lower of cost or market using the retail inventory method. Cost for retail stores is determined on the last-in, first-out (“LIFO”) basis for domestic inventories and on the first-in, first-out (“FIFO”) basis for international inventories. Merchandise inventories of the Direct-to-Customers business are valued at the lower of cost or market using weighted-average cost, which approximates FIFO.</w:t>
      </w:r>
    </w:p>
    <w:p>
      <w:pPr>
        <w:spacing w:after="0" w:line="177"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The retail inventory method is commonly used by retail companies to value inventories at cost and calculate gross margins due to its practicality. Under the retail inventory method, cost is determined by applying a cost-to-retail percentage across groupings of similar items, known as departments. The cost-to-retail percentage is applied to ending inventory at its current owned retail valuation to determine the cost of ending inventory on a department basis. The Company provides reserves based on current selling prices when the inventory has not been marked down to market.</w:t>
      </w:r>
    </w:p>
    <w:p>
      <w:pPr>
        <w:spacing w:after="0" w:line="175"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Transportation, distribution center, and sourcing costs are capitalized in merchandise inventories. The Company expenses the freight associated with transfers between its store locations in the period incurred. The Company maintains an accrual for shrinkage based on historical rates.</w:t>
      </w:r>
    </w:p>
    <w:p>
      <w:pPr>
        <w:spacing w:after="0" w:line="175"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Cost of sales is comprised of the cost of merchandise, as well as occupancy, buyers’ compensation, and shipping and handling costs. The cost of merchandise is recorded net of amounts received from suppliers for damaged product returns, markdown allowances, and volume rebates, as well as cooperative advertising reimbursements received in excess of specific, incremental advertising expenses. Occupancy costs include the amortization of amounts received from landlords for tenant improvements.</w:t>
      </w:r>
    </w:p>
    <w:p>
      <w:pPr>
        <w:spacing w:after="0" w:line="159"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Property and Equipment</w:t>
      </w:r>
    </w:p>
    <w:p>
      <w:pPr>
        <w:spacing w:after="0" w:line="201"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Property and equipment are recorded at cost, less accumulated depreciation and amortization. Significant additions and improvements to property and equipment are capitalized. Depreciation and amortization are computed on a straight-line basis over the following estimated useful lives:</w:t>
      </w:r>
    </w:p>
    <w:p>
      <w:pPr>
        <w:sectPr>
          <w:pgSz w:w="11900" w:h="16838" w:orient="portrait"/>
          <w:cols w:equalWidth="0" w:num="1">
            <w:col w:w="9019"/>
          </w:cols>
          <w:pgMar w:left="1440" w:top="360" w:right="1440" w:bottom="1440" w:gutter="0" w:footer="0" w:header="0"/>
        </w:sectPr>
      </w:pPr>
    </w:p>
    <w:p>
      <w:pPr>
        <w:spacing w:after="0" w:line="182"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Buildings</w:t>
      </w:r>
    </w:p>
    <w:p>
      <w:pPr>
        <w:ind w:left="1220"/>
        <w:spacing w:after="0" w:line="232" w:lineRule="auto"/>
        <w:rPr>
          <w:sz w:val="20"/>
          <w:szCs w:val="20"/>
          <w:color w:val="auto"/>
        </w:rPr>
      </w:pPr>
      <w:r>
        <w:rPr>
          <w:rFonts w:ascii="Arial" w:cs="Arial" w:eastAsia="Arial" w:hAnsi="Arial"/>
          <w:sz w:val="17"/>
          <w:szCs w:val="17"/>
          <w:color w:val="auto"/>
        </w:rPr>
        <w:t>Store leasehold improvements</w:t>
      </w:r>
    </w:p>
    <w:p>
      <w:pPr>
        <w:ind w:left="1220"/>
        <w:spacing w:after="0" w:line="232" w:lineRule="auto"/>
        <w:rPr>
          <w:sz w:val="20"/>
          <w:szCs w:val="20"/>
          <w:color w:val="auto"/>
        </w:rPr>
      </w:pPr>
      <w:r>
        <w:rPr>
          <w:rFonts w:ascii="Arial" w:cs="Arial" w:eastAsia="Arial" w:hAnsi="Arial"/>
          <w:sz w:val="17"/>
          <w:szCs w:val="17"/>
          <w:color w:val="auto"/>
        </w:rPr>
        <w:t>Furniture, fixtures, and equipment</w:t>
      </w:r>
    </w:p>
    <w:p>
      <w:pPr>
        <w:ind w:left="1220"/>
        <w:spacing w:after="0"/>
        <w:rPr>
          <w:sz w:val="20"/>
          <w:szCs w:val="20"/>
          <w:color w:val="auto"/>
        </w:rPr>
      </w:pPr>
      <w:r>
        <w:rPr>
          <w:rFonts w:ascii="Arial" w:cs="Arial" w:eastAsia="Arial" w:hAnsi="Arial"/>
          <w:sz w:val="17"/>
          <w:szCs w:val="17"/>
          <w:color w:val="auto"/>
        </w:rPr>
        <w:t>Software</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Maximum of 50 years</w:t>
      </w:r>
    </w:p>
    <w:p>
      <w:pPr>
        <w:spacing w:after="0" w:line="232" w:lineRule="auto"/>
        <w:rPr>
          <w:sz w:val="20"/>
          <w:szCs w:val="20"/>
          <w:color w:val="auto"/>
        </w:rPr>
      </w:pPr>
      <w:r>
        <w:rPr>
          <w:rFonts w:ascii="Arial" w:cs="Arial" w:eastAsia="Arial" w:hAnsi="Arial"/>
          <w:sz w:val="17"/>
          <w:szCs w:val="17"/>
          <w:color w:val="auto"/>
        </w:rPr>
        <w:t>Shorter of the asset useful life or expected term of the lease</w:t>
      </w:r>
    </w:p>
    <w:p>
      <w:pPr>
        <w:spacing w:after="0" w:line="232" w:lineRule="auto"/>
        <w:rPr>
          <w:sz w:val="20"/>
          <w:szCs w:val="20"/>
          <w:color w:val="auto"/>
        </w:rPr>
      </w:pPr>
      <w:r>
        <w:rPr>
          <w:rFonts w:ascii="Arial" w:cs="Arial" w:eastAsia="Arial" w:hAnsi="Arial"/>
          <w:sz w:val="17"/>
          <w:szCs w:val="17"/>
          <w:color w:val="auto"/>
        </w:rPr>
        <w:t>3-10 years</w:t>
      </w:r>
    </w:p>
    <w:p>
      <w:pPr>
        <w:spacing w:after="0"/>
        <w:rPr>
          <w:sz w:val="20"/>
          <w:szCs w:val="20"/>
          <w:color w:val="auto"/>
        </w:rPr>
      </w:pPr>
      <w:r>
        <w:rPr>
          <w:rFonts w:ascii="Arial" w:cs="Arial" w:eastAsia="Arial" w:hAnsi="Arial"/>
          <w:sz w:val="17"/>
          <w:szCs w:val="17"/>
          <w:color w:val="auto"/>
        </w:rPr>
        <w:t>2-7 years</w:t>
      </w:r>
    </w:p>
    <w:p>
      <w:pPr>
        <w:spacing w:after="0" w:line="183" w:lineRule="exact"/>
        <w:rPr>
          <w:sz w:val="20"/>
          <w:szCs w:val="20"/>
          <w:color w:val="auto"/>
        </w:rPr>
      </w:pPr>
    </w:p>
    <w:p>
      <w:pPr>
        <w:sectPr>
          <w:pgSz w:w="11900" w:h="16838" w:orient="portrait"/>
          <w:cols w:equalWidth="0" w:num="2">
            <w:col w:w="3780" w:space="340"/>
            <w:col w:w="4899"/>
          </w:cols>
          <w:pgMar w:left="1440" w:top="360" w:right="1440" w:bottom="1440" w:gutter="0" w:footer="0" w:header="0"/>
          <w:type w:val="continuous"/>
        </w:sectPr>
      </w:pPr>
    </w:p>
    <w:p>
      <w:pPr>
        <w:jc w:val="both"/>
        <w:ind w:left="100" w:right="99"/>
        <w:spacing w:after="0" w:line="243" w:lineRule="auto"/>
        <w:rPr>
          <w:sz w:val="20"/>
          <w:szCs w:val="20"/>
          <w:color w:val="auto"/>
        </w:rPr>
      </w:pPr>
      <w:r>
        <w:rPr>
          <w:rFonts w:ascii="Arial" w:cs="Arial" w:eastAsia="Arial" w:hAnsi="Arial"/>
          <w:sz w:val="17"/>
          <w:szCs w:val="17"/>
          <w:color w:val="auto"/>
        </w:rPr>
        <w:t>Maintenance and repairs are charged to current operations as incurred. Major renewals or replacements that substantially extend the useful life of an asset are capitalized and depreciated.</w:t>
      </w:r>
    </w:p>
    <w:p>
      <w:pPr>
        <w:spacing w:after="0" w:line="153"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Internal-Use Software Development Costs</w:t>
      </w:r>
    </w:p>
    <w:p>
      <w:pPr>
        <w:spacing w:after="0" w:line="201"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The Company capitalizes certain external and internal computer software and software development costs incurred during the application development stage. The application development stage generally includes software design and configuration, coding, testing, and installation activities. Capitalized costs include only external direct cost of materials and services consumed in developing or obtaining internal-use software, and payroll and payroll-related costs for employees who are directly associated with and devote time to the internal-use software project. Capitalization of such costs ceases no later than the point at which the project is substantially complete and ready for its intended use. Training and maintenance costs are expensed as incurred, while upgrades and enhancements are capitalized if it is probable that such expenditures will result in additional functionality. Capitalized software, net of accumulated amortization, is included as a component of property and equipment and was $67 million and $59 million at February 3, 2018 and January 28, 2017, respectively.</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type w:val="continuous"/>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5"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Recoverability of Long-Lived Tangible Assets</w:t>
      </w:r>
    </w:p>
    <w:p>
      <w:pPr>
        <w:spacing w:after="0" w:line="201" w:lineRule="exact"/>
        <w:rPr>
          <w:sz w:val="20"/>
          <w:szCs w:val="20"/>
          <w:color w:val="auto"/>
        </w:rPr>
      </w:pPr>
    </w:p>
    <w:p>
      <w:pPr>
        <w:jc w:val="both"/>
        <w:ind w:left="100" w:right="99"/>
        <w:spacing w:after="0" w:line="233" w:lineRule="auto"/>
        <w:rPr>
          <w:sz w:val="20"/>
          <w:szCs w:val="20"/>
          <w:color w:val="auto"/>
        </w:rPr>
      </w:pPr>
      <w:r>
        <w:rPr>
          <w:rFonts w:ascii="Arial" w:cs="Arial" w:eastAsia="Arial" w:hAnsi="Arial"/>
          <w:sz w:val="17"/>
          <w:szCs w:val="17"/>
          <w:color w:val="auto"/>
        </w:rPr>
        <w:t>The Company performs an impairment review when circumstances indicate that the carrying value of long-lived tangible assets may not be recoverable. Management’s policy in determining whether an impairment indicator exists, a triggering event, comprises measurable operating performance criteria at the division level, as well as qualitative measures. The Company considers historical performance and future estimated results, which are predominately identified from the Company’s long-range strategic plans, in its evaluation of potential store-level impairment and then compares the carrying amount of the asset with the estimated future cash flows expected to result from the use of the asset. If the carrying amount of the asset exceeds the estimated expected undiscounted future cash flows, the Company measures the amount of the impairment by comparing the carrying amount of the asset with its estimated fair value. The estimation of fair value is measured by discounting expected future cash flows at the Company’s weighted-average cost of capital. The Company estimates fair value based on the best information available using estimates, judgments, and projections as considered necessary.</w:t>
      </w:r>
    </w:p>
    <w:p>
      <w:pPr>
        <w:spacing w:after="0" w:line="163"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Goodwill and Other Intangible Assets</w:t>
      </w:r>
    </w:p>
    <w:p>
      <w:pPr>
        <w:spacing w:after="0" w:line="201"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Goodwill and intangible assets with indefinite lives are reviewed for impairment annually during the first quarter of each fiscal year or more frequently if impairment indicators arise. The review of goodwill impairment consists of either using a qualitative approach to determine whether it is more likely than not that the fair value of the assets is less than their respective carrying values or a two-step impairment test, if necessary. If, based on the results of the qualitative assessment, it is concluded that it is not more likely than not that the fair value of the intangible asset is greater than its carrying value, the two-step test is performed to identify potential impairment. If it is determined that it is not more likely than not that the fair value of the reporting unit is less than its carrying value, it is unnecessary to perform the two-step impairment test.</w:t>
      </w:r>
    </w:p>
    <w:p>
      <w:pPr>
        <w:spacing w:after="0" w:line="177"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Based on certain circumstances, we may elect to bypass the qualitative assessment and proceed directly to performing the first step of the two-step impairment test. The first step of the two-step goodwill impairment test compares the fair value of the reporting unit to its carrying amount, including goodwill. The second step includes hypothetically valuing all the tangible and intangible assets of the reporting unit as if the reporting unit had been acquired in a business combination. Then, the implied fair value of the reporting unit’s goodwill is compared to the carrying amount of that goodwill. If the carrying value of the asset exceeds its fair value, an impairment loss is recognized in the amount of the excess. The fair value of each reporting unit is determined using a discounted cash flow approach.</w:t>
      </w:r>
    </w:p>
    <w:p>
      <w:pPr>
        <w:spacing w:after="0" w:line="177"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Intangible assets that are determined to have finite lives are amortized over their useful lives and are measured for impairment only when events or changes in circumstances indicate that the carrying value may be impaired. Intangible assets with indefinite lives are tested for impairment if impairment indicators arise and, at a minimum, annually. The impairment review for intangible assets with indefinite lives consists of either performing a qualitative or a quantitative assessment. If the results of the qualitative assessment indicate that it is more likely than not that the fair value of the indefinite-lived intangible is less than its carrying amount, or if we elect to proceed directly to a quantitative assessment, we calculate the fair value using a discounted cash flow method, based on the relief from royalty concept, and compare the fair value to the carrying value to determine if the asset is impaired.</w:t>
      </w:r>
    </w:p>
    <w:p>
      <w:pPr>
        <w:spacing w:after="0" w:line="159"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Derivative Financial Instruments</w:t>
      </w:r>
    </w:p>
    <w:p>
      <w:pPr>
        <w:spacing w:after="0" w:line="201"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All derivative financial instruments are recorded in the Company’s Consolidated Balance Sheets at their fair values. For derivatives designated as a hedge, and effective as part of a hedge transaction, the effective portion of the gain or loss on the hedging derivative instrument is reported as a component of other comprehensive income/loss or as a basis adjustment to the underlying hedged item and reclassified to earnings in the period in which the hedged item affects earnings. The effective portion of the gain or loss on hedges of foreign net investments is generally not reclassified to earnings unless the net investment is disposed of. To the extent derivatives do not qualify or are not designated as hedges, or are ineffective, their changes in fair value are recorded in earnings immediately, which may subject the Company to increased earnings volatility.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5"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Fair Value</w:t>
      </w:r>
    </w:p>
    <w:p>
      <w:pPr>
        <w:spacing w:after="0" w:line="201"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The Company categorizes its financial instruments into a three-level fair value hierarchy that prioritizes the inputs to valuation techniques used to measure fair value into three broad levels. The fair value hierarchy gives the highest priority to quoted prices in active markets for identical assets or liabilities (Level 1) and the lowest priority to unobservable inputs (Level 3). If the inputs used to measure fair value fall within different levels of the hierarchy, the category level is based on the lowest priority level input that is significant to the fair value measurement of the instrument. Fair value is determined based upon the exit price that would be received to sell an asset or paid to transfer a liability in an orderly transaction between market participants exclusive of any transaction costs. The Company’s financial assets recorded at fair value are categorized as follows: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Level 1 -</w:t>
      </w:r>
      <w:r>
        <w:rPr>
          <w:rFonts w:ascii="Arial" w:cs="Arial" w:eastAsia="Arial" w:hAnsi="Arial"/>
          <w:sz w:val="17"/>
          <w:szCs w:val="17"/>
          <w:color w:val="auto"/>
        </w:rPr>
        <w:t>Quoted prices for identical instruments in active markets.</w:t>
      </w:r>
    </w:p>
    <w:p>
      <w:pPr>
        <w:spacing w:after="0" w:line="27" w:lineRule="exact"/>
        <w:rPr>
          <w:sz w:val="20"/>
          <w:szCs w:val="20"/>
          <w:color w:val="auto"/>
        </w:rPr>
      </w:pPr>
    </w:p>
    <w:p>
      <w:pPr>
        <w:jc w:val="both"/>
        <w:ind w:left="820" w:right="499" w:hanging="701"/>
        <w:spacing w:after="0" w:line="238" w:lineRule="auto"/>
        <w:rPr>
          <w:sz w:val="20"/>
          <w:szCs w:val="20"/>
          <w:color w:val="auto"/>
        </w:rPr>
      </w:pPr>
      <w:r>
        <w:rPr>
          <w:rFonts w:ascii="Arial" w:cs="Arial" w:eastAsia="Arial" w:hAnsi="Arial"/>
          <w:sz w:val="17"/>
          <w:szCs w:val="17"/>
          <w:b w:val="1"/>
          <w:bCs w:val="1"/>
          <w:color w:val="auto"/>
        </w:rPr>
        <w:t>Level 2 -</w:t>
      </w:r>
      <w:r>
        <w:rPr>
          <w:rFonts w:ascii="Arial" w:cs="Arial" w:eastAsia="Arial" w:hAnsi="Arial"/>
          <w:sz w:val="17"/>
          <w:szCs w:val="17"/>
          <w:color w:val="auto"/>
        </w:rPr>
        <w:t>Quoted prices for similar instruments in active markets; quoted prices for identical or similar</w:t>
      </w:r>
      <w:r>
        <w:rPr>
          <w:rFonts w:ascii="Arial" w:cs="Arial" w:eastAsia="Arial" w:hAnsi="Arial"/>
          <w:sz w:val="17"/>
          <w:szCs w:val="17"/>
          <w:b w:val="1"/>
          <w:bCs w:val="1"/>
          <w:color w:val="auto"/>
        </w:rPr>
        <w:t xml:space="preserve"> </w:t>
      </w:r>
      <w:r>
        <w:rPr>
          <w:rFonts w:ascii="Arial" w:cs="Arial" w:eastAsia="Arial" w:hAnsi="Arial"/>
          <w:sz w:val="17"/>
          <w:szCs w:val="17"/>
          <w:color w:val="auto"/>
        </w:rPr>
        <w:t>instruments in markets that are not active; and model-derived valuations in which all significant inputs or significant value-drivers are observable in active markets.</w:t>
      </w:r>
    </w:p>
    <w:p>
      <w:pPr>
        <w:spacing w:after="0" w:line="60" w:lineRule="exact"/>
        <w:rPr>
          <w:sz w:val="20"/>
          <w:szCs w:val="20"/>
          <w:color w:val="auto"/>
        </w:rPr>
      </w:pPr>
    </w:p>
    <w:p>
      <w:pPr>
        <w:jc w:val="both"/>
        <w:ind w:left="820" w:right="499" w:hanging="701"/>
        <w:spacing w:after="0" w:line="268" w:lineRule="auto"/>
        <w:rPr>
          <w:sz w:val="20"/>
          <w:szCs w:val="20"/>
          <w:color w:val="auto"/>
        </w:rPr>
      </w:pPr>
      <w:r>
        <w:rPr>
          <w:rFonts w:ascii="Arial" w:cs="Arial" w:eastAsia="Arial" w:hAnsi="Arial"/>
          <w:sz w:val="17"/>
          <w:szCs w:val="17"/>
          <w:b w:val="1"/>
          <w:bCs w:val="1"/>
          <w:color w:val="auto"/>
        </w:rPr>
        <w:t>Level 3 -</w:t>
      </w:r>
      <w:r>
        <w:rPr>
          <w:rFonts w:ascii="Arial" w:cs="Arial" w:eastAsia="Arial" w:hAnsi="Arial"/>
          <w:sz w:val="17"/>
          <w:szCs w:val="17"/>
          <w:color w:val="auto"/>
        </w:rPr>
        <w:t>Model-derived valuations in which one or more significant inputs or significant value-drivers are</w:t>
      </w:r>
      <w:r>
        <w:rPr>
          <w:rFonts w:ascii="Arial" w:cs="Arial" w:eastAsia="Arial" w:hAnsi="Arial"/>
          <w:sz w:val="17"/>
          <w:szCs w:val="17"/>
          <w:b w:val="1"/>
          <w:bCs w:val="1"/>
          <w:color w:val="auto"/>
        </w:rPr>
        <w:t xml:space="preserve"> </w:t>
      </w:r>
      <w:r>
        <w:rPr>
          <w:rFonts w:ascii="Arial" w:cs="Arial" w:eastAsia="Arial" w:hAnsi="Arial"/>
          <w:sz w:val="17"/>
          <w:szCs w:val="17"/>
          <w:color w:val="auto"/>
        </w:rPr>
        <w:t>unobservable.</w:t>
      </w:r>
    </w:p>
    <w:p>
      <w:pPr>
        <w:spacing w:after="0" w:line="160"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Income Taxes</w:t>
      </w:r>
    </w:p>
    <w:p>
      <w:pPr>
        <w:spacing w:after="0" w:line="201"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The Company accounts for its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the tax basis of assets and liabilities, using enacted tax rates in effect for the year in which the differences are expected to reverse. Deferred tax assets are recognized for tax credits and net operating loss carryforwards, reduced by a valuation allowance, which is established when it is more likely than not that some portion or all of the deferred tax assets will not be realized. The effect of a change in tax rates on deferred tax assets and liabilities is recognized in income in the period that includes the enactment date.</w:t>
      </w:r>
    </w:p>
    <w:p>
      <w:pPr>
        <w:spacing w:after="0" w:line="177"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The Company recognizes net deferred tax assets to the extent that it believes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 recorded amount, the Company would make an adjustment to the deferred tax asset valuation allowance, which would reduce the provision for income taxes.</w:t>
      </w:r>
    </w:p>
    <w:p>
      <w:pPr>
        <w:spacing w:after="0" w:line="175" w:lineRule="exact"/>
        <w:rPr>
          <w:sz w:val="20"/>
          <w:szCs w:val="20"/>
          <w:color w:val="auto"/>
        </w:rPr>
      </w:pPr>
    </w:p>
    <w:p>
      <w:pPr>
        <w:jc w:val="both"/>
        <w:ind w:left="100" w:right="99"/>
        <w:spacing w:after="0" w:line="233" w:lineRule="auto"/>
        <w:rPr>
          <w:sz w:val="20"/>
          <w:szCs w:val="20"/>
          <w:color w:val="auto"/>
        </w:rPr>
      </w:pPr>
      <w:r>
        <w:rPr>
          <w:rFonts w:ascii="Arial" w:cs="Arial" w:eastAsia="Arial" w:hAnsi="Arial"/>
          <w:sz w:val="17"/>
          <w:szCs w:val="17"/>
          <w:color w:val="auto"/>
        </w:rPr>
        <w:t>A taxing authority may challenge positions that the Company adopted in its income tax filings. Accordingly, the Company may apply different tax treatments for transactions in filing its income tax returns than for income tax financial reporting. The Company regularly assesses its tax positions for such transactions and records reserves for those differences when considered necessary. Tax positions are recognized only when it is more likely than not, based on technical merits, that the positions will be sustained upon examination. Tax positions that meet the more-likely-than-not threshold are measured using a probability weighted approach as the largest amount of tax benefit that is greater than fifty percent likely of being realized upon settlement. Whether the more-likely-than-not recognition threshold is met for a tax position is a matter of judgment based on the individual facts and circumstances of that position evaluated in light of all available evidence. The Company recognizes interest and penalties related to unrecognized tax benefits within income tax expense in the accompanying Consolidated Statement of Operations. Accrued interest and penalties are included within the related tax liability line in the Consolidated Balance Sheet.</w:t>
      </w:r>
    </w:p>
    <w:p>
      <w:pPr>
        <w:spacing w:after="0" w:line="181"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Provision for U.S. income taxes on undistributed earnings of foreign subsidiaries is made only on those amounts in excess of the funds considered to be permanently reinvested.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3"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 xml:space="preserve">Our income tax provision for 2017 includes the estimated effects of U.S. tax reform (“Tax Act”) enacted on December 22, 2017. The Tax Act significantly revises U.S. corporate income taxation, among other changes, lowering corporate income tax rates, implementing a modified territorial tax regime, and imposing a one-time transition tax through a deemed repatriation of accumulated untaxed earnings and profits of foreign subsidiaries. The Company has made estimates of the effects and recorded provisional amounts in its 2017 financial statements as permitted under Staff Accounting Bulletin No. 118, </w:t>
      </w:r>
      <w:r>
        <w:rPr>
          <w:rFonts w:ascii="Arial" w:cs="Arial" w:eastAsia="Arial" w:hAnsi="Arial"/>
          <w:sz w:val="17"/>
          <w:szCs w:val="17"/>
          <w:i w:val="1"/>
          <w:iCs w:val="1"/>
          <w:color w:val="auto"/>
        </w:rPr>
        <w:t>Income Tax Accounting Implications of the Tax Cuts and Jobs</w:t>
      </w:r>
      <w:r>
        <w:rPr>
          <w:rFonts w:ascii="Arial" w:cs="Arial" w:eastAsia="Arial" w:hAnsi="Arial"/>
          <w:sz w:val="17"/>
          <w:szCs w:val="17"/>
          <w:color w:val="auto"/>
        </w:rPr>
        <w:t xml:space="preserve"> </w:t>
      </w:r>
      <w:r>
        <w:rPr>
          <w:rFonts w:ascii="Arial" w:cs="Arial" w:eastAsia="Arial" w:hAnsi="Arial"/>
          <w:sz w:val="17"/>
          <w:szCs w:val="17"/>
          <w:i w:val="1"/>
          <w:iCs w:val="1"/>
          <w:color w:val="auto"/>
        </w:rPr>
        <w:t>Act</w:t>
      </w:r>
      <w:r>
        <w:rPr>
          <w:rFonts w:ascii="Arial" w:cs="Arial" w:eastAsia="Arial" w:hAnsi="Arial"/>
          <w:sz w:val="17"/>
          <w:szCs w:val="17"/>
          <w:color w:val="auto"/>
        </w:rPr>
        <w:t>, which provides guidance on accounting for the Tax Act’s effects. The ultimate effect of the Tax Act may differ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from the provisional amount, possibly materially, due to, among other things, further refinement of our calculations, changes in interpretations and assumptions we have made, regulatory and administrative guidance that may be issued, and actions we may take as a result of the Tax Act. See also Note 17,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for more information.</w:t>
      </w:r>
    </w:p>
    <w:p>
      <w:pPr>
        <w:spacing w:after="0" w:line="156"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Pension and Postretirement Obligations</w:t>
      </w:r>
    </w:p>
    <w:p>
      <w:pPr>
        <w:spacing w:after="0" w:line="201"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The discount rate for the U.S. plans is determined by reference to the Bond:Link interest rate model based upon a portfolio of highly-rated U.S. corporate bonds with individual bonds that are theoretically purchased to settle the plan’s anticipated cash outflows. The cash flows are discounted to their present value and an overall discount rate is determined. The discount rate selected to measure the present value of the Company’s Canadian benefit obligations was developed by using that plan’s bond portfolio indices, which match the benefit obligations. The Company measures its plan assets and benefit obligations using the month-end date that is closest to our fiscal year end.</w:t>
      </w:r>
    </w:p>
    <w:p>
      <w:pPr>
        <w:spacing w:after="0" w:line="157"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Insurance Liabilities</w:t>
      </w:r>
    </w:p>
    <w:p>
      <w:pPr>
        <w:spacing w:after="0" w:line="201"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The Company is primarily self-insured for health care, workers’ compensation, and general liability costs. Accordingly, provisions are made for the Company’s actuarially determined estimates of discounted future claim costs for such risks, for the aggregate of claims reported, and claims incurred but not yet reported. Self-insured liabilities totaled $10 million and $12 million at February 3, 2018 and January 28, 2017, respectively. The Company discounts its workers’ compensation and general liability reserves using a risk-free interest rate. Imputed interest expense related to these liabilities was not significant for any of the periods presented.</w:t>
      </w:r>
    </w:p>
    <w:p>
      <w:pPr>
        <w:spacing w:after="0" w:line="157"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Accounting for Leases</w:t>
      </w:r>
    </w:p>
    <w:p>
      <w:pPr>
        <w:spacing w:after="0" w:line="201"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The Company recognizes rent expense for operating leases as of the possession date for store leases or the commencement of the agreement for a non-store lease. Rental expense, inclusive of rent holidays, concessions, and tenant allowances are recognized over the lease term on a straight-line basis. Contingent payments based upon sales and future increases determined by inflation related indices cannot be estimated at the inception of the lease and, accordingly, are charged to operations as incurred.</w:t>
      </w:r>
    </w:p>
    <w:p>
      <w:pPr>
        <w:spacing w:after="0" w:line="159"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Treasury Stock Retirement</w:t>
      </w:r>
    </w:p>
    <w:p>
      <w:pPr>
        <w:spacing w:after="0" w:line="201"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The Company periodically retires treasury shares that it acquires through share repurchases and returns those shares to the status of authorized but unissued. The Company accounts for treasury stock transactions under the cost method. For each reacquisition of common stock, the number of shares and the acquisition price for those shares is added to the existing treasury stock count and total value. When treasury shares are retired, the Company’s policy is to allocate the excess of the repurchase price over the par value of shares acquired to both retained earnings and additional paid-in capital. The portion allocated to additional paid-in capital is determined by applying a percentage, which is determined by dividing the number of shares to be retired by the number of shares issued, to the balance of additional paid-in capital as of the retirement date.</w:t>
      </w:r>
    </w:p>
    <w:p>
      <w:pPr>
        <w:spacing w:after="0" w:line="177"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During 2017 and 2016, the Company retired 12 million and 42 million shares, respectively, of its common stock held in treasury. The shares were returned to the status of authorized but unissued. As a result, treasury stock decreased by $487 million and $1,728 million as of February 3, 2018 and January 28, 2017, respectively.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5"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Foreign Currency Translation</w:t>
      </w:r>
    </w:p>
    <w:p>
      <w:pPr>
        <w:spacing w:after="0" w:line="201"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The functional currency of the Company’s international operations is the applicable local currency. The translation of the applicable foreign currency into U.S. dollars is performed for balance sheet accounts using current exchange rates in effect at the balance sheet date and for revenue and expense accounts using the weighted-average rates of exchange prevailing during the year. The unearned gains and losses resulting from such translation are included as a separate component of accumulated other comprehensive loss within shareholders’ equity.</w:t>
      </w:r>
    </w:p>
    <w:p>
      <w:pPr>
        <w:spacing w:after="0" w:line="159"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Recent Accounting Pronouncements</w:t>
      </w:r>
    </w:p>
    <w:p>
      <w:pPr>
        <w:spacing w:after="0" w:line="201"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The core principle of this amendment is that an entity should recognize revenue to depict the transfer of promised goods or services to customers in an amount that reflects the consideration to which the entity expects to be entitled in exchange for those goods or services. ASU 2014-09 is effective for annual reporting periods beginning after December 15, 2017, and interim periods therein. This ASU can be adopted either retrospectively to each prior reporting period presented or on a modified retrospective basis with the cumulative-effect recognized as an adjustment to retained earnings as of the date of adoption. The Company has identified a change for the following items:</w:t>
      </w:r>
    </w:p>
    <w:p>
      <w:pPr>
        <w:spacing w:after="0" w:line="123" w:lineRule="exact"/>
        <w:rPr>
          <w:sz w:val="20"/>
          <w:szCs w:val="20"/>
          <w:color w:val="auto"/>
        </w:rPr>
      </w:pPr>
    </w:p>
    <w:p>
      <w:pPr>
        <w:ind w:left="740" w:right="99" w:hanging="311"/>
        <w:spacing w:after="0" w:line="232" w:lineRule="auto"/>
        <w:tabs>
          <w:tab w:leader="none" w:pos="740" w:val="left"/>
        </w:tabs>
        <w:numPr>
          <w:ilvl w:val="0"/>
          <w:numId w:val="18"/>
        </w:numPr>
        <w:rPr>
          <w:rFonts w:ascii="Arial" w:cs="Arial" w:eastAsia="Arial" w:hAnsi="Arial"/>
          <w:sz w:val="16"/>
          <w:szCs w:val="16"/>
          <w:color w:val="auto"/>
        </w:rPr>
      </w:pPr>
      <w:r>
        <w:rPr>
          <w:rFonts w:ascii="Arial" w:cs="Arial" w:eastAsia="Arial" w:hAnsi="Arial"/>
          <w:sz w:val="17"/>
          <w:szCs w:val="17"/>
          <w:color w:val="auto"/>
        </w:rPr>
        <w:t>Timing change relating to the recognition of gift card breakage as well as recognition of gift card breakage as part of sales instead of recognition of breakage as part of SG&amp;A expense.</w:t>
      </w:r>
    </w:p>
    <w:p>
      <w:pPr>
        <w:ind w:left="740" w:right="99" w:hanging="311"/>
        <w:spacing w:after="0" w:line="232" w:lineRule="auto"/>
        <w:tabs>
          <w:tab w:leader="none" w:pos="740" w:val="left"/>
        </w:tabs>
        <w:numPr>
          <w:ilvl w:val="0"/>
          <w:numId w:val="18"/>
        </w:numPr>
        <w:rPr>
          <w:rFonts w:ascii="Arial" w:cs="Arial" w:eastAsia="Arial" w:hAnsi="Arial"/>
          <w:sz w:val="16"/>
          <w:szCs w:val="16"/>
          <w:color w:val="auto"/>
        </w:rPr>
      </w:pPr>
      <w:r>
        <w:rPr>
          <w:rFonts w:ascii="Arial" w:cs="Arial" w:eastAsia="Arial" w:hAnsi="Arial"/>
          <w:sz w:val="17"/>
          <w:szCs w:val="17"/>
          <w:color w:val="auto"/>
        </w:rPr>
        <w:t>Timing change relating to the recognition of revenue for our e-commerce sales to be recognized at the shipping point rather than upon receipt by the customer.</w:t>
      </w:r>
    </w:p>
    <w:p>
      <w:pPr>
        <w:ind w:left="740" w:hanging="311"/>
        <w:spacing w:after="0"/>
        <w:tabs>
          <w:tab w:leader="none" w:pos="740" w:val="left"/>
        </w:tabs>
        <w:numPr>
          <w:ilvl w:val="0"/>
          <w:numId w:val="18"/>
        </w:numPr>
        <w:rPr>
          <w:rFonts w:ascii="Arial" w:cs="Arial" w:eastAsia="Arial" w:hAnsi="Arial"/>
          <w:sz w:val="16"/>
          <w:szCs w:val="16"/>
          <w:color w:val="auto"/>
        </w:rPr>
      </w:pPr>
      <w:r>
        <w:rPr>
          <w:rFonts w:ascii="Arial" w:cs="Arial" w:eastAsia="Arial" w:hAnsi="Arial"/>
          <w:sz w:val="17"/>
          <w:szCs w:val="17"/>
          <w:color w:val="auto"/>
        </w:rPr>
        <w:t>Timing change relating to the recognition of expenses for direct-response advertising costs.</w:t>
      </w:r>
    </w:p>
    <w:p>
      <w:pPr>
        <w:spacing w:after="0" w:line="7" w:lineRule="exact"/>
        <w:rPr>
          <w:rFonts w:ascii="Arial" w:cs="Arial" w:eastAsia="Arial" w:hAnsi="Arial"/>
          <w:sz w:val="16"/>
          <w:szCs w:val="16"/>
          <w:color w:val="auto"/>
        </w:rPr>
      </w:pPr>
    </w:p>
    <w:p>
      <w:pPr>
        <w:ind w:left="740" w:right="99" w:hanging="311"/>
        <w:spacing w:after="0" w:line="232" w:lineRule="auto"/>
        <w:tabs>
          <w:tab w:leader="none" w:pos="740" w:val="left"/>
        </w:tabs>
        <w:numPr>
          <w:ilvl w:val="0"/>
          <w:numId w:val="18"/>
        </w:numPr>
        <w:rPr>
          <w:rFonts w:ascii="Arial" w:cs="Arial" w:eastAsia="Arial" w:hAnsi="Arial"/>
          <w:sz w:val="16"/>
          <w:szCs w:val="16"/>
          <w:color w:val="auto"/>
        </w:rPr>
      </w:pPr>
      <w:r>
        <w:rPr>
          <w:rFonts w:ascii="Arial" w:cs="Arial" w:eastAsia="Arial" w:hAnsi="Arial"/>
          <w:sz w:val="17"/>
          <w:szCs w:val="17"/>
          <w:color w:val="auto"/>
        </w:rPr>
        <w:t>Balance sheet reclassification from inventory to other current assets relating to our right to recover products for expected returns.</w:t>
      </w:r>
    </w:p>
    <w:p>
      <w:pPr>
        <w:ind w:left="740" w:right="99" w:hanging="311"/>
        <w:spacing w:after="0" w:line="243" w:lineRule="auto"/>
        <w:tabs>
          <w:tab w:leader="none" w:pos="740" w:val="left"/>
        </w:tabs>
        <w:numPr>
          <w:ilvl w:val="0"/>
          <w:numId w:val="18"/>
        </w:numPr>
        <w:rPr>
          <w:rFonts w:ascii="Arial" w:cs="Arial" w:eastAsia="Arial" w:hAnsi="Arial"/>
          <w:sz w:val="16"/>
          <w:szCs w:val="16"/>
          <w:color w:val="auto"/>
        </w:rPr>
      </w:pPr>
      <w:r>
        <w:rPr>
          <w:rFonts w:ascii="Arial" w:cs="Arial" w:eastAsia="Arial" w:hAnsi="Arial"/>
          <w:sz w:val="17"/>
          <w:szCs w:val="17"/>
          <w:color w:val="auto"/>
        </w:rPr>
        <w:t>Change to the accounting for our unredeemed rewards for our loyalty program as a reduction to sales instead of recording the charge to cost of goods sold.</w:t>
      </w:r>
    </w:p>
    <w:p>
      <w:pPr>
        <w:spacing w:after="0" w:line="117"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We have substantially completed our evaluation of the effect of ASU 2014-09, and will adopt the guidance beginning with our first quarter ending May 5, 2018, using the modified retrospective transition method. The adjustment to retained earnings will primarily represent the change in timing relating to gift card breakage and the change in timing related to the recognition of e-commerce sales, and is not expected to be significant.</w:t>
      </w:r>
    </w:p>
    <w:p>
      <w:pPr>
        <w:spacing w:after="0" w:line="159"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This ASU requires lessees to recognize a lease liability and a right-of-use asset for all leases, as well as additional disclosure regarding leasing arrangements. This standard will be effective for fiscal years beginning after December 15, 2018, including interim periods therein, and requires a modified retrospective adoption, with earlier adoption permitted. The Company does not expect to adopt this ASU until required and is evaluating the effect of this guidance. The Company has historically presented a non-GAAP measure to adjust its balance sheet to present operating leases as if they were capital leases. Based upon that analysis and preliminary evaluation of the standard, we estimate the adoption will result in the addition of $3 to $4 billion of assets and liabilities on our consolidated balance sheet, with no significant change to our consolidated statements of operations or cash flows.</w:t>
      </w:r>
    </w:p>
    <w:p>
      <w:pPr>
        <w:spacing w:after="0" w:line="161"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 xml:space="preserve">In October 2016, the FASB issued ASU 2016-16, </w:t>
      </w:r>
      <w:r>
        <w:rPr>
          <w:rFonts w:ascii="Arial" w:cs="Arial" w:eastAsia="Arial" w:hAnsi="Arial"/>
          <w:sz w:val="17"/>
          <w:szCs w:val="17"/>
          <w:i w:val="1"/>
          <w:iCs w:val="1"/>
          <w:color w:val="auto"/>
        </w:rPr>
        <w:t>Income Taxes (Topic 740): Intra-Entity Transfers of Assets Other</w:t>
      </w:r>
      <w:r>
        <w:rPr>
          <w:rFonts w:ascii="Arial" w:cs="Arial" w:eastAsia="Arial" w:hAnsi="Arial"/>
          <w:sz w:val="17"/>
          <w:szCs w:val="17"/>
          <w:color w:val="auto"/>
        </w:rPr>
        <w:t xml:space="preserve"> </w:t>
      </w:r>
      <w:r>
        <w:rPr>
          <w:rFonts w:ascii="Arial" w:cs="Arial" w:eastAsia="Arial" w:hAnsi="Arial"/>
          <w:sz w:val="17"/>
          <w:szCs w:val="17"/>
          <w:i w:val="1"/>
          <w:iCs w:val="1"/>
          <w:color w:val="auto"/>
        </w:rPr>
        <w:t>Than Inventory</w:t>
      </w:r>
      <w:r>
        <w:rPr>
          <w:rFonts w:ascii="Arial" w:cs="Arial" w:eastAsia="Arial" w:hAnsi="Arial"/>
          <w:sz w:val="17"/>
          <w:szCs w:val="17"/>
          <w:color w:val="auto"/>
        </w:rPr>
        <w:t>. ASU 2016-16 requires recognition of income tax consequences of an intra-entity transfer of an asset</w:t>
      </w:r>
      <w:r>
        <w:rPr>
          <w:rFonts w:ascii="Arial" w:cs="Arial" w:eastAsia="Arial" w:hAnsi="Arial"/>
          <w:sz w:val="17"/>
          <w:szCs w:val="17"/>
          <w:i w:val="1"/>
          <w:iCs w:val="1"/>
          <w:color w:val="auto"/>
        </w:rPr>
        <w:t xml:space="preserve"> </w:t>
      </w:r>
      <w:r>
        <w:rPr>
          <w:rFonts w:ascii="Arial" w:cs="Arial" w:eastAsia="Arial" w:hAnsi="Arial"/>
          <w:sz w:val="17"/>
          <w:szCs w:val="17"/>
          <w:color w:val="auto"/>
        </w:rPr>
        <w:t>other than inventory when the transfer occurs. This ASU is effective and will be adopted by the Company for annual reporting periods beginning after December 15, 2017, including interim periods therein. The amendments in this update should be applied on a modified retrospective basis through a cumulative-effect adjustment directly to retained earnings as of the beginning of the period of adoption. Upon adoption, a company would write off any income tax effects that had been deferred from past intercompany transactions involving non-inventory assets to opening retained earnings. In addition, an entity would record deferred tax assets with an offset to opening retained earnings for amounts that entity had previously not recognized under existing guidance but would recognize under the new guidance. Based on deferred tax amounts related to applicable past intercompany transactions and the foreign exchange rates as of February 3, 2018, we expect the adoption will result in an increase in deferred income tax assets of $37 million.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3"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Other recently issued accounting pronouncements did not, or are not believed by management to, have a material effect on the Company’s present or future consolidated financial statements.</w:t>
      </w:r>
    </w:p>
    <w:p>
      <w:pPr>
        <w:spacing w:after="0" w:line="153"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Recently Adopted Accounting Pronouncements</w:t>
      </w:r>
    </w:p>
    <w:p>
      <w:pPr>
        <w:spacing w:after="0" w:line="183"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 xml:space="preserve">In March 2016, the FASB issued ASU 2016-09,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xml:space="preserve"> ASU 2016-09 simplifies the accounting for share-based payment transactions, including tax consequences, forfeitures, and classifications of the tax related items in the statement of cash flows. The Company adopted ASU 2016-09 during the first quarter of 2017. Amendments relating to accounting for excess tax benefits and deficiencies have been adopted prospectively. For the year ended February 3, 2018, the Company recorded $9 million of excess tax benefits related to share-based compensation awards to the income statement, within the income tax provision, whereas such benefits were previously recognized in equity. Also, in the diluted net earnings per share calculation, when applying the treasury stock method for shares that could be repurchased, the assumed proceeds no longer include the amount of excess tax benefits. This ASU also requires that we present excess tax benefits or deficiencies as operating activities in our consolidated statement of cash flow. As a result of adopting this change retrospectively, we reclassified excess tax benefits of $20 million and $35 million, which were previously classified as cash flows from financing activities, to operating activities for the years ended January 28, 2017 and January 30, 2016, respectively. Additionally, the presentation of employee taxes paid to taxing authorities for share-based transactions of $7 million and $9 million, previously classified as cash flows from operating activities, were reclassified to financing activities for the years ended January 28, 2017 and January 30, 2016, respectively. The Company has made a policy election of recording forfeitures as they occur instead of estimating forfeitures using a modified retrospective approach. The cumulative effect of this change was not significant.</w:t>
      </w:r>
    </w:p>
    <w:p>
      <w:pPr>
        <w:spacing w:after="0" w:line="163"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 xml:space="preserve">In November 2016, the FASB issued ASU 2016-18, </w:t>
      </w:r>
      <w:r>
        <w:rPr>
          <w:rFonts w:ascii="Arial" w:cs="Arial" w:eastAsia="Arial" w:hAnsi="Arial"/>
          <w:sz w:val="17"/>
          <w:szCs w:val="17"/>
          <w:i w:val="1"/>
          <w:iCs w:val="1"/>
          <w:color w:val="auto"/>
        </w:rPr>
        <w:t>Statement of Cash Flows (Topic 230): Restricted Cash.</w:t>
      </w:r>
      <w:r>
        <w:rPr>
          <w:rFonts w:ascii="Arial" w:cs="Arial" w:eastAsia="Arial" w:hAnsi="Arial"/>
          <w:sz w:val="17"/>
          <w:szCs w:val="17"/>
          <w:color w:val="auto"/>
        </w:rPr>
        <w:t xml:space="preserve"> ASU 2016-18 requires that a statement of cash flows explain the change during the period in the total cash, cash equivalents, and amounts generally described as restricted cash and restricted cash equivalents when reconciling the beginning-of-period and end-of-period total amounts. This ASU is effective for annual reporting periods beginning after December 15, 2017 including interim periods therein. The Company has adopted this ASU as of the first quarter of 2017. Accordingly, we restated our cash and cash equivalents balances in the consolidated statements of cash flows to include restricted cash of $27 million as of January 28, 2017 and January 30, 2016. Please see the </w:t>
      </w:r>
      <w:r>
        <w:rPr>
          <w:rFonts w:ascii="Arial" w:cs="Arial" w:eastAsia="Arial" w:hAnsi="Arial"/>
          <w:sz w:val="17"/>
          <w:szCs w:val="17"/>
          <w:i w:val="1"/>
          <w:iCs w:val="1"/>
          <w:color w:val="auto"/>
        </w:rPr>
        <w:t>Cash, Cash Equivalents, and Restricted Cash</w:t>
      </w:r>
      <w:r>
        <w:rPr>
          <w:rFonts w:ascii="Arial" w:cs="Arial" w:eastAsia="Arial" w:hAnsi="Arial"/>
          <w:sz w:val="17"/>
          <w:szCs w:val="17"/>
          <w:color w:val="auto"/>
        </w:rPr>
        <w:t xml:space="preserve"> section earlier in this note for a reconciliation of cash and cash equivalents as presented on our consolidated balance sheets to cash, cash equivalents, and restricted cash as reported on our consolidated statements of cash flows.</w:t>
      </w:r>
    </w:p>
    <w:p>
      <w:pPr>
        <w:spacing w:after="0" w:line="158" w:lineRule="exact"/>
        <w:rPr>
          <w:sz w:val="20"/>
          <w:szCs w:val="20"/>
          <w:color w:val="auto"/>
        </w:rPr>
      </w:pPr>
    </w:p>
    <w:p>
      <w:pPr>
        <w:jc w:val="both"/>
        <w:ind w:left="100" w:right="99"/>
        <w:spacing w:after="0" w:line="237" w:lineRule="auto"/>
        <w:rPr>
          <w:sz w:val="20"/>
          <w:szCs w:val="20"/>
          <w:color w:val="auto"/>
        </w:rPr>
      </w:pPr>
      <w:r>
        <w:rPr>
          <w:rFonts w:ascii="Arial" w:cs="Arial" w:eastAsia="Arial" w:hAnsi="Arial"/>
          <w:sz w:val="17"/>
          <w:szCs w:val="17"/>
          <w:color w:val="auto"/>
        </w:rPr>
        <w:t xml:space="preserve">In February 2018, the FASB issued ASU 2018-02, </w:t>
      </w:r>
      <w:r>
        <w:rPr>
          <w:rFonts w:ascii="Arial" w:cs="Arial" w:eastAsia="Arial" w:hAnsi="Arial"/>
          <w:sz w:val="17"/>
          <w:szCs w:val="17"/>
          <w:i w:val="1"/>
          <w:iCs w:val="1"/>
          <w:color w:val="auto"/>
        </w:rPr>
        <w:t>Income Statement</w:t>
      </w:r>
      <w:r>
        <w:rPr>
          <w:rFonts w:ascii="Arial" w:cs="Arial" w:eastAsia="Arial" w:hAnsi="Arial"/>
          <w:sz w:val="17"/>
          <w:szCs w:val="17"/>
          <w:color w:val="auto"/>
        </w:rPr>
        <w:t>—</w:t>
      </w:r>
      <w:r>
        <w:rPr>
          <w:rFonts w:ascii="Arial" w:cs="Arial" w:eastAsia="Arial" w:hAnsi="Arial"/>
          <w:sz w:val="17"/>
          <w:szCs w:val="17"/>
          <w:i w:val="1"/>
          <w:iCs w:val="1"/>
          <w:color w:val="auto"/>
        </w:rPr>
        <w:t>Reporting Comprehensive Income (Topic</w:t>
      </w:r>
      <w:r>
        <w:rPr>
          <w:rFonts w:ascii="Arial" w:cs="Arial" w:eastAsia="Arial" w:hAnsi="Arial"/>
          <w:sz w:val="17"/>
          <w:szCs w:val="17"/>
          <w:color w:val="auto"/>
        </w:rPr>
        <w:t xml:space="preserve"> </w:t>
      </w:r>
      <w:r>
        <w:rPr>
          <w:rFonts w:ascii="Arial" w:cs="Arial" w:eastAsia="Arial" w:hAnsi="Arial"/>
          <w:sz w:val="17"/>
          <w:szCs w:val="17"/>
          <w:i w:val="1"/>
          <w:iCs w:val="1"/>
          <w:color w:val="auto"/>
        </w:rPr>
        <w:t>220): Reclassification of Certain Tax Effects from Accumulated Other Comprehensive Income</w:t>
      </w:r>
      <w:r>
        <w:rPr>
          <w:rFonts w:ascii="Arial" w:cs="Arial" w:eastAsia="Arial" w:hAnsi="Arial"/>
          <w:sz w:val="17"/>
          <w:szCs w:val="17"/>
          <w:color w:val="auto"/>
        </w:rPr>
        <w:t>. ASU 2018-02 allows</w:t>
      </w:r>
      <w:r>
        <w:rPr>
          <w:rFonts w:ascii="Arial" w:cs="Arial" w:eastAsia="Arial" w:hAnsi="Arial"/>
          <w:sz w:val="17"/>
          <w:szCs w:val="17"/>
          <w:i w:val="1"/>
          <w:iCs w:val="1"/>
          <w:color w:val="auto"/>
        </w:rPr>
        <w:t xml:space="preserve"> </w:t>
      </w:r>
      <w:r>
        <w:rPr>
          <w:rFonts w:ascii="Arial" w:cs="Arial" w:eastAsia="Arial" w:hAnsi="Arial"/>
          <w:sz w:val="17"/>
          <w:szCs w:val="17"/>
          <w:color w:val="auto"/>
        </w:rPr>
        <w:t>a reclassification from accumulated other comprehensive income to retained earnings for stranded tax effects resulting from the newly enacted corporate tax rates. As permitted by the ASU, the Company has elected to adopt this ASU early as of the year ended February 3, 2018, resulting in a reclassification of $41 million from accumulated other comprehensive loss to retained earnings. The amount of the reclassification is calculated on the basis of the difference between the historical and newly enacted tax rates on deferred taxes related primarily to our pension and postretirement benefit plans.</w:t>
      </w:r>
    </w:p>
    <w:p>
      <w:pPr>
        <w:spacing w:after="0" w:line="15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2. Segment Information</w:t>
      </w:r>
    </w:p>
    <w:p>
      <w:pPr>
        <w:spacing w:after="0" w:line="201"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 xml:space="preserve">The Company has determined that its reportable segments are those that are based on its method of internal reporting. As of February 3, 2018, the Company had two reportable segments, Athletic Stores and Direct-to-Customers. The accounting policies of both segments are the same as those described in Note 1, </w:t>
      </w:r>
      <w:r>
        <w:rPr>
          <w:rFonts w:ascii="Arial" w:cs="Arial" w:eastAsia="Arial" w:hAnsi="Arial"/>
          <w:sz w:val="17"/>
          <w:szCs w:val="17"/>
          <w:i w:val="1"/>
          <w:iCs w:val="1"/>
          <w:color w:val="auto"/>
        </w:rPr>
        <w:t>Summary of</w:t>
      </w:r>
      <w:r>
        <w:rPr>
          <w:rFonts w:ascii="Arial" w:cs="Arial" w:eastAsia="Arial" w:hAnsi="Arial"/>
          <w:sz w:val="17"/>
          <w:szCs w:val="17"/>
          <w:color w:val="auto"/>
        </w:rPr>
        <w:t xml:space="preserve"> </w:t>
      </w:r>
      <w:r>
        <w:rPr>
          <w:rFonts w:ascii="Arial" w:cs="Arial" w:eastAsia="Arial" w:hAnsi="Arial"/>
          <w:sz w:val="17"/>
          <w:szCs w:val="17"/>
          <w:i w:val="1"/>
          <w:iCs w:val="1"/>
          <w:color w:val="auto"/>
        </w:rPr>
        <w:t>Significant Accounting Policies</w:t>
      </w:r>
      <w:r>
        <w:rPr>
          <w:rFonts w:ascii="Arial" w:cs="Arial" w:eastAsia="Arial" w:hAnsi="Arial"/>
          <w:sz w:val="17"/>
          <w:szCs w:val="17"/>
          <w:color w:val="auto"/>
        </w:rPr>
        <w:t>. The Company evaluates performance based on several factors, of which the primary</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measure is division results. Division profit reflects income before income taxes, pension litigation and reorganization charges, corporate expense, non-operating income, and net interest (income) / expense.</w:t>
      </w:r>
    </w:p>
    <w:p>
      <w:pPr>
        <w:spacing w:after="0" w:line="175" w:lineRule="exact"/>
        <w:rPr>
          <w:sz w:val="20"/>
          <w:szCs w:val="20"/>
          <w:color w:val="auto"/>
        </w:rPr>
      </w:pPr>
    </w:p>
    <w:p>
      <w:pPr>
        <w:ind w:left="100" w:right="359"/>
        <w:spacing w:after="0" w:line="243" w:lineRule="auto"/>
        <w:rPr>
          <w:sz w:val="20"/>
          <w:szCs w:val="20"/>
          <w:color w:val="auto"/>
        </w:rPr>
      </w:pPr>
      <w:r>
        <w:rPr>
          <w:rFonts w:ascii="Arial" w:cs="Arial" w:eastAsia="Arial" w:hAnsi="Arial"/>
          <w:sz w:val="17"/>
          <w:szCs w:val="17"/>
          <w:color w:val="auto"/>
        </w:rPr>
        <w:t>Effective as of the beginning of fiscal year 2018, the Company will report one reportable segment based upon the change in our method of internal reporting.</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89"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4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6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35"/>
              <w:spacing w:after="0"/>
              <w:rPr>
                <w:sz w:val="20"/>
                <w:szCs w:val="20"/>
                <w:color w:val="auto"/>
              </w:rPr>
            </w:pPr>
            <w:r>
              <w:rPr>
                <w:rFonts w:ascii="Arial" w:cs="Arial" w:eastAsia="Arial" w:hAnsi="Arial"/>
                <w:sz w:val="17"/>
                <w:szCs w:val="17"/>
                <w:color w:val="auto"/>
              </w:rPr>
              <w:t>2016</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color w:val="auto"/>
              </w:rPr>
              <w:t>2015</w:t>
            </w:r>
          </w:p>
        </w:tc>
        <w:tc>
          <w:tcPr>
            <w:tcW w:w="0" w:type="dxa"/>
            <w:vAlign w:val="bottom"/>
          </w:tcPr>
          <w:p>
            <w:pPr>
              <w:spacing w:after="0"/>
              <w:rPr>
                <w:sz w:val="1"/>
                <w:szCs w:val="1"/>
                <w:color w:val="auto"/>
              </w:rPr>
            </w:pPr>
          </w:p>
        </w:tc>
      </w:tr>
      <w:tr>
        <w:trPr>
          <w:trHeight w:val="210"/>
        </w:trPr>
        <w:tc>
          <w:tcPr>
            <w:tcW w:w="4220" w:type="dxa"/>
            <w:vAlign w:val="bottom"/>
          </w:tcPr>
          <w:p>
            <w:pPr>
              <w:spacing w:after="0"/>
              <w:rPr>
                <w:sz w:val="20"/>
                <w:szCs w:val="20"/>
                <w:color w:val="auto"/>
              </w:rPr>
            </w:pPr>
            <w:r>
              <w:rPr>
                <w:rFonts w:ascii="Arial" w:cs="Arial" w:eastAsia="Arial" w:hAnsi="Arial"/>
                <w:sz w:val="17"/>
                <w:szCs w:val="17"/>
                <w:b w:val="1"/>
                <w:bCs w:val="1"/>
                <w:color w:val="auto"/>
              </w:rPr>
              <w:t>Sales</w:t>
            </w: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315"/>
              <w:spacing w:after="0"/>
              <w:rPr>
                <w:sz w:val="20"/>
                <w:szCs w:val="20"/>
                <w:color w:val="auto"/>
              </w:rPr>
            </w:pPr>
            <w:r>
              <w:rPr>
                <w:rFonts w:ascii="Arial" w:cs="Arial" w:eastAsia="Arial" w:hAnsi="Arial"/>
                <w:sz w:val="17"/>
                <w:szCs w:val="17"/>
                <w:color w:val="auto"/>
              </w:rPr>
              <w:t>in millions)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Athletic Stores</w:t>
            </w:r>
          </w:p>
        </w:tc>
        <w:tc>
          <w:tcPr>
            <w:tcW w:w="1060" w:type="dxa"/>
            <w:vAlign w:val="bottom"/>
            <w:shd w:val="clear" w:color="auto" w:fill="CCEEFF"/>
          </w:tcPr>
          <w:p>
            <w:pPr>
              <w:jc w:val="right"/>
              <w:ind w:right="515"/>
              <w:spacing w:after="0"/>
              <w:rPr>
                <w:sz w:val="20"/>
                <w:szCs w:val="20"/>
                <w:color w:val="auto"/>
              </w:rPr>
            </w:pPr>
            <w:r>
              <w:rPr>
                <w:rFonts w:ascii="Arial" w:cs="Arial" w:eastAsia="Arial" w:hAnsi="Arial"/>
                <w:sz w:val="17"/>
                <w:szCs w:val="17"/>
                <w:b w:val="1"/>
                <w:bCs w:val="1"/>
                <w:color w:val="auto"/>
              </w:rPr>
              <w:t>$</w:t>
            </w:r>
          </w:p>
        </w:tc>
        <w:tc>
          <w:tcPr>
            <w:tcW w:w="640" w:type="dxa"/>
            <w:vAlign w:val="bottom"/>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6,673</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6,744</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6,468</w:t>
            </w:r>
          </w:p>
        </w:tc>
        <w:tc>
          <w:tcPr>
            <w:tcW w:w="0" w:type="dxa"/>
            <w:vAlign w:val="bottom"/>
          </w:tcPr>
          <w:p>
            <w:pPr>
              <w:spacing w:after="0"/>
              <w:rPr>
                <w:sz w:val="1"/>
                <w:szCs w:val="1"/>
                <w:color w:val="auto"/>
              </w:rPr>
            </w:pPr>
          </w:p>
        </w:tc>
      </w:tr>
      <w:tr>
        <w:trPr>
          <w:trHeight w:val="230"/>
        </w:trPr>
        <w:tc>
          <w:tcPr>
            <w:tcW w:w="42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Direct-to-Customers</w:t>
            </w: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1,109</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1,022</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944</w:t>
            </w:r>
          </w:p>
        </w:tc>
        <w:tc>
          <w:tcPr>
            <w:tcW w:w="0" w:type="dxa"/>
            <w:vAlign w:val="bottom"/>
          </w:tcPr>
          <w:p>
            <w:pPr>
              <w:spacing w:after="0"/>
              <w:rPr>
                <w:sz w:val="1"/>
                <w:szCs w:val="1"/>
                <w:color w:val="auto"/>
              </w:rPr>
            </w:pPr>
          </w:p>
        </w:tc>
      </w:tr>
      <w:tr>
        <w:trPr>
          <w:trHeight w:val="210"/>
        </w:trPr>
        <w:tc>
          <w:tcPr>
            <w:tcW w:w="4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Total sales</w:t>
            </w:r>
          </w:p>
        </w:tc>
        <w:tc>
          <w:tcPr>
            <w:tcW w:w="1060" w:type="dxa"/>
            <w:vAlign w:val="bottom"/>
            <w:tcBorders>
              <w:bottom w:val="single" w:sz="8" w:color="auto"/>
            </w:tcBorders>
            <w:shd w:val="clear" w:color="auto" w:fill="CCEEFF"/>
          </w:tcPr>
          <w:p>
            <w:pPr>
              <w:jc w:val="right"/>
              <w:ind w:right="515"/>
              <w:spacing w:after="0"/>
              <w:rPr>
                <w:sz w:val="20"/>
                <w:szCs w:val="20"/>
                <w:color w:val="auto"/>
              </w:rPr>
            </w:pPr>
            <w:r>
              <w:rPr>
                <w:rFonts w:ascii="Arial" w:cs="Arial" w:eastAsia="Arial" w:hAnsi="Arial"/>
                <w:sz w:val="17"/>
                <w:szCs w:val="17"/>
                <w:b w:val="1"/>
                <w:bCs w:val="1"/>
                <w:color w:val="auto"/>
              </w:rPr>
              <w:t>$</w:t>
            </w:r>
          </w:p>
        </w:tc>
        <w:tc>
          <w:tcPr>
            <w:tcW w:w="6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7,782</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7,766</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7,412</w:t>
            </w:r>
          </w:p>
        </w:tc>
        <w:tc>
          <w:tcPr>
            <w:tcW w:w="0" w:type="dxa"/>
            <w:vAlign w:val="bottom"/>
          </w:tcPr>
          <w:p>
            <w:pPr>
              <w:spacing w:after="0"/>
              <w:rPr>
                <w:sz w:val="1"/>
                <w:szCs w:val="1"/>
                <w:color w:val="auto"/>
              </w:rPr>
            </w:pPr>
          </w:p>
        </w:tc>
      </w:tr>
      <w:tr>
        <w:trPr>
          <w:trHeight w:val="210"/>
        </w:trPr>
        <w:tc>
          <w:tcPr>
            <w:tcW w:w="4220" w:type="dxa"/>
            <w:vAlign w:val="bottom"/>
          </w:tcPr>
          <w:p>
            <w:pPr>
              <w:spacing w:after="0"/>
              <w:rPr>
                <w:sz w:val="20"/>
                <w:szCs w:val="20"/>
                <w:color w:val="auto"/>
              </w:rPr>
            </w:pPr>
            <w:r>
              <w:rPr>
                <w:rFonts w:ascii="Arial" w:cs="Arial" w:eastAsia="Arial" w:hAnsi="Arial"/>
                <w:sz w:val="17"/>
                <w:szCs w:val="17"/>
                <w:b w:val="1"/>
                <w:bCs w:val="1"/>
                <w:color w:val="auto"/>
              </w:rPr>
              <w:t>Operating Results</w:t>
            </w: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 xml:space="preserve">Athletic Stores </w:t>
            </w:r>
            <w:r>
              <w:rPr>
                <w:rFonts w:ascii="Arial" w:cs="Arial" w:eastAsia="Arial" w:hAnsi="Arial"/>
                <w:sz w:val="8"/>
                <w:szCs w:val="8"/>
                <w:color w:val="auto"/>
              </w:rPr>
              <w:t>(1)</w:t>
            </w:r>
          </w:p>
        </w:tc>
        <w:tc>
          <w:tcPr>
            <w:tcW w:w="1060" w:type="dxa"/>
            <w:vAlign w:val="bottom"/>
            <w:shd w:val="clear" w:color="auto" w:fill="CCEEFF"/>
          </w:tcPr>
          <w:p>
            <w:pPr>
              <w:jc w:val="right"/>
              <w:ind w:right="515"/>
              <w:spacing w:after="0"/>
              <w:rPr>
                <w:sz w:val="20"/>
                <w:szCs w:val="20"/>
                <w:color w:val="auto"/>
              </w:rPr>
            </w:pPr>
            <w:r>
              <w:rPr>
                <w:rFonts w:ascii="Arial" w:cs="Arial" w:eastAsia="Arial" w:hAnsi="Arial"/>
                <w:sz w:val="17"/>
                <w:szCs w:val="17"/>
                <w:b w:val="1"/>
                <w:bCs w:val="1"/>
                <w:color w:val="auto"/>
              </w:rPr>
              <w:t>$</w:t>
            </w:r>
          </w:p>
        </w:tc>
        <w:tc>
          <w:tcPr>
            <w:tcW w:w="640" w:type="dxa"/>
            <w:vAlign w:val="bottom"/>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675</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927</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872</w:t>
            </w:r>
          </w:p>
        </w:tc>
        <w:tc>
          <w:tcPr>
            <w:tcW w:w="0" w:type="dxa"/>
            <w:vAlign w:val="bottom"/>
          </w:tcPr>
          <w:p>
            <w:pPr>
              <w:spacing w:after="0"/>
              <w:rPr>
                <w:sz w:val="1"/>
                <w:szCs w:val="1"/>
                <w:color w:val="auto"/>
              </w:rPr>
            </w:pPr>
          </w:p>
        </w:tc>
      </w:tr>
      <w:tr>
        <w:trPr>
          <w:trHeight w:val="230"/>
        </w:trPr>
        <w:tc>
          <w:tcPr>
            <w:tcW w:w="42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xml:space="preserve">Direct-to-Customers </w:t>
            </w:r>
            <w:r>
              <w:rPr>
                <w:rFonts w:ascii="Arial" w:cs="Arial" w:eastAsia="Arial" w:hAnsi="Arial"/>
                <w:sz w:val="8"/>
                <w:szCs w:val="8"/>
                <w:color w:val="auto"/>
              </w:rPr>
              <w:t>(2)</w:t>
            </w: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135</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143</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w:t>
            </w:r>
          </w:p>
        </w:tc>
        <w:tc>
          <w:tcPr>
            <w:tcW w:w="0" w:type="dxa"/>
            <w:vAlign w:val="bottom"/>
          </w:tcPr>
          <w:p>
            <w:pPr>
              <w:spacing w:after="0"/>
              <w:rPr>
                <w:sz w:val="1"/>
                <w:szCs w:val="1"/>
                <w:color w:val="auto"/>
              </w:rPr>
            </w:pPr>
          </w:p>
        </w:tc>
      </w:tr>
      <w:tr>
        <w:trPr>
          <w:trHeight w:val="210"/>
        </w:trPr>
        <w:tc>
          <w:tcPr>
            <w:tcW w:w="4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Division profit</w:t>
            </w:r>
          </w:p>
        </w:tc>
        <w:tc>
          <w:tcPr>
            <w:tcW w:w="10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810</w:t>
            </w: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1,070</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1,014</w:t>
            </w:r>
          </w:p>
        </w:tc>
        <w:tc>
          <w:tcPr>
            <w:tcW w:w="0" w:type="dxa"/>
            <w:vAlign w:val="bottom"/>
          </w:tcPr>
          <w:p>
            <w:pPr>
              <w:spacing w:after="0"/>
              <w:rPr>
                <w:sz w:val="1"/>
                <w:szCs w:val="1"/>
                <w:color w:val="auto"/>
              </w:rPr>
            </w:pPr>
          </w:p>
        </w:tc>
      </w:tr>
      <w:tr>
        <w:trPr>
          <w:trHeight w:val="290"/>
        </w:trPr>
        <w:tc>
          <w:tcPr>
            <w:tcW w:w="4220" w:type="dxa"/>
            <w:vAlign w:val="bottom"/>
          </w:tcPr>
          <w:p>
            <w:pPr>
              <w:spacing w:after="0"/>
              <w:rPr>
                <w:sz w:val="20"/>
                <w:szCs w:val="20"/>
                <w:color w:val="auto"/>
              </w:rPr>
            </w:pPr>
            <w:r>
              <w:rPr>
                <w:rFonts w:ascii="Arial" w:cs="Arial" w:eastAsia="Arial" w:hAnsi="Arial"/>
                <w:sz w:val="17"/>
                <w:szCs w:val="17"/>
                <w:color w:val="auto"/>
              </w:rPr>
              <w:t>Less: Pension litigation and reorganization charges</w:t>
            </w:r>
          </w:p>
        </w:tc>
        <w:tc>
          <w:tcPr>
            <w:tcW w:w="1060" w:type="dxa"/>
            <w:vAlign w:val="bottom"/>
          </w:tcPr>
          <w:p>
            <w:pPr>
              <w:spacing w:after="0"/>
              <w:rPr>
                <w:sz w:val="24"/>
                <w:szCs w:val="24"/>
                <w:color w:val="auto"/>
              </w:rPr>
            </w:pPr>
          </w:p>
        </w:tc>
        <w:tc>
          <w:tcPr>
            <w:tcW w:w="640" w:type="dxa"/>
            <w:vAlign w:val="bottom"/>
            <w:vMerge w:val="restart"/>
          </w:tcPr>
          <w:p>
            <w:pPr>
              <w:jc w:val="right"/>
              <w:ind w:right="75"/>
              <w:spacing w:after="0"/>
              <w:rPr>
                <w:sz w:val="20"/>
                <w:szCs w:val="20"/>
                <w:color w:val="auto"/>
              </w:rPr>
            </w:pPr>
            <w:r>
              <w:rPr>
                <w:rFonts w:ascii="Arial" w:cs="Arial" w:eastAsia="Arial" w:hAnsi="Arial"/>
                <w:sz w:val="17"/>
                <w:szCs w:val="17"/>
                <w:b w:val="1"/>
                <w:bCs w:val="1"/>
                <w:color w:val="auto"/>
              </w:rPr>
              <w:t>191</w:t>
            </w:r>
          </w:p>
        </w:tc>
        <w:tc>
          <w:tcPr>
            <w:tcW w:w="300" w:type="dxa"/>
            <w:vAlign w:val="bottom"/>
          </w:tcPr>
          <w:p>
            <w:pPr>
              <w:spacing w:after="0"/>
              <w:rPr>
                <w:sz w:val="24"/>
                <w:szCs w:val="24"/>
                <w:color w:val="auto"/>
              </w:rPr>
            </w:pPr>
          </w:p>
        </w:tc>
        <w:tc>
          <w:tcPr>
            <w:tcW w:w="1240" w:type="dxa"/>
            <w:vAlign w:val="bottom"/>
            <w:vMerge w:val="restart"/>
          </w:tcPr>
          <w:p>
            <w:pPr>
              <w:jc w:val="right"/>
              <w:ind w:right="55"/>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149"/>
        </w:trPr>
        <w:tc>
          <w:tcPr>
            <w:tcW w:w="4220" w:type="dxa"/>
            <w:vAlign w:val="bottom"/>
          </w:tcPr>
          <w:p>
            <w:pPr>
              <w:ind w:left="80"/>
              <w:spacing w:after="0"/>
              <w:rPr>
                <w:sz w:val="20"/>
                <w:szCs w:val="20"/>
                <w:color w:val="auto"/>
              </w:rPr>
            </w:pPr>
            <w:r>
              <w:rPr>
                <w:rFonts w:ascii="Arial" w:cs="Arial" w:eastAsia="Arial" w:hAnsi="Arial"/>
                <w:sz w:val="9"/>
                <w:szCs w:val="9"/>
                <w:color w:val="auto"/>
              </w:rPr>
              <w:t>(3), (4)</w:t>
            </w:r>
          </w:p>
        </w:tc>
        <w:tc>
          <w:tcPr>
            <w:tcW w:w="10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 xml:space="preserve">Less: Corporate expense </w:t>
            </w:r>
            <w:r>
              <w:rPr>
                <w:rFonts w:ascii="Arial" w:cs="Arial" w:eastAsia="Arial" w:hAnsi="Arial"/>
                <w:sz w:val="8"/>
                <w:szCs w:val="8"/>
                <w:color w:val="auto"/>
              </w:rPr>
              <w:t>(5)</w:t>
            </w:r>
          </w:p>
        </w:tc>
        <w:tc>
          <w:tcPr>
            <w:tcW w:w="10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48</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70</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10"/>
        </w:trPr>
        <w:tc>
          <w:tcPr>
            <w:tcW w:w="42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Operating profit</w:t>
            </w:r>
          </w:p>
        </w:tc>
        <w:tc>
          <w:tcPr>
            <w:tcW w:w="10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571</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1,000</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837</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 / expense, net</w:t>
            </w: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30"/>
        </w:trPr>
        <w:tc>
          <w:tcPr>
            <w:tcW w:w="42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Other income</w:t>
            </w: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5</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6</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3"/>
        </w:trPr>
        <w:tc>
          <w:tcPr>
            <w:tcW w:w="4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Income before income taxes</w:t>
            </w:r>
          </w:p>
        </w:tc>
        <w:tc>
          <w:tcPr>
            <w:tcW w:w="1060" w:type="dxa"/>
            <w:vAlign w:val="bottom"/>
            <w:tcBorders>
              <w:bottom w:val="single" w:sz="8" w:color="auto"/>
            </w:tcBorders>
            <w:shd w:val="clear" w:color="auto" w:fill="CCEEFF"/>
          </w:tcPr>
          <w:p>
            <w:pPr>
              <w:jc w:val="right"/>
              <w:ind w:right="515"/>
              <w:spacing w:after="0"/>
              <w:rPr>
                <w:sz w:val="20"/>
                <w:szCs w:val="20"/>
                <w:color w:val="auto"/>
              </w:rPr>
            </w:pPr>
            <w:r>
              <w:rPr>
                <w:rFonts w:ascii="Arial" w:cs="Arial" w:eastAsia="Arial" w:hAnsi="Arial"/>
                <w:sz w:val="17"/>
                <w:szCs w:val="17"/>
                <w:b w:val="1"/>
                <w:bCs w:val="1"/>
                <w:color w:val="auto"/>
              </w:rPr>
              <w:t>$</w:t>
            </w:r>
          </w:p>
        </w:tc>
        <w:tc>
          <w:tcPr>
            <w:tcW w:w="6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578</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1,004</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837</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420" w:right="99" w:hanging="315"/>
        <w:spacing w:after="0" w:line="226" w:lineRule="auto"/>
        <w:tabs>
          <w:tab w:leader="none" w:pos="420" w:val="left"/>
        </w:tabs>
        <w:numPr>
          <w:ilvl w:val="0"/>
          <w:numId w:val="19"/>
        </w:numPr>
        <w:rPr>
          <w:rFonts w:ascii="Arial" w:cs="Arial" w:eastAsia="Arial" w:hAnsi="Arial"/>
          <w:sz w:val="12"/>
          <w:szCs w:val="12"/>
          <w:color w:val="auto"/>
        </w:rPr>
      </w:pPr>
      <w:r>
        <w:rPr>
          <w:rFonts w:ascii="Arial" w:cs="Arial" w:eastAsia="Arial" w:hAnsi="Arial"/>
          <w:sz w:val="14"/>
          <w:szCs w:val="14"/>
          <w:color w:val="auto"/>
        </w:rPr>
        <w:t xml:space="preserve">Included in the results for 2017, 2016, and 2015 are non-cash impairment charges of $20 million, $6 million, and $4 million, respectively. The 2017 amount includes a charge of $16 million to write down long-lived store assets of SIX:02, and a charge of $4 million to write down primarily long-lived store assets of Runners Point and Sidestep. The 2016 and 2015 amounts reflect charges to write down long-lived store assets of Runners Point and Sidestep. See Note 3, </w:t>
      </w:r>
      <w:r>
        <w:rPr>
          <w:rFonts w:ascii="Arial" w:cs="Arial" w:eastAsia="Arial" w:hAnsi="Arial"/>
          <w:sz w:val="14"/>
          <w:szCs w:val="14"/>
          <w:i w:val="1"/>
          <w:iCs w:val="1"/>
          <w:color w:val="auto"/>
        </w:rPr>
        <w:t>Litigation and Other Charges</w:t>
      </w:r>
      <w:r>
        <w:rPr>
          <w:rFonts w:ascii="Arial" w:cs="Arial" w:eastAsia="Arial" w:hAnsi="Arial"/>
          <w:sz w:val="14"/>
          <w:szCs w:val="14"/>
          <w:color w:val="auto"/>
        </w:rPr>
        <w:t xml:space="preserve"> for additional information.</w:t>
      </w:r>
    </w:p>
    <w:p>
      <w:pPr>
        <w:spacing w:after="0" w:line="41" w:lineRule="exact"/>
        <w:rPr>
          <w:rFonts w:ascii="Arial" w:cs="Arial" w:eastAsia="Arial" w:hAnsi="Arial"/>
          <w:sz w:val="12"/>
          <w:szCs w:val="12"/>
          <w:color w:val="auto"/>
        </w:rPr>
      </w:pPr>
    </w:p>
    <w:p>
      <w:pPr>
        <w:ind w:left="420" w:right="99" w:hanging="315"/>
        <w:spacing w:after="0" w:line="244" w:lineRule="auto"/>
        <w:tabs>
          <w:tab w:leader="none" w:pos="420" w:val="left"/>
        </w:tabs>
        <w:numPr>
          <w:ilvl w:val="0"/>
          <w:numId w:val="19"/>
        </w:numPr>
        <w:rPr>
          <w:rFonts w:ascii="Arial" w:cs="Arial" w:eastAsia="Arial" w:hAnsi="Arial"/>
          <w:sz w:val="12"/>
          <w:szCs w:val="12"/>
          <w:color w:val="auto"/>
        </w:rPr>
      </w:pPr>
      <w:r>
        <w:rPr>
          <w:rFonts w:ascii="Arial" w:cs="Arial" w:eastAsia="Arial" w:hAnsi="Arial"/>
          <w:sz w:val="14"/>
          <w:szCs w:val="14"/>
          <w:color w:val="auto"/>
        </w:rPr>
        <w:t xml:space="preserve">Included in the results for 2015 is a $1 million non-cash impairment charge relating to an e-commerce trade name. See Note 3, </w:t>
      </w:r>
      <w:r>
        <w:rPr>
          <w:rFonts w:ascii="Arial" w:cs="Arial" w:eastAsia="Arial" w:hAnsi="Arial"/>
          <w:sz w:val="14"/>
          <w:szCs w:val="14"/>
          <w:i w:val="1"/>
          <w:iCs w:val="1"/>
          <w:color w:val="auto"/>
        </w:rPr>
        <w:t>Litigation and</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Other Charges </w:t>
      </w:r>
      <w:r>
        <w:rPr>
          <w:rFonts w:ascii="Arial" w:cs="Arial" w:eastAsia="Arial" w:hAnsi="Arial"/>
          <w:sz w:val="14"/>
          <w:szCs w:val="14"/>
          <w:color w:val="auto"/>
        </w:rPr>
        <w:t>for additional information.</w:t>
      </w:r>
    </w:p>
    <w:p>
      <w:pPr>
        <w:spacing w:after="0" w:line="10" w:lineRule="exact"/>
        <w:rPr>
          <w:rFonts w:ascii="Arial" w:cs="Arial" w:eastAsia="Arial" w:hAnsi="Arial"/>
          <w:sz w:val="12"/>
          <w:szCs w:val="12"/>
          <w:color w:val="auto"/>
        </w:rPr>
      </w:pPr>
    </w:p>
    <w:p>
      <w:pPr>
        <w:ind w:left="420" w:right="99" w:hanging="315"/>
        <w:spacing w:after="0" w:line="231" w:lineRule="auto"/>
        <w:tabs>
          <w:tab w:leader="none" w:pos="420" w:val="left"/>
        </w:tabs>
        <w:numPr>
          <w:ilvl w:val="0"/>
          <w:numId w:val="19"/>
        </w:numPr>
        <w:rPr>
          <w:rFonts w:ascii="Arial" w:cs="Arial" w:eastAsia="Arial" w:hAnsi="Arial"/>
          <w:sz w:val="12"/>
          <w:szCs w:val="12"/>
          <w:color w:val="auto"/>
        </w:rPr>
      </w:pPr>
      <w:r>
        <w:rPr>
          <w:rFonts w:ascii="Arial" w:cs="Arial" w:eastAsia="Arial" w:hAnsi="Arial"/>
          <w:sz w:val="14"/>
          <w:szCs w:val="14"/>
          <w:color w:val="auto"/>
        </w:rPr>
        <w:t xml:space="preserve">Included in the 2017 and 2015 amounts is a pre-tax charge of $178 million and $100 million, respectively, relating to a pension litigation matter described further in Note 22, </w:t>
      </w:r>
      <w:r>
        <w:rPr>
          <w:rFonts w:ascii="Arial" w:cs="Arial" w:eastAsia="Arial" w:hAnsi="Arial"/>
          <w:sz w:val="14"/>
          <w:szCs w:val="14"/>
          <w:i w:val="1"/>
          <w:iCs w:val="1"/>
          <w:color w:val="auto"/>
        </w:rPr>
        <w:t>Legal Proceedings</w:t>
      </w:r>
      <w:r>
        <w:rPr>
          <w:rFonts w:ascii="Arial" w:cs="Arial" w:eastAsia="Arial" w:hAnsi="Arial"/>
          <w:sz w:val="14"/>
          <w:szCs w:val="14"/>
          <w:color w:val="auto"/>
        </w:rPr>
        <w:t>.</w:t>
      </w:r>
    </w:p>
    <w:p>
      <w:pPr>
        <w:spacing w:after="0" w:line="54" w:lineRule="exact"/>
        <w:rPr>
          <w:rFonts w:ascii="Arial" w:cs="Arial" w:eastAsia="Arial" w:hAnsi="Arial"/>
          <w:sz w:val="12"/>
          <w:szCs w:val="12"/>
          <w:color w:val="auto"/>
        </w:rPr>
      </w:pPr>
    </w:p>
    <w:p>
      <w:pPr>
        <w:ind w:left="420" w:right="99" w:hanging="315"/>
        <w:spacing w:after="0" w:line="231" w:lineRule="auto"/>
        <w:tabs>
          <w:tab w:leader="none" w:pos="420" w:val="left"/>
        </w:tabs>
        <w:numPr>
          <w:ilvl w:val="0"/>
          <w:numId w:val="19"/>
        </w:numPr>
        <w:rPr>
          <w:rFonts w:ascii="Arial" w:cs="Arial" w:eastAsia="Arial" w:hAnsi="Arial"/>
          <w:sz w:val="12"/>
          <w:szCs w:val="12"/>
          <w:color w:val="auto"/>
        </w:rPr>
      </w:pPr>
      <w:r>
        <w:rPr>
          <w:rFonts w:ascii="Arial" w:cs="Arial" w:eastAsia="Arial" w:hAnsi="Arial"/>
          <w:sz w:val="14"/>
          <w:szCs w:val="14"/>
          <w:color w:val="auto"/>
        </w:rPr>
        <w:t xml:space="preserve">Included in the 2017 amount is $13 million in pre-tax reorganization costs related to the reduction and reorganization of division and corporate staff that occurred in the third quarter of 2017, described more fully in Note 3, </w:t>
      </w:r>
      <w:r>
        <w:rPr>
          <w:rFonts w:ascii="Arial" w:cs="Arial" w:eastAsia="Arial" w:hAnsi="Arial"/>
          <w:sz w:val="14"/>
          <w:szCs w:val="14"/>
          <w:i w:val="1"/>
          <w:iCs w:val="1"/>
          <w:color w:val="auto"/>
        </w:rPr>
        <w:t>Litigation and Other Charges</w:t>
      </w:r>
      <w:r>
        <w:rPr>
          <w:rFonts w:ascii="Arial" w:cs="Arial" w:eastAsia="Arial" w:hAnsi="Arial"/>
          <w:sz w:val="14"/>
          <w:szCs w:val="14"/>
          <w:color w:val="auto"/>
        </w:rPr>
        <w:t>.</w:t>
      </w:r>
    </w:p>
    <w:p>
      <w:pPr>
        <w:spacing w:after="0" w:line="14" w:lineRule="exact"/>
        <w:rPr>
          <w:rFonts w:ascii="Arial" w:cs="Arial" w:eastAsia="Arial" w:hAnsi="Arial"/>
          <w:sz w:val="12"/>
          <w:szCs w:val="12"/>
          <w:color w:val="auto"/>
        </w:rPr>
      </w:pPr>
    </w:p>
    <w:p>
      <w:pPr>
        <w:jc w:val="both"/>
        <w:ind w:left="420" w:right="99" w:hanging="315"/>
        <w:spacing w:after="0" w:line="228" w:lineRule="auto"/>
        <w:tabs>
          <w:tab w:leader="none" w:pos="420" w:val="left"/>
        </w:tabs>
        <w:numPr>
          <w:ilvl w:val="0"/>
          <w:numId w:val="19"/>
        </w:numPr>
        <w:rPr>
          <w:rFonts w:ascii="Arial" w:cs="Arial" w:eastAsia="Arial" w:hAnsi="Arial"/>
          <w:sz w:val="12"/>
          <w:szCs w:val="12"/>
          <w:color w:val="auto"/>
        </w:rPr>
      </w:pPr>
      <w:r>
        <w:rPr>
          <w:rFonts w:ascii="Arial" w:cs="Arial" w:eastAsia="Arial" w:hAnsi="Arial"/>
          <w:sz w:val="14"/>
          <w:szCs w:val="14"/>
          <w:color w:val="auto"/>
        </w:rPr>
        <w:t>Corporate expense for all years presented reflects the reallocation of expense between corporate and the operating divisions. Based upon annual internal studies of corporate expense, the allocation of such expenses to the operating divisions was increased by $4 million for 2017, $9 million for 2016, and $5 million for 2015, thereby reducing corporate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100" w:type="dxa"/>
        <w:tblCellMar>
          <w:top w:w="0" w:type="dxa"/>
          <w:left w:w="0" w:type="dxa"/>
          <w:bottom w:w="0" w:type="dxa"/>
          <w:right w:w="0" w:type="dxa"/>
        </w:tblCellMar>
      </w:tblPr>
      <w:tr>
        <w:trPr>
          <w:trHeight w:val="225"/>
        </w:trPr>
        <w:tc>
          <w:tcPr>
            <w:tcW w:w="1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gridSpan w:val="4"/>
          </w:tcPr>
          <w:p>
            <w:pPr>
              <w:jc w:val="right"/>
              <w:spacing w:after="0"/>
              <w:rPr>
                <w:sz w:val="20"/>
                <w:szCs w:val="20"/>
                <w:color w:val="auto"/>
              </w:rPr>
            </w:pPr>
            <w:r>
              <w:rPr>
                <w:rFonts w:ascii="Arial" w:cs="Arial" w:eastAsia="Arial" w:hAnsi="Arial"/>
                <w:sz w:val="17"/>
                <w:szCs w:val="17"/>
                <w:b w:val="1"/>
                <w:bCs w:val="1"/>
                <w:color w:val="auto"/>
              </w:rPr>
              <w:t>Depreciation and</w:t>
            </w: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0"/>
        </w:trPr>
        <w:tc>
          <w:tcPr>
            <w:tcW w:w="1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4"/>
          </w:tcPr>
          <w:p>
            <w:pPr>
              <w:jc w:val="right"/>
              <w:ind w:right="95"/>
              <w:spacing w:after="0"/>
              <w:rPr>
                <w:sz w:val="20"/>
                <w:szCs w:val="20"/>
                <w:color w:val="auto"/>
              </w:rPr>
            </w:pPr>
            <w:r>
              <w:rPr>
                <w:rFonts w:ascii="Arial" w:cs="Arial" w:eastAsia="Arial" w:hAnsi="Arial"/>
                <w:sz w:val="17"/>
                <w:szCs w:val="17"/>
                <w:b w:val="1"/>
                <w:bCs w:val="1"/>
                <w:color w:val="auto"/>
              </w:rPr>
              <w:t>Amortization</w:t>
            </w:r>
          </w:p>
        </w:tc>
        <w:tc>
          <w:tcPr>
            <w:tcW w:w="4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6"/>
          </w:tcPr>
          <w:p>
            <w:pPr>
              <w:jc w:val="right"/>
              <w:ind w:right="135"/>
              <w:spacing w:after="0"/>
              <w:rPr>
                <w:sz w:val="20"/>
                <w:szCs w:val="20"/>
                <w:color w:val="auto"/>
              </w:rPr>
            </w:pPr>
            <w:r>
              <w:rPr>
                <w:rFonts w:ascii="Arial" w:cs="Arial" w:eastAsia="Arial" w:hAnsi="Arial"/>
                <w:sz w:val="17"/>
                <w:szCs w:val="17"/>
                <w:b w:val="1"/>
                <w:bCs w:val="1"/>
                <w:color w:val="auto"/>
              </w:rPr>
              <w:t xml:space="preserve">Capital Expenditures </w:t>
            </w:r>
            <w:r>
              <w:rPr>
                <w:rFonts w:ascii="Arial" w:cs="Arial" w:eastAsia="Arial" w:hAnsi="Arial"/>
                <w:sz w:val="8"/>
                <w:szCs w:val="8"/>
                <w:color w:val="auto"/>
              </w:rPr>
              <w:t>(1)</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Total Assets</w:t>
            </w:r>
          </w:p>
        </w:tc>
        <w:tc>
          <w:tcPr>
            <w:tcW w:w="580" w:type="dxa"/>
            <w:vAlign w:val="bottom"/>
            <w:tcBorders>
              <w:bottom w:val="single" w:sz="8" w:color="auto"/>
            </w:tcBorders>
          </w:tcPr>
          <w:p>
            <w:pPr>
              <w:spacing w:after="0"/>
              <w:rPr>
                <w:sz w:val="19"/>
                <w:szCs w:val="19"/>
                <w:color w:val="auto"/>
              </w:rPr>
            </w:pPr>
          </w:p>
        </w:tc>
      </w:tr>
      <w:tr>
        <w:trPr>
          <w:trHeight w:val="210"/>
        </w:trPr>
        <w:tc>
          <w:tcPr>
            <w:tcW w:w="18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75"/>
              <w:spacing w:after="0"/>
              <w:rPr>
                <w:sz w:val="20"/>
                <w:szCs w:val="20"/>
                <w:color w:val="auto"/>
              </w:rPr>
            </w:pPr>
            <w:r>
              <w:rPr>
                <w:rFonts w:ascii="Arial" w:cs="Arial" w:eastAsia="Arial" w:hAnsi="Arial"/>
                <w:sz w:val="17"/>
                <w:szCs w:val="17"/>
                <w:b w:val="1"/>
                <w:bCs w:val="1"/>
                <w:color w:val="auto"/>
              </w:rPr>
              <w:t>2017</w:t>
            </w:r>
          </w:p>
        </w:tc>
        <w:tc>
          <w:tcPr>
            <w:tcW w:w="720" w:type="dxa"/>
            <w:vAlign w:val="bottom"/>
            <w:tcBorders>
              <w:bottom w:val="single" w:sz="8" w:color="auto"/>
            </w:tcBorders>
            <w:gridSpan w:val="2"/>
          </w:tcPr>
          <w:p>
            <w:pPr>
              <w:jc w:val="right"/>
              <w:ind w:right="95"/>
              <w:spacing w:after="0"/>
              <w:rPr>
                <w:sz w:val="20"/>
                <w:szCs w:val="20"/>
                <w:color w:val="auto"/>
              </w:rPr>
            </w:pPr>
            <w:r>
              <w:rPr>
                <w:rFonts w:ascii="Arial" w:cs="Arial" w:eastAsia="Arial" w:hAnsi="Arial"/>
                <w:sz w:val="17"/>
                <w:szCs w:val="17"/>
                <w:color w:val="auto"/>
              </w:rPr>
              <w:t>2016</w:t>
            </w:r>
          </w:p>
        </w:tc>
        <w:tc>
          <w:tcPr>
            <w:tcW w:w="800" w:type="dxa"/>
            <w:vAlign w:val="bottom"/>
            <w:tcBorders>
              <w:bottom w:val="single" w:sz="8" w:color="auto"/>
            </w:tcBorders>
            <w:gridSpan w:val="2"/>
          </w:tcPr>
          <w:p>
            <w:pPr>
              <w:jc w:val="right"/>
              <w:ind w:right="195"/>
              <w:spacing w:after="0"/>
              <w:rPr>
                <w:sz w:val="20"/>
                <w:szCs w:val="20"/>
                <w:color w:val="auto"/>
              </w:rPr>
            </w:pPr>
            <w:r>
              <w:rPr>
                <w:rFonts w:ascii="Arial" w:cs="Arial" w:eastAsia="Arial" w:hAnsi="Arial"/>
                <w:sz w:val="17"/>
                <w:szCs w:val="17"/>
                <w:color w:val="auto"/>
              </w:rPr>
              <w:t>2015</w:t>
            </w:r>
          </w:p>
        </w:tc>
        <w:tc>
          <w:tcPr>
            <w:tcW w:w="780" w:type="dxa"/>
            <w:vAlign w:val="bottom"/>
            <w:tcBorders>
              <w:bottom w:val="single" w:sz="8" w:color="auto"/>
            </w:tcBorders>
            <w:gridSpan w:val="2"/>
          </w:tcPr>
          <w:p>
            <w:pPr>
              <w:jc w:val="right"/>
              <w:ind w:right="95"/>
              <w:spacing w:after="0"/>
              <w:rPr>
                <w:sz w:val="20"/>
                <w:szCs w:val="20"/>
                <w:color w:val="auto"/>
              </w:rPr>
            </w:pPr>
            <w:r>
              <w:rPr>
                <w:rFonts w:ascii="Arial" w:cs="Arial" w:eastAsia="Arial" w:hAnsi="Arial"/>
                <w:sz w:val="17"/>
                <w:szCs w:val="17"/>
                <w:b w:val="1"/>
                <w:bCs w:val="1"/>
                <w:color w:val="auto"/>
              </w:rPr>
              <w:t>2017</w:t>
            </w:r>
          </w:p>
        </w:tc>
        <w:tc>
          <w:tcPr>
            <w:tcW w:w="680" w:type="dxa"/>
            <w:vAlign w:val="bottom"/>
            <w:tcBorders>
              <w:bottom w:val="single" w:sz="8" w:color="auto"/>
            </w:tcBorders>
            <w:gridSpan w:val="2"/>
          </w:tcPr>
          <w:p>
            <w:pPr>
              <w:jc w:val="right"/>
              <w:ind w:right="95"/>
              <w:spacing w:after="0"/>
              <w:rPr>
                <w:sz w:val="20"/>
                <w:szCs w:val="20"/>
                <w:color w:val="auto"/>
              </w:rPr>
            </w:pPr>
            <w:r>
              <w:rPr>
                <w:rFonts w:ascii="Arial" w:cs="Arial" w:eastAsia="Arial" w:hAnsi="Arial"/>
                <w:sz w:val="17"/>
                <w:szCs w:val="17"/>
                <w:color w:val="auto"/>
              </w:rPr>
              <w:t>2016</w:t>
            </w:r>
          </w:p>
        </w:tc>
        <w:tc>
          <w:tcPr>
            <w:tcW w:w="780" w:type="dxa"/>
            <w:vAlign w:val="bottom"/>
            <w:tcBorders>
              <w:bottom w:val="single" w:sz="8" w:color="auto"/>
            </w:tcBorders>
            <w:gridSpan w:val="2"/>
          </w:tcPr>
          <w:p>
            <w:pPr>
              <w:jc w:val="right"/>
              <w:ind w:right="175"/>
              <w:spacing w:after="0"/>
              <w:rPr>
                <w:sz w:val="20"/>
                <w:szCs w:val="20"/>
                <w:color w:val="auto"/>
              </w:rPr>
            </w:pPr>
            <w:r>
              <w:rPr>
                <w:rFonts w:ascii="Arial" w:cs="Arial" w:eastAsia="Arial" w:hAnsi="Arial"/>
                <w:sz w:val="17"/>
                <w:szCs w:val="17"/>
                <w:color w:val="auto"/>
              </w:rPr>
              <w:t>2015</w:t>
            </w: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w w:val="95"/>
              </w:rPr>
              <w:t>2017</w:t>
            </w: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95"/>
              </w:rPr>
              <w:t>2016</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2015</w:t>
            </w:r>
          </w:p>
        </w:tc>
      </w:tr>
      <w:tr>
        <w:trPr>
          <w:trHeight w:val="210"/>
        </w:trPr>
        <w:tc>
          <w:tcPr>
            <w:tcW w:w="1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4"/>
          </w:tcPr>
          <w:p>
            <w:pPr>
              <w:jc w:val="right"/>
              <w:spacing w:after="0"/>
              <w:rPr>
                <w:sz w:val="20"/>
                <w:szCs w:val="20"/>
                <w:color w:val="auto"/>
              </w:rPr>
            </w:pPr>
            <w:r>
              <w:rPr>
                <w:rFonts w:ascii="Arial" w:cs="Arial" w:eastAsia="Arial" w:hAnsi="Arial"/>
                <w:sz w:val="17"/>
                <w:szCs w:val="17"/>
                <w:color w:val="auto"/>
              </w:rPr>
              <w:t>($ in millions)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1820" w:type="dxa"/>
            <w:vAlign w:val="bottom"/>
            <w:shd w:val="clear" w:color="auto" w:fill="CCEEFF"/>
          </w:tcPr>
          <w:p>
            <w:pPr>
              <w:spacing w:after="0"/>
              <w:rPr>
                <w:sz w:val="20"/>
                <w:szCs w:val="20"/>
                <w:color w:val="auto"/>
              </w:rPr>
            </w:pPr>
            <w:r>
              <w:rPr>
                <w:rFonts w:ascii="Arial" w:cs="Arial" w:eastAsia="Arial" w:hAnsi="Arial"/>
                <w:sz w:val="17"/>
                <w:szCs w:val="17"/>
                <w:color w:val="auto"/>
              </w:rPr>
              <w:t>Athletic Stores</w:t>
            </w:r>
          </w:p>
        </w:tc>
        <w:tc>
          <w:tcPr>
            <w:tcW w:w="48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153</w:t>
            </w: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3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98"/>
              </w:rPr>
              <w:t>130</w:t>
            </w:r>
          </w:p>
        </w:tc>
        <w:tc>
          <w:tcPr>
            <w:tcW w:w="34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202</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2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181</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2,775</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2,612</w:t>
            </w:r>
          </w:p>
        </w:tc>
      </w:tr>
      <w:tr>
        <w:trPr>
          <w:trHeight w:val="230"/>
        </w:trPr>
        <w:tc>
          <w:tcPr>
            <w:tcW w:w="18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Direct-to-Customers</w:t>
            </w:r>
          </w:p>
        </w:tc>
        <w:tc>
          <w:tcPr>
            <w:tcW w:w="4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w:t>
            </w:r>
          </w:p>
        </w:tc>
        <w:tc>
          <w:tcPr>
            <w:tcW w:w="2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3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7</w:t>
            </w:r>
          </w:p>
        </w:tc>
        <w:tc>
          <w:tcPr>
            <w:tcW w:w="3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w:t>
            </w:r>
          </w:p>
        </w:tc>
        <w:tc>
          <w:tcPr>
            <w:tcW w:w="2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7</w:t>
            </w: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357</w:t>
            </w: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338</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330</w:t>
            </w:r>
          </w:p>
        </w:tc>
      </w:tr>
      <w:tr>
        <w:trPr>
          <w:trHeight w:val="210"/>
        </w:trPr>
        <w:tc>
          <w:tcPr>
            <w:tcW w:w="1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157</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98"/>
              </w:rPr>
              <w:t>137</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205</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188</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3,132</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3,140</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2,942</w:t>
            </w:r>
          </w:p>
        </w:tc>
      </w:tr>
      <w:tr>
        <w:trPr>
          <w:trHeight w:val="230"/>
        </w:trPr>
        <w:tc>
          <w:tcPr>
            <w:tcW w:w="18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Corporate</w:t>
            </w:r>
          </w:p>
        </w:tc>
        <w:tc>
          <w:tcPr>
            <w:tcW w:w="4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w:t>
            </w:r>
          </w:p>
        </w:tc>
        <w:tc>
          <w:tcPr>
            <w:tcW w:w="2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3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11</w:t>
            </w:r>
          </w:p>
        </w:tc>
        <w:tc>
          <w:tcPr>
            <w:tcW w:w="3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69</w:t>
            </w:r>
          </w:p>
        </w:tc>
        <w:tc>
          <w:tcPr>
            <w:tcW w:w="2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w:t>
            </w:r>
          </w:p>
        </w:tc>
        <w:tc>
          <w:tcPr>
            <w:tcW w:w="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40</w:t>
            </w: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829</w:t>
            </w: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700</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833</w:t>
            </w:r>
          </w:p>
        </w:tc>
      </w:tr>
      <w:tr>
        <w:trPr>
          <w:trHeight w:val="203"/>
        </w:trPr>
        <w:tc>
          <w:tcPr>
            <w:tcW w:w="1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 Company</w:t>
            </w:r>
          </w:p>
        </w:tc>
        <w:tc>
          <w:tcPr>
            <w:tcW w:w="4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173</w:t>
            </w:r>
          </w:p>
        </w:tc>
        <w:tc>
          <w:tcPr>
            <w:tcW w:w="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3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98"/>
              </w:rPr>
              <w:t>148</w:t>
            </w:r>
          </w:p>
        </w:tc>
        <w:tc>
          <w:tcPr>
            <w:tcW w:w="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274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w:t>
            </w:r>
          </w:p>
        </w:tc>
        <w:tc>
          <w:tcPr>
            <w:tcW w:w="2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228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3,961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3,840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3,775</w:t>
            </w:r>
          </w:p>
        </w:tc>
      </w:tr>
    </w:tbl>
    <w:p>
      <w:pPr>
        <w:spacing w:after="0" w:line="148" w:lineRule="exact"/>
        <w:rPr>
          <w:sz w:val="20"/>
          <w:szCs w:val="20"/>
          <w:color w:val="auto"/>
        </w:rPr>
      </w:pPr>
    </w:p>
    <w:p>
      <w:pPr>
        <w:ind w:left="440" w:hanging="335"/>
        <w:spacing w:after="0"/>
        <w:tabs>
          <w:tab w:leader="none" w:pos="440" w:val="left"/>
        </w:tabs>
        <w:numPr>
          <w:ilvl w:val="0"/>
          <w:numId w:val="20"/>
        </w:numPr>
        <w:rPr>
          <w:rFonts w:ascii="Arial" w:cs="Arial" w:eastAsia="Arial" w:hAnsi="Arial"/>
          <w:sz w:val="12"/>
          <w:szCs w:val="12"/>
          <w:color w:val="auto"/>
        </w:rPr>
      </w:pPr>
      <w:r>
        <w:rPr>
          <w:rFonts w:ascii="Arial" w:cs="Arial" w:eastAsia="Arial" w:hAnsi="Arial"/>
          <w:sz w:val="14"/>
          <w:szCs w:val="14"/>
          <w:color w:val="auto"/>
        </w:rPr>
        <w:t>Reflects cash capital expenditures for all years presented.</w:t>
      </w:r>
    </w:p>
    <w:p>
      <w:pPr>
        <w:spacing w:after="0" w:line="158"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Sales and long-lived asset information by geographic area as of and for the fiscal years ended February 3, 2018, January 28, 2017, and January 30, 2016 are presented in the following tables. Sales are attributed to the country in which the sales transaction is fulfilled. Long-lived assets reflect property and equipment.</w:t>
      </w:r>
    </w:p>
    <w:p>
      <w:pPr>
        <w:spacing w:after="0" w:line="74"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268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6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15"/>
              <w:spacing w:after="0"/>
              <w:rPr>
                <w:sz w:val="20"/>
                <w:szCs w:val="20"/>
                <w:color w:val="auto"/>
              </w:rPr>
            </w:pPr>
            <w:r>
              <w:rPr>
                <w:rFonts w:ascii="Arial" w:cs="Arial" w:eastAsia="Arial" w:hAnsi="Arial"/>
                <w:sz w:val="17"/>
                <w:szCs w:val="17"/>
                <w:color w:val="auto"/>
              </w:rPr>
              <w:t>2016</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color w:val="auto"/>
              </w:rPr>
              <w:t>2015</w:t>
            </w:r>
          </w:p>
        </w:tc>
        <w:tc>
          <w:tcPr>
            <w:tcW w:w="40" w:type="dxa"/>
            <w:vAlign w:val="bottom"/>
          </w:tcPr>
          <w:p>
            <w:pPr>
              <w:spacing w:after="0"/>
              <w:rPr>
                <w:sz w:val="18"/>
                <w:szCs w:val="18"/>
                <w:color w:val="auto"/>
              </w:rPr>
            </w:pPr>
          </w:p>
        </w:tc>
      </w:tr>
      <w:tr>
        <w:trPr>
          <w:trHeight w:val="210"/>
        </w:trPr>
        <w:tc>
          <w:tcPr>
            <w:tcW w:w="2680" w:type="dxa"/>
            <w:vAlign w:val="bottom"/>
          </w:tcPr>
          <w:p>
            <w:pPr>
              <w:spacing w:after="0"/>
              <w:rPr>
                <w:sz w:val="20"/>
                <w:szCs w:val="20"/>
                <w:color w:val="auto"/>
              </w:rPr>
            </w:pPr>
            <w:r>
              <w:rPr>
                <w:rFonts w:ascii="Arial" w:cs="Arial" w:eastAsia="Arial" w:hAnsi="Arial"/>
                <w:sz w:val="17"/>
                <w:szCs w:val="17"/>
                <w:b w:val="1"/>
                <w:bCs w:val="1"/>
                <w:color w:val="auto"/>
              </w:rPr>
              <w:t>Sales</w:t>
            </w:r>
          </w:p>
        </w:tc>
        <w:tc>
          <w:tcPr>
            <w:tcW w:w="2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295"/>
              <w:spacing w:after="0"/>
              <w:rPr>
                <w:sz w:val="20"/>
                <w:szCs w:val="20"/>
                <w:color w:val="auto"/>
              </w:rPr>
            </w:pPr>
            <w:r>
              <w:rPr>
                <w:rFonts w:ascii="Arial" w:cs="Arial" w:eastAsia="Arial" w:hAnsi="Arial"/>
                <w:sz w:val="17"/>
                <w:szCs w:val="17"/>
                <w:color w:val="auto"/>
              </w:rPr>
              <w:t>in millions)</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680" w:type="dxa"/>
            <w:vAlign w:val="bottom"/>
            <w:shd w:val="clear" w:color="auto" w:fill="CCEEFF"/>
          </w:tcPr>
          <w:p>
            <w:pPr>
              <w:spacing w:after="0"/>
              <w:rPr>
                <w:sz w:val="20"/>
                <w:szCs w:val="20"/>
                <w:color w:val="auto"/>
              </w:rPr>
            </w:pPr>
            <w:r>
              <w:rPr>
                <w:rFonts w:ascii="Arial" w:cs="Arial" w:eastAsia="Arial" w:hAnsi="Arial"/>
                <w:sz w:val="17"/>
                <w:szCs w:val="17"/>
                <w:color w:val="auto"/>
              </w:rPr>
              <w:t>United States</w:t>
            </w:r>
          </w:p>
        </w:tc>
        <w:tc>
          <w:tcPr>
            <w:tcW w:w="2600" w:type="dxa"/>
            <w:vAlign w:val="bottom"/>
            <w:shd w:val="clear" w:color="auto" w:fill="CCEEFF"/>
          </w:tcPr>
          <w:p>
            <w:pPr>
              <w:jc w:val="right"/>
              <w:ind w:right="515"/>
              <w:spacing w:after="0"/>
              <w:rPr>
                <w:sz w:val="20"/>
                <w:szCs w:val="20"/>
                <w:color w:val="auto"/>
              </w:rPr>
            </w:pPr>
            <w:r>
              <w:rPr>
                <w:rFonts w:ascii="Arial" w:cs="Arial" w:eastAsia="Arial" w:hAnsi="Arial"/>
                <w:sz w:val="17"/>
                <w:szCs w:val="17"/>
                <w:b w:val="1"/>
                <w:bCs w:val="1"/>
                <w:color w:val="auto"/>
              </w:rPr>
              <w:t>$</w:t>
            </w:r>
          </w:p>
        </w:tc>
        <w:tc>
          <w:tcPr>
            <w:tcW w:w="62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5,532</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5,562</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5,305</w:t>
            </w:r>
          </w:p>
        </w:tc>
        <w:tc>
          <w:tcPr>
            <w:tcW w:w="40" w:type="dxa"/>
            <w:vAlign w:val="bottom"/>
          </w:tcPr>
          <w:p>
            <w:pPr>
              <w:spacing w:after="0"/>
              <w:rPr>
                <w:sz w:val="19"/>
                <w:szCs w:val="19"/>
                <w:color w:val="auto"/>
              </w:rPr>
            </w:pPr>
          </w:p>
        </w:tc>
      </w:tr>
      <w:tr>
        <w:trPr>
          <w:trHeight w:val="230"/>
        </w:trPr>
        <w:tc>
          <w:tcPr>
            <w:tcW w:w="26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International</w:t>
            </w:r>
          </w:p>
        </w:tc>
        <w:tc>
          <w:tcPr>
            <w:tcW w:w="26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2,250</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2,204</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2,107</w:t>
            </w:r>
          </w:p>
        </w:tc>
        <w:tc>
          <w:tcPr>
            <w:tcW w:w="40" w:type="dxa"/>
            <w:vAlign w:val="bottom"/>
          </w:tcPr>
          <w:p>
            <w:pPr>
              <w:spacing w:after="0"/>
              <w:rPr>
                <w:sz w:val="19"/>
                <w:szCs w:val="19"/>
                <w:color w:val="auto"/>
              </w:rPr>
            </w:pPr>
          </w:p>
        </w:tc>
      </w:tr>
      <w:tr>
        <w:trPr>
          <w:trHeight w:val="203"/>
        </w:trPr>
        <w:tc>
          <w:tcPr>
            <w:tcW w:w="2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 sales</w:t>
            </w:r>
          </w:p>
        </w:tc>
        <w:tc>
          <w:tcPr>
            <w:tcW w:w="2600" w:type="dxa"/>
            <w:vAlign w:val="bottom"/>
            <w:tcBorders>
              <w:bottom w:val="single" w:sz="8" w:color="auto"/>
            </w:tcBorders>
            <w:shd w:val="clear" w:color="auto" w:fill="CCEEFF"/>
          </w:tcPr>
          <w:p>
            <w:pPr>
              <w:jc w:val="right"/>
              <w:ind w:right="515"/>
              <w:spacing w:after="0"/>
              <w:rPr>
                <w:sz w:val="20"/>
                <w:szCs w:val="20"/>
                <w:color w:val="auto"/>
              </w:rPr>
            </w:pPr>
            <w:r>
              <w:rPr>
                <w:rFonts w:ascii="Arial" w:cs="Arial" w:eastAsia="Arial" w:hAnsi="Arial"/>
                <w:sz w:val="17"/>
                <w:szCs w:val="17"/>
                <w:b w:val="1"/>
                <w:bCs w:val="1"/>
                <w:color w:val="auto"/>
              </w:rPr>
              <w:t>$</w:t>
            </w:r>
          </w:p>
        </w:tc>
        <w:tc>
          <w:tcPr>
            <w:tcW w:w="6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7,782</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7,766</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7,412</w:t>
            </w:r>
          </w:p>
        </w:tc>
        <w:tc>
          <w:tcPr>
            <w:tcW w:w="40" w:type="dxa"/>
            <w:vAlign w:val="bottom"/>
          </w:tcPr>
          <w:p>
            <w:pPr>
              <w:spacing w:after="0"/>
              <w:rPr>
                <w:sz w:val="17"/>
                <w:szCs w:val="17"/>
                <w:color w:val="auto"/>
              </w:rPr>
            </w:pPr>
          </w:p>
        </w:tc>
      </w:tr>
      <w:tr>
        <w:trPr>
          <w:trHeight w:val="604"/>
        </w:trPr>
        <w:tc>
          <w:tcPr>
            <w:tcW w:w="2680" w:type="dxa"/>
            <w:vAlign w:val="bottom"/>
          </w:tcPr>
          <w:p>
            <w:pPr>
              <w:spacing w:after="0"/>
              <w:rPr>
                <w:sz w:val="24"/>
                <w:szCs w:val="24"/>
                <w:color w:val="auto"/>
              </w:rPr>
            </w:pPr>
          </w:p>
        </w:tc>
        <w:tc>
          <w:tcPr>
            <w:tcW w:w="2600" w:type="dxa"/>
            <w:vAlign w:val="bottom"/>
          </w:tcPr>
          <w:p>
            <w:pPr>
              <w:jc w:val="right"/>
              <w:ind w:right="695"/>
              <w:spacing w:after="0"/>
              <w:rPr>
                <w:sz w:val="20"/>
                <w:szCs w:val="20"/>
                <w:color w:val="auto"/>
              </w:rPr>
            </w:pPr>
            <w:r>
              <w:rPr>
                <w:rFonts w:ascii="Arial" w:cs="Arial" w:eastAsia="Arial" w:hAnsi="Arial"/>
                <w:sz w:val="17"/>
                <w:szCs w:val="17"/>
                <w:color w:val="auto"/>
              </w:rPr>
              <w:t>51</w:t>
            </w: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2"/>
        </w:trPr>
        <w:tc>
          <w:tcPr>
            <w:tcW w:w="268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r>
        <w:trPr>
          <w:trHeight w:val="20"/>
        </w:trPr>
        <w:tc>
          <w:tcPr>
            <w:tcW w:w="2680" w:type="dxa"/>
            <w:vAlign w:val="bottom"/>
            <w:tcBorders>
              <w:bottom w:val="single" w:sz="8" w:color="EEEEEE"/>
            </w:tcBorders>
          </w:tcPr>
          <w:p>
            <w:pPr>
              <w:spacing w:after="0" w:line="20" w:lineRule="exact"/>
              <w:rPr>
                <w:sz w:val="1"/>
                <w:szCs w:val="1"/>
                <w:color w:val="auto"/>
              </w:rPr>
            </w:pPr>
          </w:p>
        </w:tc>
        <w:tc>
          <w:tcPr>
            <w:tcW w:w="260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21"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31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2017</w:t>
            </w: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15"/>
              <w:spacing w:after="0"/>
              <w:rPr>
                <w:sz w:val="20"/>
                <w:szCs w:val="20"/>
                <w:color w:val="auto"/>
              </w:rPr>
            </w:pPr>
            <w:r>
              <w:rPr>
                <w:rFonts w:ascii="Arial" w:cs="Arial" w:eastAsia="Arial" w:hAnsi="Arial"/>
                <w:sz w:val="17"/>
                <w:szCs w:val="17"/>
                <w:color w:val="auto"/>
              </w:rPr>
              <w:t>2016</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color w:val="auto"/>
              </w:rPr>
              <w:t>2015</w:t>
            </w:r>
          </w:p>
        </w:tc>
      </w:tr>
      <w:tr>
        <w:trPr>
          <w:trHeight w:val="210"/>
        </w:trPr>
        <w:tc>
          <w:tcPr>
            <w:tcW w:w="3140" w:type="dxa"/>
            <w:vAlign w:val="bottom"/>
          </w:tcPr>
          <w:p>
            <w:pPr>
              <w:spacing w:after="0"/>
              <w:rPr>
                <w:sz w:val="20"/>
                <w:szCs w:val="20"/>
                <w:color w:val="auto"/>
              </w:rPr>
            </w:pPr>
            <w:r>
              <w:rPr>
                <w:rFonts w:ascii="Arial" w:cs="Arial" w:eastAsia="Arial" w:hAnsi="Arial"/>
                <w:sz w:val="17"/>
                <w:szCs w:val="17"/>
                <w:b w:val="1"/>
                <w:bCs w:val="1"/>
                <w:color w:val="auto"/>
              </w:rPr>
              <w:t>Long-Lived Assets</w:t>
            </w:r>
          </w:p>
        </w:tc>
        <w:tc>
          <w:tcPr>
            <w:tcW w:w="2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295"/>
              <w:spacing w:after="0"/>
              <w:rPr>
                <w:sz w:val="20"/>
                <w:szCs w:val="20"/>
                <w:color w:val="auto"/>
              </w:rPr>
            </w:pPr>
            <w:r>
              <w:rPr>
                <w:rFonts w:ascii="Arial" w:cs="Arial" w:eastAsia="Arial" w:hAnsi="Arial"/>
                <w:sz w:val="17"/>
                <w:szCs w:val="17"/>
                <w:color w:val="auto"/>
              </w:rPr>
              <w:t>in millions)</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United States</w:t>
            </w:r>
          </w:p>
        </w:tc>
        <w:tc>
          <w:tcPr>
            <w:tcW w:w="2200" w:type="dxa"/>
            <w:vAlign w:val="bottom"/>
            <w:shd w:val="clear" w:color="auto" w:fill="CCEEFF"/>
          </w:tcPr>
          <w:p>
            <w:pPr>
              <w:jc w:val="right"/>
              <w:ind w:right="575"/>
              <w:spacing w:after="0"/>
              <w:rPr>
                <w:sz w:val="20"/>
                <w:szCs w:val="20"/>
                <w:color w:val="auto"/>
              </w:rPr>
            </w:pPr>
            <w:r>
              <w:rPr>
                <w:rFonts w:ascii="Arial" w:cs="Arial" w:eastAsia="Arial" w:hAnsi="Arial"/>
                <w:sz w:val="17"/>
                <w:szCs w:val="17"/>
                <w:b w:val="1"/>
                <w:bCs w:val="1"/>
                <w:color w:val="auto"/>
              </w:rPr>
              <w:t>$</w:t>
            </w:r>
          </w:p>
        </w:tc>
        <w:tc>
          <w:tcPr>
            <w:tcW w:w="56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607</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575</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w:t>
            </w:r>
          </w:p>
        </w:tc>
      </w:tr>
      <w:tr>
        <w:trPr>
          <w:trHeight w:val="230"/>
        </w:trPr>
        <w:tc>
          <w:tcPr>
            <w:tcW w:w="31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International</w:t>
            </w:r>
          </w:p>
        </w:tc>
        <w:tc>
          <w:tcPr>
            <w:tcW w:w="2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259</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190</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w:t>
            </w:r>
          </w:p>
        </w:tc>
      </w:tr>
      <w:tr>
        <w:trPr>
          <w:trHeight w:val="203"/>
        </w:trPr>
        <w:tc>
          <w:tcPr>
            <w:tcW w:w="3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 long-lived assets</w:t>
            </w:r>
          </w:p>
        </w:tc>
        <w:tc>
          <w:tcPr>
            <w:tcW w:w="2200" w:type="dxa"/>
            <w:vAlign w:val="bottom"/>
            <w:tcBorders>
              <w:bottom w:val="single" w:sz="8" w:color="auto"/>
            </w:tcBorders>
            <w:shd w:val="clear" w:color="auto" w:fill="CCEEFF"/>
          </w:tcPr>
          <w:p>
            <w:pPr>
              <w:jc w:val="right"/>
              <w:ind w:right="575"/>
              <w:spacing w:after="0"/>
              <w:rPr>
                <w:sz w:val="20"/>
                <w:szCs w:val="20"/>
                <w:color w:val="auto"/>
              </w:rPr>
            </w:pPr>
            <w:r>
              <w:rPr>
                <w:rFonts w:ascii="Arial" w:cs="Arial" w:eastAsia="Arial" w:hAnsi="Arial"/>
                <w:sz w:val="17"/>
                <w:szCs w:val="17"/>
                <w:b w:val="1"/>
                <w:bCs w:val="1"/>
                <w:color w:val="auto"/>
              </w:rPr>
              <w:t>$</w:t>
            </w:r>
          </w:p>
        </w:tc>
        <w:tc>
          <w:tcPr>
            <w:tcW w:w="5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866</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765</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661</w:t>
            </w:r>
          </w:p>
        </w:tc>
      </w:tr>
    </w:tbl>
    <w:p>
      <w:pPr>
        <w:spacing w:after="0" w:line="115"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For the year ended February 3, 2018, the countries that comprised the majority of the sales and long-lived assets for the international category were Canada, Italy, Germany, and France. No other individual country included in the international category was significant.</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3. Litigation and Other Charges</w:t>
      </w:r>
    </w:p>
    <w:p>
      <w:pPr>
        <w:spacing w:after="0" w:line="100"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36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15"/>
              <w:spacing w:after="0"/>
              <w:rPr>
                <w:sz w:val="20"/>
                <w:szCs w:val="20"/>
                <w:color w:val="auto"/>
              </w:rPr>
            </w:pPr>
            <w:r>
              <w:rPr>
                <w:rFonts w:ascii="Arial" w:cs="Arial" w:eastAsia="Arial" w:hAnsi="Arial"/>
                <w:sz w:val="17"/>
                <w:szCs w:val="17"/>
                <w:b w:val="1"/>
                <w:bCs w:val="1"/>
                <w:color w:val="auto"/>
              </w:rPr>
              <w:t>2017</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75"/>
              <w:spacing w:after="0"/>
              <w:rPr>
                <w:sz w:val="20"/>
                <w:szCs w:val="20"/>
                <w:color w:val="auto"/>
              </w:rPr>
            </w:pPr>
            <w:r>
              <w:rPr>
                <w:rFonts w:ascii="Arial" w:cs="Arial" w:eastAsia="Arial" w:hAnsi="Arial"/>
                <w:sz w:val="17"/>
                <w:szCs w:val="17"/>
                <w:color w:val="auto"/>
              </w:rPr>
              <w:t>2016</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color w:val="auto"/>
              </w:rPr>
              <w:t>2015</w:t>
            </w:r>
          </w:p>
        </w:tc>
      </w:tr>
      <w:tr>
        <w:trPr>
          <w:trHeight w:val="210"/>
        </w:trPr>
        <w:tc>
          <w:tcPr>
            <w:tcW w:w="3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355"/>
              <w:spacing w:after="0"/>
              <w:rPr>
                <w:sz w:val="20"/>
                <w:szCs w:val="20"/>
                <w:color w:val="auto"/>
              </w:rPr>
            </w:pPr>
            <w:r>
              <w:rPr>
                <w:rFonts w:ascii="Arial" w:cs="Arial" w:eastAsia="Arial" w:hAnsi="Arial"/>
                <w:sz w:val="17"/>
                <w:szCs w:val="17"/>
                <w:color w:val="auto"/>
                <w:w w:val="97"/>
              </w:rPr>
              <w:t>in millions)</w:t>
            </w: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43"/>
        </w:trPr>
        <w:tc>
          <w:tcPr>
            <w:tcW w:w="3620" w:type="dxa"/>
            <w:vAlign w:val="bottom"/>
            <w:shd w:val="clear" w:color="auto" w:fill="CCEEFF"/>
          </w:tcPr>
          <w:p>
            <w:pPr>
              <w:spacing w:after="0"/>
              <w:rPr>
                <w:sz w:val="20"/>
                <w:szCs w:val="20"/>
                <w:color w:val="auto"/>
              </w:rPr>
            </w:pPr>
            <w:r>
              <w:rPr>
                <w:rFonts w:ascii="Arial" w:cs="Arial" w:eastAsia="Arial" w:hAnsi="Arial"/>
                <w:sz w:val="17"/>
                <w:szCs w:val="17"/>
                <w:color w:val="auto"/>
              </w:rPr>
              <w:t>Pension litigation charge</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178</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center"/>
              <w:ind w:left="615"/>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r>
      <w:tr>
        <w:trPr>
          <w:trHeight w:val="243"/>
        </w:trPr>
        <w:tc>
          <w:tcPr>
            <w:tcW w:w="3620" w:type="dxa"/>
            <w:vAlign w:val="bottom"/>
          </w:tcPr>
          <w:p>
            <w:pPr>
              <w:spacing w:after="0"/>
              <w:rPr>
                <w:sz w:val="20"/>
                <w:szCs w:val="20"/>
                <w:color w:val="auto"/>
              </w:rPr>
            </w:pPr>
            <w:r>
              <w:rPr>
                <w:rFonts w:ascii="Arial" w:cs="Arial" w:eastAsia="Arial" w:hAnsi="Arial"/>
                <w:sz w:val="17"/>
                <w:szCs w:val="17"/>
                <w:color w:val="auto"/>
              </w:rPr>
              <w:t>Reorganization costs</w:t>
            </w:r>
          </w:p>
        </w:tc>
        <w:tc>
          <w:tcPr>
            <w:tcW w:w="1140" w:type="dxa"/>
            <w:vAlign w:val="bottom"/>
          </w:tcPr>
          <w:p>
            <w:pPr>
              <w:spacing w:after="0"/>
              <w:rPr>
                <w:sz w:val="21"/>
                <w:szCs w:val="21"/>
                <w:color w:val="auto"/>
              </w:rPr>
            </w:pPr>
          </w:p>
        </w:tc>
        <w:tc>
          <w:tcPr>
            <w:tcW w:w="1140" w:type="dxa"/>
            <w:vAlign w:val="bottom"/>
          </w:tcPr>
          <w:p>
            <w:pPr>
              <w:jc w:val="right"/>
              <w:ind w:right="95"/>
              <w:spacing w:after="0"/>
              <w:rPr>
                <w:sz w:val="20"/>
                <w:szCs w:val="20"/>
                <w:color w:val="auto"/>
              </w:rPr>
            </w:pPr>
            <w:r>
              <w:rPr>
                <w:rFonts w:ascii="Arial" w:cs="Arial" w:eastAsia="Arial" w:hAnsi="Arial"/>
                <w:sz w:val="17"/>
                <w:szCs w:val="17"/>
                <w:b w:val="1"/>
                <w:bCs w:val="1"/>
                <w:color w:val="auto"/>
              </w:rPr>
              <w:t>13</w:t>
            </w:r>
          </w:p>
        </w:tc>
        <w:tc>
          <w:tcPr>
            <w:tcW w:w="340" w:type="dxa"/>
            <w:vAlign w:val="bottom"/>
          </w:tcPr>
          <w:p>
            <w:pPr>
              <w:spacing w:after="0"/>
              <w:rPr>
                <w:sz w:val="21"/>
                <w:szCs w:val="21"/>
                <w:color w:val="auto"/>
              </w:rPr>
            </w:pPr>
          </w:p>
        </w:tc>
        <w:tc>
          <w:tcPr>
            <w:tcW w:w="1240" w:type="dxa"/>
            <w:vAlign w:val="bottom"/>
          </w:tcPr>
          <w:p>
            <w:pPr>
              <w:jc w:val="center"/>
              <w:ind w:left="615"/>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3"/>
        </w:trPr>
        <w:tc>
          <w:tcPr>
            <w:tcW w:w="3620" w:type="dxa"/>
            <w:vAlign w:val="bottom"/>
            <w:shd w:val="clear" w:color="auto" w:fill="CCEEFF"/>
          </w:tcPr>
          <w:p>
            <w:pPr>
              <w:spacing w:after="0"/>
              <w:rPr>
                <w:sz w:val="20"/>
                <w:szCs w:val="20"/>
                <w:color w:val="auto"/>
              </w:rPr>
            </w:pPr>
            <w:r>
              <w:rPr>
                <w:rFonts w:ascii="Arial" w:cs="Arial" w:eastAsia="Arial" w:hAnsi="Arial"/>
                <w:sz w:val="17"/>
                <w:szCs w:val="17"/>
                <w:color w:val="auto"/>
              </w:rPr>
              <w:t>Impairment of long-lived assets</w:t>
            </w:r>
          </w:p>
        </w:tc>
        <w:tc>
          <w:tcPr>
            <w:tcW w:w="1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20</w:t>
            </w: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jc w:val="center"/>
              <w:ind w:left="615"/>
              <w:spacing w:after="0"/>
              <w:rPr>
                <w:sz w:val="20"/>
                <w:szCs w:val="20"/>
                <w:color w:val="auto"/>
              </w:rPr>
            </w:pPr>
            <w:r>
              <w:rPr>
                <w:rFonts w:ascii="Arial" w:cs="Arial" w:eastAsia="Arial" w:hAnsi="Arial"/>
                <w:sz w:val="17"/>
                <w:szCs w:val="17"/>
                <w:color w:val="auto"/>
              </w:rPr>
              <w:t>6</w:t>
            </w:r>
          </w:p>
        </w:tc>
        <w:tc>
          <w:tcPr>
            <w:tcW w:w="3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43"/>
        </w:trPr>
        <w:tc>
          <w:tcPr>
            <w:tcW w:w="36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Other intangible asset impairments</w:t>
            </w:r>
          </w:p>
        </w:tc>
        <w:tc>
          <w:tcPr>
            <w:tcW w:w="1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w:t>
            </w: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left="615"/>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r>
      <w:tr>
        <w:trPr>
          <w:trHeight w:val="217"/>
        </w:trPr>
        <w:tc>
          <w:tcPr>
            <w:tcW w:w="3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 litigation and other charges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211</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center"/>
              <w:ind w:left="615"/>
              <w:spacing w:after="0"/>
              <w:rPr>
                <w:sz w:val="20"/>
                <w:szCs w:val="20"/>
                <w:color w:val="auto"/>
              </w:rPr>
            </w:pPr>
            <w:r>
              <w:rPr>
                <w:rFonts w:ascii="Arial" w:cs="Arial" w:eastAsia="Arial" w:hAnsi="Arial"/>
                <w:sz w:val="17"/>
                <w:szCs w:val="17"/>
                <w:color w:val="auto"/>
              </w:rPr>
              <w:t>6</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w:t>
            </w:r>
          </w:p>
        </w:tc>
      </w:tr>
    </w:tbl>
    <w:p>
      <w:pPr>
        <w:spacing w:after="0" w:line="88"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During the third quarter of 2017, the Company reorganized its organizational structure by adjusting certain responsibilities between our various businesses. As a result of this, as well as certain corporate staff reductions taken to improve corporate efficiency, the Company recorded a charge of $13 million. The charge consisted primarily of severance payments and benefit continuation costs for approximately 190 associates.</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following is a reconciliation of the accrual as of February 3, 2018:</w:t>
      </w:r>
    </w:p>
    <w:p>
      <w:pPr>
        <w:spacing w:after="0" w:line="82" w:lineRule="exact"/>
        <w:rPr>
          <w:sz w:val="20"/>
          <w:szCs w:val="20"/>
          <w:color w:val="auto"/>
        </w:rPr>
      </w:pPr>
    </w:p>
    <w:tbl>
      <w:tblPr>
        <w:tblLayout w:type="fixed"/>
        <w:tblInd w:w="100" w:type="dxa"/>
        <w:tblCellMar>
          <w:top w:w="0" w:type="dxa"/>
          <w:left w:w="0" w:type="dxa"/>
          <w:bottom w:w="0" w:type="dxa"/>
          <w:right w:w="0" w:type="dxa"/>
        </w:tblCellMar>
      </w:tblPr>
      <w:tr>
        <w:trPr>
          <w:trHeight w:val="225"/>
        </w:trPr>
        <w:tc>
          <w:tcPr>
            <w:tcW w:w="3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40" w:type="dxa"/>
            <w:vAlign w:val="bottom"/>
          </w:tcPr>
          <w:p>
            <w:pPr>
              <w:jc w:val="right"/>
              <w:ind w:right="75"/>
              <w:spacing w:after="0"/>
              <w:rPr>
                <w:sz w:val="20"/>
                <w:szCs w:val="20"/>
                <w:color w:val="auto"/>
              </w:rPr>
            </w:pPr>
            <w:r>
              <w:rPr>
                <w:rFonts w:ascii="Arial" w:cs="Arial" w:eastAsia="Arial" w:hAnsi="Arial"/>
                <w:sz w:val="17"/>
                <w:szCs w:val="17"/>
                <w:b w:val="1"/>
                <w:bCs w:val="1"/>
                <w:color w:val="auto"/>
              </w:rPr>
              <w:t>Severance and</w:t>
            </w:r>
          </w:p>
        </w:tc>
        <w:tc>
          <w:tcPr>
            <w:tcW w:w="280" w:type="dxa"/>
            <w:vAlign w:val="bottom"/>
          </w:tcPr>
          <w:p>
            <w:pPr>
              <w:spacing w:after="0"/>
              <w:rPr>
                <w:sz w:val="19"/>
                <w:szCs w:val="19"/>
                <w:color w:val="auto"/>
              </w:rPr>
            </w:pPr>
          </w:p>
        </w:tc>
        <w:tc>
          <w:tcPr>
            <w:tcW w:w="1440" w:type="dxa"/>
            <w:vAlign w:val="bottom"/>
          </w:tcPr>
          <w:p>
            <w:pPr>
              <w:jc w:val="center"/>
              <w:ind w:right="35"/>
              <w:spacing w:after="0"/>
              <w:rPr>
                <w:sz w:val="20"/>
                <w:szCs w:val="20"/>
                <w:color w:val="auto"/>
              </w:rPr>
            </w:pPr>
            <w:r>
              <w:rPr>
                <w:rFonts w:ascii="Arial" w:cs="Arial" w:eastAsia="Arial" w:hAnsi="Arial"/>
                <w:sz w:val="17"/>
                <w:szCs w:val="17"/>
                <w:b w:val="1"/>
                <w:bCs w:val="1"/>
                <w:color w:val="auto"/>
              </w:rPr>
              <w:t>Other Related</w:t>
            </w: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0"/>
        </w:trPr>
        <w:tc>
          <w:tcPr>
            <w:tcW w:w="3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Benefit Costs</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b w:val="1"/>
                <w:bCs w:val="1"/>
                <w:color w:val="auto"/>
                <w:w w:val="99"/>
              </w:rPr>
              <w:t>Charges</w:t>
            </w: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Total</w:t>
            </w:r>
          </w:p>
        </w:tc>
      </w:tr>
      <w:tr>
        <w:trPr>
          <w:trHeight w:val="210"/>
        </w:trPr>
        <w:tc>
          <w:tcPr>
            <w:tcW w:w="3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ind w:left="20"/>
              <w:spacing w:after="0"/>
              <w:rPr>
                <w:sz w:val="20"/>
                <w:szCs w:val="20"/>
                <w:color w:val="auto"/>
              </w:rPr>
            </w:pPr>
            <w:r>
              <w:rPr>
                <w:rFonts w:ascii="Arial" w:cs="Arial" w:eastAsia="Arial" w:hAnsi="Arial"/>
                <w:sz w:val="17"/>
                <w:szCs w:val="17"/>
                <w:color w:val="auto"/>
              </w:rPr>
              <w:t>($ in millions)</w:t>
            </w: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Balance at January 28, 2017</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center"/>
              <w:ind w:left="915"/>
              <w:spacing w:after="0"/>
              <w:rPr>
                <w:sz w:val="20"/>
                <w:szCs w:val="20"/>
                <w:color w:val="auto"/>
              </w:rPr>
            </w:pPr>
            <w:r>
              <w:rPr>
                <w:rFonts w:ascii="Arial" w:cs="Arial" w:eastAsia="Arial" w:hAnsi="Arial"/>
                <w:sz w:val="17"/>
                <w:szCs w:val="17"/>
                <w:color w:val="auto"/>
                <w:w w:val="93"/>
              </w:rPr>
              <w:t>—</w:t>
            </w:r>
          </w:p>
        </w:tc>
        <w:tc>
          <w:tcPr>
            <w:tcW w:w="4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3140" w:type="dxa"/>
            <w:vAlign w:val="bottom"/>
          </w:tcPr>
          <w:p>
            <w:pPr>
              <w:ind w:left="120"/>
              <w:spacing w:after="0"/>
              <w:rPr>
                <w:sz w:val="20"/>
                <w:szCs w:val="20"/>
                <w:color w:val="auto"/>
              </w:rPr>
            </w:pPr>
            <w:r>
              <w:rPr>
                <w:rFonts w:ascii="Arial" w:cs="Arial" w:eastAsia="Arial" w:hAnsi="Arial"/>
                <w:sz w:val="17"/>
                <w:szCs w:val="17"/>
                <w:color w:val="auto"/>
              </w:rPr>
              <w:t>Amounts charged to expense</w:t>
            </w:r>
          </w:p>
        </w:tc>
        <w:tc>
          <w:tcPr>
            <w:tcW w:w="960" w:type="dxa"/>
            <w:vAlign w:val="bottom"/>
          </w:tcPr>
          <w:p>
            <w:pPr>
              <w:spacing w:after="0"/>
              <w:rPr>
                <w:sz w:val="19"/>
                <w:szCs w:val="19"/>
                <w:color w:val="auto"/>
              </w:rPr>
            </w:pPr>
          </w:p>
        </w:tc>
        <w:tc>
          <w:tcPr>
            <w:tcW w:w="1440" w:type="dxa"/>
            <w:vAlign w:val="bottom"/>
          </w:tcPr>
          <w:p>
            <w:pPr>
              <w:jc w:val="right"/>
              <w:ind w:right="75"/>
              <w:spacing w:after="0"/>
              <w:rPr>
                <w:sz w:val="20"/>
                <w:szCs w:val="20"/>
                <w:color w:val="auto"/>
              </w:rPr>
            </w:pPr>
            <w:r>
              <w:rPr>
                <w:rFonts w:ascii="Arial" w:cs="Arial" w:eastAsia="Arial" w:hAnsi="Arial"/>
                <w:sz w:val="17"/>
                <w:szCs w:val="17"/>
                <w:color w:val="auto"/>
              </w:rPr>
              <w:t>11</w:t>
            </w:r>
          </w:p>
        </w:tc>
        <w:tc>
          <w:tcPr>
            <w:tcW w:w="280" w:type="dxa"/>
            <w:vAlign w:val="bottom"/>
          </w:tcPr>
          <w:p>
            <w:pPr>
              <w:spacing w:after="0"/>
              <w:rPr>
                <w:sz w:val="19"/>
                <w:szCs w:val="19"/>
                <w:color w:val="auto"/>
              </w:rPr>
            </w:pPr>
          </w:p>
        </w:tc>
        <w:tc>
          <w:tcPr>
            <w:tcW w:w="1440" w:type="dxa"/>
            <w:vAlign w:val="bottom"/>
          </w:tcPr>
          <w:p>
            <w:pPr>
              <w:jc w:val="center"/>
              <w:ind w:left="895"/>
              <w:spacing w:after="0"/>
              <w:rPr>
                <w:sz w:val="20"/>
                <w:szCs w:val="20"/>
                <w:color w:val="auto"/>
              </w:rPr>
            </w:pPr>
            <w:r>
              <w:rPr>
                <w:rFonts w:ascii="Arial" w:cs="Arial" w:eastAsia="Arial" w:hAnsi="Arial"/>
                <w:sz w:val="17"/>
                <w:szCs w:val="17"/>
                <w:color w:val="auto"/>
              </w:rPr>
              <w:t>2</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30"/>
        </w:trPr>
        <w:tc>
          <w:tcPr>
            <w:tcW w:w="31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Cash payments</w:t>
            </w:r>
          </w:p>
        </w:tc>
        <w:tc>
          <w:tcPr>
            <w:tcW w:w="9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(6)</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center"/>
              <w:ind w:left="915"/>
              <w:spacing w:after="0"/>
              <w:rPr>
                <w:sz w:val="20"/>
                <w:szCs w:val="20"/>
                <w:color w:val="auto"/>
              </w:rPr>
            </w:pPr>
            <w:r>
              <w:rPr>
                <w:rFonts w:ascii="Arial" w:cs="Arial" w:eastAsia="Arial" w:hAnsi="Arial"/>
                <w:sz w:val="17"/>
                <w:szCs w:val="17"/>
                <w:color w:val="auto"/>
                <w:w w:val="93"/>
              </w:rPr>
              <w:t>—</w:t>
            </w: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203"/>
        </w:trPr>
        <w:tc>
          <w:tcPr>
            <w:tcW w:w="31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Balance at February 3, 2018</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4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440" w:type="dxa"/>
            <w:vAlign w:val="bottom"/>
            <w:tcBorders>
              <w:bottom w:val="single" w:sz="8" w:color="auto"/>
            </w:tcBorders>
          </w:tcPr>
          <w:p>
            <w:pPr>
              <w:jc w:val="center"/>
              <w:ind w:left="895"/>
              <w:spacing w:after="0"/>
              <w:rPr>
                <w:sz w:val="20"/>
                <w:szCs w:val="20"/>
                <w:color w:val="auto"/>
              </w:rPr>
            </w:pPr>
            <w:r>
              <w:rPr>
                <w:rFonts w:ascii="Arial" w:cs="Arial" w:eastAsia="Arial" w:hAnsi="Arial"/>
                <w:sz w:val="17"/>
                <w:szCs w:val="17"/>
                <w:b w:val="1"/>
                <w:bCs w:val="1"/>
                <w:color w:val="auto"/>
              </w:rPr>
              <w:t>2</w:t>
            </w:r>
          </w:p>
        </w:tc>
        <w:tc>
          <w:tcPr>
            <w:tcW w:w="4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w:t>
            </w:r>
          </w:p>
        </w:tc>
      </w:tr>
    </w:tbl>
    <w:p>
      <w:pPr>
        <w:spacing w:after="0" w:line="115" w:lineRule="exact"/>
        <w:rPr>
          <w:sz w:val="20"/>
          <w:szCs w:val="20"/>
          <w:color w:val="auto"/>
        </w:rPr>
      </w:pPr>
    </w:p>
    <w:p>
      <w:pPr>
        <w:jc w:val="both"/>
        <w:ind w:left="100" w:right="99"/>
        <w:spacing w:after="0"/>
        <w:rPr>
          <w:sz w:val="20"/>
          <w:szCs w:val="20"/>
          <w:color w:val="auto"/>
        </w:rPr>
      </w:pPr>
      <w:r>
        <w:rPr>
          <w:rFonts w:ascii="Arial" w:cs="Arial" w:eastAsia="Arial" w:hAnsi="Arial"/>
          <w:sz w:val="17"/>
          <w:szCs w:val="17"/>
          <w:color w:val="auto"/>
        </w:rPr>
        <w:t>During 2017, due to the underperformance of our SIX:02 stores, and the continued underperformance of our Runners Point and Sidestep stores, management determined that a triggering event had occurred and, therefore, an impairment review was conducted. The Company evaluated the long-lived assets of our SIX:02 stores for impairment and recorded a non-cash charge of $16 million to write down store fixtures and leasehold improvements for 30 stores. The Company also evaluated the long-lived assets of our Runners Point and Sidestep stores for impairment and recorded a non-cash charge of $4 million to write down store fixtures and leasehold improvements for 123 stores. As of February 3, 2018, the remaining net book value of long-lived assets totaled $2 million for SIX:02, and totaled $12 million for Runners Point and Sidestep. The Company also performed an impairment review of other intangible assets for Runners Point and Sidestep, and the resulting non-cash impairment charge was not significant.</w:t>
      </w:r>
    </w:p>
    <w:p>
      <w:pPr>
        <w:spacing w:after="0" w:line="321"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In 2016 and 2015, the Company also recorded non-cash impairment charges for Runners Point and Sidestep stores to write down long-lived assets of $6 million for 116 stores and $4 million for 61 stores, respectively. As a result of the impairment review related to long-lived assets, the Company performed a review of other intangible assets in 2016 and 2015. No impairment charges of these assets was required as a result of the 2016 review; however, in 2015 a non-cash impairment charge of $1 million was recorded to fully write down the value of an e-commerce trade name resulting from a decline in sales, as the Company shifted away from the use of this website.</w:t>
      </w:r>
    </w:p>
    <w:p>
      <w:pPr>
        <w:spacing w:after="0" w:line="175"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 xml:space="preserve">The Company recorded $178 million and $100 million in pension litigation charges during 2017 and 2015, respectively. Please see Note 22, </w:t>
      </w:r>
      <w:r>
        <w:rPr>
          <w:rFonts w:ascii="Arial" w:cs="Arial" w:eastAsia="Arial" w:hAnsi="Arial"/>
          <w:sz w:val="17"/>
          <w:szCs w:val="17"/>
          <w:i w:val="1"/>
          <w:iCs w:val="1"/>
          <w:color w:val="auto"/>
        </w:rPr>
        <w:t>Legal Proceedings</w:t>
      </w:r>
      <w:r>
        <w:rPr>
          <w:rFonts w:ascii="Arial" w:cs="Arial" w:eastAsia="Arial" w:hAnsi="Arial"/>
          <w:sz w:val="17"/>
          <w:szCs w:val="17"/>
          <w:color w:val="auto"/>
        </w:rPr>
        <w:t xml:space="preserve"> for further information.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4. Other Income</w:t>
      </w:r>
    </w:p>
    <w:p>
      <w:pPr>
        <w:spacing w:after="0" w:line="201"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Other income includes non-operating items, such as: gains from insurance recoveries; discounts/premiums paid on the repurchase and retirement of bonds; royalty income; changes in fair value, premiums paid, and realized gains associated with foreign currency option contracts; and property sales. Other income was $5 million in 2017, $6 million in 2016, and $4 million in 2015.</w:t>
      </w:r>
    </w:p>
    <w:p>
      <w:pPr>
        <w:spacing w:after="0" w:line="177"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For 2017, other income includes $4 million of royalty income and $1 million of lease termination gains related to the sales of leasehold interests. Other income in 2016 included a gain of $2 million on a forward foreign currency contract associated with an intercompany transaction that did not qualify for hedge accounting; $2 million of royalty income; $1 million related to an insurance recovery; and $1 million of lease termination gains related to the sales of leasehold interests. Included in 2015 is a $2 million insurance recovery related to a business interruption claim and $2 million of royalty income.</w:t>
      </w:r>
    </w:p>
    <w:p>
      <w:pPr>
        <w:spacing w:after="0" w:line="13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5. Merchandise Inventories</w:t>
      </w:r>
    </w:p>
    <w:p>
      <w:pPr>
        <w:spacing w:after="0" w:line="100"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41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6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color w:val="auto"/>
              </w:rPr>
              <w:t>2016</w:t>
            </w:r>
          </w:p>
        </w:tc>
      </w:tr>
      <w:tr>
        <w:trPr>
          <w:trHeight w:val="210"/>
        </w:trPr>
        <w:tc>
          <w:tcPr>
            <w:tcW w:w="41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 in millions)</w:t>
            </w:r>
          </w:p>
        </w:tc>
        <w:tc>
          <w:tcPr>
            <w:tcW w:w="960" w:type="dxa"/>
            <w:vAlign w:val="bottom"/>
          </w:tcPr>
          <w:p>
            <w:pPr>
              <w:spacing w:after="0"/>
              <w:rPr>
                <w:sz w:val="18"/>
                <w:szCs w:val="18"/>
                <w:color w:val="auto"/>
              </w:rPr>
            </w:pPr>
          </w:p>
        </w:tc>
      </w:tr>
      <w:tr>
        <w:trPr>
          <w:trHeight w:val="230"/>
        </w:trPr>
        <w:tc>
          <w:tcPr>
            <w:tcW w:w="4140" w:type="dxa"/>
            <w:vAlign w:val="bottom"/>
            <w:shd w:val="clear" w:color="auto" w:fill="CCEEFF"/>
          </w:tcPr>
          <w:p>
            <w:pPr>
              <w:spacing w:after="0"/>
              <w:rPr>
                <w:sz w:val="20"/>
                <w:szCs w:val="20"/>
                <w:color w:val="auto"/>
              </w:rPr>
            </w:pPr>
            <w:r>
              <w:rPr>
                <w:rFonts w:ascii="Arial" w:cs="Arial" w:eastAsia="Arial" w:hAnsi="Arial"/>
                <w:sz w:val="17"/>
                <w:szCs w:val="17"/>
                <w:color w:val="auto"/>
              </w:rPr>
              <w:t>LIFO inventories</w:t>
            </w:r>
          </w:p>
        </w:tc>
        <w:tc>
          <w:tcPr>
            <w:tcW w:w="2640" w:type="dxa"/>
            <w:vAlign w:val="bottom"/>
            <w:shd w:val="clear" w:color="auto" w:fill="CCEEFF"/>
          </w:tcPr>
          <w:p>
            <w:pPr>
              <w:jc w:val="right"/>
              <w:ind w:right="595"/>
              <w:spacing w:after="0"/>
              <w:rPr>
                <w:sz w:val="20"/>
                <w:szCs w:val="20"/>
                <w:color w:val="auto"/>
              </w:rPr>
            </w:pPr>
            <w:r>
              <w:rPr>
                <w:rFonts w:ascii="Arial" w:cs="Arial" w:eastAsia="Arial" w:hAnsi="Arial"/>
                <w:sz w:val="17"/>
                <w:szCs w:val="17"/>
                <w:b w:val="1"/>
                <w:bCs w:val="1"/>
                <w:color w:val="auto"/>
              </w:rPr>
              <w:t>$</w:t>
            </w:r>
          </w:p>
        </w:tc>
        <w:tc>
          <w:tcPr>
            <w:tcW w:w="6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809</w:t>
            </w:r>
          </w:p>
        </w:tc>
        <w:tc>
          <w:tcPr>
            <w:tcW w:w="4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861</w:t>
            </w:r>
          </w:p>
        </w:tc>
      </w:tr>
      <w:tr>
        <w:trPr>
          <w:trHeight w:val="230"/>
        </w:trPr>
        <w:tc>
          <w:tcPr>
            <w:tcW w:w="41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FIFO inventories</w:t>
            </w:r>
          </w:p>
        </w:tc>
        <w:tc>
          <w:tcPr>
            <w:tcW w:w="26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469</w:t>
            </w: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446</w:t>
            </w:r>
          </w:p>
        </w:tc>
      </w:tr>
      <w:tr>
        <w:trPr>
          <w:trHeight w:val="203"/>
        </w:trPr>
        <w:tc>
          <w:tcPr>
            <w:tcW w:w="4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 merchandise inventories</w:t>
            </w:r>
          </w:p>
        </w:tc>
        <w:tc>
          <w:tcPr>
            <w:tcW w:w="2640" w:type="dxa"/>
            <w:vAlign w:val="bottom"/>
            <w:tcBorders>
              <w:bottom w:val="single" w:sz="8" w:color="auto"/>
            </w:tcBorders>
            <w:shd w:val="clear" w:color="auto" w:fill="CCEEFF"/>
          </w:tcPr>
          <w:p>
            <w:pPr>
              <w:jc w:val="right"/>
              <w:ind w:right="595"/>
              <w:spacing w:after="0"/>
              <w:rPr>
                <w:sz w:val="20"/>
                <w:szCs w:val="20"/>
                <w:color w:val="auto"/>
              </w:rPr>
            </w:pPr>
            <w:r>
              <w:rPr>
                <w:rFonts w:ascii="Arial" w:cs="Arial" w:eastAsia="Arial" w:hAnsi="Arial"/>
                <w:sz w:val="17"/>
                <w:szCs w:val="17"/>
                <w:b w:val="1"/>
                <w:bCs w:val="1"/>
                <w:color w:val="auto"/>
              </w:rPr>
              <w:t>$</w:t>
            </w:r>
          </w:p>
        </w:tc>
        <w:tc>
          <w:tcPr>
            <w:tcW w:w="6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1,278</w:t>
            </w:r>
          </w:p>
        </w:tc>
        <w:tc>
          <w:tcPr>
            <w:tcW w:w="4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1,307</w:t>
            </w:r>
          </w:p>
        </w:tc>
      </w:tr>
    </w:tbl>
    <w:p>
      <w:pPr>
        <w:spacing w:after="0" w:line="115"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The value of the Company’s LIFO inventories, as calculated on a LIFO basis, approximates their value as calculated on a FIFO basis.</w:t>
      </w:r>
    </w:p>
    <w:p>
      <w:pPr>
        <w:spacing w:after="0" w:line="8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6. Other Current Assets</w:t>
      </w:r>
    </w:p>
    <w:p>
      <w:pPr>
        <w:spacing w:after="0" w:line="100"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56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b w:val="1"/>
                <w:bCs w:val="1"/>
                <w:color w:val="auto"/>
              </w:rPr>
              <w:t>2017</w:t>
            </w: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color w:val="auto"/>
              </w:rPr>
              <w:t>2016</w:t>
            </w:r>
          </w:p>
        </w:tc>
        <w:tc>
          <w:tcPr>
            <w:tcW w:w="40" w:type="dxa"/>
            <w:vAlign w:val="bottom"/>
          </w:tcPr>
          <w:p>
            <w:pPr>
              <w:spacing w:after="0"/>
              <w:rPr>
                <w:sz w:val="18"/>
                <w:szCs w:val="18"/>
                <w:color w:val="auto"/>
              </w:rPr>
            </w:pPr>
          </w:p>
        </w:tc>
      </w:tr>
      <w:tr>
        <w:trPr>
          <w:trHeight w:val="210"/>
        </w:trPr>
        <w:tc>
          <w:tcPr>
            <w:tcW w:w="5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7"/>
                <w:szCs w:val="17"/>
                <w:color w:val="auto"/>
              </w:rPr>
              <w:t>($ in millions)</w:t>
            </w: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Prepaid income taxes</w:t>
            </w:r>
          </w:p>
        </w:tc>
        <w:tc>
          <w:tcPr>
            <w:tcW w:w="64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w:t>
            </w:r>
          </w:p>
        </w:tc>
        <w:tc>
          <w:tcPr>
            <w:tcW w:w="118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174</w:t>
            </w:r>
          </w:p>
        </w:tc>
        <w:tc>
          <w:tcPr>
            <w:tcW w:w="44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40" w:type="dxa"/>
            <w:vAlign w:val="bottom"/>
          </w:tcPr>
          <w:p>
            <w:pPr>
              <w:spacing w:after="0"/>
              <w:rPr>
                <w:sz w:val="19"/>
                <w:szCs w:val="19"/>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7"/>
                <w:szCs w:val="17"/>
                <w:color w:val="auto"/>
              </w:rPr>
              <w:t>Net receivables</w:t>
            </w:r>
          </w:p>
        </w:tc>
        <w:tc>
          <w:tcPr>
            <w:tcW w:w="640" w:type="dxa"/>
            <w:vAlign w:val="bottom"/>
          </w:tcPr>
          <w:p>
            <w:pPr>
              <w:spacing w:after="0"/>
              <w:rPr>
                <w:sz w:val="19"/>
                <w:szCs w:val="19"/>
                <w:color w:val="auto"/>
              </w:rPr>
            </w:pPr>
          </w:p>
        </w:tc>
        <w:tc>
          <w:tcPr>
            <w:tcW w:w="1180" w:type="dxa"/>
            <w:vAlign w:val="bottom"/>
          </w:tcPr>
          <w:p>
            <w:pPr>
              <w:jc w:val="right"/>
              <w:ind w:right="55"/>
              <w:spacing w:after="0"/>
              <w:rPr>
                <w:sz w:val="20"/>
                <w:szCs w:val="20"/>
                <w:color w:val="auto"/>
              </w:rPr>
            </w:pPr>
            <w:r>
              <w:rPr>
                <w:rFonts w:ascii="Arial" w:cs="Arial" w:eastAsia="Arial" w:hAnsi="Arial"/>
                <w:sz w:val="17"/>
                <w:szCs w:val="17"/>
                <w:b w:val="1"/>
                <w:bCs w:val="1"/>
                <w:color w:val="auto"/>
              </w:rPr>
              <w:t>106</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101</w:t>
            </w:r>
          </w:p>
        </w:tc>
        <w:tc>
          <w:tcPr>
            <w:tcW w:w="40" w:type="dxa"/>
            <w:vAlign w:val="bottom"/>
          </w:tcPr>
          <w:p>
            <w:pPr>
              <w:spacing w:after="0"/>
              <w:rPr>
                <w:sz w:val="19"/>
                <w:szCs w:val="19"/>
                <w:color w:val="auto"/>
              </w:rPr>
            </w:pPr>
          </w:p>
        </w:tc>
      </w:tr>
      <w:tr>
        <w:trPr>
          <w:trHeight w:val="230"/>
        </w:trPr>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Prepaid rent</w:t>
            </w: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96</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40" w:type="dxa"/>
            <w:vAlign w:val="bottom"/>
          </w:tcPr>
          <w:p>
            <w:pPr>
              <w:spacing w:after="0"/>
              <w:rPr>
                <w:sz w:val="19"/>
                <w:szCs w:val="19"/>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7"/>
                <w:szCs w:val="17"/>
                <w:color w:val="auto"/>
              </w:rPr>
              <w:t>Other prepaid expenses</w:t>
            </w:r>
          </w:p>
        </w:tc>
        <w:tc>
          <w:tcPr>
            <w:tcW w:w="640" w:type="dxa"/>
            <w:vAlign w:val="bottom"/>
          </w:tcPr>
          <w:p>
            <w:pPr>
              <w:spacing w:after="0"/>
              <w:rPr>
                <w:sz w:val="19"/>
                <w:szCs w:val="19"/>
                <w:color w:val="auto"/>
              </w:rPr>
            </w:pPr>
          </w:p>
        </w:tc>
        <w:tc>
          <w:tcPr>
            <w:tcW w:w="1180" w:type="dxa"/>
            <w:vAlign w:val="bottom"/>
          </w:tcPr>
          <w:p>
            <w:pPr>
              <w:jc w:val="right"/>
              <w:ind w:right="55"/>
              <w:spacing w:after="0"/>
              <w:rPr>
                <w:sz w:val="20"/>
                <w:szCs w:val="20"/>
                <w:color w:val="auto"/>
              </w:rPr>
            </w:pPr>
            <w:r>
              <w:rPr>
                <w:rFonts w:ascii="Arial" w:cs="Arial" w:eastAsia="Arial" w:hAnsi="Arial"/>
                <w:sz w:val="17"/>
                <w:szCs w:val="17"/>
                <w:b w:val="1"/>
                <w:bCs w:val="1"/>
                <w:color w:val="auto"/>
              </w:rPr>
              <w:t>31</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27</w:t>
            </w:r>
          </w:p>
        </w:tc>
        <w:tc>
          <w:tcPr>
            <w:tcW w:w="40" w:type="dxa"/>
            <w:vAlign w:val="bottom"/>
          </w:tcPr>
          <w:p>
            <w:pPr>
              <w:spacing w:after="0"/>
              <w:rPr>
                <w:sz w:val="19"/>
                <w:szCs w:val="19"/>
                <w:color w:val="auto"/>
              </w:rPr>
            </w:pPr>
          </w:p>
        </w:tc>
      </w:tr>
      <w:tr>
        <w:trPr>
          <w:trHeight w:val="230"/>
        </w:trPr>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Deferred tax costs</w:t>
            </w: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13</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40" w:type="dxa"/>
            <w:vAlign w:val="bottom"/>
          </w:tcPr>
          <w:p>
            <w:pPr>
              <w:spacing w:after="0"/>
              <w:rPr>
                <w:sz w:val="19"/>
                <w:szCs w:val="19"/>
                <w:color w:val="auto"/>
              </w:rPr>
            </w:pPr>
          </w:p>
        </w:tc>
      </w:tr>
      <w:tr>
        <w:trPr>
          <w:trHeight w:val="230"/>
        </w:trPr>
        <w:tc>
          <w:tcPr>
            <w:tcW w:w="5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Other</w:t>
            </w:r>
          </w:p>
        </w:tc>
        <w:tc>
          <w:tcPr>
            <w:tcW w:w="6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4</w:t>
            </w: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40" w:type="dxa"/>
            <w:vAlign w:val="bottom"/>
          </w:tcPr>
          <w:p>
            <w:pPr>
              <w:spacing w:after="0"/>
              <w:rPr>
                <w:sz w:val="19"/>
                <w:szCs w:val="19"/>
                <w:color w:val="auto"/>
              </w:rPr>
            </w:pPr>
          </w:p>
        </w:tc>
      </w:tr>
      <w:tr>
        <w:trPr>
          <w:trHeight w:val="203"/>
        </w:trPr>
        <w:tc>
          <w:tcPr>
            <w:tcW w:w="56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424</w:t>
            </w:r>
          </w:p>
        </w:tc>
        <w:tc>
          <w:tcPr>
            <w:tcW w:w="44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280</w:t>
            </w:r>
          </w:p>
        </w:tc>
        <w:tc>
          <w:tcPr>
            <w:tcW w:w="40" w:type="dxa"/>
            <w:vAlign w:val="bottom"/>
          </w:tcPr>
          <w:p>
            <w:pPr>
              <w:spacing w:after="0"/>
              <w:rPr>
                <w:sz w:val="17"/>
                <w:szCs w:val="17"/>
                <w:color w:val="auto"/>
              </w:rPr>
            </w:pPr>
          </w:p>
        </w:tc>
      </w:tr>
      <w:tr>
        <w:trPr>
          <w:trHeight w:val="338"/>
        </w:trPr>
        <w:tc>
          <w:tcPr>
            <w:tcW w:w="5600" w:type="dxa"/>
            <w:vAlign w:val="bottom"/>
          </w:tcPr>
          <w:p>
            <w:pPr>
              <w:spacing w:after="0"/>
              <w:rPr>
                <w:sz w:val="20"/>
                <w:szCs w:val="20"/>
                <w:color w:val="auto"/>
              </w:rPr>
            </w:pPr>
            <w:r>
              <w:rPr>
                <w:rFonts w:ascii="Arial" w:cs="Arial" w:eastAsia="Arial" w:hAnsi="Arial"/>
                <w:sz w:val="18"/>
                <w:szCs w:val="18"/>
                <w:b w:val="1"/>
                <w:bCs w:val="1"/>
                <w:color w:val="auto"/>
              </w:rPr>
              <w:t>7. Property and Equipment, Net</w:t>
            </w: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84"/>
        </w:trPr>
        <w:tc>
          <w:tcPr>
            <w:tcW w:w="56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b w:val="1"/>
                <w:bCs w:val="1"/>
                <w:color w:val="auto"/>
              </w:rPr>
              <w:t>2017</w:t>
            </w:r>
          </w:p>
        </w:tc>
        <w:tc>
          <w:tcPr>
            <w:tcW w:w="4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color w:val="auto"/>
              </w:rPr>
              <w:t>2016</w:t>
            </w:r>
          </w:p>
        </w:tc>
        <w:tc>
          <w:tcPr>
            <w:tcW w:w="40" w:type="dxa"/>
            <w:vAlign w:val="bottom"/>
          </w:tcPr>
          <w:p>
            <w:pPr>
              <w:spacing w:after="0"/>
              <w:rPr>
                <w:sz w:val="24"/>
                <w:szCs w:val="24"/>
                <w:color w:val="auto"/>
              </w:rPr>
            </w:pPr>
          </w:p>
        </w:tc>
      </w:tr>
      <w:tr>
        <w:trPr>
          <w:trHeight w:val="210"/>
        </w:trPr>
        <w:tc>
          <w:tcPr>
            <w:tcW w:w="5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7"/>
                <w:szCs w:val="17"/>
                <w:color w:val="auto"/>
              </w:rPr>
              <w:t>($ in millions)</w:t>
            </w: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56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Land</w:t>
            </w:r>
          </w:p>
        </w:tc>
        <w:tc>
          <w:tcPr>
            <w:tcW w:w="64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w:t>
            </w:r>
          </w:p>
        </w:tc>
        <w:tc>
          <w:tcPr>
            <w:tcW w:w="118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4</w:t>
            </w:r>
          </w:p>
        </w:tc>
        <w:tc>
          <w:tcPr>
            <w:tcW w:w="44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40" w:type="dxa"/>
            <w:vAlign w:val="bottom"/>
          </w:tcPr>
          <w:p>
            <w:pPr>
              <w:spacing w:after="0"/>
              <w:rPr>
                <w:sz w:val="19"/>
                <w:szCs w:val="19"/>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7"/>
                <w:szCs w:val="17"/>
                <w:b w:val="1"/>
                <w:bCs w:val="1"/>
                <w:color w:val="auto"/>
              </w:rPr>
              <w:t>Buildings:</w:t>
            </w:r>
          </w:p>
        </w:tc>
        <w:tc>
          <w:tcPr>
            <w:tcW w:w="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56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Owned</w:t>
            </w: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44</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40" w:type="dxa"/>
            <w:vAlign w:val="bottom"/>
          </w:tcPr>
          <w:p>
            <w:pPr>
              <w:spacing w:after="0"/>
              <w:rPr>
                <w:sz w:val="19"/>
                <w:szCs w:val="19"/>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7"/>
                <w:szCs w:val="17"/>
                <w:b w:val="1"/>
                <w:bCs w:val="1"/>
                <w:color w:val="auto"/>
              </w:rPr>
              <w:t>Furniture, fixtures, equipment and software development costs:</w:t>
            </w:r>
          </w:p>
        </w:tc>
        <w:tc>
          <w:tcPr>
            <w:tcW w:w="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56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Owned</w:t>
            </w: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1,145</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1,029</w:t>
            </w:r>
          </w:p>
        </w:tc>
        <w:tc>
          <w:tcPr>
            <w:tcW w:w="40" w:type="dxa"/>
            <w:vAlign w:val="bottom"/>
          </w:tcPr>
          <w:p>
            <w:pPr>
              <w:spacing w:after="0"/>
              <w:rPr>
                <w:sz w:val="19"/>
                <w:szCs w:val="19"/>
                <w:color w:val="auto"/>
              </w:rPr>
            </w:pPr>
          </w:p>
        </w:tc>
      </w:tr>
      <w:tr>
        <w:trPr>
          <w:trHeight w:val="230"/>
        </w:trPr>
        <w:tc>
          <w:tcPr>
            <w:tcW w:w="56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Assets under capital leases</w:t>
            </w:r>
          </w:p>
        </w:tc>
        <w:tc>
          <w:tcPr>
            <w:tcW w:w="6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w:t>
            </w: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9"/>
                <w:szCs w:val="19"/>
                <w:color w:val="auto"/>
              </w:rPr>
            </w:pPr>
          </w:p>
        </w:tc>
      </w:tr>
      <w:tr>
        <w:trPr>
          <w:trHeight w:val="210"/>
        </w:trPr>
        <w:tc>
          <w:tcPr>
            <w:tcW w:w="5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1,193</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1,078</w:t>
            </w:r>
          </w:p>
        </w:tc>
        <w:tc>
          <w:tcPr>
            <w:tcW w:w="40" w:type="dxa"/>
            <w:vAlign w:val="bottom"/>
          </w:tcPr>
          <w:p>
            <w:pPr>
              <w:spacing w:after="0"/>
              <w:rPr>
                <w:sz w:val="18"/>
                <w:szCs w:val="18"/>
                <w:color w:val="auto"/>
              </w:rPr>
            </w:pPr>
          </w:p>
        </w:tc>
      </w:tr>
      <w:tr>
        <w:trPr>
          <w:trHeight w:val="230"/>
        </w:trPr>
        <w:tc>
          <w:tcPr>
            <w:tcW w:w="5600" w:type="dxa"/>
            <w:vAlign w:val="bottom"/>
          </w:tcPr>
          <w:p>
            <w:pPr>
              <w:ind w:left="140"/>
              <w:spacing w:after="0"/>
              <w:rPr>
                <w:sz w:val="20"/>
                <w:szCs w:val="20"/>
                <w:color w:val="auto"/>
              </w:rPr>
            </w:pPr>
            <w:r>
              <w:rPr>
                <w:rFonts w:ascii="Arial" w:cs="Arial" w:eastAsia="Arial" w:hAnsi="Arial"/>
                <w:sz w:val="17"/>
                <w:szCs w:val="17"/>
                <w:color w:val="auto"/>
              </w:rPr>
              <w:t>Less: accumulated depreciation</w:t>
            </w:r>
          </w:p>
        </w:tc>
        <w:tc>
          <w:tcPr>
            <w:tcW w:w="640" w:type="dxa"/>
            <w:vAlign w:val="bottom"/>
          </w:tcPr>
          <w:p>
            <w:pPr>
              <w:spacing w:after="0"/>
              <w:rPr>
                <w:sz w:val="19"/>
                <w:szCs w:val="19"/>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b w:val="1"/>
                <w:bCs w:val="1"/>
                <w:color w:val="auto"/>
              </w:rPr>
              <w:t>(753)</w:t>
            </w:r>
          </w:p>
        </w:tc>
        <w:tc>
          <w:tcPr>
            <w:tcW w:w="4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(674)</w:t>
            </w:r>
          </w:p>
        </w:tc>
      </w:tr>
      <w:tr>
        <w:trPr>
          <w:trHeight w:val="210"/>
        </w:trPr>
        <w:tc>
          <w:tcPr>
            <w:tcW w:w="56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440</w:t>
            </w:r>
          </w:p>
        </w:tc>
        <w:tc>
          <w:tcPr>
            <w:tcW w:w="4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404</w:t>
            </w:r>
          </w:p>
        </w:tc>
        <w:tc>
          <w:tcPr>
            <w:tcW w:w="40" w:type="dxa"/>
            <w:vAlign w:val="bottom"/>
          </w:tcPr>
          <w:p>
            <w:pPr>
              <w:spacing w:after="0"/>
              <w:rPr>
                <w:sz w:val="18"/>
                <w:szCs w:val="18"/>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7"/>
                <w:szCs w:val="17"/>
                <w:b w:val="1"/>
                <w:bCs w:val="1"/>
                <w:color w:val="auto"/>
              </w:rPr>
              <w:t>Alterations to leased and owned buildings:</w:t>
            </w:r>
          </w:p>
        </w:tc>
        <w:tc>
          <w:tcPr>
            <w:tcW w:w="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56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Cost</w:t>
            </w: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965</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849</w:t>
            </w:r>
          </w:p>
        </w:tc>
        <w:tc>
          <w:tcPr>
            <w:tcW w:w="40" w:type="dxa"/>
            <w:vAlign w:val="bottom"/>
          </w:tcPr>
          <w:p>
            <w:pPr>
              <w:spacing w:after="0"/>
              <w:rPr>
                <w:sz w:val="19"/>
                <w:szCs w:val="19"/>
                <w:color w:val="auto"/>
              </w:rPr>
            </w:pPr>
          </w:p>
        </w:tc>
      </w:tr>
      <w:tr>
        <w:trPr>
          <w:trHeight w:val="230"/>
        </w:trPr>
        <w:tc>
          <w:tcPr>
            <w:tcW w:w="5600" w:type="dxa"/>
            <w:vAlign w:val="bottom"/>
          </w:tcPr>
          <w:p>
            <w:pPr>
              <w:ind w:left="140"/>
              <w:spacing w:after="0"/>
              <w:rPr>
                <w:sz w:val="20"/>
                <w:szCs w:val="20"/>
                <w:color w:val="auto"/>
              </w:rPr>
            </w:pPr>
            <w:r>
              <w:rPr>
                <w:rFonts w:ascii="Arial" w:cs="Arial" w:eastAsia="Arial" w:hAnsi="Arial"/>
                <w:sz w:val="17"/>
                <w:szCs w:val="17"/>
                <w:color w:val="auto"/>
              </w:rPr>
              <w:t>Less: accumulated amortization</w:t>
            </w:r>
          </w:p>
        </w:tc>
        <w:tc>
          <w:tcPr>
            <w:tcW w:w="640" w:type="dxa"/>
            <w:vAlign w:val="bottom"/>
          </w:tcPr>
          <w:p>
            <w:pPr>
              <w:spacing w:after="0"/>
              <w:rPr>
                <w:sz w:val="19"/>
                <w:szCs w:val="19"/>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b w:val="1"/>
                <w:bCs w:val="1"/>
                <w:color w:val="auto"/>
              </w:rPr>
              <w:t>(539)</w:t>
            </w:r>
          </w:p>
        </w:tc>
        <w:tc>
          <w:tcPr>
            <w:tcW w:w="4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(488)</w:t>
            </w:r>
          </w:p>
        </w:tc>
      </w:tr>
      <w:tr>
        <w:trPr>
          <w:trHeight w:val="210"/>
        </w:trPr>
        <w:tc>
          <w:tcPr>
            <w:tcW w:w="56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426</w:t>
            </w: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361</w:t>
            </w:r>
          </w:p>
        </w:tc>
        <w:tc>
          <w:tcPr>
            <w:tcW w:w="40" w:type="dxa"/>
            <w:vAlign w:val="bottom"/>
          </w:tcPr>
          <w:p>
            <w:pPr>
              <w:spacing w:after="0"/>
              <w:rPr>
                <w:sz w:val="18"/>
                <w:szCs w:val="18"/>
                <w:color w:val="auto"/>
              </w:rPr>
            </w:pPr>
          </w:p>
        </w:tc>
      </w:tr>
      <w:tr>
        <w:trPr>
          <w:trHeight w:val="203"/>
        </w:trPr>
        <w:tc>
          <w:tcPr>
            <w:tcW w:w="56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866</w:t>
            </w:r>
          </w:p>
        </w:tc>
        <w:tc>
          <w:tcPr>
            <w:tcW w:w="44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765</w:t>
            </w:r>
          </w:p>
        </w:tc>
        <w:tc>
          <w:tcPr>
            <w:tcW w:w="40" w:type="dxa"/>
            <w:vAlign w:val="bottom"/>
          </w:tcPr>
          <w:p>
            <w:pPr>
              <w:spacing w:after="0"/>
              <w:rPr>
                <w:sz w:val="17"/>
                <w:szCs w:val="17"/>
                <w:color w:val="auto"/>
              </w:rPr>
            </w:pPr>
          </w:p>
        </w:tc>
      </w:tr>
      <w:tr>
        <w:trPr>
          <w:trHeight w:val="644"/>
        </w:trPr>
        <w:tc>
          <w:tcPr>
            <w:tcW w:w="5600" w:type="dxa"/>
            <w:vAlign w:val="bottom"/>
          </w:tcPr>
          <w:p>
            <w:pPr>
              <w:ind w:left="4320"/>
              <w:spacing w:after="0"/>
              <w:rPr>
                <w:sz w:val="20"/>
                <w:szCs w:val="20"/>
                <w:color w:val="auto"/>
              </w:rPr>
            </w:pPr>
            <w:r>
              <w:rPr>
                <w:rFonts w:ascii="Arial" w:cs="Arial" w:eastAsia="Arial" w:hAnsi="Arial"/>
                <w:sz w:val="17"/>
                <w:szCs w:val="17"/>
                <w:color w:val="auto"/>
              </w:rPr>
              <w:t>53</w:t>
            </w: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2"/>
        </w:trPr>
        <w:tc>
          <w:tcPr>
            <w:tcW w:w="56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r>
        <w:trPr>
          <w:trHeight w:val="20"/>
        </w:trPr>
        <w:tc>
          <w:tcPr>
            <w:tcW w:w="560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118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8. Goodwill</w:t>
      </w:r>
    </w:p>
    <w:p>
      <w:pPr>
        <w:spacing w:after="0" w:line="201" w:lineRule="exact"/>
        <w:rPr>
          <w:sz w:val="20"/>
          <w:szCs w:val="20"/>
          <w:color w:val="auto"/>
        </w:rPr>
      </w:pPr>
    </w:p>
    <w:p>
      <w:pPr>
        <w:ind w:left="100" w:right="99"/>
        <w:spacing w:after="0" w:line="243" w:lineRule="auto"/>
        <w:rPr>
          <w:sz w:val="20"/>
          <w:szCs w:val="20"/>
          <w:color w:val="auto"/>
        </w:rPr>
      </w:pPr>
      <w:r>
        <w:rPr>
          <w:rFonts w:ascii="Arial" w:cs="Arial" w:eastAsia="Arial" w:hAnsi="Arial"/>
          <w:sz w:val="17"/>
          <w:szCs w:val="17"/>
          <w:color w:val="auto"/>
        </w:rPr>
        <w:t>The Athletic Stores segment’s goodwill is net of accumulated impairment charges of $167 million for all periods presented. The 2017 and 2016 annual goodwill impairment tests did not result in an impairment charge.</w:t>
      </w:r>
    </w:p>
    <w:p>
      <w:pPr>
        <w:spacing w:after="0" w:line="246"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center"/>
              <w:ind w:left="15"/>
              <w:spacing w:after="0"/>
              <w:rPr>
                <w:sz w:val="20"/>
                <w:szCs w:val="20"/>
                <w:color w:val="auto"/>
              </w:rPr>
            </w:pPr>
            <w:r>
              <w:rPr>
                <w:rFonts w:ascii="Arial" w:cs="Arial" w:eastAsia="Arial" w:hAnsi="Arial"/>
                <w:sz w:val="17"/>
                <w:szCs w:val="17"/>
                <w:b w:val="1"/>
                <w:bCs w:val="1"/>
                <w:color w:val="auto"/>
              </w:rPr>
              <w:t>Direct-to-</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4"/>
          </w:tcPr>
          <w:p>
            <w:pPr>
              <w:jc w:val="right"/>
              <w:ind w:right="135"/>
              <w:spacing w:after="0"/>
              <w:rPr>
                <w:sz w:val="20"/>
                <w:szCs w:val="20"/>
                <w:color w:val="auto"/>
              </w:rPr>
            </w:pPr>
            <w:r>
              <w:rPr>
                <w:rFonts w:ascii="Arial" w:cs="Arial" w:eastAsia="Arial" w:hAnsi="Arial"/>
                <w:sz w:val="17"/>
                <w:szCs w:val="17"/>
                <w:b w:val="1"/>
                <w:bCs w:val="1"/>
                <w:color w:val="auto"/>
              </w:rPr>
              <w:t>Athletic Stores</w:t>
            </w: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left="15"/>
              <w:spacing w:after="0"/>
              <w:rPr>
                <w:sz w:val="20"/>
                <w:szCs w:val="20"/>
                <w:color w:val="auto"/>
              </w:rPr>
            </w:pPr>
            <w:r>
              <w:rPr>
                <w:rFonts w:ascii="Arial" w:cs="Arial" w:eastAsia="Arial" w:hAnsi="Arial"/>
                <w:sz w:val="17"/>
                <w:szCs w:val="17"/>
                <w:b w:val="1"/>
                <w:bCs w:val="1"/>
                <w:color w:val="auto"/>
                <w:w w:val="99"/>
              </w:rPr>
              <w:t>Customers</w:t>
            </w: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Total</w:t>
            </w: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7"/>
                <w:szCs w:val="17"/>
                <w:color w:val="auto"/>
              </w:rPr>
              <w:t>($ in millions)</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Goodwill at January 30, 2016</w:t>
            </w:r>
          </w:p>
        </w:tc>
        <w:tc>
          <w:tcPr>
            <w:tcW w:w="8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55"/>
              <w:spacing w:after="0"/>
              <w:rPr>
                <w:sz w:val="20"/>
                <w:szCs w:val="20"/>
                <w:color w:val="auto"/>
              </w:rPr>
            </w:pPr>
            <w:r>
              <w:rPr>
                <w:rFonts w:ascii="Arial" w:cs="Arial" w:eastAsia="Arial" w:hAnsi="Arial"/>
                <w:sz w:val="17"/>
                <w:szCs w:val="17"/>
                <w:color w:val="auto"/>
                <w:w w:val="91"/>
              </w:rPr>
              <w:t>139</w:t>
            </w:r>
          </w:p>
        </w:tc>
        <w:tc>
          <w:tcPr>
            <w:tcW w:w="3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w:t>
            </w:r>
          </w:p>
        </w:tc>
        <w:tc>
          <w:tcPr>
            <w:tcW w:w="0" w:type="dxa"/>
            <w:vAlign w:val="bottom"/>
          </w:tcPr>
          <w:p>
            <w:pPr>
              <w:spacing w:after="0"/>
              <w:rPr>
                <w:sz w:val="1"/>
                <w:szCs w:val="1"/>
                <w:color w:val="auto"/>
              </w:rPr>
            </w:pPr>
          </w:p>
        </w:tc>
      </w:tr>
      <w:tr>
        <w:trPr>
          <w:trHeight w:val="230"/>
        </w:trPr>
        <w:tc>
          <w:tcPr>
            <w:tcW w:w="32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Foreign currency translation adjustment</w:t>
            </w:r>
          </w:p>
        </w:tc>
        <w:tc>
          <w:tcPr>
            <w:tcW w:w="8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Goodwill at January 28, 2017</w:t>
            </w:r>
          </w:p>
        </w:tc>
        <w:tc>
          <w:tcPr>
            <w:tcW w:w="8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55"/>
              <w:spacing w:after="0"/>
              <w:rPr>
                <w:sz w:val="20"/>
                <w:szCs w:val="20"/>
                <w:color w:val="auto"/>
              </w:rPr>
            </w:pPr>
            <w:r>
              <w:rPr>
                <w:rFonts w:ascii="Arial" w:cs="Arial" w:eastAsia="Arial" w:hAnsi="Arial"/>
                <w:sz w:val="17"/>
                <w:szCs w:val="17"/>
                <w:color w:val="auto"/>
                <w:w w:val="91"/>
              </w:rPr>
              <w:t>139</w:t>
            </w:r>
          </w:p>
        </w:tc>
        <w:tc>
          <w:tcPr>
            <w:tcW w:w="3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0" w:type="dxa"/>
            <w:vAlign w:val="bottom"/>
          </w:tcPr>
          <w:p>
            <w:pPr>
              <w:spacing w:after="0"/>
              <w:rPr>
                <w:sz w:val="1"/>
                <w:szCs w:val="1"/>
                <w:color w:val="auto"/>
              </w:rPr>
            </w:pPr>
          </w:p>
        </w:tc>
      </w:tr>
      <w:tr>
        <w:trPr>
          <w:trHeight w:val="230"/>
        </w:trPr>
        <w:tc>
          <w:tcPr>
            <w:tcW w:w="32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Foreign currency translation adjustment</w:t>
            </w:r>
          </w:p>
        </w:tc>
        <w:tc>
          <w:tcPr>
            <w:tcW w:w="8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2</w:t>
            </w: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3"/>
        </w:trPr>
        <w:tc>
          <w:tcPr>
            <w:tcW w:w="3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Goodwill at February 3, 2018</w:t>
            </w:r>
          </w:p>
        </w:tc>
        <w:tc>
          <w:tcPr>
            <w:tcW w:w="8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w:t>
            </w:r>
          </w:p>
        </w:tc>
        <w:tc>
          <w:tcPr>
            <w:tcW w:w="3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19</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gridSpan w:val="2"/>
            <w:shd w:val="clear" w:color="auto" w:fill="CCEEFF"/>
          </w:tcPr>
          <w:p>
            <w:pPr>
              <w:jc w:val="right"/>
              <w:ind w:right="255"/>
              <w:spacing w:after="0"/>
              <w:rPr>
                <w:sz w:val="20"/>
                <w:szCs w:val="20"/>
                <w:color w:val="auto"/>
              </w:rPr>
            </w:pPr>
            <w:r>
              <w:rPr>
                <w:rFonts w:ascii="Arial" w:cs="Arial" w:eastAsia="Arial" w:hAnsi="Arial"/>
                <w:sz w:val="17"/>
                <w:szCs w:val="17"/>
                <w:b w:val="1"/>
                <w:bCs w:val="1"/>
                <w:color w:val="auto"/>
                <w:w w:val="91"/>
              </w:rPr>
              <w:t>141</w:t>
            </w:r>
          </w:p>
        </w:tc>
        <w:tc>
          <w:tcPr>
            <w:tcW w:w="3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w:t>
            </w:r>
          </w:p>
        </w:tc>
        <w:tc>
          <w:tcPr>
            <w:tcW w:w="66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160</w:t>
            </w:r>
          </w:p>
        </w:tc>
        <w:tc>
          <w:tcPr>
            <w:tcW w:w="0" w:type="dxa"/>
            <w:vAlign w:val="bottom"/>
          </w:tcPr>
          <w:p>
            <w:pPr>
              <w:spacing w:after="0"/>
              <w:rPr>
                <w:sz w:val="1"/>
                <w:szCs w:val="1"/>
                <w:color w:val="auto"/>
              </w:rPr>
            </w:pPr>
          </w:p>
        </w:tc>
      </w:tr>
      <w:tr>
        <w:trPr>
          <w:trHeight w:val="432"/>
        </w:trPr>
        <w:tc>
          <w:tcPr>
            <w:tcW w:w="3200" w:type="dxa"/>
            <w:vAlign w:val="bottom"/>
          </w:tcPr>
          <w:p>
            <w:pPr>
              <w:spacing w:after="0"/>
              <w:rPr>
                <w:sz w:val="20"/>
                <w:szCs w:val="20"/>
                <w:color w:val="auto"/>
              </w:rPr>
            </w:pPr>
            <w:r>
              <w:rPr>
                <w:rFonts w:ascii="Arial" w:cs="Arial" w:eastAsia="Arial" w:hAnsi="Arial"/>
                <w:sz w:val="18"/>
                <w:szCs w:val="18"/>
                <w:b w:val="1"/>
                <w:bCs w:val="1"/>
                <w:color w:val="auto"/>
              </w:rPr>
              <w:t>9. Other Intangible Assets, net</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February 3, 2018</w:t>
            </w: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center"/>
              <w:ind w:left="115"/>
              <w:spacing w:after="0"/>
              <w:rPr>
                <w:sz w:val="20"/>
                <w:szCs w:val="20"/>
                <w:color w:val="auto"/>
              </w:rPr>
            </w:pPr>
            <w:r>
              <w:rPr>
                <w:rFonts w:ascii="Arial" w:cs="Arial" w:eastAsia="Arial" w:hAnsi="Arial"/>
                <w:sz w:val="17"/>
                <w:szCs w:val="17"/>
                <w:b w:val="1"/>
                <w:bCs w:val="1"/>
                <w:color w:val="auto"/>
                <w:w w:val="99"/>
              </w:rPr>
              <w:t>January 28, 2017</w:t>
            </w:r>
          </w:p>
        </w:tc>
        <w:tc>
          <w:tcPr>
            <w:tcW w:w="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3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center"/>
              <w:ind w:right="115"/>
              <w:spacing w:after="0"/>
              <w:rPr>
                <w:sz w:val="20"/>
                <w:szCs w:val="20"/>
                <w:color w:val="auto"/>
              </w:rPr>
            </w:pPr>
            <w:r>
              <w:rPr>
                <w:rFonts w:ascii="Arial" w:cs="Arial" w:eastAsia="Arial" w:hAnsi="Arial"/>
                <w:sz w:val="17"/>
                <w:szCs w:val="17"/>
                <w:b w:val="1"/>
                <w:bCs w:val="1"/>
                <w:color w:val="auto"/>
                <w:w w:val="99"/>
              </w:rPr>
              <w:t>Wtd. Avg.</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800" w:type="dxa"/>
            <w:vAlign w:val="bottom"/>
          </w:tcPr>
          <w:p>
            <w:pPr>
              <w:jc w:val="right"/>
              <w:ind w:right="35"/>
              <w:spacing w:after="0"/>
              <w:rPr>
                <w:sz w:val="20"/>
                <w:szCs w:val="20"/>
                <w:color w:val="auto"/>
              </w:rPr>
            </w:pPr>
            <w:r>
              <w:rPr>
                <w:rFonts w:ascii="Arial" w:cs="Arial" w:eastAsia="Arial" w:hAnsi="Arial"/>
                <w:sz w:val="17"/>
                <w:szCs w:val="17"/>
                <w:b w:val="1"/>
                <w:bCs w:val="1"/>
                <w:color w:val="auto"/>
              </w:rPr>
              <w:t>Gross</w:t>
            </w:r>
          </w:p>
        </w:tc>
        <w:tc>
          <w:tcPr>
            <w:tcW w:w="840" w:type="dxa"/>
            <w:vAlign w:val="bottom"/>
            <w:gridSpan w:val="2"/>
          </w:tcPr>
          <w:p>
            <w:pPr>
              <w:ind w:left="120"/>
              <w:spacing w:after="0"/>
              <w:rPr>
                <w:sz w:val="20"/>
                <w:szCs w:val="20"/>
                <w:color w:val="auto"/>
              </w:rPr>
            </w:pPr>
            <w:r>
              <w:rPr>
                <w:rFonts w:ascii="Arial" w:cs="Arial" w:eastAsia="Arial" w:hAnsi="Arial"/>
                <w:sz w:val="17"/>
                <w:szCs w:val="17"/>
                <w:b w:val="1"/>
                <w:bCs w:val="1"/>
                <w:color w:val="auto"/>
              </w:rPr>
              <w:t>Accum.</w:t>
            </w:r>
          </w:p>
        </w:tc>
        <w:tc>
          <w:tcPr>
            <w:tcW w:w="780" w:type="dxa"/>
            <w:vAlign w:val="bottom"/>
            <w:gridSpan w:val="2"/>
          </w:tcPr>
          <w:p>
            <w:pPr>
              <w:jc w:val="right"/>
              <w:ind w:right="195"/>
              <w:spacing w:after="0"/>
              <w:rPr>
                <w:sz w:val="20"/>
                <w:szCs w:val="20"/>
                <w:color w:val="auto"/>
              </w:rPr>
            </w:pPr>
            <w:r>
              <w:rPr>
                <w:rFonts w:ascii="Arial" w:cs="Arial" w:eastAsia="Arial" w:hAnsi="Arial"/>
                <w:sz w:val="17"/>
                <w:szCs w:val="17"/>
                <w:b w:val="1"/>
                <w:bCs w:val="1"/>
                <w:color w:val="auto"/>
              </w:rPr>
              <w:t>Net</w:t>
            </w:r>
          </w:p>
        </w:tc>
        <w:tc>
          <w:tcPr>
            <w:tcW w:w="1020" w:type="dxa"/>
            <w:vAlign w:val="bottom"/>
          </w:tcPr>
          <w:p>
            <w:pPr>
              <w:jc w:val="center"/>
              <w:ind w:right="115"/>
              <w:spacing w:after="0"/>
              <w:rPr>
                <w:sz w:val="20"/>
                <w:szCs w:val="20"/>
                <w:color w:val="auto"/>
              </w:rPr>
            </w:pPr>
            <w:r>
              <w:rPr>
                <w:rFonts w:ascii="Arial" w:cs="Arial" w:eastAsia="Arial" w:hAnsi="Arial"/>
                <w:sz w:val="17"/>
                <w:szCs w:val="17"/>
                <w:b w:val="1"/>
                <w:bCs w:val="1"/>
                <w:color w:val="auto"/>
                <w:w w:val="99"/>
              </w:rPr>
              <w:t>Life in</w:t>
            </w:r>
          </w:p>
        </w:tc>
        <w:tc>
          <w:tcPr>
            <w:tcW w:w="620" w:type="dxa"/>
            <w:vAlign w:val="bottom"/>
            <w:gridSpan w:val="2"/>
          </w:tcPr>
          <w:p>
            <w:pPr>
              <w:ind w:left="20"/>
              <w:spacing w:after="0"/>
              <w:rPr>
                <w:sz w:val="20"/>
                <w:szCs w:val="20"/>
                <w:color w:val="auto"/>
              </w:rPr>
            </w:pPr>
            <w:r>
              <w:rPr>
                <w:rFonts w:ascii="Arial" w:cs="Arial" w:eastAsia="Arial" w:hAnsi="Arial"/>
                <w:sz w:val="17"/>
                <w:szCs w:val="17"/>
                <w:b w:val="1"/>
                <w:bCs w:val="1"/>
                <w:color w:val="auto"/>
              </w:rPr>
              <w:t>Gross</w:t>
            </w:r>
          </w:p>
        </w:tc>
        <w:tc>
          <w:tcPr>
            <w:tcW w:w="980" w:type="dxa"/>
            <w:vAlign w:val="bottom"/>
            <w:gridSpan w:val="2"/>
          </w:tcPr>
          <w:p>
            <w:pPr>
              <w:jc w:val="center"/>
              <w:spacing w:after="0"/>
              <w:rPr>
                <w:sz w:val="20"/>
                <w:szCs w:val="20"/>
                <w:color w:val="auto"/>
              </w:rPr>
            </w:pPr>
            <w:r>
              <w:rPr>
                <w:rFonts w:ascii="Arial" w:cs="Arial" w:eastAsia="Arial" w:hAnsi="Arial"/>
                <w:sz w:val="17"/>
                <w:szCs w:val="17"/>
                <w:b w:val="1"/>
                <w:bCs w:val="1"/>
                <w:color w:val="auto"/>
              </w:rPr>
              <w:t>Accum.</w:t>
            </w:r>
          </w:p>
        </w:tc>
        <w:tc>
          <w:tcPr>
            <w:tcW w:w="580" w:type="dxa"/>
            <w:vAlign w:val="bottom"/>
            <w:gridSpan w:val="2"/>
          </w:tcPr>
          <w:p>
            <w:pPr>
              <w:jc w:val="right"/>
              <w:ind w:right="55"/>
              <w:spacing w:after="0"/>
              <w:rPr>
                <w:sz w:val="20"/>
                <w:szCs w:val="20"/>
                <w:color w:val="auto"/>
              </w:rPr>
            </w:pPr>
            <w:r>
              <w:rPr>
                <w:rFonts w:ascii="Arial" w:cs="Arial" w:eastAsia="Arial" w:hAnsi="Arial"/>
                <w:sz w:val="17"/>
                <w:szCs w:val="17"/>
                <w:b w:val="1"/>
                <w:bCs w:val="1"/>
                <w:color w:val="auto"/>
              </w:rPr>
              <w:t>Net</w:t>
            </w:r>
          </w:p>
        </w:tc>
        <w:tc>
          <w:tcPr>
            <w:tcW w:w="0" w:type="dxa"/>
            <w:vAlign w:val="bottom"/>
          </w:tcPr>
          <w:p>
            <w:pPr>
              <w:spacing w:after="0"/>
              <w:rPr>
                <w:sz w:val="1"/>
                <w:szCs w:val="1"/>
                <w:color w:val="auto"/>
              </w:rPr>
            </w:pPr>
          </w:p>
        </w:tc>
      </w:tr>
      <w:tr>
        <w:trPr>
          <w:trHeight w:val="215"/>
        </w:trPr>
        <w:tc>
          <w:tcPr>
            <w:tcW w:w="32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8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value</w:t>
            </w:r>
          </w:p>
        </w:tc>
        <w:tc>
          <w:tcPr>
            <w:tcW w:w="840" w:type="dxa"/>
            <w:vAlign w:val="bottom"/>
            <w:tcBorders>
              <w:bottom w:val="single" w:sz="8" w:color="auto"/>
            </w:tcBorders>
            <w:gridSpan w:val="2"/>
          </w:tcPr>
          <w:p>
            <w:pPr>
              <w:jc w:val="right"/>
              <w:ind w:right="75"/>
              <w:spacing w:after="0"/>
              <w:rPr>
                <w:sz w:val="20"/>
                <w:szCs w:val="20"/>
                <w:color w:val="auto"/>
              </w:rPr>
            </w:pPr>
            <w:r>
              <w:rPr>
                <w:rFonts w:ascii="Arial" w:cs="Arial" w:eastAsia="Arial" w:hAnsi="Arial"/>
                <w:sz w:val="17"/>
                <w:szCs w:val="17"/>
                <w:b w:val="1"/>
                <w:bCs w:val="1"/>
                <w:color w:val="auto"/>
              </w:rPr>
              <w:t>amort.</w:t>
            </w:r>
          </w:p>
        </w:tc>
        <w:tc>
          <w:tcPr>
            <w:tcW w:w="780" w:type="dxa"/>
            <w:vAlign w:val="bottom"/>
            <w:tcBorders>
              <w:bottom w:val="single" w:sz="8" w:color="auto"/>
            </w:tcBorders>
            <w:gridSpan w:val="2"/>
          </w:tcPr>
          <w:p>
            <w:pPr>
              <w:ind w:left="140"/>
              <w:spacing w:after="0"/>
              <w:rPr>
                <w:sz w:val="20"/>
                <w:szCs w:val="20"/>
                <w:color w:val="auto"/>
              </w:rPr>
            </w:pPr>
            <w:r>
              <w:rPr>
                <w:rFonts w:ascii="Arial" w:cs="Arial" w:eastAsia="Arial" w:hAnsi="Arial"/>
                <w:sz w:val="17"/>
                <w:szCs w:val="17"/>
                <w:b w:val="1"/>
                <w:bCs w:val="1"/>
                <w:color w:val="auto"/>
              </w:rPr>
              <w:t>value</w:t>
            </w:r>
          </w:p>
        </w:tc>
        <w:tc>
          <w:tcPr>
            <w:tcW w:w="1020" w:type="dxa"/>
            <w:vAlign w:val="bottom"/>
            <w:tcBorders>
              <w:bottom w:val="single" w:sz="8" w:color="auto"/>
            </w:tcBorders>
          </w:tcPr>
          <w:p>
            <w:pPr>
              <w:jc w:val="center"/>
              <w:ind w:right="115"/>
              <w:spacing w:after="0"/>
              <w:rPr>
                <w:sz w:val="20"/>
                <w:szCs w:val="20"/>
                <w:color w:val="auto"/>
              </w:rPr>
            </w:pPr>
            <w:r>
              <w:rPr>
                <w:rFonts w:ascii="Arial" w:cs="Arial" w:eastAsia="Arial" w:hAnsi="Arial"/>
                <w:sz w:val="17"/>
                <w:szCs w:val="17"/>
                <w:b w:val="1"/>
                <w:bCs w:val="1"/>
                <w:color w:val="auto"/>
              </w:rPr>
              <w:t xml:space="preserve">Years </w:t>
            </w:r>
            <w:r>
              <w:rPr>
                <w:rFonts w:ascii="Arial" w:cs="Arial" w:eastAsia="Arial" w:hAnsi="Arial"/>
                <w:sz w:val="8"/>
                <w:szCs w:val="8"/>
                <w:color w:val="auto"/>
              </w:rPr>
              <w:t>(2)</w:t>
            </w:r>
          </w:p>
        </w:tc>
        <w:tc>
          <w:tcPr>
            <w:tcW w:w="620" w:type="dxa"/>
            <w:vAlign w:val="bottom"/>
            <w:tcBorders>
              <w:bottom w:val="single" w:sz="8" w:color="auto"/>
            </w:tcBorders>
            <w:gridSpan w:val="2"/>
          </w:tcPr>
          <w:p>
            <w:pPr>
              <w:jc w:val="right"/>
              <w:ind w:right="35"/>
              <w:spacing w:after="0"/>
              <w:rPr>
                <w:sz w:val="20"/>
                <w:szCs w:val="20"/>
                <w:color w:val="auto"/>
              </w:rPr>
            </w:pPr>
            <w:r>
              <w:rPr>
                <w:rFonts w:ascii="Arial" w:cs="Arial" w:eastAsia="Arial" w:hAnsi="Arial"/>
                <w:sz w:val="17"/>
                <w:szCs w:val="17"/>
                <w:b w:val="1"/>
                <w:bCs w:val="1"/>
                <w:color w:val="auto"/>
              </w:rPr>
              <w:t>value</w:t>
            </w: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99"/>
              </w:rPr>
              <w:t>amort.</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value</w:t>
            </w:r>
          </w:p>
        </w:tc>
        <w:tc>
          <w:tcPr>
            <w:tcW w:w="0" w:type="dxa"/>
            <w:vAlign w:val="bottom"/>
          </w:tcPr>
          <w:p>
            <w:pPr>
              <w:spacing w:after="0"/>
              <w:rPr>
                <w:sz w:val="1"/>
                <w:szCs w:val="1"/>
                <w:color w:val="auto"/>
              </w:rPr>
            </w:pPr>
          </w:p>
        </w:tc>
      </w:tr>
      <w:tr>
        <w:trPr>
          <w:trHeight w:val="196"/>
        </w:trPr>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 xml:space="preserve">Amortized intangible assets: </w:t>
            </w:r>
            <w:r>
              <w:rPr>
                <w:rFonts w:ascii="Arial" w:cs="Arial" w:eastAsia="Arial" w:hAnsi="Arial"/>
                <w:sz w:val="8"/>
                <w:szCs w:val="8"/>
                <w:color w:val="auto"/>
              </w:rPr>
              <w:t>(1)</w:t>
            </w: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420"/>
              <w:spacing w:after="0"/>
              <w:rPr>
                <w:sz w:val="20"/>
                <w:szCs w:val="20"/>
                <w:color w:val="auto"/>
              </w:rPr>
            </w:pPr>
            <w:r>
              <w:rPr>
                <w:rFonts w:ascii="Arial" w:cs="Arial" w:eastAsia="Arial" w:hAnsi="Arial"/>
                <w:sz w:val="17"/>
                <w:szCs w:val="17"/>
                <w:color w:val="auto"/>
              </w:rPr>
              <w:t>Lease acquisition costs</w:t>
            </w:r>
          </w:p>
        </w:tc>
        <w:tc>
          <w:tcPr>
            <w:tcW w:w="800" w:type="dxa"/>
            <w:vAlign w:val="bottom"/>
          </w:tcPr>
          <w:p>
            <w:pPr>
              <w:jc w:val="right"/>
              <w:ind w:right="55"/>
              <w:spacing w:after="0"/>
              <w:rPr>
                <w:sz w:val="20"/>
                <w:szCs w:val="20"/>
                <w:color w:val="auto"/>
              </w:rPr>
            </w:pPr>
            <w:r>
              <w:rPr>
                <w:rFonts w:ascii="Arial" w:cs="Arial" w:eastAsia="Arial" w:hAnsi="Arial"/>
                <w:sz w:val="17"/>
                <w:szCs w:val="17"/>
                <w:b w:val="1"/>
                <w:bCs w:val="1"/>
                <w:color w:val="auto"/>
              </w:rPr>
              <w:t>$ 135</w:t>
            </w:r>
          </w:p>
        </w:tc>
        <w:tc>
          <w:tcPr>
            <w:tcW w:w="300" w:type="dxa"/>
            <w:vAlign w:val="bottom"/>
          </w:tcPr>
          <w:p>
            <w:pPr>
              <w:ind w:left="140"/>
              <w:spacing w:after="0"/>
              <w:rPr>
                <w:sz w:val="20"/>
                <w:szCs w:val="20"/>
                <w:color w:val="auto"/>
              </w:rPr>
            </w:pPr>
            <w:r>
              <w:rPr>
                <w:rFonts w:ascii="Arial" w:cs="Arial" w:eastAsia="Arial" w:hAnsi="Arial"/>
                <w:sz w:val="17"/>
                <w:szCs w:val="17"/>
                <w:b w:val="1"/>
                <w:bCs w:val="1"/>
                <w:color w:val="auto"/>
              </w:rPr>
              <w:t>$</w:t>
            </w: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rPr>
              <w:t>(122)</w:t>
            </w:r>
          </w:p>
        </w:tc>
        <w:tc>
          <w:tcPr>
            <w:tcW w:w="340" w:type="dxa"/>
            <w:vAlign w:val="bottom"/>
          </w:tcPr>
          <w:p>
            <w:pPr>
              <w:ind w:left="140"/>
              <w:spacing w:after="0"/>
              <w:rPr>
                <w:sz w:val="20"/>
                <w:szCs w:val="20"/>
                <w:color w:val="auto"/>
              </w:rPr>
            </w:pPr>
            <w:r>
              <w:rPr>
                <w:rFonts w:ascii="Arial" w:cs="Arial" w:eastAsia="Arial" w:hAnsi="Arial"/>
                <w:sz w:val="17"/>
                <w:szCs w:val="17"/>
                <w:b w:val="1"/>
                <w:bCs w:val="1"/>
                <w:color w:val="auto"/>
              </w:rPr>
              <w:t>$</w:t>
            </w:r>
          </w:p>
        </w:tc>
        <w:tc>
          <w:tcPr>
            <w:tcW w:w="440" w:type="dxa"/>
            <w:vAlign w:val="bottom"/>
          </w:tcPr>
          <w:p>
            <w:pPr>
              <w:jc w:val="right"/>
              <w:ind w:right="115"/>
              <w:spacing w:after="0"/>
              <w:rPr>
                <w:sz w:val="20"/>
                <w:szCs w:val="20"/>
                <w:color w:val="auto"/>
              </w:rPr>
            </w:pPr>
            <w:r>
              <w:rPr>
                <w:rFonts w:ascii="Arial" w:cs="Arial" w:eastAsia="Arial" w:hAnsi="Arial"/>
                <w:sz w:val="17"/>
                <w:szCs w:val="17"/>
                <w:b w:val="1"/>
                <w:bCs w:val="1"/>
                <w:color w:val="auto"/>
              </w:rPr>
              <w:t>13</w:t>
            </w:r>
          </w:p>
        </w:tc>
        <w:tc>
          <w:tcPr>
            <w:tcW w:w="1020" w:type="dxa"/>
            <w:vAlign w:val="bottom"/>
          </w:tcPr>
          <w:p>
            <w:pPr>
              <w:jc w:val="right"/>
              <w:ind w:right="175"/>
              <w:spacing w:after="0"/>
              <w:rPr>
                <w:sz w:val="20"/>
                <w:szCs w:val="20"/>
                <w:color w:val="auto"/>
              </w:rPr>
            </w:pPr>
            <w:r>
              <w:rPr>
                <w:rFonts w:ascii="Arial" w:cs="Arial" w:eastAsia="Arial" w:hAnsi="Arial"/>
                <w:sz w:val="17"/>
                <w:szCs w:val="17"/>
                <w:b w:val="1"/>
                <w:bCs w:val="1"/>
                <w:color w:val="auto"/>
              </w:rPr>
              <w:t>10.0</w:t>
            </w: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480" w:type="dxa"/>
            <w:vAlign w:val="bottom"/>
          </w:tcPr>
          <w:p>
            <w:pPr>
              <w:jc w:val="right"/>
              <w:ind w:right="15"/>
              <w:spacing w:after="0"/>
              <w:rPr>
                <w:sz w:val="20"/>
                <w:szCs w:val="20"/>
                <w:color w:val="auto"/>
              </w:rPr>
            </w:pPr>
            <w:r>
              <w:rPr>
                <w:rFonts w:ascii="Arial" w:cs="Arial" w:eastAsia="Arial" w:hAnsi="Arial"/>
                <w:sz w:val="17"/>
                <w:szCs w:val="17"/>
                <w:color w:val="auto"/>
              </w:rPr>
              <w:t>116</w:t>
            </w:r>
          </w:p>
        </w:tc>
        <w:tc>
          <w:tcPr>
            <w:tcW w:w="3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75"/>
              <w:spacing w:after="0"/>
              <w:rPr>
                <w:sz w:val="20"/>
                <w:szCs w:val="20"/>
                <w:color w:val="auto"/>
              </w:rPr>
            </w:pPr>
            <w:r>
              <w:rPr>
                <w:rFonts w:ascii="Arial" w:cs="Arial" w:eastAsia="Arial" w:hAnsi="Arial"/>
                <w:sz w:val="17"/>
                <w:szCs w:val="17"/>
                <w:color w:val="auto"/>
              </w:rPr>
              <w:t>(105)</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Trademarks / trade names</w:t>
            </w:r>
          </w:p>
        </w:tc>
        <w:tc>
          <w:tcPr>
            <w:tcW w:w="80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20</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6</w:t>
            </w:r>
          </w:p>
        </w:tc>
        <w:tc>
          <w:tcPr>
            <w:tcW w:w="1020" w:type="dxa"/>
            <w:vAlign w:val="bottom"/>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20.0</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20</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16"/>
        </w:trPr>
        <w:tc>
          <w:tcPr>
            <w:tcW w:w="3200" w:type="dxa"/>
            <w:vAlign w:val="bottom"/>
            <w:tcBorders>
              <w:bottom w:val="single" w:sz="8" w:color="auto"/>
            </w:tcBorders>
          </w:tcPr>
          <w:p>
            <w:pPr>
              <w:ind w:left="420"/>
              <w:spacing w:after="0"/>
              <w:rPr>
                <w:sz w:val="20"/>
                <w:szCs w:val="20"/>
                <w:color w:val="auto"/>
              </w:rPr>
            </w:pPr>
            <w:r>
              <w:rPr>
                <w:rFonts w:ascii="Arial" w:cs="Arial" w:eastAsia="Arial" w:hAnsi="Arial"/>
                <w:sz w:val="17"/>
                <w:szCs w:val="17"/>
                <w:color w:val="auto"/>
              </w:rPr>
              <w:t>Favorable leases</w:t>
            </w: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7</w:t>
            </w:r>
          </w:p>
        </w:tc>
        <w:tc>
          <w:tcPr>
            <w:tcW w:w="3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w:t>
            </w:r>
          </w:p>
        </w:tc>
        <w:tc>
          <w:tcPr>
            <w:tcW w:w="3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1</w:t>
            </w:r>
          </w:p>
        </w:tc>
        <w:tc>
          <w:tcPr>
            <w:tcW w:w="10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8.6</w:t>
            </w: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7</w:t>
            </w: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(5)</w:t>
            </w: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$ 162</w:t>
            </w:r>
          </w:p>
        </w:tc>
        <w:tc>
          <w:tcPr>
            <w:tcW w:w="3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(142)</w:t>
            </w:r>
          </w:p>
        </w:tc>
        <w:tc>
          <w:tcPr>
            <w:tcW w:w="3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b w:val="1"/>
                <w:bCs w:val="1"/>
                <w:color w:val="auto"/>
              </w:rPr>
              <w:t>$</w:t>
            </w:r>
          </w:p>
        </w:tc>
        <w:tc>
          <w:tcPr>
            <w:tcW w:w="44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20</w:t>
            </w:r>
          </w:p>
        </w:tc>
        <w:tc>
          <w:tcPr>
            <w:tcW w:w="10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13.8</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143</w:t>
            </w:r>
          </w:p>
        </w:tc>
        <w:tc>
          <w:tcPr>
            <w:tcW w:w="3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(123)</w:t>
            </w: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196"/>
        </w:trPr>
        <w:tc>
          <w:tcPr>
            <w:tcW w:w="3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 xml:space="preserve">Indefinite life intangible assets: </w:t>
            </w:r>
            <w:r>
              <w:rPr>
                <w:rFonts w:ascii="Arial" w:cs="Arial" w:eastAsia="Arial" w:hAnsi="Arial"/>
                <w:sz w:val="8"/>
                <w:szCs w:val="8"/>
                <w:color w:val="auto"/>
              </w:rPr>
              <w:t>(1)</w:t>
            </w: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200" w:type="dxa"/>
            <w:vAlign w:val="bottom"/>
          </w:tcPr>
          <w:p>
            <w:pPr>
              <w:ind w:left="420"/>
              <w:spacing w:after="0"/>
              <w:rPr>
                <w:sz w:val="20"/>
                <w:szCs w:val="20"/>
                <w:color w:val="auto"/>
              </w:rPr>
            </w:pPr>
            <w:r>
              <w:rPr>
                <w:rFonts w:ascii="Arial" w:cs="Arial" w:eastAsia="Arial" w:hAnsi="Arial"/>
                <w:sz w:val="17"/>
                <w:szCs w:val="17"/>
                <w:color w:val="auto"/>
              </w:rPr>
              <w:t>Runners Point Group trademarks /</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vMerge w:val="restart"/>
          </w:tcPr>
          <w:p>
            <w:pPr>
              <w:jc w:val="right"/>
              <w:ind w:right="115"/>
              <w:spacing w:after="0"/>
              <w:rPr>
                <w:sz w:val="20"/>
                <w:szCs w:val="20"/>
                <w:color w:val="auto"/>
              </w:rPr>
            </w:pPr>
            <w:r>
              <w:rPr>
                <w:rFonts w:ascii="Arial" w:cs="Arial" w:eastAsia="Arial" w:hAnsi="Arial"/>
                <w:sz w:val="17"/>
                <w:szCs w:val="17"/>
                <w:b w:val="1"/>
                <w:bCs w:val="1"/>
                <w:color w:val="auto"/>
              </w:rPr>
              <w:t>26</w:t>
            </w: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200" w:type="dxa"/>
            <w:vAlign w:val="bottom"/>
            <w:tcBorders>
              <w:bottom w:val="single" w:sz="8" w:color="auto"/>
            </w:tcBorders>
          </w:tcPr>
          <w:p>
            <w:pPr>
              <w:ind w:left="520"/>
              <w:spacing w:after="0"/>
              <w:rPr>
                <w:sz w:val="20"/>
                <w:szCs w:val="20"/>
                <w:color w:val="auto"/>
              </w:rPr>
            </w:pPr>
            <w:r>
              <w:rPr>
                <w:rFonts w:ascii="Arial" w:cs="Arial" w:eastAsia="Arial" w:hAnsi="Arial"/>
                <w:sz w:val="17"/>
                <w:szCs w:val="17"/>
                <w:color w:val="auto"/>
              </w:rPr>
              <w:t>trade names</w:t>
            </w:r>
          </w:p>
        </w:tc>
        <w:tc>
          <w:tcPr>
            <w:tcW w:w="8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190"/>
        </w:trPr>
        <w:tc>
          <w:tcPr>
            <w:tcW w:w="32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Other intangible assets, net</w:t>
            </w:r>
          </w:p>
        </w:tc>
        <w:tc>
          <w:tcPr>
            <w:tcW w:w="80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ind w:left="140"/>
              <w:spacing w:after="0" w:line="183" w:lineRule="exact"/>
              <w:rPr>
                <w:sz w:val="20"/>
                <w:szCs w:val="20"/>
                <w:color w:val="auto"/>
              </w:rPr>
            </w:pPr>
            <w:r>
              <w:rPr>
                <w:rFonts w:ascii="Arial" w:cs="Arial" w:eastAsia="Arial" w:hAnsi="Arial"/>
                <w:sz w:val="17"/>
                <w:szCs w:val="17"/>
                <w:b w:val="1"/>
                <w:bCs w:val="1"/>
                <w:color w:val="auto"/>
              </w:rPr>
              <w:t>$</w:t>
            </w:r>
          </w:p>
        </w:tc>
        <w:tc>
          <w:tcPr>
            <w:tcW w:w="44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rPr>
              <w:t>46</w:t>
            </w:r>
          </w:p>
        </w:tc>
        <w:tc>
          <w:tcPr>
            <w:tcW w:w="10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20" w:right="99" w:hanging="315"/>
        <w:spacing w:after="0" w:line="221" w:lineRule="auto"/>
        <w:tabs>
          <w:tab w:leader="none" w:pos="4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change in the ending balances also reflect the effect of foreign currency fluctuations due primarily to the movements of the euro in relation to the U.S. dollar.</w:t>
      </w:r>
    </w:p>
    <w:p>
      <w:pPr>
        <w:ind w:left="420" w:hanging="315"/>
        <w:spacing w:after="0"/>
        <w:tabs>
          <w:tab w:leader="none" w:pos="4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weighted-average useful life is as of February 3, 2018 and excludes those assets that are fully amortized.</w:t>
      </w:r>
    </w:p>
    <w:p>
      <w:pPr>
        <w:spacing w:after="0" w:line="171"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Amortizing intangible assets primarily represent lease acquisition costs, which are amounts that are required to secure prime lease locations and other lease rights, primarily in Europe. During 2017, the Company recorded $2 million of lease acquisition additions, primarily related to our European businesses. These additions are being amortized over a weighted-average life of 10 years. Amortization expense recorded is as follows:</w:t>
      </w:r>
    </w:p>
    <w:p>
      <w:pPr>
        <w:spacing w:after="0" w:line="211"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31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23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2017</w:t>
            </w: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2016</w:t>
            </w:r>
          </w:p>
        </w:tc>
        <w:tc>
          <w:tcPr>
            <w:tcW w:w="4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2015</w:t>
            </w:r>
          </w:p>
        </w:tc>
      </w:tr>
      <w:tr>
        <w:trPr>
          <w:trHeight w:val="210"/>
        </w:trPr>
        <w:tc>
          <w:tcPr>
            <w:tcW w:w="3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Amortization expense</w:t>
            </w:r>
          </w:p>
        </w:tc>
        <w:tc>
          <w:tcPr>
            <w:tcW w:w="2380" w:type="dxa"/>
            <w:vAlign w:val="bottom"/>
            <w:tcBorders>
              <w:bottom w:val="single" w:sz="8" w:color="auto"/>
            </w:tcBorders>
            <w:shd w:val="clear" w:color="auto" w:fill="CCEEFF"/>
          </w:tcPr>
          <w:p>
            <w:pPr>
              <w:jc w:val="right"/>
              <w:ind w:right="695"/>
              <w:spacing w:after="0"/>
              <w:rPr>
                <w:sz w:val="20"/>
                <w:szCs w:val="20"/>
                <w:color w:val="auto"/>
              </w:rPr>
            </w:pPr>
            <w:r>
              <w:rPr>
                <w:rFonts w:ascii="Arial" w:cs="Arial" w:eastAsia="Arial" w:hAnsi="Arial"/>
                <w:sz w:val="17"/>
                <w:szCs w:val="17"/>
                <w:b w:val="1"/>
                <w:bCs w:val="1"/>
                <w:color w:val="auto"/>
              </w:rPr>
              <w:t>$</w:t>
            </w:r>
          </w:p>
        </w:tc>
        <w:tc>
          <w:tcPr>
            <w:tcW w:w="4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4</w:t>
            </w:r>
          </w:p>
        </w:tc>
        <w:tc>
          <w:tcPr>
            <w:tcW w:w="1120" w:type="dxa"/>
            <w:vAlign w:val="bottom"/>
            <w:tcBorders>
              <w:bottom w:val="single" w:sz="8" w:color="auto"/>
            </w:tcBorders>
            <w:shd w:val="clear" w:color="auto" w:fill="CCEEFF"/>
          </w:tcPr>
          <w:p>
            <w:pPr>
              <w:jc w:val="right"/>
              <w:ind w:right="675"/>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4</w:t>
            </w:r>
          </w:p>
        </w:tc>
        <w:tc>
          <w:tcPr>
            <w:tcW w:w="4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r>
    </w:tbl>
    <w:p>
      <w:pPr>
        <w:spacing w:after="0" w:line="18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Estimated future amortization expense for finite lived intangibles for the next five years is as follows:</w:t>
      </w:r>
    </w:p>
    <w:p>
      <w:pPr>
        <w:spacing w:after="0" w:line="47" w:lineRule="exact"/>
        <w:rPr>
          <w:sz w:val="20"/>
          <w:szCs w:val="20"/>
          <w:color w:val="auto"/>
        </w:rPr>
      </w:pPr>
    </w:p>
    <w:tbl>
      <w:tblPr>
        <w:tblLayout w:type="fixed"/>
        <w:tblInd w:w="100" w:type="dxa"/>
        <w:tblCellMar>
          <w:top w:w="0" w:type="dxa"/>
          <w:left w:w="0" w:type="dxa"/>
          <w:bottom w:w="0" w:type="dxa"/>
          <w:right w:w="0" w:type="dxa"/>
        </w:tblCellMar>
      </w:tblPr>
      <w:tr>
        <w:trPr>
          <w:trHeight w:val="195"/>
        </w:trPr>
        <w:tc>
          <w:tcPr>
            <w:tcW w:w="2360" w:type="dxa"/>
            <w:vAlign w:val="bottom"/>
            <w:tcBorders>
              <w:bottom w:val="single" w:sz="8" w:color="auto"/>
            </w:tcBorders>
          </w:tcPr>
          <w:p>
            <w:pPr>
              <w:spacing w:after="0"/>
              <w:rPr>
                <w:sz w:val="16"/>
                <w:szCs w:val="16"/>
                <w:color w:val="auto"/>
              </w:rPr>
            </w:pPr>
          </w:p>
        </w:tc>
        <w:tc>
          <w:tcPr>
            <w:tcW w:w="5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 in millions)</w:t>
            </w:r>
          </w:p>
        </w:tc>
        <w:tc>
          <w:tcPr>
            <w:tcW w:w="40" w:type="dxa"/>
            <w:vAlign w:val="bottom"/>
          </w:tcPr>
          <w:p>
            <w:pPr>
              <w:spacing w:after="0"/>
              <w:rPr>
                <w:sz w:val="16"/>
                <w:szCs w:val="16"/>
                <w:color w:val="auto"/>
              </w:rPr>
            </w:pPr>
          </w:p>
        </w:tc>
      </w:tr>
      <w:tr>
        <w:trPr>
          <w:trHeight w:val="210"/>
        </w:trPr>
        <w:tc>
          <w:tcPr>
            <w:tcW w:w="2360" w:type="dxa"/>
            <w:vAlign w:val="bottom"/>
            <w:shd w:val="clear" w:color="auto" w:fill="CCEEFF"/>
          </w:tcPr>
          <w:p>
            <w:pPr>
              <w:jc w:val="right"/>
              <w:ind w:right="1895"/>
              <w:spacing w:after="0"/>
              <w:rPr>
                <w:sz w:val="20"/>
                <w:szCs w:val="20"/>
                <w:color w:val="auto"/>
              </w:rPr>
            </w:pPr>
            <w:r>
              <w:rPr>
                <w:rFonts w:ascii="Arial" w:cs="Arial" w:eastAsia="Arial" w:hAnsi="Arial"/>
                <w:sz w:val="17"/>
                <w:szCs w:val="17"/>
                <w:color w:val="auto"/>
                <w:w w:val="95"/>
              </w:rPr>
              <w:t>2018</w:t>
            </w:r>
          </w:p>
        </w:tc>
        <w:tc>
          <w:tcPr>
            <w:tcW w:w="5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40" w:type="dxa"/>
            <w:vAlign w:val="bottom"/>
          </w:tcPr>
          <w:p>
            <w:pPr>
              <w:spacing w:after="0"/>
              <w:rPr>
                <w:sz w:val="18"/>
                <w:szCs w:val="18"/>
                <w:color w:val="auto"/>
              </w:rPr>
            </w:pPr>
          </w:p>
        </w:tc>
      </w:tr>
      <w:tr>
        <w:trPr>
          <w:trHeight w:val="230"/>
        </w:trPr>
        <w:tc>
          <w:tcPr>
            <w:tcW w:w="2360" w:type="dxa"/>
            <w:vAlign w:val="bottom"/>
          </w:tcPr>
          <w:p>
            <w:pPr>
              <w:jc w:val="right"/>
              <w:ind w:right="1895"/>
              <w:spacing w:after="0"/>
              <w:rPr>
                <w:sz w:val="20"/>
                <w:szCs w:val="20"/>
                <w:color w:val="auto"/>
              </w:rPr>
            </w:pPr>
            <w:r>
              <w:rPr>
                <w:rFonts w:ascii="Arial" w:cs="Arial" w:eastAsia="Arial" w:hAnsi="Arial"/>
                <w:sz w:val="17"/>
                <w:szCs w:val="17"/>
                <w:color w:val="auto"/>
                <w:w w:val="95"/>
              </w:rPr>
              <w:t>2019</w:t>
            </w:r>
          </w:p>
        </w:tc>
        <w:tc>
          <w:tcPr>
            <w:tcW w:w="5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w:t>
            </w:r>
          </w:p>
        </w:tc>
        <w:tc>
          <w:tcPr>
            <w:tcW w:w="40" w:type="dxa"/>
            <w:vAlign w:val="bottom"/>
          </w:tcPr>
          <w:p>
            <w:pPr>
              <w:spacing w:after="0"/>
              <w:rPr>
                <w:sz w:val="19"/>
                <w:szCs w:val="19"/>
                <w:color w:val="auto"/>
              </w:rPr>
            </w:pPr>
          </w:p>
        </w:tc>
      </w:tr>
      <w:tr>
        <w:trPr>
          <w:trHeight w:val="230"/>
        </w:trPr>
        <w:tc>
          <w:tcPr>
            <w:tcW w:w="2360" w:type="dxa"/>
            <w:vAlign w:val="bottom"/>
            <w:shd w:val="clear" w:color="auto" w:fill="CCEEFF"/>
          </w:tcPr>
          <w:p>
            <w:pPr>
              <w:jc w:val="right"/>
              <w:ind w:right="1895"/>
              <w:spacing w:after="0"/>
              <w:rPr>
                <w:sz w:val="20"/>
                <w:szCs w:val="20"/>
                <w:color w:val="auto"/>
              </w:rPr>
            </w:pPr>
            <w:r>
              <w:rPr>
                <w:rFonts w:ascii="Arial" w:cs="Arial" w:eastAsia="Arial" w:hAnsi="Arial"/>
                <w:sz w:val="17"/>
                <w:szCs w:val="17"/>
                <w:color w:val="auto"/>
                <w:w w:val="95"/>
              </w:rPr>
              <w:t>2020</w:t>
            </w:r>
          </w:p>
        </w:tc>
        <w:tc>
          <w:tcPr>
            <w:tcW w:w="5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40" w:type="dxa"/>
            <w:vAlign w:val="bottom"/>
          </w:tcPr>
          <w:p>
            <w:pPr>
              <w:spacing w:after="0"/>
              <w:rPr>
                <w:sz w:val="19"/>
                <w:szCs w:val="19"/>
                <w:color w:val="auto"/>
              </w:rPr>
            </w:pPr>
          </w:p>
        </w:tc>
      </w:tr>
      <w:tr>
        <w:trPr>
          <w:trHeight w:val="230"/>
        </w:trPr>
        <w:tc>
          <w:tcPr>
            <w:tcW w:w="2360" w:type="dxa"/>
            <w:vAlign w:val="bottom"/>
          </w:tcPr>
          <w:p>
            <w:pPr>
              <w:jc w:val="right"/>
              <w:ind w:right="1895"/>
              <w:spacing w:after="0"/>
              <w:rPr>
                <w:sz w:val="20"/>
                <w:szCs w:val="20"/>
                <w:color w:val="auto"/>
              </w:rPr>
            </w:pPr>
            <w:r>
              <w:rPr>
                <w:rFonts w:ascii="Arial" w:cs="Arial" w:eastAsia="Arial" w:hAnsi="Arial"/>
                <w:sz w:val="17"/>
                <w:szCs w:val="17"/>
                <w:color w:val="auto"/>
                <w:w w:val="95"/>
              </w:rPr>
              <w:t>2021</w:t>
            </w:r>
          </w:p>
        </w:tc>
        <w:tc>
          <w:tcPr>
            <w:tcW w:w="5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w:t>
            </w:r>
          </w:p>
        </w:tc>
        <w:tc>
          <w:tcPr>
            <w:tcW w:w="40" w:type="dxa"/>
            <w:vAlign w:val="bottom"/>
          </w:tcPr>
          <w:p>
            <w:pPr>
              <w:spacing w:after="0"/>
              <w:rPr>
                <w:sz w:val="19"/>
                <w:szCs w:val="19"/>
                <w:color w:val="auto"/>
              </w:rPr>
            </w:pPr>
          </w:p>
        </w:tc>
      </w:tr>
      <w:tr>
        <w:trPr>
          <w:trHeight w:val="230"/>
        </w:trPr>
        <w:tc>
          <w:tcPr>
            <w:tcW w:w="2360" w:type="dxa"/>
            <w:vAlign w:val="bottom"/>
            <w:tcBorders>
              <w:bottom w:val="single" w:sz="8" w:color="auto"/>
            </w:tcBorders>
            <w:shd w:val="clear" w:color="auto" w:fill="CCEEFF"/>
          </w:tcPr>
          <w:p>
            <w:pPr>
              <w:jc w:val="right"/>
              <w:ind w:right="1895"/>
              <w:spacing w:after="0"/>
              <w:rPr>
                <w:sz w:val="20"/>
                <w:szCs w:val="20"/>
                <w:color w:val="auto"/>
              </w:rPr>
            </w:pPr>
            <w:r>
              <w:rPr>
                <w:rFonts w:ascii="Arial" w:cs="Arial" w:eastAsia="Arial" w:hAnsi="Arial"/>
                <w:sz w:val="17"/>
                <w:szCs w:val="17"/>
                <w:color w:val="auto"/>
                <w:w w:val="95"/>
              </w:rPr>
              <w:t>2022</w:t>
            </w:r>
          </w:p>
        </w:tc>
        <w:tc>
          <w:tcPr>
            <w:tcW w:w="5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9"/>
                <w:szCs w:val="19"/>
                <w:color w:val="auto"/>
              </w:rPr>
            </w:pPr>
          </w:p>
        </w:tc>
      </w:tr>
      <w:tr>
        <w:trPr>
          <w:trHeight w:val="611"/>
        </w:trPr>
        <w:tc>
          <w:tcPr>
            <w:tcW w:w="2360" w:type="dxa"/>
            <w:vAlign w:val="bottom"/>
          </w:tcPr>
          <w:p>
            <w:pPr>
              <w:spacing w:after="0"/>
              <w:rPr>
                <w:sz w:val="24"/>
                <w:szCs w:val="24"/>
                <w:color w:val="auto"/>
              </w:rPr>
            </w:pPr>
          </w:p>
        </w:tc>
        <w:tc>
          <w:tcPr>
            <w:tcW w:w="5140" w:type="dxa"/>
            <w:vAlign w:val="bottom"/>
          </w:tcPr>
          <w:p>
            <w:pPr>
              <w:jc w:val="right"/>
              <w:ind w:right="2915"/>
              <w:spacing w:after="0"/>
              <w:rPr>
                <w:sz w:val="20"/>
                <w:szCs w:val="20"/>
                <w:color w:val="auto"/>
              </w:rPr>
            </w:pPr>
            <w:r>
              <w:rPr>
                <w:rFonts w:ascii="Arial" w:cs="Arial" w:eastAsia="Arial" w:hAnsi="Arial"/>
                <w:sz w:val="17"/>
                <w:szCs w:val="17"/>
                <w:color w:val="auto"/>
              </w:rPr>
              <w:t>54</w:t>
            </w: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2"/>
        </w:trPr>
        <w:tc>
          <w:tcPr>
            <w:tcW w:w="236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r>
        <w:trPr>
          <w:trHeight w:val="20"/>
        </w:trPr>
        <w:tc>
          <w:tcPr>
            <w:tcW w:w="2360" w:type="dxa"/>
            <w:vAlign w:val="bottom"/>
            <w:tcBorders>
              <w:bottom w:val="single" w:sz="8" w:color="EEEEEE"/>
            </w:tcBorders>
          </w:tcPr>
          <w:p>
            <w:pPr>
              <w:spacing w:after="0" w:line="20" w:lineRule="exact"/>
              <w:rPr>
                <w:sz w:val="1"/>
                <w:szCs w:val="1"/>
                <w:color w:val="auto"/>
              </w:rPr>
            </w:pPr>
          </w:p>
        </w:tc>
        <w:tc>
          <w:tcPr>
            <w:tcW w:w="514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10. Other Assets</w:t>
      </w:r>
    </w:p>
    <w:p>
      <w:pPr>
        <w:spacing w:after="0" w:line="100"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39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6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color w:val="auto"/>
              </w:rPr>
              <w:t>2016</w:t>
            </w:r>
          </w:p>
        </w:tc>
      </w:tr>
      <w:tr>
        <w:trPr>
          <w:trHeight w:val="210"/>
        </w:trPr>
        <w:tc>
          <w:tcPr>
            <w:tcW w:w="39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 in millions)</w:t>
            </w:r>
          </w:p>
        </w:tc>
        <w:tc>
          <w:tcPr>
            <w:tcW w:w="960" w:type="dxa"/>
            <w:vAlign w:val="bottom"/>
          </w:tcPr>
          <w:p>
            <w:pPr>
              <w:spacing w:after="0"/>
              <w:rPr>
                <w:sz w:val="18"/>
                <w:szCs w:val="18"/>
                <w:color w:val="auto"/>
              </w:rPr>
            </w:pPr>
          </w:p>
        </w:tc>
      </w:tr>
      <w:tr>
        <w:trPr>
          <w:trHeight w:val="230"/>
        </w:trPr>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 xml:space="preserve">Restricted cash </w:t>
            </w:r>
            <w:r>
              <w:rPr>
                <w:rFonts w:ascii="Arial" w:cs="Arial" w:eastAsia="Arial" w:hAnsi="Arial"/>
                <w:sz w:val="8"/>
                <w:szCs w:val="8"/>
                <w:color w:val="auto"/>
              </w:rPr>
              <w:t>(1)</w:t>
            </w:r>
          </w:p>
        </w:tc>
        <w:tc>
          <w:tcPr>
            <w:tcW w:w="2840" w:type="dxa"/>
            <w:vAlign w:val="bottom"/>
            <w:shd w:val="clear" w:color="auto" w:fill="CCEEFF"/>
          </w:tcPr>
          <w:p>
            <w:pPr>
              <w:jc w:val="right"/>
              <w:ind w:right="595"/>
              <w:spacing w:after="0"/>
              <w:rPr>
                <w:sz w:val="20"/>
                <w:szCs w:val="20"/>
                <w:color w:val="auto"/>
              </w:rPr>
            </w:pPr>
            <w:r>
              <w:rPr>
                <w:rFonts w:ascii="Arial" w:cs="Arial" w:eastAsia="Arial" w:hAnsi="Arial"/>
                <w:sz w:val="17"/>
                <w:szCs w:val="17"/>
                <w:b w:val="1"/>
                <w:bCs w:val="1"/>
                <w:color w:val="auto"/>
              </w:rPr>
              <w:t>$</w:t>
            </w:r>
          </w:p>
        </w:tc>
        <w:tc>
          <w:tcPr>
            <w:tcW w:w="6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181</w:t>
            </w:r>
          </w:p>
        </w:tc>
        <w:tc>
          <w:tcPr>
            <w:tcW w:w="4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r>
      <w:tr>
        <w:trPr>
          <w:trHeight w:val="230"/>
        </w:trPr>
        <w:tc>
          <w:tcPr>
            <w:tcW w:w="3940" w:type="dxa"/>
            <w:vAlign w:val="bottom"/>
          </w:tcPr>
          <w:p>
            <w:pPr>
              <w:spacing w:after="0"/>
              <w:rPr>
                <w:sz w:val="20"/>
                <w:szCs w:val="20"/>
                <w:color w:val="auto"/>
              </w:rPr>
            </w:pPr>
            <w:r>
              <w:rPr>
                <w:rFonts w:ascii="Arial" w:cs="Arial" w:eastAsia="Arial" w:hAnsi="Arial"/>
                <w:sz w:val="17"/>
                <w:szCs w:val="17"/>
                <w:color w:val="auto"/>
              </w:rPr>
              <w:t>Pension asset</w:t>
            </w:r>
          </w:p>
        </w:tc>
        <w:tc>
          <w:tcPr>
            <w:tcW w:w="2840" w:type="dxa"/>
            <w:vAlign w:val="bottom"/>
          </w:tcPr>
          <w:p>
            <w:pPr>
              <w:spacing w:after="0"/>
              <w:rPr>
                <w:sz w:val="19"/>
                <w:szCs w:val="19"/>
                <w:color w:val="auto"/>
              </w:rPr>
            </w:pPr>
          </w:p>
        </w:tc>
        <w:tc>
          <w:tcPr>
            <w:tcW w:w="620" w:type="dxa"/>
            <w:vAlign w:val="bottom"/>
          </w:tcPr>
          <w:p>
            <w:pPr>
              <w:jc w:val="right"/>
              <w:ind w:right="35"/>
              <w:spacing w:after="0"/>
              <w:rPr>
                <w:sz w:val="20"/>
                <w:szCs w:val="20"/>
                <w:color w:val="auto"/>
              </w:rPr>
            </w:pPr>
            <w:r>
              <w:rPr>
                <w:rFonts w:ascii="Arial" w:cs="Arial" w:eastAsia="Arial" w:hAnsi="Arial"/>
                <w:sz w:val="17"/>
                <w:szCs w:val="17"/>
                <w:b w:val="1"/>
                <w:bCs w:val="1"/>
                <w:color w:val="auto"/>
              </w:rPr>
              <w:t>36</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30"/>
        </w:trPr>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Deferred tax costs</w:t>
            </w:r>
          </w:p>
        </w:tc>
        <w:tc>
          <w:tcPr>
            <w:tcW w:w="28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11</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30"/>
        </w:trPr>
        <w:tc>
          <w:tcPr>
            <w:tcW w:w="3940" w:type="dxa"/>
            <w:vAlign w:val="bottom"/>
          </w:tcPr>
          <w:p>
            <w:pPr>
              <w:spacing w:after="0"/>
              <w:rPr>
                <w:sz w:val="20"/>
                <w:szCs w:val="20"/>
                <w:color w:val="auto"/>
              </w:rPr>
            </w:pPr>
            <w:r>
              <w:rPr>
                <w:rFonts w:ascii="Arial" w:cs="Arial" w:eastAsia="Arial" w:hAnsi="Arial"/>
                <w:sz w:val="17"/>
                <w:szCs w:val="17"/>
                <w:color w:val="auto"/>
              </w:rPr>
              <w:t>Auction rate security</w:t>
            </w:r>
          </w:p>
        </w:tc>
        <w:tc>
          <w:tcPr>
            <w:tcW w:w="2840" w:type="dxa"/>
            <w:vAlign w:val="bottom"/>
          </w:tcPr>
          <w:p>
            <w:pPr>
              <w:spacing w:after="0"/>
              <w:rPr>
                <w:sz w:val="19"/>
                <w:szCs w:val="19"/>
                <w:color w:val="auto"/>
              </w:rPr>
            </w:pPr>
          </w:p>
        </w:tc>
        <w:tc>
          <w:tcPr>
            <w:tcW w:w="620" w:type="dxa"/>
            <w:vAlign w:val="bottom"/>
          </w:tcPr>
          <w:p>
            <w:pPr>
              <w:jc w:val="right"/>
              <w:ind w:right="35"/>
              <w:spacing w:after="0"/>
              <w:rPr>
                <w:sz w:val="20"/>
                <w:szCs w:val="20"/>
                <w:color w:val="auto"/>
              </w:rPr>
            </w:pPr>
            <w:r>
              <w:rPr>
                <w:rFonts w:ascii="Arial" w:cs="Arial" w:eastAsia="Arial" w:hAnsi="Arial"/>
                <w:sz w:val="17"/>
                <w:szCs w:val="17"/>
                <w:b w:val="1"/>
                <w:bCs w:val="1"/>
                <w:color w:val="auto"/>
              </w:rPr>
              <w:t>7</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30"/>
        </w:trPr>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Cost method investment</w:t>
            </w:r>
          </w:p>
        </w:tc>
        <w:tc>
          <w:tcPr>
            <w:tcW w:w="28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15</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3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Other</w:t>
            </w:r>
          </w:p>
        </w:tc>
        <w:tc>
          <w:tcPr>
            <w:tcW w:w="28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40</w:t>
            </w: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r>
      <w:tr>
        <w:trPr>
          <w:trHeight w:val="203"/>
        </w:trPr>
        <w:tc>
          <w:tcPr>
            <w:tcW w:w="3940" w:type="dxa"/>
            <w:vAlign w:val="bottom"/>
            <w:tcBorders>
              <w:bottom w:val="single" w:sz="8" w:color="auto"/>
            </w:tcBorders>
            <w:shd w:val="clear" w:color="auto" w:fill="CCEEFF"/>
          </w:tcPr>
          <w:p>
            <w:pPr>
              <w:spacing w:after="0"/>
              <w:rPr>
                <w:sz w:val="17"/>
                <w:szCs w:val="17"/>
                <w:color w:val="auto"/>
              </w:rPr>
            </w:pPr>
          </w:p>
        </w:tc>
        <w:tc>
          <w:tcPr>
            <w:tcW w:w="2840" w:type="dxa"/>
            <w:vAlign w:val="bottom"/>
            <w:tcBorders>
              <w:bottom w:val="single" w:sz="8" w:color="auto"/>
            </w:tcBorders>
            <w:shd w:val="clear" w:color="auto" w:fill="CCEEFF"/>
          </w:tcPr>
          <w:p>
            <w:pPr>
              <w:jc w:val="right"/>
              <w:ind w:right="595"/>
              <w:spacing w:after="0"/>
              <w:rPr>
                <w:sz w:val="20"/>
                <w:szCs w:val="20"/>
                <w:color w:val="auto"/>
              </w:rPr>
            </w:pPr>
            <w:r>
              <w:rPr>
                <w:rFonts w:ascii="Arial" w:cs="Arial" w:eastAsia="Arial" w:hAnsi="Arial"/>
                <w:sz w:val="17"/>
                <w:szCs w:val="17"/>
                <w:b w:val="1"/>
                <w:bCs w:val="1"/>
                <w:color w:val="auto"/>
              </w:rPr>
              <w:t>$</w:t>
            </w:r>
          </w:p>
        </w:tc>
        <w:tc>
          <w:tcPr>
            <w:tcW w:w="6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290</w:t>
            </w:r>
          </w:p>
        </w:tc>
        <w:tc>
          <w:tcPr>
            <w:tcW w:w="4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w:t>
            </w:r>
          </w:p>
        </w:tc>
      </w:tr>
    </w:tbl>
    <w:p>
      <w:pPr>
        <w:spacing w:after="0" w:line="134" w:lineRule="exact"/>
        <w:rPr>
          <w:sz w:val="20"/>
          <w:szCs w:val="20"/>
          <w:color w:val="auto"/>
        </w:rPr>
      </w:pPr>
    </w:p>
    <w:p>
      <w:pPr>
        <w:ind w:left="440" w:right="99" w:hanging="335"/>
        <w:spacing w:after="0" w:line="231" w:lineRule="auto"/>
        <w:tabs>
          <w:tab w:leader="none" w:pos="440" w:val="left"/>
        </w:tabs>
        <w:numPr>
          <w:ilvl w:val="0"/>
          <w:numId w:val="22"/>
        </w:numPr>
        <w:rPr>
          <w:rFonts w:ascii="Arial" w:cs="Arial" w:eastAsia="Arial" w:hAnsi="Arial"/>
          <w:sz w:val="12"/>
          <w:szCs w:val="12"/>
          <w:color w:val="auto"/>
        </w:rPr>
      </w:pPr>
      <w:r>
        <w:rPr>
          <w:rFonts w:ascii="Arial" w:cs="Arial" w:eastAsia="Arial" w:hAnsi="Arial"/>
          <w:sz w:val="14"/>
          <w:szCs w:val="14"/>
          <w:color w:val="auto"/>
        </w:rPr>
        <w:t xml:space="preserve">Restricted cash for the year ended February 3, 2018 includes $150 million deposited to a qualified settlement fund in connection with the pension litigation. Please see Note 22, </w:t>
      </w:r>
      <w:r>
        <w:rPr>
          <w:rFonts w:ascii="Arial" w:cs="Arial" w:eastAsia="Arial" w:hAnsi="Arial"/>
          <w:sz w:val="14"/>
          <w:szCs w:val="14"/>
          <w:i w:val="1"/>
          <w:iCs w:val="1"/>
          <w:color w:val="auto"/>
        </w:rPr>
        <w:t>Legal Proceedings</w:t>
      </w:r>
      <w:r>
        <w:rPr>
          <w:rFonts w:ascii="Arial" w:cs="Arial" w:eastAsia="Arial" w:hAnsi="Arial"/>
          <w:sz w:val="14"/>
          <w:szCs w:val="14"/>
          <w:color w:val="auto"/>
        </w:rPr>
        <w:t xml:space="preserve"> for further information.</w:t>
      </w:r>
    </w:p>
    <w:p>
      <w:pPr>
        <w:spacing w:after="0" w:line="20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11. Accrued and Other Liabilities</w:t>
      </w:r>
    </w:p>
    <w:p>
      <w:pPr>
        <w:spacing w:after="0" w:line="100"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50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6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color w:val="auto"/>
              </w:rPr>
              <w:t>2016</w:t>
            </w:r>
          </w:p>
        </w:tc>
      </w:tr>
      <w:tr>
        <w:trPr>
          <w:trHeight w:val="210"/>
        </w:trPr>
        <w:tc>
          <w:tcPr>
            <w:tcW w:w="50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 in millions)</w:t>
            </w:r>
          </w:p>
        </w:tc>
        <w:tc>
          <w:tcPr>
            <w:tcW w:w="960" w:type="dxa"/>
            <w:vAlign w:val="bottom"/>
          </w:tcPr>
          <w:p>
            <w:pPr>
              <w:spacing w:after="0"/>
              <w:rPr>
                <w:sz w:val="18"/>
                <w:szCs w:val="18"/>
                <w:color w:val="auto"/>
              </w:rPr>
            </w:pPr>
          </w:p>
        </w:tc>
      </w:tr>
      <w:tr>
        <w:trPr>
          <w:trHeight w:val="230"/>
        </w:trPr>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Other payroll and payroll related costs, excluding taxes</w:t>
            </w:r>
          </w:p>
        </w:tc>
        <w:tc>
          <w:tcPr>
            <w:tcW w:w="1700" w:type="dxa"/>
            <w:vAlign w:val="bottom"/>
            <w:shd w:val="clear" w:color="auto" w:fill="CCEEFF"/>
          </w:tcPr>
          <w:p>
            <w:pPr>
              <w:jc w:val="right"/>
              <w:ind w:right="595"/>
              <w:spacing w:after="0"/>
              <w:rPr>
                <w:sz w:val="20"/>
                <w:szCs w:val="20"/>
                <w:color w:val="auto"/>
              </w:rPr>
            </w:pPr>
            <w:r>
              <w:rPr>
                <w:rFonts w:ascii="Arial" w:cs="Arial" w:eastAsia="Arial" w:hAnsi="Arial"/>
                <w:sz w:val="17"/>
                <w:szCs w:val="17"/>
                <w:b w:val="1"/>
                <w:bCs w:val="1"/>
                <w:color w:val="auto"/>
              </w:rPr>
              <w:t>$</w:t>
            </w:r>
          </w:p>
        </w:tc>
        <w:tc>
          <w:tcPr>
            <w:tcW w:w="6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67</w:t>
            </w:r>
          </w:p>
        </w:tc>
        <w:tc>
          <w:tcPr>
            <w:tcW w:w="4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r>
      <w:tr>
        <w:trPr>
          <w:trHeight w:val="230"/>
        </w:trPr>
        <w:tc>
          <w:tcPr>
            <w:tcW w:w="5080" w:type="dxa"/>
            <w:vAlign w:val="bottom"/>
          </w:tcPr>
          <w:p>
            <w:pPr>
              <w:spacing w:after="0"/>
              <w:rPr>
                <w:sz w:val="20"/>
                <w:szCs w:val="20"/>
                <w:color w:val="auto"/>
              </w:rPr>
            </w:pPr>
            <w:r>
              <w:rPr>
                <w:rFonts w:ascii="Arial" w:cs="Arial" w:eastAsia="Arial" w:hAnsi="Arial"/>
                <w:sz w:val="17"/>
                <w:szCs w:val="17"/>
                <w:color w:val="auto"/>
              </w:rPr>
              <w:t>Taxes other than income taxes</w:t>
            </w:r>
          </w:p>
        </w:tc>
        <w:tc>
          <w:tcPr>
            <w:tcW w:w="1700" w:type="dxa"/>
            <w:vAlign w:val="bottom"/>
          </w:tcPr>
          <w:p>
            <w:pPr>
              <w:spacing w:after="0"/>
              <w:rPr>
                <w:sz w:val="19"/>
                <w:szCs w:val="19"/>
                <w:color w:val="auto"/>
              </w:rPr>
            </w:pPr>
          </w:p>
        </w:tc>
        <w:tc>
          <w:tcPr>
            <w:tcW w:w="620" w:type="dxa"/>
            <w:vAlign w:val="bottom"/>
          </w:tcPr>
          <w:p>
            <w:pPr>
              <w:jc w:val="right"/>
              <w:ind w:right="35"/>
              <w:spacing w:after="0"/>
              <w:rPr>
                <w:sz w:val="20"/>
                <w:szCs w:val="20"/>
                <w:color w:val="auto"/>
              </w:rPr>
            </w:pPr>
            <w:r>
              <w:rPr>
                <w:rFonts w:ascii="Arial" w:cs="Arial" w:eastAsia="Arial" w:hAnsi="Arial"/>
                <w:sz w:val="17"/>
                <w:szCs w:val="17"/>
                <w:b w:val="1"/>
                <w:bCs w:val="1"/>
                <w:color w:val="auto"/>
              </w:rPr>
              <w:t>63</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66</w:t>
            </w:r>
          </w:p>
        </w:tc>
      </w:tr>
      <w:tr>
        <w:trPr>
          <w:trHeight w:val="230"/>
        </w:trPr>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 xml:space="preserve">Property and equipment </w:t>
            </w:r>
            <w:r>
              <w:rPr>
                <w:rFonts w:ascii="Arial" w:cs="Arial" w:eastAsia="Arial" w:hAnsi="Arial"/>
                <w:sz w:val="8"/>
                <w:szCs w:val="8"/>
                <w:color w:val="auto"/>
              </w:rPr>
              <w:t>(1)</w:t>
            </w:r>
          </w:p>
        </w:tc>
        <w:tc>
          <w:tcPr>
            <w:tcW w:w="17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58</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r>
      <w:tr>
        <w:trPr>
          <w:trHeight w:val="230"/>
        </w:trPr>
        <w:tc>
          <w:tcPr>
            <w:tcW w:w="5080" w:type="dxa"/>
            <w:vAlign w:val="bottom"/>
          </w:tcPr>
          <w:p>
            <w:pPr>
              <w:spacing w:after="0"/>
              <w:rPr>
                <w:sz w:val="20"/>
                <w:szCs w:val="20"/>
                <w:color w:val="auto"/>
              </w:rPr>
            </w:pPr>
            <w:r>
              <w:rPr>
                <w:rFonts w:ascii="Arial" w:cs="Arial" w:eastAsia="Arial" w:hAnsi="Arial"/>
                <w:sz w:val="17"/>
                <w:szCs w:val="17"/>
                <w:color w:val="auto"/>
              </w:rPr>
              <w:t xml:space="preserve">Customer deposits </w:t>
            </w:r>
            <w:r>
              <w:rPr>
                <w:rFonts w:ascii="Arial" w:cs="Arial" w:eastAsia="Arial" w:hAnsi="Arial"/>
                <w:sz w:val="8"/>
                <w:szCs w:val="8"/>
                <w:color w:val="auto"/>
              </w:rPr>
              <w:t>(2)</w:t>
            </w:r>
          </w:p>
        </w:tc>
        <w:tc>
          <w:tcPr>
            <w:tcW w:w="1700" w:type="dxa"/>
            <w:vAlign w:val="bottom"/>
          </w:tcPr>
          <w:p>
            <w:pPr>
              <w:spacing w:after="0"/>
              <w:rPr>
                <w:sz w:val="19"/>
                <w:szCs w:val="19"/>
                <w:color w:val="auto"/>
              </w:rPr>
            </w:pPr>
          </w:p>
        </w:tc>
        <w:tc>
          <w:tcPr>
            <w:tcW w:w="620" w:type="dxa"/>
            <w:vAlign w:val="bottom"/>
          </w:tcPr>
          <w:p>
            <w:pPr>
              <w:jc w:val="right"/>
              <w:ind w:right="35"/>
              <w:spacing w:after="0"/>
              <w:rPr>
                <w:sz w:val="20"/>
                <w:szCs w:val="20"/>
                <w:color w:val="auto"/>
              </w:rPr>
            </w:pPr>
            <w:r>
              <w:rPr>
                <w:rFonts w:ascii="Arial" w:cs="Arial" w:eastAsia="Arial" w:hAnsi="Arial"/>
                <w:sz w:val="17"/>
                <w:szCs w:val="17"/>
                <w:b w:val="1"/>
                <w:bCs w:val="1"/>
                <w:color w:val="auto"/>
              </w:rPr>
              <w:t>49</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30"/>
        </w:trPr>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Advertising</w:t>
            </w:r>
          </w:p>
        </w:tc>
        <w:tc>
          <w:tcPr>
            <w:tcW w:w="17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22</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r>
      <w:tr>
        <w:trPr>
          <w:trHeight w:val="230"/>
        </w:trPr>
        <w:tc>
          <w:tcPr>
            <w:tcW w:w="5080" w:type="dxa"/>
            <w:vAlign w:val="bottom"/>
          </w:tcPr>
          <w:p>
            <w:pPr>
              <w:spacing w:after="0"/>
              <w:rPr>
                <w:sz w:val="20"/>
                <w:szCs w:val="20"/>
                <w:color w:val="auto"/>
              </w:rPr>
            </w:pPr>
            <w:r>
              <w:rPr>
                <w:rFonts w:ascii="Arial" w:cs="Arial" w:eastAsia="Arial" w:hAnsi="Arial"/>
                <w:sz w:val="17"/>
                <w:szCs w:val="17"/>
                <w:color w:val="auto"/>
              </w:rPr>
              <w:t>Income taxes payable</w:t>
            </w:r>
          </w:p>
        </w:tc>
        <w:tc>
          <w:tcPr>
            <w:tcW w:w="1700" w:type="dxa"/>
            <w:vAlign w:val="bottom"/>
          </w:tcPr>
          <w:p>
            <w:pPr>
              <w:spacing w:after="0"/>
              <w:rPr>
                <w:sz w:val="19"/>
                <w:szCs w:val="19"/>
                <w:color w:val="auto"/>
              </w:rPr>
            </w:pPr>
          </w:p>
        </w:tc>
        <w:tc>
          <w:tcPr>
            <w:tcW w:w="620" w:type="dxa"/>
            <w:vAlign w:val="bottom"/>
          </w:tcPr>
          <w:p>
            <w:pPr>
              <w:jc w:val="right"/>
              <w:ind w:right="35"/>
              <w:spacing w:after="0"/>
              <w:rPr>
                <w:sz w:val="20"/>
                <w:szCs w:val="20"/>
                <w:color w:val="auto"/>
              </w:rPr>
            </w:pPr>
            <w:r>
              <w:rPr>
                <w:rFonts w:ascii="Arial" w:cs="Arial" w:eastAsia="Arial" w:hAnsi="Arial"/>
                <w:sz w:val="17"/>
                <w:szCs w:val="17"/>
                <w:b w:val="1"/>
                <w:bCs w:val="1"/>
                <w:color w:val="auto"/>
              </w:rPr>
              <w:t>11</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30"/>
        </w:trPr>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Incentive bonuses</w:t>
            </w:r>
          </w:p>
        </w:tc>
        <w:tc>
          <w:tcPr>
            <w:tcW w:w="17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6</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r>
      <w:tr>
        <w:trPr>
          <w:trHeight w:val="230"/>
        </w:trPr>
        <w:tc>
          <w:tcPr>
            <w:tcW w:w="5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Other</w:t>
            </w:r>
          </w:p>
        </w:tc>
        <w:tc>
          <w:tcPr>
            <w:tcW w:w="17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82</w:t>
            </w: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w:t>
            </w:r>
          </w:p>
        </w:tc>
      </w:tr>
      <w:tr>
        <w:trPr>
          <w:trHeight w:val="203"/>
        </w:trPr>
        <w:tc>
          <w:tcPr>
            <w:tcW w:w="508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ind w:right="595"/>
              <w:spacing w:after="0"/>
              <w:rPr>
                <w:sz w:val="20"/>
                <w:szCs w:val="20"/>
                <w:color w:val="auto"/>
              </w:rPr>
            </w:pPr>
            <w:r>
              <w:rPr>
                <w:rFonts w:ascii="Arial" w:cs="Arial" w:eastAsia="Arial" w:hAnsi="Arial"/>
                <w:sz w:val="17"/>
                <w:szCs w:val="17"/>
                <w:b w:val="1"/>
                <w:bCs w:val="1"/>
                <w:color w:val="auto"/>
              </w:rPr>
              <w:t>$</w:t>
            </w:r>
          </w:p>
        </w:tc>
        <w:tc>
          <w:tcPr>
            <w:tcW w:w="6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358</w:t>
            </w:r>
          </w:p>
        </w:tc>
        <w:tc>
          <w:tcPr>
            <w:tcW w:w="4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363</w:t>
            </w:r>
          </w:p>
        </w:tc>
      </w:tr>
    </w:tbl>
    <w:p>
      <w:pPr>
        <w:spacing w:after="0" w:line="134" w:lineRule="exact"/>
        <w:rPr>
          <w:sz w:val="20"/>
          <w:szCs w:val="20"/>
          <w:color w:val="auto"/>
        </w:rPr>
      </w:pPr>
    </w:p>
    <w:p>
      <w:pPr>
        <w:ind w:left="800" w:hanging="384"/>
        <w:spacing w:after="0"/>
        <w:tabs>
          <w:tab w:leader="none" w:pos="800" w:val="left"/>
        </w:tabs>
        <w:numPr>
          <w:ilvl w:val="1"/>
          <w:numId w:val="23"/>
        </w:numPr>
        <w:rPr>
          <w:rFonts w:ascii="Arial" w:cs="Arial" w:eastAsia="Arial" w:hAnsi="Arial"/>
          <w:sz w:val="12"/>
          <w:szCs w:val="12"/>
          <w:color w:val="auto"/>
        </w:rPr>
      </w:pPr>
      <w:r>
        <w:rPr>
          <w:rFonts w:ascii="Arial" w:cs="Arial" w:eastAsia="Arial" w:hAnsi="Arial"/>
          <w:sz w:val="14"/>
          <w:szCs w:val="14"/>
          <w:color w:val="auto"/>
        </w:rPr>
        <w:t>Accruals for property and equipment are excluded from the statements of cash flows for all years presented.</w:t>
      </w:r>
    </w:p>
    <w:p>
      <w:pPr>
        <w:spacing w:after="0" w:line="55" w:lineRule="exact"/>
        <w:rPr>
          <w:rFonts w:ascii="Arial" w:cs="Arial" w:eastAsia="Arial" w:hAnsi="Arial"/>
          <w:sz w:val="12"/>
          <w:szCs w:val="12"/>
          <w:color w:val="auto"/>
        </w:rPr>
      </w:pPr>
    </w:p>
    <w:p>
      <w:pPr>
        <w:ind w:left="800" w:right="239" w:hanging="384"/>
        <w:spacing w:after="0" w:line="231" w:lineRule="auto"/>
        <w:tabs>
          <w:tab w:leader="none" w:pos="800" w:val="left"/>
        </w:tabs>
        <w:numPr>
          <w:ilvl w:val="1"/>
          <w:numId w:val="23"/>
        </w:numPr>
        <w:rPr>
          <w:rFonts w:ascii="Arial" w:cs="Arial" w:eastAsia="Arial" w:hAnsi="Arial"/>
          <w:sz w:val="12"/>
          <w:szCs w:val="12"/>
          <w:color w:val="auto"/>
        </w:rPr>
      </w:pPr>
      <w:r>
        <w:rPr>
          <w:rFonts w:ascii="Arial" w:cs="Arial" w:eastAsia="Arial" w:hAnsi="Arial"/>
          <w:sz w:val="14"/>
          <w:szCs w:val="14"/>
          <w:color w:val="auto"/>
        </w:rPr>
        <w:t>Customer deposits include unredeemed gift cards, merchandise credits, and deferred revenue related to undelivered merchandise, including layaway sales.</w:t>
      </w:r>
    </w:p>
    <w:p>
      <w:pPr>
        <w:spacing w:after="0" w:line="181" w:lineRule="exact"/>
        <w:rPr>
          <w:rFonts w:ascii="Arial" w:cs="Arial" w:eastAsia="Arial" w:hAnsi="Arial"/>
          <w:sz w:val="12"/>
          <w:szCs w:val="12"/>
          <w:color w:val="auto"/>
        </w:rPr>
      </w:pPr>
    </w:p>
    <w:p>
      <w:pPr>
        <w:ind w:left="400" w:hanging="295"/>
        <w:spacing w:after="0"/>
        <w:tabs>
          <w:tab w:leader="none" w:pos="4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Revolving Credit Facility</w:t>
      </w:r>
    </w:p>
    <w:p>
      <w:pPr>
        <w:spacing w:after="0" w:line="201"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On May 19, 2016, the Company entered into a credit agreement with its banks (“2016 Credit Agreement”). The 2016 Credit Agreement provides for a $400 million asset-based revolving credit facility maturing on May 19, 2021. During the term of the 2016 Credit Agreement, the Company may also increase the commitments by up to $200 million, subject to customary conditions. Interest is determined, at the Company’s option, by the federal funds rate plus a margin of 0.125 percent to 0.375 percent, or a Eurodollar rate, determined by reference to LIBOR, plus a margin of 1.125 percent to 1.375 percent depending on availability under the 2016 Credit Agreement. In addition, the Company is paying a commitment fee of 0.20 percent per annum on the unused portion of the commitments.</w:t>
      </w:r>
    </w:p>
    <w:p>
      <w:pPr>
        <w:spacing w:after="0" w:line="178"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The 2016 Credit Agreement provides for a security interest in certain of the Company’s domestic store assets, including inventory assets, accounts receivable, cash deposits, and certain insurance proceeds. The Company is not required to comply with any financial covenants unless certain events of default have occurred and are continuing, or if availability under the 2016 Credit Agreement does not exceed the greater of $40 million and 10 percent of the Loan Cap (as defined in the 2016 Credit Agreement). There are no restrictions relating to the payment of dividends and share repurchases as long as no default or event of default has occurred and the aggregate principal amount of unused commitments under the 2016 Credit Agreement is not less than 15 percent of the lesser of the aggregate amount of the commitments and the Borrowing Base, determined as of the preceding fiscal month and on a proforma basis for the following six fiscal months.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3"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The Company uses the 2016 Credit Agreement to support standby letters of credit in connection with insurance programs. The letters of credit outstanding as of February 3, 2018 were not significant. During 2016, the Company paid approximately $2 million in fees relating to the 2016 Credit Agreement. Deferred financing fees are amortized over the life of the facility on a straight-line basis, which is comparable to the interest method. The unamortized balance at February 3, 2018 is $1 million. The quarterly facility fees paid on the unused portion was 0.20 percent in 2017. Interest expense, including facility fees, related to the revolving credit facility was $1 million for all years presented.</w:t>
      </w:r>
    </w:p>
    <w:p>
      <w:pPr>
        <w:spacing w:after="0" w:line="16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13. Long-Term Debt</w:t>
      </w:r>
    </w:p>
    <w:p>
      <w:pPr>
        <w:spacing w:after="0" w:line="87"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48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6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color w:val="auto"/>
              </w:rPr>
              <w:t>2016</w:t>
            </w:r>
          </w:p>
        </w:tc>
      </w:tr>
      <w:tr>
        <w:trPr>
          <w:trHeight w:val="196"/>
        </w:trPr>
        <w:tc>
          <w:tcPr>
            <w:tcW w:w="48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 in millions)</w:t>
            </w:r>
          </w:p>
        </w:tc>
        <w:tc>
          <w:tcPr>
            <w:tcW w:w="940" w:type="dxa"/>
            <w:vAlign w:val="bottom"/>
          </w:tcPr>
          <w:p>
            <w:pPr>
              <w:spacing w:after="0"/>
              <w:rPr>
                <w:sz w:val="17"/>
                <w:szCs w:val="17"/>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8.5% debentures payable January 2022</w:t>
            </w:r>
          </w:p>
        </w:tc>
        <w:tc>
          <w:tcPr>
            <w:tcW w:w="1900" w:type="dxa"/>
            <w:vAlign w:val="bottom"/>
            <w:shd w:val="clear" w:color="auto" w:fill="CCEEFF"/>
          </w:tcPr>
          <w:p>
            <w:pPr>
              <w:jc w:val="right"/>
              <w:ind w:right="595"/>
              <w:spacing w:after="0"/>
              <w:rPr>
                <w:sz w:val="20"/>
                <w:szCs w:val="20"/>
                <w:color w:val="auto"/>
              </w:rPr>
            </w:pPr>
            <w:r>
              <w:rPr>
                <w:rFonts w:ascii="Arial" w:cs="Arial" w:eastAsia="Arial" w:hAnsi="Arial"/>
                <w:sz w:val="17"/>
                <w:szCs w:val="17"/>
                <w:b w:val="1"/>
                <w:bCs w:val="1"/>
                <w:color w:val="auto"/>
              </w:rPr>
              <w:t>$</w:t>
            </w:r>
          </w:p>
        </w:tc>
        <w:tc>
          <w:tcPr>
            <w:tcW w:w="620" w:type="dxa"/>
            <w:vAlign w:val="bottom"/>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118</w:t>
            </w:r>
          </w:p>
        </w:tc>
        <w:tc>
          <w:tcPr>
            <w:tcW w:w="5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w:t>
            </w:r>
          </w:p>
        </w:tc>
      </w:tr>
      <w:tr>
        <w:trPr>
          <w:trHeight w:val="216"/>
        </w:trPr>
        <w:tc>
          <w:tcPr>
            <w:tcW w:w="48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xml:space="preserve">Unamortized gain related to interest rate swaps </w:t>
            </w:r>
            <w:r>
              <w:rPr>
                <w:rFonts w:ascii="Arial" w:cs="Arial" w:eastAsia="Arial" w:hAnsi="Arial"/>
                <w:sz w:val="8"/>
                <w:szCs w:val="8"/>
                <w:color w:val="auto"/>
              </w:rPr>
              <w:t>(1)</w:t>
            </w:r>
          </w:p>
        </w:tc>
        <w:tc>
          <w:tcPr>
            <w:tcW w:w="19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7</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r>
      <w:tr>
        <w:trPr>
          <w:trHeight w:val="217"/>
        </w:trPr>
        <w:tc>
          <w:tcPr>
            <w:tcW w:w="486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ind w:right="595"/>
              <w:spacing w:after="0"/>
              <w:rPr>
                <w:sz w:val="20"/>
                <w:szCs w:val="20"/>
                <w:color w:val="auto"/>
              </w:rPr>
            </w:pPr>
            <w:r>
              <w:rPr>
                <w:rFonts w:ascii="Arial" w:cs="Arial" w:eastAsia="Arial" w:hAnsi="Arial"/>
                <w:sz w:val="17"/>
                <w:szCs w:val="17"/>
                <w:b w:val="1"/>
                <w:bCs w:val="1"/>
                <w:color w:val="auto"/>
              </w:rPr>
              <w:t>$</w:t>
            </w:r>
          </w:p>
        </w:tc>
        <w:tc>
          <w:tcPr>
            <w:tcW w:w="6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125</w:t>
            </w:r>
          </w:p>
        </w:tc>
        <w:tc>
          <w:tcPr>
            <w:tcW w:w="5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w:t>
            </w:r>
          </w:p>
        </w:tc>
      </w:tr>
    </w:tbl>
    <w:p>
      <w:pPr>
        <w:spacing w:after="0" w:line="148" w:lineRule="exact"/>
        <w:rPr>
          <w:sz w:val="20"/>
          <w:szCs w:val="20"/>
          <w:color w:val="auto"/>
        </w:rPr>
      </w:pPr>
    </w:p>
    <w:p>
      <w:pPr>
        <w:ind w:left="840" w:right="239" w:hanging="424"/>
        <w:spacing w:after="0" w:line="231" w:lineRule="auto"/>
        <w:tabs>
          <w:tab w:leader="none" w:pos="840" w:val="left"/>
        </w:tabs>
        <w:numPr>
          <w:ilvl w:val="0"/>
          <w:numId w:val="25"/>
        </w:numPr>
        <w:rPr>
          <w:rFonts w:ascii="Arial" w:cs="Arial" w:eastAsia="Arial" w:hAnsi="Arial"/>
          <w:sz w:val="12"/>
          <w:szCs w:val="12"/>
          <w:color w:val="auto"/>
        </w:rPr>
      </w:pPr>
      <w:r>
        <w:rPr>
          <w:rFonts w:ascii="Arial" w:cs="Arial" w:eastAsia="Arial" w:hAnsi="Arial"/>
          <w:sz w:val="14"/>
          <w:szCs w:val="14"/>
          <w:color w:val="auto"/>
        </w:rPr>
        <w:t>In 2009, the Company terminated an interest rate swap at a gain. This gain is being amortized as part of interest expense over the remaining term of the debt using the effective-yield method.</w:t>
      </w:r>
    </w:p>
    <w:p>
      <w:pPr>
        <w:spacing w:after="0" w:line="171" w:lineRule="exact"/>
        <w:rPr>
          <w:sz w:val="20"/>
          <w:szCs w:val="20"/>
          <w:color w:val="auto"/>
        </w:rPr>
      </w:pPr>
    </w:p>
    <w:p>
      <w:pPr>
        <w:ind w:left="100" w:right="99"/>
        <w:spacing w:after="0" w:line="243" w:lineRule="auto"/>
        <w:rPr>
          <w:sz w:val="20"/>
          <w:szCs w:val="20"/>
          <w:color w:val="auto"/>
        </w:rPr>
      </w:pPr>
      <w:r>
        <w:rPr>
          <w:rFonts w:ascii="Arial" w:cs="Arial" w:eastAsia="Arial" w:hAnsi="Arial"/>
          <w:sz w:val="17"/>
          <w:szCs w:val="17"/>
          <w:color w:val="auto"/>
        </w:rPr>
        <w:t>Interest expense related to long-term debt and the amortization of the associated debt issuance costs was $9 million and $8 million as of February 3, 2018 and January 28, 2017, respectively.</w:t>
      </w:r>
    </w:p>
    <w:p>
      <w:pPr>
        <w:spacing w:after="0" w:line="15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14. Other Liabilities</w:t>
      </w:r>
    </w:p>
    <w:p>
      <w:pPr>
        <w:spacing w:after="0" w:line="100"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49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2017</w:t>
            </w:r>
          </w:p>
        </w:tc>
        <w:tc>
          <w:tcPr>
            <w:tcW w:w="6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color w:val="auto"/>
              </w:rPr>
              <w:t>2016</w:t>
            </w:r>
          </w:p>
        </w:tc>
      </w:tr>
      <w:tr>
        <w:trPr>
          <w:trHeight w:val="196"/>
        </w:trPr>
        <w:tc>
          <w:tcPr>
            <w:tcW w:w="49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80" w:type="dxa"/>
            <w:vAlign w:val="bottom"/>
            <w:gridSpan w:val="2"/>
          </w:tcPr>
          <w:p>
            <w:pPr>
              <w:jc w:val="right"/>
              <w:ind w:right="15"/>
              <w:spacing w:after="0"/>
              <w:rPr>
                <w:sz w:val="20"/>
                <w:szCs w:val="20"/>
                <w:color w:val="auto"/>
              </w:rPr>
            </w:pPr>
            <w:r>
              <w:rPr>
                <w:rFonts w:ascii="Arial" w:cs="Arial" w:eastAsia="Arial" w:hAnsi="Arial"/>
                <w:sz w:val="17"/>
                <w:szCs w:val="17"/>
                <w:color w:val="auto"/>
              </w:rPr>
              <w:t>($ in millions)</w:t>
            </w:r>
          </w:p>
        </w:tc>
        <w:tc>
          <w:tcPr>
            <w:tcW w:w="1000" w:type="dxa"/>
            <w:vAlign w:val="bottom"/>
          </w:tcPr>
          <w:p>
            <w:pPr>
              <w:spacing w:after="0"/>
              <w:rPr>
                <w:sz w:val="17"/>
                <w:szCs w:val="17"/>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Pension litigation liability</w:t>
            </w:r>
          </w:p>
        </w:tc>
        <w:tc>
          <w:tcPr>
            <w:tcW w:w="1740" w:type="dxa"/>
            <w:vAlign w:val="bottom"/>
            <w:shd w:val="clear" w:color="auto" w:fill="CCEEFF"/>
          </w:tcPr>
          <w:p>
            <w:pPr>
              <w:jc w:val="right"/>
              <w:ind w:right="655"/>
              <w:spacing w:after="0"/>
              <w:rPr>
                <w:sz w:val="20"/>
                <w:szCs w:val="20"/>
                <w:color w:val="auto"/>
              </w:rPr>
            </w:pPr>
            <w:r>
              <w:rPr>
                <w:rFonts w:ascii="Arial" w:cs="Arial" w:eastAsia="Arial" w:hAnsi="Arial"/>
                <w:sz w:val="17"/>
                <w:szCs w:val="17"/>
                <w:b w:val="1"/>
                <w:bCs w:val="1"/>
                <w:color w:val="auto"/>
              </w:rPr>
              <w:t>$</w:t>
            </w:r>
          </w:p>
        </w:tc>
        <w:tc>
          <w:tcPr>
            <w:tcW w:w="660" w:type="dxa"/>
            <w:vAlign w:val="bottom"/>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278</w:t>
            </w:r>
          </w:p>
        </w:tc>
        <w:tc>
          <w:tcPr>
            <w:tcW w:w="5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r>
      <w:tr>
        <w:trPr>
          <w:trHeight w:val="216"/>
        </w:trPr>
        <w:tc>
          <w:tcPr>
            <w:tcW w:w="4900" w:type="dxa"/>
            <w:vAlign w:val="bottom"/>
          </w:tcPr>
          <w:p>
            <w:pPr>
              <w:spacing w:after="0"/>
              <w:rPr>
                <w:sz w:val="20"/>
                <w:szCs w:val="20"/>
                <w:color w:val="auto"/>
              </w:rPr>
            </w:pPr>
            <w:r>
              <w:rPr>
                <w:rFonts w:ascii="Arial" w:cs="Arial" w:eastAsia="Arial" w:hAnsi="Arial"/>
                <w:sz w:val="17"/>
                <w:szCs w:val="17"/>
                <w:color w:val="auto"/>
              </w:rPr>
              <w:t xml:space="preserve">Straight-line rent liability </w:t>
            </w:r>
            <w:r>
              <w:rPr>
                <w:rFonts w:ascii="Arial" w:cs="Arial" w:eastAsia="Arial" w:hAnsi="Arial"/>
                <w:sz w:val="8"/>
                <w:szCs w:val="8"/>
                <w:color w:val="auto"/>
              </w:rPr>
              <w:t>(1)</w:t>
            </w:r>
          </w:p>
        </w:tc>
        <w:tc>
          <w:tcPr>
            <w:tcW w:w="1740" w:type="dxa"/>
            <w:vAlign w:val="bottom"/>
          </w:tcPr>
          <w:p>
            <w:pPr>
              <w:spacing w:after="0"/>
              <w:rPr>
                <w:sz w:val="18"/>
                <w:szCs w:val="18"/>
                <w:color w:val="auto"/>
              </w:rPr>
            </w:pPr>
          </w:p>
        </w:tc>
        <w:tc>
          <w:tcPr>
            <w:tcW w:w="660" w:type="dxa"/>
            <w:vAlign w:val="bottom"/>
          </w:tcPr>
          <w:p>
            <w:pPr>
              <w:jc w:val="right"/>
              <w:ind w:right="175"/>
              <w:spacing w:after="0"/>
              <w:rPr>
                <w:sz w:val="20"/>
                <w:szCs w:val="20"/>
                <w:color w:val="auto"/>
              </w:rPr>
            </w:pPr>
            <w:r>
              <w:rPr>
                <w:rFonts w:ascii="Arial" w:cs="Arial" w:eastAsia="Arial" w:hAnsi="Arial"/>
                <w:sz w:val="17"/>
                <w:szCs w:val="17"/>
                <w:b w:val="1"/>
                <w:bCs w:val="1"/>
                <w:color w:val="auto"/>
              </w:rPr>
              <w:t>245</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205</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Income taxes</w:t>
            </w:r>
          </w:p>
        </w:tc>
        <w:tc>
          <w:tcPr>
            <w:tcW w:w="17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114</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r>
      <w:tr>
        <w:trPr>
          <w:trHeight w:val="216"/>
        </w:trPr>
        <w:tc>
          <w:tcPr>
            <w:tcW w:w="4900" w:type="dxa"/>
            <w:vAlign w:val="bottom"/>
          </w:tcPr>
          <w:p>
            <w:pPr>
              <w:spacing w:after="0"/>
              <w:rPr>
                <w:sz w:val="20"/>
                <w:szCs w:val="20"/>
                <w:color w:val="auto"/>
              </w:rPr>
            </w:pPr>
            <w:r>
              <w:rPr>
                <w:rFonts w:ascii="Arial" w:cs="Arial" w:eastAsia="Arial" w:hAnsi="Arial"/>
                <w:sz w:val="17"/>
                <w:szCs w:val="17"/>
                <w:color w:val="auto"/>
              </w:rPr>
              <w:t>Pension benefits</w:t>
            </w:r>
          </w:p>
        </w:tc>
        <w:tc>
          <w:tcPr>
            <w:tcW w:w="1740" w:type="dxa"/>
            <w:vAlign w:val="bottom"/>
          </w:tcPr>
          <w:p>
            <w:pPr>
              <w:spacing w:after="0"/>
              <w:rPr>
                <w:sz w:val="18"/>
                <w:szCs w:val="18"/>
                <w:color w:val="auto"/>
              </w:rPr>
            </w:pPr>
          </w:p>
        </w:tc>
        <w:tc>
          <w:tcPr>
            <w:tcW w:w="660" w:type="dxa"/>
            <w:vAlign w:val="bottom"/>
          </w:tcPr>
          <w:p>
            <w:pPr>
              <w:jc w:val="right"/>
              <w:ind w:right="175"/>
              <w:spacing w:after="0"/>
              <w:rPr>
                <w:sz w:val="20"/>
                <w:szCs w:val="20"/>
                <w:color w:val="auto"/>
              </w:rPr>
            </w:pPr>
            <w:r>
              <w:rPr>
                <w:rFonts w:ascii="Arial" w:cs="Arial" w:eastAsia="Arial" w:hAnsi="Arial"/>
                <w:sz w:val="17"/>
                <w:szCs w:val="17"/>
                <w:b w:val="1"/>
                <w:bCs w:val="1"/>
                <w:color w:val="auto"/>
              </w:rPr>
              <w:t>19</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Deferred taxes</w:t>
            </w:r>
          </w:p>
        </w:tc>
        <w:tc>
          <w:tcPr>
            <w:tcW w:w="17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15</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16"/>
        </w:trPr>
        <w:tc>
          <w:tcPr>
            <w:tcW w:w="4900" w:type="dxa"/>
            <w:vAlign w:val="bottom"/>
          </w:tcPr>
          <w:p>
            <w:pPr>
              <w:spacing w:after="0"/>
              <w:rPr>
                <w:sz w:val="20"/>
                <w:szCs w:val="20"/>
                <w:color w:val="auto"/>
              </w:rPr>
            </w:pPr>
            <w:r>
              <w:rPr>
                <w:rFonts w:ascii="Arial" w:cs="Arial" w:eastAsia="Arial" w:hAnsi="Arial"/>
                <w:sz w:val="17"/>
                <w:szCs w:val="17"/>
                <w:color w:val="auto"/>
              </w:rPr>
              <w:t>Postretirement benefits</w:t>
            </w:r>
          </w:p>
        </w:tc>
        <w:tc>
          <w:tcPr>
            <w:tcW w:w="1740" w:type="dxa"/>
            <w:vAlign w:val="bottom"/>
          </w:tcPr>
          <w:p>
            <w:pPr>
              <w:spacing w:after="0"/>
              <w:rPr>
                <w:sz w:val="18"/>
                <w:szCs w:val="18"/>
                <w:color w:val="auto"/>
              </w:rPr>
            </w:pPr>
          </w:p>
        </w:tc>
        <w:tc>
          <w:tcPr>
            <w:tcW w:w="660" w:type="dxa"/>
            <w:vAlign w:val="bottom"/>
          </w:tcPr>
          <w:p>
            <w:pPr>
              <w:jc w:val="right"/>
              <w:ind w:right="175"/>
              <w:spacing w:after="0"/>
              <w:rPr>
                <w:sz w:val="20"/>
                <w:szCs w:val="20"/>
                <w:color w:val="auto"/>
              </w:rPr>
            </w:pPr>
            <w:r>
              <w:rPr>
                <w:rFonts w:ascii="Arial" w:cs="Arial" w:eastAsia="Arial" w:hAnsi="Arial"/>
                <w:sz w:val="17"/>
                <w:szCs w:val="17"/>
                <w:b w:val="1"/>
                <w:bCs w:val="1"/>
                <w:color w:val="auto"/>
              </w:rPr>
              <w:t>14</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Workers’ compensation and general liability reserves</w:t>
            </w:r>
          </w:p>
        </w:tc>
        <w:tc>
          <w:tcPr>
            <w:tcW w:w="17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7</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r>
      <w:tr>
        <w:trPr>
          <w:trHeight w:val="216"/>
        </w:trPr>
        <w:tc>
          <w:tcPr>
            <w:tcW w:w="49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Other</w:t>
            </w:r>
          </w:p>
        </w:tc>
        <w:tc>
          <w:tcPr>
            <w:tcW w:w="17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9</w:t>
            </w: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r>
      <w:tr>
        <w:trPr>
          <w:trHeight w:val="190"/>
        </w:trPr>
        <w:tc>
          <w:tcPr>
            <w:tcW w:w="4900" w:type="dxa"/>
            <w:vAlign w:val="bottom"/>
            <w:tcBorders>
              <w:bottom w:val="single" w:sz="8" w:color="auto"/>
            </w:tcBorders>
            <w:shd w:val="clear" w:color="auto" w:fill="CCEEFF"/>
          </w:tcPr>
          <w:p>
            <w:pPr>
              <w:spacing w:after="0"/>
              <w:rPr>
                <w:sz w:val="16"/>
                <w:szCs w:val="16"/>
                <w:color w:val="auto"/>
              </w:rPr>
            </w:pPr>
          </w:p>
        </w:tc>
        <w:tc>
          <w:tcPr>
            <w:tcW w:w="1740" w:type="dxa"/>
            <w:vAlign w:val="bottom"/>
            <w:tcBorders>
              <w:bottom w:val="single" w:sz="8" w:color="auto"/>
            </w:tcBorders>
            <w:shd w:val="clear" w:color="auto" w:fill="CCEEFF"/>
          </w:tcPr>
          <w:p>
            <w:pPr>
              <w:jc w:val="right"/>
              <w:ind w:right="655"/>
              <w:spacing w:after="0" w:line="183" w:lineRule="exact"/>
              <w:rPr>
                <w:sz w:val="20"/>
                <w:szCs w:val="20"/>
                <w:color w:val="auto"/>
              </w:rPr>
            </w:pPr>
            <w:r>
              <w:rPr>
                <w:rFonts w:ascii="Arial" w:cs="Arial" w:eastAsia="Arial" w:hAnsi="Arial"/>
                <w:sz w:val="17"/>
                <w:szCs w:val="17"/>
                <w:b w:val="1"/>
                <w:bCs w:val="1"/>
                <w:color w:val="auto"/>
              </w:rPr>
              <w:t>$</w:t>
            </w:r>
          </w:p>
        </w:tc>
        <w:tc>
          <w:tcPr>
            <w:tcW w:w="660" w:type="dxa"/>
            <w:vAlign w:val="bottom"/>
            <w:tcBorders>
              <w:bottom w:val="single" w:sz="8" w:color="auto"/>
            </w:tcBorders>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701</w:t>
            </w:r>
          </w:p>
        </w:tc>
        <w:tc>
          <w:tcPr>
            <w:tcW w:w="52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391</w:t>
            </w:r>
          </w:p>
        </w:tc>
      </w:tr>
    </w:tbl>
    <w:p>
      <w:pPr>
        <w:spacing w:after="0" w:line="107" w:lineRule="exact"/>
        <w:rPr>
          <w:sz w:val="20"/>
          <w:szCs w:val="20"/>
          <w:color w:val="auto"/>
        </w:rPr>
      </w:pPr>
    </w:p>
    <w:p>
      <w:pPr>
        <w:ind w:left="800" w:right="239" w:hanging="384"/>
        <w:spacing w:after="0" w:line="231" w:lineRule="auto"/>
        <w:tabs>
          <w:tab w:leader="none" w:pos="800" w:val="left"/>
        </w:tabs>
        <w:numPr>
          <w:ilvl w:val="1"/>
          <w:numId w:val="26"/>
        </w:numPr>
        <w:rPr>
          <w:rFonts w:ascii="Arial" w:cs="Arial" w:eastAsia="Arial" w:hAnsi="Arial"/>
          <w:sz w:val="12"/>
          <w:szCs w:val="12"/>
          <w:color w:val="auto"/>
        </w:rPr>
      </w:pPr>
      <w:r>
        <w:rPr>
          <w:rFonts w:ascii="Arial" w:cs="Arial" w:eastAsia="Arial" w:hAnsi="Arial"/>
          <w:sz w:val="14"/>
          <w:szCs w:val="14"/>
          <w:color w:val="auto"/>
        </w:rPr>
        <w:t>Includes unamortized tenant allowances of $64 million and $59 million for the year ended February 3, 2018 and January 28, 2017, respectively.</w:t>
      </w:r>
    </w:p>
    <w:p>
      <w:pPr>
        <w:spacing w:after="0" w:line="167" w:lineRule="exact"/>
        <w:rPr>
          <w:rFonts w:ascii="Arial" w:cs="Arial" w:eastAsia="Arial" w:hAnsi="Arial"/>
          <w:sz w:val="12"/>
          <w:szCs w:val="12"/>
          <w:color w:val="auto"/>
        </w:rPr>
      </w:pPr>
    </w:p>
    <w:p>
      <w:pPr>
        <w:ind w:left="400" w:hanging="295"/>
        <w:spacing w:after="0"/>
        <w:tabs>
          <w:tab w:leader="none" w:pos="4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01"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The Company is obligated under operating leases for almost all of its store properties. Some of the store leases contain renewal options with varying terms and conditions. Management expects that in the normal course of business, expiring leases will generally be renewed or, upon making a decision to relocate, replaced by leases on other premises. Operating lease periods generally range from 5 to 10 years.</w:t>
      </w:r>
    </w:p>
    <w:p>
      <w:pPr>
        <w:spacing w:after="0" w:line="177"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Certain leases provide for additional rent payments based on a percentage of store sales. Also, most of the Company’s leases require the payment of certain executory costs such as insurance, maintenance, and other costs in addition to the future minimum lease payments. These costs, including the amortization of lease rights, totaled $146 million in 2017, $141 million in 2016, and $137 million in 2015.</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3" w:lineRule="exact"/>
        <w:rPr>
          <w:sz w:val="20"/>
          <w:szCs w:val="20"/>
          <w:color w:val="auto"/>
        </w:rPr>
      </w:pPr>
    </w:p>
    <w:p>
      <w:pPr>
        <w:ind w:left="100" w:right="99"/>
        <w:spacing w:after="0" w:line="243" w:lineRule="auto"/>
        <w:rPr>
          <w:sz w:val="20"/>
          <w:szCs w:val="20"/>
          <w:color w:val="auto"/>
        </w:rPr>
      </w:pPr>
      <w:r>
        <w:rPr>
          <w:rFonts w:ascii="Arial" w:cs="Arial" w:eastAsia="Arial" w:hAnsi="Arial"/>
          <w:sz w:val="17"/>
          <w:szCs w:val="17"/>
          <w:color w:val="auto"/>
        </w:rPr>
        <w:t>Included in the amounts below are non-store expenses that totaled $24 million in both 2017 and 2016, and $18 million in 2015.</w:t>
      </w:r>
    </w:p>
    <w:p>
      <w:pPr>
        <w:spacing w:after="0" w:line="151"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37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4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color w:val="auto"/>
              </w:rPr>
              <w:t>2016</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color w:val="auto"/>
              </w:rPr>
              <w:t>2015</w:t>
            </w:r>
          </w:p>
        </w:tc>
      </w:tr>
      <w:tr>
        <w:trPr>
          <w:trHeight w:val="210"/>
        </w:trPr>
        <w:tc>
          <w:tcPr>
            <w:tcW w:w="3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Arial" w:cs="Arial" w:eastAsia="Arial" w:hAnsi="Arial"/>
                <w:sz w:val="17"/>
                <w:szCs w:val="17"/>
                <w:color w:val="auto"/>
              </w:rPr>
              <w:t>($ in millions)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Minimum rent</w:t>
            </w:r>
          </w:p>
        </w:tc>
        <w:tc>
          <w:tcPr>
            <w:tcW w:w="2080" w:type="dxa"/>
            <w:vAlign w:val="bottom"/>
            <w:shd w:val="clear" w:color="auto" w:fill="CCEEFF"/>
          </w:tcPr>
          <w:p>
            <w:pPr>
              <w:jc w:val="right"/>
              <w:ind w:right="595"/>
              <w:spacing w:after="0"/>
              <w:rPr>
                <w:sz w:val="20"/>
                <w:szCs w:val="20"/>
                <w:color w:val="auto"/>
              </w:rPr>
            </w:pPr>
            <w:r>
              <w:rPr>
                <w:rFonts w:ascii="Arial" w:cs="Arial" w:eastAsia="Arial" w:hAnsi="Arial"/>
                <w:sz w:val="17"/>
                <w:szCs w:val="17"/>
                <w:b w:val="1"/>
                <w:bCs w:val="1"/>
                <w:color w:val="auto"/>
              </w:rPr>
              <w:t>$</w:t>
            </w:r>
          </w:p>
        </w:tc>
        <w:tc>
          <w:tcPr>
            <w:tcW w:w="48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714</w:t>
            </w:r>
          </w:p>
        </w:tc>
        <w:tc>
          <w:tcPr>
            <w:tcW w:w="3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667</w:t>
            </w:r>
          </w:p>
        </w:tc>
        <w:tc>
          <w:tcPr>
            <w:tcW w:w="2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618</w:t>
            </w:r>
          </w:p>
        </w:tc>
      </w:tr>
      <w:tr>
        <w:trPr>
          <w:trHeight w:val="230"/>
        </w:trPr>
        <w:tc>
          <w:tcPr>
            <w:tcW w:w="3700" w:type="dxa"/>
            <w:vAlign w:val="bottom"/>
          </w:tcPr>
          <w:p>
            <w:pPr>
              <w:spacing w:after="0"/>
              <w:rPr>
                <w:sz w:val="20"/>
                <w:szCs w:val="20"/>
                <w:color w:val="auto"/>
              </w:rPr>
            </w:pPr>
            <w:r>
              <w:rPr>
                <w:rFonts w:ascii="Arial" w:cs="Arial" w:eastAsia="Arial" w:hAnsi="Arial"/>
                <w:sz w:val="17"/>
                <w:szCs w:val="17"/>
                <w:color w:val="auto"/>
              </w:rPr>
              <w:t>Contingent rent based on sales</w:t>
            </w:r>
          </w:p>
        </w:tc>
        <w:tc>
          <w:tcPr>
            <w:tcW w:w="2080" w:type="dxa"/>
            <w:vAlign w:val="bottom"/>
          </w:tcPr>
          <w:p>
            <w:pPr>
              <w:spacing w:after="0"/>
              <w:rPr>
                <w:sz w:val="19"/>
                <w:szCs w:val="19"/>
                <w:color w:val="auto"/>
              </w:rPr>
            </w:pPr>
          </w:p>
        </w:tc>
        <w:tc>
          <w:tcPr>
            <w:tcW w:w="480" w:type="dxa"/>
            <w:vAlign w:val="bottom"/>
          </w:tcPr>
          <w:p>
            <w:pPr>
              <w:jc w:val="right"/>
              <w:ind w:right="35"/>
              <w:spacing w:after="0"/>
              <w:rPr>
                <w:sz w:val="20"/>
                <w:szCs w:val="20"/>
                <w:color w:val="auto"/>
              </w:rPr>
            </w:pPr>
            <w:r>
              <w:rPr>
                <w:rFonts w:ascii="Arial" w:cs="Arial" w:eastAsia="Arial" w:hAnsi="Arial"/>
                <w:sz w:val="17"/>
                <w:szCs w:val="17"/>
                <w:b w:val="1"/>
                <w:bCs w:val="1"/>
                <w:color w:val="auto"/>
              </w:rPr>
              <w:t>26</w:t>
            </w:r>
          </w:p>
        </w:tc>
        <w:tc>
          <w:tcPr>
            <w:tcW w:w="300" w:type="dxa"/>
            <w:vAlign w:val="bottom"/>
          </w:tcPr>
          <w:p>
            <w:pPr>
              <w:spacing w:after="0"/>
              <w:rPr>
                <w:sz w:val="19"/>
                <w:szCs w:val="19"/>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29</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30"/>
        </w:trPr>
        <w:tc>
          <w:tcPr>
            <w:tcW w:w="3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Sublease income</w:t>
            </w:r>
          </w:p>
        </w:tc>
        <w:tc>
          <w:tcPr>
            <w:tcW w:w="20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03"/>
        </w:trPr>
        <w:tc>
          <w:tcPr>
            <w:tcW w:w="370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right"/>
              <w:ind w:right="595"/>
              <w:spacing w:after="0"/>
              <w:rPr>
                <w:sz w:val="20"/>
                <w:szCs w:val="20"/>
                <w:color w:val="auto"/>
              </w:rPr>
            </w:pPr>
            <w:r>
              <w:rPr>
                <w:rFonts w:ascii="Arial" w:cs="Arial" w:eastAsia="Arial" w:hAnsi="Arial"/>
                <w:sz w:val="17"/>
                <w:szCs w:val="17"/>
                <w:b w:val="1"/>
                <w:bCs w:val="1"/>
                <w:color w:val="auto"/>
              </w:rPr>
              <w:t>$</w:t>
            </w:r>
          </w:p>
        </w:tc>
        <w:tc>
          <w:tcPr>
            <w:tcW w:w="4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735</w:t>
            </w:r>
          </w:p>
        </w:tc>
        <w:tc>
          <w:tcPr>
            <w:tcW w:w="30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690</w:t>
            </w:r>
          </w:p>
        </w:tc>
        <w:tc>
          <w:tcPr>
            <w:tcW w:w="2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640</w:t>
            </w:r>
          </w:p>
        </w:tc>
      </w:tr>
    </w:tbl>
    <w:p>
      <w:pPr>
        <w:spacing w:after="0" w:line="129" w:lineRule="exact"/>
        <w:rPr>
          <w:sz w:val="20"/>
          <w:szCs w:val="20"/>
          <w:color w:val="auto"/>
        </w:rPr>
      </w:pPr>
    </w:p>
    <w:p>
      <w:pPr>
        <w:ind w:left="100" w:right="399"/>
        <w:spacing w:after="0" w:line="243" w:lineRule="auto"/>
        <w:rPr>
          <w:sz w:val="20"/>
          <w:szCs w:val="20"/>
          <w:color w:val="auto"/>
        </w:rPr>
      </w:pPr>
      <w:r>
        <w:rPr>
          <w:rFonts w:ascii="Arial" w:cs="Arial" w:eastAsia="Arial" w:hAnsi="Arial"/>
          <w:sz w:val="17"/>
          <w:szCs w:val="17"/>
          <w:color w:val="auto"/>
        </w:rPr>
        <w:t>Future minimum lease payments under non-cancellable operating leases, net of future non-cancellable operating sublease payments, are:</w:t>
      </w:r>
    </w:p>
    <w:p>
      <w:pPr>
        <w:spacing w:after="0" w:line="144" w:lineRule="exact"/>
        <w:rPr>
          <w:sz w:val="20"/>
          <w:szCs w:val="20"/>
          <w:color w:val="auto"/>
        </w:rPr>
      </w:pPr>
    </w:p>
    <w:tbl>
      <w:tblPr>
        <w:tblLayout w:type="fixed"/>
        <w:tblInd w:w="100" w:type="dxa"/>
        <w:tblCellMar>
          <w:top w:w="0" w:type="dxa"/>
          <w:left w:w="0" w:type="dxa"/>
          <w:bottom w:w="0" w:type="dxa"/>
          <w:right w:w="0" w:type="dxa"/>
        </w:tblCellMar>
      </w:tblPr>
      <w:tr>
        <w:trPr>
          <w:trHeight w:val="195"/>
        </w:trPr>
        <w:tc>
          <w:tcPr>
            <w:tcW w:w="49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w w:val="99"/>
              </w:rPr>
              <w:t>in millions)</w:t>
            </w: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2018</w:t>
            </w:r>
          </w:p>
        </w:tc>
        <w:tc>
          <w:tcPr>
            <w:tcW w:w="264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678</w:t>
            </w:r>
          </w:p>
        </w:tc>
      </w:tr>
      <w:tr>
        <w:trPr>
          <w:trHeight w:val="230"/>
        </w:trPr>
        <w:tc>
          <w:tcPr>
            <w:tcW w:w="4920" w:type="dxa"/>
            <w:vAlign w:val="bottom"/>
          </w:tcPr>
          <w:p>
            <w:pPr>
              <w:spacing w:after="0"/>
              <w:rPr>
                <w:sz w:val="20"/>
                <w:szCs w:val="20"/>
                <w:color w:val="auto"/>
              </w:rPr>
            </w:pPr>
            <w:r>
              <w:rPr>
                <w:rFonts w:ascii="Arial" w:cs="Arial" w:eastAsia="Arial" w:hAnsi="Arial"/>
                <w:sz w:val="17"/>
                <w:szCs w:val="17"/>
                <w:color w:val="auto"/>
              </w:rPr>
              <w:t>2019</w:t>
            </w:r>
          </w:p>
        </w:tc>
        <w:tc>
          <w:tcPr>
            <w:tcW w:w="26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637</w:t>
            </w:r>
          </w:p>
        </w:tc>
      </w:tr>
      <w:tr>
        <w:trPr>
          <w:trHeight w:val="230"/>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2020</w:t>
            </w:r>
          </w:p>
        </w:tc>
        <w:tc>
          <w:tcPr>
            <w:tcW w:w="26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594</w:t>
            </w:r>
          </w:p>
        </w:tc>
      </w:tr>
      <w:tr>
        <w:trPr>
          <w:trHeight w:val="230"/>
        </w:trPr>
        <w:tc>
          <w:tcPr>
            <w:tcW w:w="4920" w:type="dxa"/>
            <w:vAlign w:val="bottom"/>
          </w:tcPr>
          <w:p>
            <w:pPr>
              <w:spacing w:after="0"/>
              <w:rPr>
                <w:sz w:val="20"/>
                <w:szCs w:val="20"/>
                <w:color w:val="auto"/>
              </w:rPr>
            </w:pPr>
            <w:r>
              <w:rPr>
                <w:rFonts w:ascii="Arial" w:cs="Arial" w:eastAsia="Arial" w:hAnsi="Arial"/>
                <w:sz w:val="17"/>
                <w:szCs w:val="17"/>
                <w:color w:val="auto"/>
              </w:rPr>
              <w:t>2021</w:t>
            </w:r>
          </w:p>
        </w:tc>
        <w:tc>
          <w:tcPr>
            <w:tcW w:w="26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554</w:t>
            </w:r>
          </w:p>
        </w:tc>
      </w:tr>
      <w:tr>
        <w:trPr>
          <w:trHeight w:val="230"/>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2022</w:t>
            </w:r>
          </w:p>
        </w:tc>
        <w:tc>
          <w:tcPr>
            <w:tcW w:w="26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496</w:t>
            </w:r>
          </w:p>
        </w:tc>
      </w:tr>
      <w:tr>
        <w:trPr>
          <w:trHeight w:val="230"/>
        </w:trPr>
        <w:tc>
          <w:tcPr>
            <w:tcW w:w="4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Thereafter</w:t>
            </w:r>
          </w:p>
        </w:tc>
        <w:tc>
          <w:tcPr>
            <w:tcW w:w="26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1,721</w:t>
            </w:r>
          </w:p>
        </w:tc>
      </w:tr>
      <w:tr>
        <w:trPr>
          <w:trHeight w:val="203"/>
        </w:trPr>
        <w:tc>
          <w:tcPr>
            <w:tcW w:w="4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 operating lease commitments</w:t>
            </w:r>
          </w:p>
        </w:tc>
        <w:tc>
          <w:tcPr>
            <w:tcW w:w="264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4,680</w:t>
            </w:r>
          </w:p>
        </w:tc>
      </w:tr>
    </w:tbl>
    <w:p>
      <w:pPr>
        <w:spacing w:after="0" w:line="15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16. Accumulated Other Comprehensive Loss</w:t>
      </w:r>
    </w:p>
    <w:p>
      <w:pPr>
        <w:spacing w:after="0" w:line="20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Accumulated other comprehensive loss, net of tax, is comprised of the following:</w:t>
      </w:r>
    </w:p>
    <w:p>
      <w:pPr>
        <w:spacing w:after="0" w:line="217"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4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5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color w:val="auto"/>
              </w:rPr>
              <w:t>2016</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color w:val="auto"/>
              </w:rPr>
              <w:t>2015</w:t>
            </w:r>
          </w:p>
        </w:tc>
      </w:tr>
      <w:tr>
        <w:trPr>
          <w:trHeight w:val="210"/>
        </w:trPr>
        <w:tc>
          <w:tcPr>
            <w:tcW w:w="4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Arial" w:cs="Arial" w:eastAsia="Arial" w:hAnsi="Arial"/>
                <w:sz w:val="17"/>
                <w:szCs w:val="17"/>
                <w:color w:val="auto"/>
              </w:rPr>
              <w:t>($ in millions)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Foreign currency translation adjustments</w:t>
            </w:r>
          </w:p>
        </w:tc>
        <w:tc>
          <w:tcPr>
            <w:tcW w:w="1200" w:type="dxa"/>
            <w:vAlign w:val="bottom"/>
            <w:shd w:val="clear" w:color="auto" w:fill="CCEEFF"/>
          </w:tcPr>
          <w:p>
            <w:pPr>
              <w:jc w:val="right"/>
              <w:ind w:right="575"/>
              <w:spacing w:after="0"/>
              <w:rPr>
                <w:sz w:val="20"/>
                <w:szCs w:val="20"/>
                <w:color w:val="auto"/>
              </w:rPr>
            </w:pPr>
            <w:r>
              <w:rPr>
                <w:rFonts w:ascii="Arial" w:cs="Arial" w:eastAsia="Arial" w:hAnsi="Arial"/>
                <w:sz w:val="17"/>
                <w:szCs w:val="17"/>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w:t>
            </w:r>
          </w:p>
        </w:tc>
        <w:tc>
          <w:tcPr>
            <w:tcW w:w="3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2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r>
      <w:tr>
        <w:trPr>
          <w:trHeight w:val="230"/>
        </w:trPr>
        <w:tc>
          <w:tcPr>
            <w:tcW w:w="4560" w:type="dxa"/>
            <w:vAlign w:val="bottom"/>
          </w:tcPr>
          <w:p>
            <w:pPr>
              <w:spacing w:after="0"/>
              <w:rPr>
                <w:sz w:val="20"/>
                <w:szCs w:val="20"/>
                <w:color w:val="auto"/>
              </w:rPr>
            </w:pPr>
            <w:r>
              <w:rPr>
                <w:rFonts w:ascii="Arial" w:cs="Arial" w:eastAsia="Arial" w:hAnsi="Arial"/>
                <w:sz w:val="17"/>
                <w:szCs w:val="17"/>
                <w:color w:val="auto"/>
              </w:rPr>
              <w:t>Cash flow hedges</w:t>
            </w:r>
          </w:p>
        </w:tc>
        <w:tc>
          <w:tcPr>
            <w:tcW w:w="1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19"/>
                <w:szCs w:val="19"/>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1</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30"/>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Unrecognized pension cost and postretirement benefit</w:t>
            </w:r>
          </w:p>
        </w:tc>
        <w:tc>
          <w:tcPr>
            <w:tcW w:w="12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(270)</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w:t>
            </w:r>
          </w:p>
        </w:tc>
      </w:tr>
      <w:tr>
        <w:trPr>
          <w:trHeight w:val="230"/>
        </w:trPr>
        <w:tc>
          <w:tcPr>
            <w:tcW w:w="4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Unrealized loss on available-for-sale security</w:t>
            </w:r>
          </w:p>
        </w:tc>
        <w:tc>
          <w:tcPr>
            <w:tcW w:w="1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r>
      <w:tr>
        <w:trPr>
          <w:trHeight w:val="203"/>
        </w:trPr>
        <w:tc>
          <w:tcPr>
            <w:tcW w:w="45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575"/>
              <w:spacing w:after="0"/>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(279)</w:t>
            </w:r>
          </w:p>
        </w:tc>
        <w:tc>
          <w:tcPr>
            <w:tcW w:w="3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(363)</w:t>
            </w:r>
          </w:p>
        </w:tc>
        <w:tc>
          <w:tcPr>
            <w:tcW w:w="2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(366)</w:t>
            </w:r>
          </w:p>
        </w:tc>
      </w:tr>
    </w:tbl>
    <w:p>
      <w:pPr>
        <w:spacing w:after="0" w:line="15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changes in accumulated other comprehensive loss for the period ended February 3, 2018 were as follows:</w:t>
      </w:r>
    </w:p>
    <w:p>
      <w:pPr>
        <w:spacing w:after="0" w:line="163"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7"/>
                <w:szCs w:val="17"/>
                <w:b w:val="1"/>
                <w:bCs w:val="1"/>
                <w:color w:val="auto"/>
                <w:w w:val="99"/>
              </w:rPr>
              <w:t>Unrealized</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center"/>
              <w:ind w:right="175"/>
              <w:spacing w:after="0"/>
              <w:rPr>
                <w:sz w:val="20"/>
                <w:szCs w:val="20"/>
                <w:color w:val="auto"/>
              </w:rPr>
            </w:pPr>
            <w:r>
              <w:rPr>
                <w:rFonts w:ascii="Arial" w:cs="Arial" w:eastAsia="Arial" w:hAnsi="Arial"/>
                <w:sz w:val="17"/>
                <w:szCs w:val="17"/>
                <w:b w:val="1"/>
                <w:bCs w:val="1"/>
                <w:color w:val="auto"/>
                <w:w w:val="99"/>
              </w:rPr>
              <w:t>Foreign</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00" w:type="dxa"/>
            <w:vAlign w:val="bottom"/>
            <w:gridSpan w:val="2"/>
          </w:tcPr>
          <w:p>
            <w:pPr>
              <w:jc w:val="center"/>
              <w:spacing w:after="0"/>
              <w:rPr>
                <w:sz w:val="20"/>
                <w:szCs w:val="20"/>
                <w:color w:val="auto"/>
              </w:rPr>
            </w:pPr>
            <w:r>
              <w:rPr>
                <w:rFonts w:ascii="Arial" w:cs="Arial" w:eastAsia="Arial" w:hAnsi="Arial"/>
                <w:sz w:val="17"/>
                <w:szCs w:val="17"/>
                <w:b w:val="1"/>
                <w:bCs w:val="1"/>
                <w:color w:val="auto"/>
              </w:rPr>
              <w:t>Items Related</w:t>
            </w:r>
          </w:p>
        </w:tc>
        <w:tc>
          <w:tcPr>
            <w:tcW w:w="1340" w:type="dxa"/>
            <w:vAlign w:val="bottom"/>
            <w:gridSpan w:val="2"/>
          </w:tcPr>
          <w:p>
            <w:pPr>
              <w:jc w:val="center"/>
              <w:spacing w:after="0"/>
              <w:rPr>
                <w:sz w:val="20"/>
                <w:szCs w:val="20"/>
                <w:color w:val="auto"/>
              </w:rPr>
            </w:pPr>
            <w:r>
              <w:rPr>
                <w:rFonts w:ascii="Arial" w:cs="Arial" w:eastAsia="Arial" w:hAnsi="Arial"/>
                <w:sz w:val="17"/>
                <w:szCs w:val="17"/>
                <w:b w:val="1"/>
                <w:bCs w:val="1"/>
                <w:color w:val="auto"/>
              </w:rPr>
              <w:t>(Loss)/Gain</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center"/>
              <w:ind w:right="175"/>
              <w:spacing w:after="0"/>
              <w:rPr>
                <w:sz w:val="20"/>
                <w:szCs w:val="20"/>
                <w:color w:val="auto"/>
              </w:rPr>
            </w:pPr>
            <w:r>
              <w:rPr>
                <w:rFonts w:ascii="Arial" w:cs="Arial" w:eastAsia="Arial" w:hAnsi="Arial"/>
                <w:sz w:val="17"/>
                <w:szCs w:val="17"/>
                <w:b w:val="1"/>
                <w:bCs w:val="1"/>
                <w:color w:val="auto"/>
                <w:w w:val="99"/>
              </w:rPr>
              <w:t>Currency</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00" w:type="dxa"/>
            <w:vAlign w:val="bottom"/>
            <w:gridSpan w:val="2"/>
          </w:tcPr>
          <w:p>
            <w:pPr>
              <w:jc w:val="center"/>
              <w:spacing w:after="0"/>
              <w:rPr>
                <w:sz w:val="20"/>
                <w:szCs w:val="20"/>
                <w:color w:val="auto"/>
              </w:rPr>
            </w:pPr>
            <w:r>
              <w:rPr>
                <w:rFonts w:ascii="Arial" w:cs="Arial" w:eastAsia="Arial" w:hAnsi="Arial"/>
                <w:sz w:val="17"/>
                <w:szCs w:val="17"/>
                <w:b w:val="1"/>
                <w:bCs w:val="1"/>
                <w:color w:val="auto"/>
              </w:rPr>
              <w:t>to Pension and</w:t>
            </w:r>
          </w:p>
        </w:tc>
        <w:tc>
          <w:tcPr>
            <w:tcW w:w="400" w:type="dxa"/>
            <w:vAlign w:val="bottom"/>
          </w:tcPr>
          <w:p>
            <w:pPr>
              <w:spacing w:after="0"/>
              <w:rPr>
                <w:sz w:val="18"/>
                <w:szCs w:val="18"/>
                <w:color w:val="auto"/>
              </w:rPr>
            </w:pPr>
          </w:p>
        </w:tc>
        <w:tc>
          <w:tcPr>
            <w:tcW w:w="940" w:type="dxa"/>
            <w:vAlign w:val="bottom"/>
          </w:tcPr>
          <w:p>
            <w:pPr>
              <w:jc w:val="center"/>
              <w:ind w:right="355"/>
              <w:spacing w:after="0"/>
              <w:rPr>
                <w:sz w:val="20"/>
                <w:szCs w:val="20"/>
                <w:color w:val="auto"/>
              </w:rPr>
            </w:pPr>
            <w:r>
              <w:rPr>
                <w:rFonts w:ascii="Arial" w:cs="Arial" w:eastAsia="Arial" w:hAnsi="Arial"/>
                <w:sz w:val="17"/>
                <w:szCs w:val="17"/>
                <w:b w:val="1"/>
                <w:bCs w:val="1"/>
                <w:color w:val="auto"/>
              </w:rPr>
              <w:t>on</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7"/>
                <w:szCs w:val="17"/>
                <w:b w:val="1"/>
                <w:bCs w:val="1"/>
                <w:color w:val="auto"/>
                <w:w w:val="98"/>
              </w:rPr>
              <w:t>Translation</w:t>
            </w:r>
          </w:p>
        </w:tc>
        <w:tc>
          <w:tcPr>
            <w:tcW w:w="1160" w:type="dxa"/>
            <w:vAlign w:val="bottom"/>
            <w:gridSpan w:val="2"/>
          </w:tcPr>
          <w:p>
            <w:pPr>
              <w:jc w:val="right"/>
              <w:ind w:right="95"/>
              <w:spacing w:after="0"/>
              <w:rPr>
                <w:sz w:val="20"/>
                <w:szCs w:val="20"/>
                <w:color w:val="auto"/>
              </w:rPr>
            </w:pPr>
            <w:r>
              <w:rPr>
                <w:rFonts w:ascii="Arial" w:cs="Arial" w:eastAsia="Arial" w:hAnsi="Arial"/>
                <w:sz w:val="17"/>
                <w:szCs w:val="17"/>
                <w:b w:val="1"/>
                <w:bCs w:val="1"/>
                <w:color w:val="auto"/>
              </w:rPr>
              <w:t>Cash Flow</w:t>
            </w:r>
          </w:p>
        </w:tc>
        <w:tc>
          <w:tcPr>
            <w:tcW w:w="2840" w:type="dxa"/>
            <w:vAlign w:val="bottom"/>
            <w:gridSpan w:val="4"/>
          </w:tcPr>
          <w:p>
            <w:pPr>
              <w:ind w:left="120"/>
              <w:spacing w:after="0"/>
              <w:rPr>
                <w:sz w:val="20"/>
                <w:szCs w:val="20"/>
                <w:color w:val="auto"/>
              </w:rPr>
            </w:pPr>
            <w:r>
              <w:rPr>
                <w:rFonts w:ascii="Arial" w:cs="Arial" w:eastAsia="Arial" w:hAnsi="Arial"/>
                <w:sz w:val="17"/>
                <w:szCs w:val="17"/>
                <w:b w:val="1"/>
                <w:bCs w:val="1"/>
                <w:color w:val="auto"/>
              </w:rPr>
              <w:t>Postretirement   Available-For-</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660" w:type="dxa"/>
            <w:vAlign w:val="bottom"/>
          </w:tcPr>
          <w:p>
            <w:pPr>
              <w:spacing w:after="0"/>
              <w:rPr>
                <w:sz w:val="20"/>
                <w:szCs w:val="20"/>
                <w:color w:val="auto"/>
              </w:rPr>
            </w:pPr>
            <w:r>
              <w:rPr>
                <w:rFonts w:ascii="Arial" w:cs="Arial" w:eastAsia="Arial" w:hAnsi="Arial"/>
                <w:sz w:val="17"/>
                <w:szCs w:val="17"/>
                <w:color w:val="auto"/>
              </w:rPr>
              <w:t>($ in millions)</w:t>
            </w:r>
          </w:p>
        </w:tc>
        <w:tc>
          <w:tcPr>
            <w:tcW w:w="1360" w:type="dxa"/>
            <w:vAlign w:val="bottom"/>
            <w:gridSpan w:val="2"/>
          </w:tcPr>
          <w:p>
            <w:pPr>
              <w:jc w:val="center"/>
              <w:spacing w:after="0"/>
              <w:rPr>
                <w:sz w:val="20"/>
                <w:szCs w:val="20"/>
                <w:color w:val="auto"/>
              </w:rPr>
            </w:pPr>
            <w:r>
              <w:rPr>
                <w:rFonts w:ascii="Arial" w:cs="Arial" w:eastAsia="Arial" w:hAnsi="Arial"/>
                <w:sz w:val="17"/>
                <w:szCs w:val="17"/>
                <w:b w:val="1"/>
                <w:bCs w:val="1"/>
                <w:color w:val="auto"/>
              </w:rPr>
              <w:t>Adjustments</w:t>
            </w:r>
          </w:p>
        </w:tc>
        <w:tc>
          <w:tcPr>
            <w:tcW w:w="1160" w:type="dxa"/>
            <w:vAlign w:val="bottom"/>
            <w:gridSpan w:val="2"/>
          </w:tcPr>
          <w:p>
            <w:pPr>
              <w:jc w:val="right"/>
              <w:ind w:right="215"/>
              <w:spacing w:after="0"/>
              <w:rPr>
                <w:sz w:val="20"/>
                <w:szCs w:val="20"/>
                <w:color w:val="auto"/>
              </w:rPr>
            </w:pPr>
            <w:r>
              <w:rPr>
                <w:rFonts w:ascii="Arial" w:cs="Arial" w:eastAsia="Arial" w:hAnsi="Arial"/>
                <w:sz w:val="17"/>
                <w:szCs w:val="17"/>
                <w:b w:val="1"/>
                <w:bCs w:val="1"/>
                <w:color w:val="auto"/>
              </w:rPr>
              <w:t>Hedges</w:t>
            </w:r>
          </w:p>
        </w:tc>
        <w:tc>
          <w:tcPr>
            <w:tcW w:w="300" w:type="dxa"/>
            <w:vAlign w:val="bottom"/>
          </w:tcPr>
          <w:p>
            <w:pPr>
              <w:spacing w:after="0"/>
              <w:rPr>
                <w:sz w:val="18"/>
                <w:szCs w:val="18"/>
                <w:color w:val="auto"/>
              </w:rPr>
            </w:pPr>
          </w:p>
        </w:tc>
        <w:tc>
          <w:tcPr>
            <w:tcW w:w="1200" w:type="dxa"/>
            <w:vAlign w:val="bottom"/>
          </w:tcPr>
          <w:p>
            <w:pPr>
              <w:jc w:val="center"/>
              <w:ind w:right="275"/>
              <w:spacing w:after="0"/>
              <w:rPr>
                <w:sz w:val="20"/>
                <w:szCs w:val="20"/>
                <w:color w:val="auto"/>
              </w:rPr>
            </w:pPr>
            <w:r>
              <w:rPr>
                <w:rFonts w:ascii="Arial" w:cs="Arial" w:eastAsia="Arial" w:hAnsi="Arial"/>
                <w:sz w:val="17"/>
                <w:szCs w:val="17"/>
                <w:b w:val="1"/>
                <w:bCs w:val="1"/>
                <w:color w:val="auto"/>
              </w:rPr>
              <w:t>Benefits</w:t>
            </w:r>
          </w:p>
        </w:tc>
        <w:tc>
          <w:tcPr>
            <w:tcW w:w="1340" w:type="dxa"/>
            <w:vAlign w:val="bottom"/>
            <w:gridSpan w:val="2"/>
          </w:tcPr>
          <w:p>
            <w:pPr>
              <w:jc w:val="center"/>
              <w:spacing w:after="0"/>
              <w:rPr>
                <w:sz w:val="20"/>
                <w:szCs w:val="20"/>
                <w:color w:val="auto"/>
              </w:rPr>
            </w:pPr>
            <w:r>
              <w:rPr>
                <w:rFonts w:ascii="Arial" w:cs="Arial" w:eastAsia="Arial" w:hAnsi="Arial"/>
                <w:sz w:val="17"/>
                <w:szCs w:val="17"/>
                <w:b w:val="1"/>
                <w:bCs w:val="1"/>
                <w:color w:val="auto"/>
                <w:w w:val="99"/>
              </w:rPr>
              <w:t>Sale Security</w:t>
            </w:r>
          </w:p>
        </w:tc>
        <w:tc>
          <w:tcPr>
            <w:tcW w:w="200" w:type="dxa"/>
            <w:vAlign w:val="bottom"/>
          </w:tcPr>
          <w:p>
            <w:pPr>
              <w:spacing w:after="0"/>
              <w:rPr>
                <w:sz w:val="18"/>
                <w:szCs w:val="18"/>
                <w:color w:val="auto"/>
              </w:rPr>
            </w:pPr>
          </w:p>
        </w:tc>
        <w:tc>
          <w:tcPr>
            <w:tcW w:w="640" w:type="dxa"/>
            <w:vAlign w:val="bottom"/>
            <w:gridSpan w:val="2"/>
          </w:tcPr>
          <w:p>
            <w:pPr>
              <w:ind w:left="2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0"/>
        </w:trPr>
        <w:tc>
          <w:tcPr>
            <w:tcW w:w="2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Balance as of January 28, 2017</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(127)</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1</w:t>
            </w:r>
          </w:p>
        </w:tc>
        <w:tc>
          <w:tcPr>
            <w:tcW w:w="3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(236)</w:t>
            </w:r>
          </w:p>
        </w:tc>
        <w:tc>
          <w:tcPr>
            <w:tcW w:w="40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rPr>
              <w:t>OCI before reclassification</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114</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4</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7"/>
                <w:szCs w:val="17"/>
                <w:color w:val="auto"/>
              </w:rPr>
              <w:t>Reclassified from AOCI</w:t>
            </w:r>
          </w:p>
        </w:tc>
        <w:tc>
          <w:tcPr>
            <w:tcW w:w="28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200" w:type="dxa"/>
            <w:vAlign w:val="bottom"/>
          </w:tcPr>
          <w:p>
            <w:pPr>
              <w:jc w:val="right"/>
              <w:ind w:right="75"/>
              <w:spacing w:after="0"/>
              <w:rPr>
                <w:sz w:val="20"/>
                <w:szCs w:val="20"/>
                <w:color w:val="auto"/>
              </w:rPr>
            </w:pPr>
            <w:r>
              <w:rPr>
                <w:rFonts w:ascii="Arial" w:cs="Arial" w:eastAsia="Arial" w:hAnsi="Arial"/>
                <w:sz w:val="17"/>
                <w:szCs w:val="17"/>
                <w:color w:val="auto"/>
              </w:rPr>
              <w:t>7</w:t>
            </w:r>
          </w:p>
        </w:tc>
        <w:tc>
          <w:tcPr>
            <w:tcW w:w="40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rPr>
              <w:t>Reclassification of tax effects due</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6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to the adoption of ASU 2018-02</w:t>
            </w:r>
          </w:p>
        </w:tc>
        <w:tc>
          <w:tcPr>
            <w:tcW w:w="2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4</w:t>
            </w:r>
          </w:p>
        </w:tc>
        <w:tc>
          <w:tcPr>
            <w:tcW w:w="2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(45)</w:t>
            </w:r>
          </w:p>
        </w:tc>
        <w:tc>
          <w:tcPr>
            <w:tcW w:w="4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60" w:type="dxa"/>
            <w:vAlign w:val="bottom"/>
          </w:tcPr>
          <w:p>
            <w:pPr>
              <w:spacing w:after="0"/>
              <w:rPr>
                <w:sz w:val="20"/>
                <w:szCs w:val="20"/>
                <w:color w:val="auto"/>
              </w:rPr>
            </w:pPr>
            <w:r>
              <w:rPr>
                <w:rFonts w:ascii="Arial" w:cs="Arial" w:eastAsia="Arial" w:hAnsi="Arial"/>
                <w:sz w:val="17"/>
                <w:szCs w:val="17"/>
                <w:color w:val="auto"/>
              </w:rPr>
              <w:t>Other comprehensive income/</w:t>
            </w:r>
          </w:p>
        </w:tc>
        <w:tc>
          <w:tcPr>
            <w:tcW w:w="280" w:type="dxa"/>
            <w:vAlign w:val="bottom"/>
          </w:tcPr>
          <w:p>
            <w:pPr>
              <w:spacing w:after="0"/>
              <w:rPr>
                <w:sz w:val="17"/>
                <w:szCs w:val="17"/>
                <w:color w:val="auto"/>
              </w:rPr>
            </w:pPr>
          </w:p>
        </w:tc>
        <w:tc>
          <w:tcPr>
            <w:tcW w:w="1080" w:type="dxa"/>
            <w:vAlign w:val="bottom"/>
            <w:vMerge w:val="restart"/>
          </w:tcPr>
          <w:p>
            <w:pPr>
              <w:jc w:val="right"/>
              <w:ind w:right="95"/>
              <w:spacing w:after="0"/>
              <w:rPr>
                <w:sz w:val="20"/>
                <w:szCs w:val="20"/>
                <w:color w:val="auto"/>
              </w:rPr>
            </w:pPr>
            <w:r>
              <w:rPr>
                <w:rFonts w:ascii="Arial" w:cs="Arial" w:eastAsia="Arial" w:hAnsi="Arial"/>
                <w:sz w:val="17"/>
                <w:szCs w:val="17"/>
                <w:color w:val="auto"/>
              </w:rPr>
              <w:t>118</w:t>
            </w:r>
          </w:p>
        </w:tc>
        <w:tc>
          <w:tcPr>
            <w:tcW w:w="280" w:type="dxa"/>
            <w:vAlign w:val="bottom"/>
          </w:tcPr>
          <w:p>
            <w:pPr>
              <w:spacing w:after="0"/>
              <w:rPr>
                <w:sz w:val="17"/>
                <w:szCs w:val="17"/>
                <w:color w:val="auto"/>
              </w:rPr>
            </w:pPr>
          </w:p>
        </w:tc>
        <w:tc>
          <w:tcPr>
            <w:tcW w:w="880" w:type="dxa"/>
            <w:vAlign w:val="bottom"/>
            <w:vMerge w:val="restart"/>
          </w:tcPr>
          <w:p>
            <w:pPr>
              <w:jc w:val="right"/>
              <w:ind w:right="35"/>
              <w:spacing w:after="0"/>
              <w:rPr>
                <w:sz w:val="20"/>
                <w:szCs w:val="20"/>
                <w:color w:val="auto"/>
              </w:rPr>
            </w:pPr>
            <w:r>
              <w:rPr>
                <w:rFonts w:ascii="Arial" w:cs="Arial" w:eastAsia="Arial" w:hAnsi="Arial"/>
                <w:sz w:val="17"/>
                <w:szCs w:val="17"/>
                <w:color w:val="auto"/>
              </w:rPr>
              <w:t>(1)</w:t>
            </w:r>
          </w:p>
        </w:tc>
        <w:tc>
          <w:tcPr>
            <w:tcW w:w="300" w:type="dxa"/>
            <w:vAlign w:val="bottom"/>
          </w:tcPr>
          <w:p>
            <w:pPr>
              <w:spacing w:after="0"/>
              <w:rPr>
                <w:sz w:val="17"/>
                <w:szCs w:val="17"/>
                <w:color w:val="auto"/>
              </w:rPr>
            </w:pPr>
          </w:p>
        </w:tc>
        <w:tc>
          <w:tcPr>
            <w:tcW w:w="1200" w:type="dxa"/>
            <w:vAlign w:val="bottom"/>
            <w:vMerge w:val="restart"/>
          </w:tcPr>
          <w:p>
            <w:pPr>
              <w:jc w:val="right"/>
              <w:ind w:right="35"/>
              <w:spacing w:after="0"/>
              <w:rPr>
                <w:sz w:val="20"/>
                <w:szCs w:val="20"/>
                <w:color w:val="auto"/>
              </w:rPr>
            </w:pPr>
            <w:r>
              <w:rPr>
                <w:rFonts w:ascii="Arial" w:cs="Arial" w:eastAsia="Arial" w:hAnsi="Arial"/>
                <w:sz w:val="17"/>
                <w:szCs w:val="17"/>
                <w:color w:val="auto"/>
              </w:rPr>
              <w:t>(34)</w:t>
            </w:r>
          </w:p>
        </w:tc>
        <w:tc>
          <w:tcPr>
            <w:tcW w:w="400" w:type="dxa"/>
            <w:vAlign w:val="bottom"/>
          </w:tcPr>
          <w:p>
            <w:pPr>
              <w:spacing w:after="0"/>
              <w:rPr>
                <w:sz w:val="17"/>
                <w:szCs w:val="17"/>
                <w:color w:val="auto"/>
              </w:rPr>
            </w:pPr>
          </w:p>
        </w:tc>
        <w:tc>
          <w:tcPr>
            <w:tcW w:w="940" w:type="dxa"/>
            <w:vAlign w:val="bottom"/>
            <w:vMerge w:val="restart"/>
          </w:tcPr>
          <w:p>
            <w:pPr>
              <w:jc w:val="right"/>
              <w:ind w:right="55"/>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7"/>
                <w:szCs w:val="17"/>
                <w:color w:val="auto"/>
              </w:rPr>
              <w:t>84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660" w:type="dxa"/>
            <w:vAlign w:val="bottom"/>
            <w:vMerge w:val="restart"/>
          </w:tcPr>
          <w:p>
            <w:pPr>
              <w:ind w:left="80"/>
              <w:spacing w:after="0"/>
              <w:rPr>
                <w:sz w:val="20"/>
                <w:szCs w:val="20"/>
                <w:color w:val="auto"/>
              </w:rPr>
            </w:pPr>
            <w:r>
              <w:rPr>
                <w:rFonts w:ascii="Arial" w:cs="Arial" w:eastAsia="Arial" w:hAnsi="Arial"/>
                <w:sz w:val="17"/>
                <w:szCs w:val="17"/>
                <w:color w:val="auto"/>
              </w:rPr>
              <w:t>(loss)</w:t>
            </w:r>
          </w:p>
        </w:tc>
        <w:tc>
          <w:tcPr>
            <w:tcW w:w="28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6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6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Balance as of February 3, 2018</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8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(9)</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8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3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7"/>
                <w:szCs w:val="17"/>
                <w:b w:val="1"/>
                <w:bCs w:val="1"/>
                <w:color w:val="auto"/>
              </w:rPr>
              <w:t>$</w:t>
            </w:r>
          </w:p>
        </w:tc>
        <w:tc>
          <w:tcPr>
            <w:tcW w:w="1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(270)</w:t>
            </w:r>
          </w:p>
        </w:tc>
        <w:tc>
          <w:tcPr>
            <w:tcW w:w="40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w:t>
            </w:r>
          </w:p>
        </w:tc>
        <w:tc>
          <w:tcPr>
            <w:tcW w:w="9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(279)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4"/>
        </w:trPr>
        <w:tc>
          <w:tcPr>
            <w:tcW w:w="2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ind w:right="595"/>
              <w:spacing w:after="0"/>
              <w:rPr>
                <w:sz w:val="20"/>
                <w:szCs w:val="20"/>
                <w:color w:val="auto"/>
              </w:rPr>
            </w:pPr>
            <w:r>
              <w:rPr>
                <w:rFonts w:ascii="Arial" w:cs="Arial" w:eastAsia="Arial" w:hAnsi="Arial"/>
                <w:sz w:val="17"/>
                <w:szCs w:val="17"/>
                <w:color w:val="auto"/>
                <w:w w:val="94"/>
              </w:rPr>
              <w:t>57</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6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6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120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3"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Reclassifications to income from accumulated other comprehensive loss for the period ended February 3, 2018 were as follows:</w:t>
      </w:r>
    </w:p>
    <w:p>
      <w:pPr>
        <w:spacing w:after="0" w:line="90" w:lineRule="exact"/>
        <w:rPr>
          <w:sz w:val="20"/>
          <w:szCs w:val="20"/>
          <w:color w:val="auto"/>
        </w:rPr>
      </w:pPr>
    </w:p>
    <w:tbl>
      <w:tblPr>
        <w:tblLayout w:type="fixed"/>
        <w:tblInd w:w="100" w:type="dxa"/>
        <w:tblCellMar>
          <w:top w:w="0" w:type="dxa"/>
          <w:left w:w="0" w:type="dxa"/>
          <w:bottom w:w="0" w:type="dxa"/>
          <w:right w:w="0" w:type="dxa"/>
        </w:tblCellMar>
      </w:tblPr>
      <w:tr>
        <w:trPr>
          <w:trHeight w:val="195"/>
        </w:trPr>
        <w:tc>
          <w:tcPr>
            <w:tcW w:w="57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color w:val="auto"/>
              </w:rPr>
              <w:t>in millions)</w:t>
            </w: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7"/>
                <w:szCs w:val="17"/>
                <w:color w:val="auto"/>
              </w:rPr>
              <w:t>Amortization of actuarial (gain) loss:</w:t>
            </w:r>
          </w:p>
        </w:tc>
        <w:tc>
          <w:tcPr>
            <w:tcW w:w="18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5720" w:type="dxa"/>
            <w:vAlign w:val="bottom"/>
          </w:tcPr>
          <w:p>
            <w:pPr>
              <w:ind w:left="200"/>
              <w:spacing w:after="0"/>
              <w:rPr>
                <w:sz w:val="20"/>
                <w:szCs w:val="20"/>
                <w:color w:val="auto"/>
              </w:rPr>
            </w:pPr>
            <w:r>
              <w:rPr>
                <w:rFonts w:ascii="Arial" w:cs="Arial" w:eastAsia="Arial" w:hAnsi="Arial"/>
                <w:sz w:val="17"/>
                <w:szCs w:val="17"/>
                <w:color w:val="auto"/>
              </w:rPr>
              <w:t>Pension benefits- amortization of actuarial loss</w:t>
            </w:r>
          </w:p>
        </w:tc>
        <w:tc>
          <w:tcPr>
            <w:tcW w:w="180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30"/>
        </w:trPr>
        <w:tc>
          <w:tcPr>
            <w:tcW w:w="57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7"/>
                <w:szCs w:val="17"/>
                <w:color w:val="auto"/>
              </w:rPr>
              <w:t>Postretirement benefits- amortization of actuarial gain</w:t>
            </w:r>
          </w:p>
        </w:tc>
        <w:tc>
          <w:tcPr>
            <w:tcW w:w="18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10"/>
        </w:trPr>
        <w:tc>
          <w:tcPr>
            <w:tcW w:w="5720" w:type="dxa"/>
            <w:vAlign w:val="bottom"/>
          </w:tcPr>
          <w:p>
            <w:pPr>
              <w:spacing w:after="0"/>
              <w:rPr>
                <w:sz w:val="20"/>
                <w:szCs w:val="20"/>
                <w:color w:val="auto"/>
              </w:rPr>
            </w:pPr>
            <w:r>
              <w:rPr>
                <w:rFonts w:ascii="Arial" w:cs="Arial" w:eastAsia="Arial" w:hAnsi="Arial"/>
                <w:sz w:val="17"/>
                <w:szCs w:val="17"/>
                <w:color w:val="auto"/>
              </w:rPr>
              <w:t>Net periodic benefit cost (see Note 20)</w:t>
            </w:r>
          </w:p>
        </w:tc>
        <w:tc>
          <w:tcPr>
            <w:tcW w:w="18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30"/>
        </w:trPr>
        <w:tc>
          <w:tcPr>
            <w:tcW w:w="5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Income tax benefit</w:t>
            </w:r>
          </w:p>
        </w:tc>
        <w:tc>
          <w:tcPr>
            <w:tcW w:w="18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03"/>
        </w:trPr>
        <w:tc>
          <w:tcPr>
            <w:tcW w:w="57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Net of tax</w:t>
            </w:r>
          </w:p>
        </w:tc>
        <w:tc>
          <w:tcPr>
            <w:tcW w:w="18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r>
    </w:tbl>
    <w:p>
      <w:pPr>
        <w:spacing w:after="0" w:line="8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17. Income Taxes</w:t>
      </w:r>
    </w:p>
    <w:p>
      <w:pPr>
        <w:spacing w:after="0" w:line="20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domestic and international components of pre-tax income are as follows:</w:t>
      </w:r>
    </w:p>
    <w:p>
      <w:pPr>
        <w:spacing w:after="0" w:line="82"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31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5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color w:val="auto"/>
              </w:rPr>
              <w:t>2016</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rPr>
              <w:t>2015</w:t>
            </w:r>
          </w:p>
        </w:tc>
      </w:tr>
      <w:tr>
        <w:trPr>
          <w:trHeight w:val="210"/>
        </w:trPr>
        <w:tc>
          <w:tcPr>
            <w:tcW w:w="3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20" w:type="dxa"/>
            <w:vAlign w:val="bottom"/>
            <w:gridSpan w:val="2"/>
          </w:tcPr>
          <w:p>
            <w:pPr>
              <w:ind w:left="220"/>
              <w:spacing w:after="0"/>
              <w:rPr>
                <w:sz w:val="20"/>
                <w:szCs w:val="20"/>
                <w:color w:val="auto"/>
              </w:rPr>
            </w:pPr>
            <w:r>
              <w:rPr>
                <w:rFonts w:ascii="Arial" w:cs="Arial" w:eastAsia="Arial" w:hAnsi="Arial"/>
                <w:sz w:val="17"/>
                <w:szCs w:val="17"/>
                <w:color w:val="auto"/>
              </w:rPr>
              <w:t>($ in millions)</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r>
              <w:rPr>
                <w:rFonts w:ascii="Arial" w:cs="Arial" w:eastAsia="Arial" w:hAnsi="Arial"/>
                <w:sz w:val="17"/>
                <w:szCs w:val="17"/>
                <w:color w:val="auto"/>
              </w:rPr>
              <w:t>Domestic</w:t>
            </w:r>
          </w:p>
        </w:tc>
        <w:tc>
          <w:tcPr>
            <w:tcW w:w="2280" w:type="dxa"/>
            <w:vAlign w:val="bottom"/>
            <w:shd w:val="clear" w:color="auto" w:fill="CCEEFF"/>
          </w:tcPr>
          <w:p>
            <w:pPr>
              <w:jc w:val="right"/>
              <w:ind w:right="555"/>
              <w:spacing w:after="0"/>
              <w:rPr>
                <w:sz w:val="20"/>
                <w:szCs w:val="20"/>
                <w:color w:val="auto"/>
              </w:rPr>
            </w:pPr>
            <w:r>
              <w:rPr>
                <w:rFonts w:ascii="Arial" w:cs="Arial" w:eastAsia="Arial" w:hAnsi="Arial"/>
                <w:sz w:val="17"/>
                <w:szCs w:val="17"/>
                <w:b w:val="1"/>
                <w:bCs w:val="1"/>
                <w:color w:val="auto"/>
              </w:rPr>
              <w:t>$</w:t>
            </w:r>
          </w:p>
        </w:tc>
        <w:tc>
          <w:tcPr>
            <w:tcW w:w="560" w:type="dxa"/>
            <w:vAlign w:val="bottom"/>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432</w:t>
            </w:r>
          </w:p>
        </w:tc>
        <w:tc>
          <w:tcPr>
            <w:tcW w:w="4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779</w:t>
            </w:r>
          </w:p>
        </w:tc>
        <w:tc>
          <w:tcPr>
            <w:tcW w:w="4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668</w:t>
            </w:r>
          </w:p>
        </w:tc>
      </w:tr>
      <w:tr>
        <w:trPr>
          <w:trHeight w:val="230"/>
        </w:trPr>
        <w:tc>
          <w:tcPr>
            <w:tcW w:w="31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International</w:t>
            </w:r>
          </w:p>
        </w:tc>
        <w:tc>
          <w:tcPr>
            <w:tcW w:w="2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146</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225</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w:t>
            </w:r>
          </w:p>
        </w:tc>
      </w:tr>
      <w:tr>
        <w:trPr>
          <w:trHeight w:val="203"/>
        </w:trPr>
        <w:tc>
          <w:tcPr>
            <w:tcW w:w="3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 pre-tax income</w:t>
            </w:r>
          </w:p>
        </w:tc>
        <w:tc>
          <w:tcPr>
            <w:tcW w:w="2280" w:type="dxa"/>
            <w:vAlign w:val="bottom"/>
            <w:tcBorders>
              <w:bottom w:val="single" w:sz="8" w:color="auto"/>
            </w:tcBorders>
            <w:shd w:val="clear" w:color="auto" w:fill="CCEEFF"/>
          </w:tcPr>
          <w:p>
            <w:pPr>
              <w:jc w:val="right"/>
              <w:ind w:right="555"/>
              <w:spacing w:after="0"/>
              <w:rPr>
                <w:sz w:val="20"/>
                <w:szCs w:val="20"/>
                <w:color w:val="auto"/>
              </w:rPr>
            </w:pPr>
            <w:r>
              <w:rPr>
                <w:rFonts w:ascii="Arial" w:cs="Arial" w:eastAsia="Arial" w:hAnsi="Arial"/>
                <w:sz w:val="17"/>
                <w:szCs w:val="17"/>
                <w:b w:val="1"/>
                <w:bCs w:val="1"/>
                <w:color w:val="auto"/>
              </w:rPr>
              <w:t>$</w:t>
            </w:r>
          </w:p>
        </w:tc>
        <w:tc>
          <w:tcPr>
            <w:tcW w:w="56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578</w:t>
            </w:r>
          </w:p>
        </w:tc>
        <w:tc>
          <w:tcPr>
            <w:tcW w:w="4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1,004</w:t>
            </w:r>
          </w:p>
        </w:tc>
        <w:tc>
          <w:tcPr>
            <w:tcW w:w="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837</w:t>
            </w:r>
          </w:p>
        </w:tc>
      </w:tr>
    </w:tbl>
    <w:p>
      <w:pPr>
        <w:spacing w:after="0" w:line="115"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Domestic pre-tax income includes the results of non-U.S. businesses that are operated in branches owned directly by the U.S. which, therefore, are subject to U.S. income tax.</w:t>
      </w:r>
    </w:p>
    <w:p>
      <w:pPr>
        <w:spacing w:after="0" w:line="171" w:lineRule="exact"/>
        <w:rPr>
          <w:sz w:val="20"/>
          <w:szCs w:val="20"/>
          <w:color w:val="auto"/>
        </w:rPr>
      </w:pPr>
    </w:p>
    <w:tbl>
      <w:tblPr>
        <w:tblLayout w:type="fixed"/>
        <w:tblInd w:w="100" w:type="dxa"/>
        <w:tblCellMar>
          <w:top w:w="0" w:type="dxa"/>
          <w:left w:w="0" w:type="dxa"/>
          <w:bottom w:w="0" w:type="dxa"/>
          <w:right w:w="0" w:type="dxa"/>
        </w:tblCellMar>
      </w:tblPr>
      <w:tr>
        <w:trPr>
          <w:trHeight w:val="205"/>
        </w:trPr>
        <w:tc>
          <w:tcPr>
            <w:tcW w:w="4220" w:type="dxa"/>
            <w:vAlign w:val="bottom"/>
          </w:tcPr>
          <w:p>
            <w:pPr>
              <w:spacing w:after="0"/>
              <w:rPr>
                <w:sz w:val="20"/>
                <w:szCs w:val="20"/>
                <w:color w:val="auto"/>
              </w:rPr>
            </w:pPr>
            <w:r>
              <w:rPr>
                <w:rFonts w:ascii="Arial" w:cs="Arial" w:eastAsia="Arial" w:hAnsi="Arial"/>
                <w:sz w:val="17"/>
                <w:szCs w:val="17"/>
                <w:color w:val="auto"/>
              </w:rPr>
              <w:t>The income tax provision consists of the following:</w:t>
            </w: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88"/>
        </w:trPr>
        <w:tc>
          <w:tcPr>
            <w:tcW w:w="4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5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color w:val="auto"/>
              </w:rPr>
              <w:t>2016</w:t>
            </w: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rPr>
              <w:t>2015</w:t>
            </w:r>
          </w:p>
        </w:tc>
      </w:tr>
      <w:tr>
        <w:trPr>
          <w:trHeight w:val="210"/>
        </w:trPr>
        <w:tc>
          <w:tcPr>
            <w:tcW w:w="4220" w:type="dxa"/>
            <w:vAlign w:val="bottom"/>
          </w:tcPr>
          <w:p>
            <w:pPr>
              <w:spacing w:after="0"/>
              <w:rPr>
                <w:sz w:val="20"/>
                <w:szCs w:val="20"/>
                <w:color w:val="auto"/>
              </w:rPr>
            </w:pPr>
            <w:r>
              <w:rPr>
                <w:rFonts w:ascii="Arial" w:cs="Arial" w:eastAsia="Arial" w:hAnsi="Arial"/>
                <w:sz w:val="17"/>
                <w:szCs w:val="17"/>
                <w:b w:val="1"/>
                <w:bCs w:val="1"/>
                <w:color w:val="auto"/>
              </w:rPr>
              <w:t>Current:</w:t>
            </w: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60" w:type="dxa"/>
            <w:vAlign w:val="bottom"/>
            <w:gridSpan w:val="2"/>
          </w:tcPr>
          <w:p>
            <w:pPr>
              <w:ind w:left="220"/>
              <w:spacing w:after="0"/>
              <w:rPr>
                <w:sz w:val="20"/>
                <w:szCs w:val="20"/>
                <w:color w:val="auto"/>
              </w:rPr>
            </w:pPr>
            <w:r>
              <w:rPr>
                <w:rFonts w:ascii="Arial" w:cs="Arial" w:eastAsia="Arial" w:hAnsi="Arial"/>
                <w:sz w:val="17"/>
                <w:szCs w:val="17"/>
                <w:color w:val="auto"/>
              </w:rPr>
              <w:t>($ in millions)</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42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Federal</w:t>
            </w:r>
          </w:p>
        </w:tc>
        <w:tc>
          <w:tcPr>
            <w:tcW w:w="1160" w:type="dxa"/>
            <w:vAlign w:val="bottom"/>
            <w:shd w:val="clear" w:color="auto" w:fill="CCEEFF"/>
          </w:tcPr>
          <w:p>
            <w:pPr>
              <w:jc w:val="right"/>
              <w:ind w:right="555"/>
              <w:spacing w:after="0"/>
              <w:rPr>
                <w:sz w:val="20"/>
                <w:szCs w:val="20"/>
                <w:color w:val="auto"/>
              </w:rPr>
            </w:pPr>
            <w:r>
              <w:rPr>
                <w:rFonts w:ascii="Arial" w:cs="Arial" w:eastAsia="Arial" w:hAnsi="Arial"/>
                <w:sz w:val="17"/>
                <w:szCs w:val="17"/>
                <w:b w:val="1"/>
                <w:bCs w:val="1"/>
                <w:color w:val="auto"/>
              </w:rPr>
              <w:t>$</w:t>
            </w:r>
          </w:p>
        </w:tc>
        <w:tc>
          <w:tcPr>
            <w:tcW w:w="560" w:type="dxa"/>
            <w:vAlign w:val="bottom"/>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129</w:t>
            </w:r>
          </w:p>
        </w:tc>
        <w:tc>
          <w:tcPr>
            <w:tcW w:w="4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249</w:t>
            </w:r>
          </w:p>
        </w:tc>
        <w:tc>
          <w:tcPr>
            <w:tcW w:w="3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w:t>
            </w:r>
          </w:p>
        </w:tc>
      </w:tr>
      <w:tr>
        <w:trPr>
          <w:trHeight w:val="230"/>
        </w:trPr>
        <w:tc>
          <w:tcPr>
            <w:tcW w:w="4220" w:type="dxa"/>
            <w:vAlign w:val="bottom"/>
          </w:tcPr>
          <w:p>
            <w:pPr>
              <w:ind w:left="240"/>
              <w:spacing w:after="0"/>
              <w:rPr>
                <w:sz w:val="20"/>
                <w:szCs w:val="20"/>
                <w:color w:val="auto"/>
              </w:rPr>
            </w:pPr>
            <w:r>
              <w:rPr>
                <w:rFonts w:ascii="Arial" w:cs="Arial" w:eastAsia="Arial" w:hAnsi="Arial"/>
                <w:sz w:val="17"/>
                <w:szCs w:val="17"/>
                <w:color w:val="auto"/>
              </w:rPr>
              <w:t>State and local</w:t>
            </w:r>
          </w:p>
        </w:tc>
        <w:tc>
          <w:tcPr>
            <w:tcW w:w="1160" w:type="dxa"/>
            <w:vAlign w:val="bottom"/>
          </w:tcPr>
          <w:p>
            <w:pPr>
              <w:spacing w:after="0"/>
              <w:rPr>
                <w:sz w:val="19"/>
                <w:szCs w:val="19"/>
                <w:color w:val="auto"/>
              </w:rPr>
            </w:pPr>
          </w:p>
        </w:tc>
        <w:tc>
          <w:tcPr>
            <w:tcW w:w="560" w:type="dxa"/>
            <w:vAlign w:val="bottom"/>
          </w:tcPr>
          <w:p>
            <w:pPr>
              <w:jc w:val="right"/>
              <w:ind w:right="135"/>
              <w:spacing w:after="0"/>
              <w:rPr>
                <w:sz w:val="20"/>
                <w:szCs w:val="20"/>
                <w:color w:val="auto"/>
              </w:rPr>
            </w:pPr>
            <w:r>
              <w:rPr>
                <w:rFonts w:ascii="Arial" w:cs="Arial" w:eastAsia="Arial" w:hAnsi="Arial"/>
                <w:sz w:val="17"/>
                <w:szCs w:val="17"/>
                <w:b w:val="1"/>
                <w:bCs w:val="1"/>
                <w:color w:val="auto"/>
              </w:rPr>
              <w:t>18</w:t>
            </w:r>
          </w:p>
        </w:tc>
        <w:tc>
          <w:tcPr>
            <w:tcW w:w="420" w:type="dxa"/>
            <w:vAlign w:val="bottom"/>
          </w:tcPr>
          <w:p>
            <w:pPr>
              <w:spacing w:after="0"/>
              <w:rPr>
                <w:sz w:val="19"/>
                <w:szCs w:val="19"/>
                <w:color w:val="auto"/>
              </w:rPr>
            </w:pPr>
          </w:p>
        </w:tc>
        <w:tc>
          <w:tcPr>
            <w:tcW w:w="1140" w:type="dxa"/>
            <w:vAlign w:val="bottom"/>
          </w:tcPr>
          <w:p>
            <w:pPr>
              <w:jc w:val="right"/>
              <w:ind w:right="175"/>
              <w:spacing w:after="0"/>
              <w:rPr>
                <w:sz w:val="20"/>
                <w:szCs w:val="20"/>
                <w:color w:val="auto"/>
              </w:rPr>
            </w:pPr>
            <w:r>
              <w:rPr>
                <w:rFonts w:ascii="Arial" w:cs="Arial" w:eastAsia="Arial" w:hAnsi="Arial"/>
                <w:sz w:val="17"/>
                <w:szCs w:val="17"/>
                <w:color w:val="auto"/>
              </w:rPr>
              <w:t>44</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30"/>
        </w:trPr>
        <w:tc>
          <w:tcPr>
            <w:tcW w:w="42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rPr>
              <w:t>International</w:t>
            </w:r>
          </w:p>
        </w:tc>
        <w:tc>
          <w:tcPr>
            <w:tcW w:w="1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42</w:t>
            </w: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48</w:t>
            </w: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w:t>
            </w:r>
          </w:p>
        </w:tc>
      </w:tr>
      <w:tr>
        <w:trPr>
          <w:trHeight w:val="210"/>
        </w:trPr>
        <w:tc>
          <w:tcPr>
            <w:tcW w:w="42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current tax provision</w:t>
            </w:r>
          </w:p>
        </w:tc>
        <w:tc>
          <w:tcPr>
            <w:tcW w:w="1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189</w:t>
            </w: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341</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302</w:t>
            </w: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Deferred:</w:t>
            </w:r>
          </w:p>
        </w:tc>
        <w:tc>
          <w:tcPr>
            <w:tcW w:w="1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4220" w:type="dxa"/>
            <w:vAlign w:val="bottom"/>
          </w:tcPr>
          <w:p>
            <w:pPr>
              <w:ind w:left="200"/>
              <w:spacing w:after="0"/>
              <w:rPr>
                <w:sz w:val="20"/>
                <w:szCs w:val="20"/>
                <w:color w:val="auto"/>
              </w:rPr>
            </w:pPr>
            <w:r>
              <w:rPr>
                <w:rFonts w:ascii="Arial" w:cs="Arial" w:eastAsia="Arial" w:hAnsi="Arial"/>
                <w:sz w:val="17"/>
                <w:szCs w:val="17"/>
                <w:color w:val="auto"/>
              </w:rPr>
              <w:t>Federal</w:t>
            </w:r>
          </w:p>
        </w:tc>
        <w:tc>
          <w:tcPr>
            <w:tcW w:w="1160" w:type="dxa"/>
            <w:vAlign w:val="bottom"/>
          </w:tcPr>
          <w:p>
            <w:pPr>
              <w:spacing w:after="0"/>
              <w:rPr>
                <w:sz w:val="19"/>
                <w:szCs w:val="19"/>
                <w:color w:val="auto"/>
              </w:rPr>
            </w:pPr>
          </w:p>
        </w:tc>
        <w:tc>
          <w:tcPr>
            <w:tcW w:w="560" w:type="dxa"/>
            <w:vAlign w:val="bottom"/>
          </w:tcPr>
          <w:p>
            <w:pPr>
              <w:jc w:val="right"/>
              <w:ind w:right="135"/>
              <w:spacing w:after="0"/>
              <w:rPr>
                <w:sz w:val="20"/>
                <w:szCs w:val="20"/>
                <w:color w:val="auto"/>
              </w:rPr>
            </w:pPr>
            <w:r>
              <w:rPr>
                <w:rFonts w:ascii="Arial" w:cs="Arial" w:eastAsia="Arial" w:hAnsi="Arial"/>
                <w:sz w:val="17"/>
                <w:szCs w:val="17"/>
                <w:b w:val="1"/>
                <w:bCs w:val="1"/>
                <w:color w:val="auto"/>
              </w:rPr>
              <w:t>98</w:t>
            </w:r>
          </w:p>
        </w:tc>
        <w:tc>
          <w:tcPr>
            <w:tcW w:w="420" w:type="dxa"/>
            <w:vAlign w:val="bottom"/>
          </w:tcPr>
          <w:p>
            <w:pPr>
              <w:spacing w:after="0"/>
              <w:rPr>
                <w:sz w:val="19"/>
                <w:szCs w:val="19"/>
                <w:color w:val="auto"/>
              </w:rPr>
            </w:pPr>
          </w:p>
        </w:tc>
        <w:tc>
          <w:tcPr>
            <w:tcW w:w="1140" w:type="dxa"/>
            <w:vAlign w:val="bottom"/>
          </w:tcPr>
          <w:p>
            <w:pPr>
              <w:jc w:val="right"/>
              <w:ind w:right="115"/>
              <w:spacing w:after="0"/>
              <w:rPr>
                <w:sz w:val="20"/>
                <w:szCs w:val="20"/>
                <w:color w:val="auto"/>
              </w:rPr>
            </w:pPr>
            <w:r>
              <w:rPr>
                <w:rFonts w:ascii="Arial" w:cs="Arial" w:eastAsia="Arial" w:hAnsi="Arial"/>
                <w:sz w:val="17"/>
                <w:szCs w:val="17"/>
                <w:color w:val="auto"/>
              </w:rPr>
              <w:t>(6)</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30"/>
        </w:trPr>
        <w:tc>
          <w:tcPr>
            <w:tcW w:w="42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State and local</w:t>
            </w: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5</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30"/>
        </w:trPr>
        <w:tc>
          <w:tcPr>
            <w:tcW w:w="422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International</w:t>
            </w:r>
          </w:p>
        </w:tc>
        <w:tc>
          <w:tcPr>
            <w:tcW w:w="1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2</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4</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r>
      <w:tr>
        <w:trPr>
          <w:trHeight w:val="210"/>
        </w:trPr>
        <w:tc>
          <w:tcPr>
            <w:tcW w:w="4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 deferred tax provision</w:t>
            </w:r>
          </w:p>
        </w:tc>
        <w:tc>
          <w:tcPr>
            <w:tcW w:w="1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105</w:t>
            </w: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(1)</w:t>
            </w: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203"/>
        </w:trPr>
        <w:tc>
          <w:tcPr>
            <w:tcW w:w="42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Total income tax provision</w:t>
            </w:r>
          </w:p>
        </w:tc>
        <w:tc>
          <w:tcPr>
            <w:tcW w:w="116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w:t>
            </w:r>
          </w:p>
        </w:tc>
        <w:tc>
          <w:tcPr>
            <w:tcW w:w="56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294</w:t>
            </w:r>
          </w:p>
        </w:tc>
        <w:tc>
          <w:tcPr>
            <w:tcW w:w="42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340</w:t>
            </w:r>
          </w:p>
        </w:tc>
        <w:tc>
          <w:tcPr>
            <w:tcW w:w="3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296</w:t>
            </w:r>
          </w:p>
        </w:tc>
      </w:tr>
    </w:tbl>
    <w:p>
      <w:pPr>
        <w:spacing w:after="0" w:line="115"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The Company previously considered the earnings in its non-U.S. subsidiaries to be indefinitely reinvested and, accordingly, recorded no deferred income taxes. Given the Tax Act’s significant changes and potential opportunities to repatriate cash without significant incremental U.S. federal tax, the Company is in the process of evaluating its current permanent reinvestment assertions. This evaluation includes the possible repatriation of historical earnings (2017 and prior) that have now been taxed under the Tax Act.</w:t>
      </w:r>
    </w:p>
    <w:p>
      <w:pPr>
        <w:spacing w:after="0" w:line="177"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The Company had aggregate undistributed earnings and profits (“E&amp;P”) from foreign subsidiaries of approximately $1,407 million at February 3, 2018, which is now classified as previously taxed income (“PTI”) subsequent to the Tax Act. The Company recorded a provisional $86 million “transition tax” in connection with this E&amp;P. Additionally, the Company has recorded a provisional $13 million deferred tax liability as of the date of the change in the Company’s permanent reinvestment assertion primarily for state income taxes and foreign withholding taxes on the future repatriation of PTI. The Company currently considers the remaining financial statement carrying amounts over the tax basis of investments in its foreign subsidiaries to be indefinitely reinvested, and has not recorded a provisional deferred tax liability. The determination of any unrecorded provisional deferred tax liability on this amount is not practicable due to the uncertainty of how these investments would be recovered.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3" w:lineRule="exact"/>
        <w:rPr>
          <w:sz w:val="20"/>
          <w:szCs w:val="20"/>
          <w:color w:val="auto"/>
        </w:rPr>
      </w:pPr>
    </w:p>
    <w:p>
      <w:pPr>
        <w:ind w:left="100" w:right="99"/>
        <w:spacing w:after="0" w:line="243" w:lineRule="auto"/>
        <w:rPr>
          <w:sz w:val="20"/>
          <w:szCs w:val="20"/>
          <w:color w:val="auto"/>
        </w:rPr>
      </w:pPr>
      <w:r>
        <w:rPr>
          <w:rFonts w:ascii="Arial" w:cs="Arial" w:eastAsia="Arial" w:hAnsi="Arial"/>
          <w:sz w:val="17"/>
          <w:szCs w:val="17"/>
          <w:color w:val="auto"/>
        </w:rPr>
        <w:t>A reconciliation of the significant differences between the federal statutory income tax rate and the effective income tax rate on pre-tax income is as follows:</w:t>
      </w:r>
    </w:p>
    <w:p>
      <w:pPr>
        <w:spacing w:after="0" w:line="70"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45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635"/>
              <w:spacing w:after="0"/>
              <w:rPr>
                <w:sz w:val="20"/>
                <w:szCs w:val="20"/>
                <w:color w:val="auto"/>
              </w:rPr>
            </w:pPr>
            <w:r>
              <w:rPr>
                <w:rFonts w:ascii="Arial" w:cs="Arial" w:eastAsia="Arial" w:hAnsi="Arial"/>
                <w:sz w:val="17"/>
                <w:szCs w:val="17"/>
                <w:b w:val="1"/>
                <w:bCs w:val="1"/>
                <w:color w:val="auto"/>
              </w:rPr>
              <w:t>2017</w:t>
            </w:r>
          </w:p>
        </w:tc>
        <w:tc>
          <w:tcPr>
            <w:tcW w:w="1480" w:type="dxa"/>
            <w:vAlign w:val="bottom"/>
            <w:tcBorders>
              <w:bottom w:val="single" w:sz="8" w:color="auto"/>
            </w:tcBorders>
          </w:tcPr>
          <w:p>
            <w:pPr>
              <w:jc w:val="right"/>
              <w:ind w:right="635"/>
              <w:spacing w:after="0"/>
              <w:rPr>
                <w:sz w:val="20"/>
                <w:szCs w:val="20"/>
                <w:color w:val="auto"/>
              </w:rPr>
            </w:pPr>
            <w:r>
              <w:rPr>
                <w:rFonts w:ascii="Arial" w:cs="Arial" w:eastAsia="Arial" w:hAnsi="Arial"/>
                <w:sz w:val="17"/>
                <w:szCs w:val="17"/>
                <w:color w:val="auto"/>
              </w:rPr>
              <w:t>2016</w:t>
            </w:r>
          </w:p>
        </w:tc>
        <w:tc>
          <w:tcPr>
            <w:tcW w:w="120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rPr>
              <w:t>2015</w:t>
            </w:r>
          </w:p>
        </w:tc>
      </w:tr>
      <w:tr>
        <w:trPr>
          <w:trHeight w:val="237"/>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 xml:space="preserve">Federal statutory income tax rate </w:t>
            </w:r>
            <w:r>
              <w:rPr>
                <w:rFonts w:ascii="Arial" w:cs="Arial" w:eastAsia="Arial" w:hAnsi="Arial"/>
                <w:sz w:val="8"/>
                <w:szCs w:val="8"/>
                <w:color w:val="auto"/>
              </w:rPr>
              <w:t>(1)</w:t>
            </w:r>
          </w:p>
        </w:tc>
        <w:tc>
          <w:tcPr>
            <w:tcW w:w="1560" w:type="dxa"/>
            <w:vAlign w:val="bottom"/>
            <w:shd w:val="clear" w:color="auto" w:fill="CCEEFF"/>
          </w:tcPr>
          <w:p>
            <w:pPr>
              <w:jc w:val="right"/>
              <w:ind w:right="275"/>
              <w:spacing w:after="0"/>
              <w:rPr>
                <w:sz w:val="20"/>
                <w:szCs w:val="20"/>
                <w:color w:val="auto"/>
              </w:rPr>
            </w:pPr>
            <w:r>
              <w:rPr>
                <w:rFonts w:ascii="Arial" w:cs="Arial" w:eastAsia="Arial" w:hAnsi="Arial"/>
                <w:sz w:val="17"/>
                <w:szCs w:val="17"/>
                <w:b w:val="1"/>
                <w:bCs w:val="1"/>
                <w:color w:val="auto"/>
              </w:rPr>
              <w:t>33.7 %</w:t>
            </w:r>
          </w:p>
        </w:tc>
        <w:tc>
          <w:tcPr>
            <w:tcW w:w="1480" w:type="dxa"/>
            <w:vAlign w:val="bottom"/>
            <w:shd w:val="clear" w:color="auto" w:fill="CCEEFF"/>
          </w:tcPr>
          <w:p>
            <w:pPr>
              <w:jc w:val="right"/>
              <w:ind w:right="295"/>
              <w:spacing w:after="0"/>
              <w:rPr>
                <w:sz w:val="20"/>
                <w:szCs w:val="20"/>
                <w:color w:val="auto"/>
              </w:rPr>
            </w:pPr>
            <w:r>
              <w:rPr>
                <w:rFonts w:ascii="Arial" w:cs="Arial" w:eastAsia="Arial" w:hAnsi="Arial"/>
                <w:sz w:val="17"/>
                <w:szCs w:val="17"/>
                <w:color w:val="auto"/>
              </w:rPr>
              <w:t>35.0 %</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35.0 %</w:t>
            </w:r>
          </w:p>
        </w:tc>
      </w:tr>
      <w:tr>
        <w:trPr>
          <w:trHeight w:val="230"/>
        </w:trPr>
        <w:tc>
          <w:tcPr>
            <w:tcW w:w="4580" w:type="dxa"/>
            <w:vAlign w:val="bottom"/>
          </w:tcPr>
          <w:p>
            <w:pPr>
              <w:spacing w:after="0"/>
              <w:rPr>
                <w:sz w:val="20"/>
                <w:szCs w:val="20"/>
                <w:color w:val="auto"/>
              </w:rPr>
            </w:pPr>
            <w:r>
              <w:rPr>
                <w:rFonts w:ascii="Arial" w:cs="Arial" w:eastAsia="Arial" w:hAnsi="Arial"/>
                <w:sz w:val="17"/>
                <w:szCs w:val="17"/>
                <w:color w:val="auto"/>
              </w:rPr>
              <w:t>Deemed repatriation tax</w:t>
            </w:r>
          </w:p>
        </w:tc>
        <w:tc>
          <w:tcPr>
            <w:tcW w:w="1560" w:type="dxa"/>
            <w:vAlign w:val="bottom"/>
          </w:tcPr>
          <w:p>
            <w:pPr>
              <w:jc w:val="right"/>
              <w:ind w:right="475"/>
              <w:spacing w:after="0"/>
              <w:rPr>
                <w:sz w:val="20"/>
                <w:szCs w:val="20"/>
                <w:color w:val="auto"/>
              </w:rPr>
            </w:pPr>
            <w:r>
              <w:rPr>
                <w:rFonts w:ascii="Arial" w:cs="Arial" w:eastAsia="Arial" w:hAnsi="Arial"/>
                <w:sz w:val="17"/>
                <w:szCs w:val="17"/>
                <w:b w:val="1"/>
                <w:bCs w:val="1"/>
                <w:color w:val="auto"/>
              </w:rPr>
              <w:t>17.1</w:t>
            </w:r>
          </w:p>
        </w:tc>
        <w:tc>
          <w:tcPr>
            <w:tcW w:w="1480" w:type="dxa"/>
            <w:vAlign w:val="bottom"/>
          </w:tcPr>
          <w:p>
            <w:pPr>
              <w:jc w:val="right"/>
              <w:ind w:right="435"/>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55"/>
              <w:spacing w:after="0"/>
              <w:rPr>
                <w:sz w:val="20"/>
                <w:szCs w:val="20"/>
                <w:color w:val="auto"/>
              </w:rPr>
            </w:pPr>
            <w:r>
              <w:rPr>
                <w:rFonts w:ascii="Arial" w:cs="Arial" w:eastAsia="Arial" w:hAnsi="Arial"/>
                <w:sz w:val="17"/>
                <w:szCs w:val="17"/>
                <w:color w:val="auto"/>
              </w:rPr>
              <w:t>—</w:t>
            </w:r>
          </w:p>
        </w:tc>
      </w:tr>
      <w:tr>
        <w:trPr>
          <w:trHeight w:val="230"/>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Increase in valuation allowance</w:t>
            </w:r>
          </w:p>
        </w:tc>
        <w:tc>
          <w:tcPr>
            <w:tcW w:w="1560" w:type="dxa"/>
            <w:vAlign w:val="bottom"/>
            <w:shd w:val="clear" w:color="auto" w:fill="CCEEFF"/>
          </w:tcPr>
          <w:p>
            <w:pPr>
              <w:jc w:val="right"/>
              <w:ind w:right="475"/>
              <w:spacing w:after="0"/>
              <w:rPr>
                <w:sz w:val="20"/>
                <w:szCs w:val="20"/>
                <w:color w:val="auto"/>
              </w:rPr>
            </w:pPr>
            <w:r>
              <w:rPr>
                <w:rFonts w:ascii="Arial" w:cs="Arial" w:eastAsia="Arial" w:hAnsi="Arial"/>
                <w:sz w:val="17"/>
                <w:szCs w:val="17"/>
                <w:b w:val="1"/>
                <w:bCs w:val="1"/>
                <w:color w:val="auto"/>
              </w:rPr>
              <w:t>1.6</w:t>
            </w:r>
          </w:p>
        </w:tc>
        <w:tc>
          <w:tcPr>
            <w:tcW w:w="1480" w:type="dxa"/>
            <w:vAlign w:val="bottom"/>
            <w:shd w:val="clear" w:color="auto" w:fill="CCEEFF"/>
          </w:tcPr>
          <w:p>
            <w:pPr>
              <w:jc w:val="right"/>
              <w:ind w:right="435"/>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r>
      <w:tr>
        <w:trPr>
          <w:trHeight w:val="230"/>
        </w:trPr>
        <w:tc>
          <w:tcPr>
            <w:tcW w:w="4580" w:type="dxa"/>
            <w:vAlign w:val="bottom"/>
          </w:tcPr>
          <w:p>
            <w:pPr>
              <w:spacing w:after="0"/>
              <w:rPr>
                <w:sz w:val="20"/>
                <w:szCs w:val="20"/>
                <w:color w:val="auto"/>
              </w:rPr>
            </w:pPr>
            <w:r>
              <w:rPr>
                <w:rFonts w:ascii="Arial" w:cs="Arial" w:eastAsia="Arial" w:hAnsi="Arial"/>
                <w:sz w:val="17"/>
                <w:szCs w:val="17"/>
                <w:color w:val="auto"/>
              </w:rPr>
              <w:t>State and local income taxes, net of federal tax benefit</w:t>
            </w:r>
          </w:p>
        </w:tc>
        <w:tc>
          <w:tcPr>
            <w:tcW w:w="1560" w:type="dxa"/>
            <w:vAlign w:val="bottom"/>
          </w:tcPr>
          <w:p>
            <w:pPr>
              <w:jc w:val="right"/>
              <w:ind w:right="475"/>
              <w:spacing w:after="0"/>
              <w:rPr>
                <w:sz w:val="20"/>
                <w:szCs w:val="20"/>
                <w:color w:val="auto"/>
              </w:rPr>
            </w:pPr>
            <w:r>
              <w:rPr>
                <w:rFonts w:ascii="Arial" w:cs="Arial" w:eastAsia="Arial" w:hAnsi="Arial"/>
                <w:sz w:val="17"/>
                <w:szCs w:val="17"/>
                <w:b w:val="1"/>
                <w:bCs w:val="1"/>
                <w:color w:val="auto"/>
              </w:rPr>
              <w:t>2.0</w:t>
            </w:r>
          </w:p>
        </w:tc>
        <w:tc>
          <w:tcPr>
            <w:tcW w:w="1480" w:type="dxa"/>
            <w:vAlign w:val="bottom"/>
          </w:tcPr>
          <w:p>
            <w:pPr>
              <w:jc w:val="right"/>
              <w:ind w:right="495"/>
              <w:spacing w:after="0"/>
              <w:rPr>
                <w:sz w:val="20"/>
                <w:szCs w:val="20"/>
                <w:color w:val="auto"/>
              </w:rPr>
            </w:pPr>
            <w:r>
              <w:rPr>
                <w:rFonts w:ascii="Arial" w:cs="Arial" w:eastAsia="Arial" w:hAnsi="Arial"/>
                <w:sz w:val="17"/>
                <w:szCs w:val="17"/>
                <w:color w:val="auto"/>
              </w:rPr>
              <w:t>3.1</w:t>
            </w:r>
          </w:p>
        </w:tc>
        <w:tc>
          <w:tcPr>
            <w:tcW w:w="1200" w:type="dxa"/>
            <w:vAlign w:val="bottom"/>
          </w:tcPr>
          <w:p>
            <w:pPr>
              <w:jc w:val="right"/>
              <w:ind w:right="195"/>
              <w:spacing w:after="0"/>
              <w:rPr>
                <w:sz w:val="20"/>
                <w:szCs w:val="20"/>
                <w:color w:val="auto"/>
              </w:rPr>
            </w:pPr>
            <w:r>
              <w:rPr>
                <w:rFonts w:ascii="Arial" w:cs="Arial" w:eastAsia="Arial" w:hAnsi="Arial"/>
                <w:sz w:val="17"/>
                <w:szCs w:val="17"/>
                <w:color w:val="auto"/>
              </w:rPr>
              <w:t>2.8</w:t>
            </w:r>
          </w:p>
        </w:tc>
      </w:tr>
      <w:tr>
        <w:trPr>
          <w:trHeight w:val="230"/>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International income taxed at varying rates</w:t>
            </w:r>
          </w:p>
        </w:tc>
        <w:tc>
          <w:tcPr>
            <w:tcW w:w="1560" w:type="dxa"/>
            <w:vAlign w:val="bottom"/>
            <w:shd w:val="clear" w:color="auto" w:fill="CCEEFF"/>
          </w:tcPr>
          <w:p>
            <w:pPr>
              <w:jc w:val="right"/>
              <w:ind w:right="435"/>
              <w:spacing w:after="0"/>
              <w:rPr>
                <w:sz w:val="20"/>
                <w:szCs w:val="20"/>
                <w:color w:val="auto"/>
              </w:rPr>
            </w:pPr>
            <w:r>
              <w:rPr>
                <w:rFonts w:ascii="Arial" w:cs="Arial" w:eastAsia="Arial" w:hAnsi="Arial"/>
                <w:sz w:val="17"/>
                <w:szCs w:val="17"/>
                <w:b w:val="1"/>
                <w:bCs w:val="1"/>
                <w:color w:val="auto"/>
              </w:rPr>
              <w:t>(2.3)</w:t>
            </w:r>
          </w:p>
        </w:tc>
        <w:tc>
          <w:tcPr>
            <w:tcW w:w="1480" w:type="dxa"/>
            <w:vAlign w:val="bottom"/>
            <w:shd w:val="clear" w:color="auto" w:fill="CCEEFF"/>
          </w:tcPr>
          <w:p>
            <w:pPr>
              <w:jc w:val="right"/>
              <w:ind w:right="435"/>
              <w:spacing w:after="0"/>
              <w:rPr>
                <w:sz w:val="20"/>
                <w:szCs w:val="20"/>
                <w:color w:val="auto"/>
              </w:rPr>
            </w:pPr>
            <w:r>
              <w:rPr>
                <w:rFonts w:ascii="Arial" w:cs="Arial" w:eastAsia="Arial" w:hAnsi="Arial"/>
                <w:sz w:val="17"/>
                <w:szCs w:val="17"/>
                <w:color w:val="auto"/>
              </w:rPr>
              <w:t>(3.7)</w:t>
            </w: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(2.1)</w:t>
            </w:r>
          </w:p>
        </w:tc>
      </w:tr>
      <w:tr>
        <w:trPr>
          <w:trHeight w:val="230"/>
        </w:trPr>
        <w:tc>
          <w:tcPr>
            <w:tcW w:w="4580" w:type="dxa"/>
            <w:vAlign w:val="bottom"/>
          </w:tcPr>
          <w:p>
            <w:pPr>
              <w:spacing w:after="0"/>
              <w:rPr>
                <w:sz w:val="20"/>
                <w:szCs w:val="20"/>
                <w:color w:val="auto"/>
              </w:rPr>
            </w:pPr>
            <w:r>
              <w:rPr>
                <w:rFonts w:ascii="Arial" w:cs="Arial" w:eastAsia="Arial" w:hAnsi="Arial"/>
                <w:sz w:val="17"/>
                <w:szCs w:val="17"/>
                <w:color w:val="auto"/>
              </w:rPr>
              <w:t>Foreign tax credits</w:t>
            </w:r>
          </w:p>
        </w:tc>
        <w:tc>
          <w:tcPr>
            <w:tcW w:w="1560" w:type="dxa"/>
            <w:vAlign w:val="bottom"/>
          </w:tcPr>
          <w:p>
            <w:pPr>
              <w:jc w:val="right"/>
              <w:ind w:right="435"/>
              <w:spacing w:after="0"/>
              <w:rPr>
                <w:sz w:val="20"/>
                <w:szCs w:val="20"/>
                <w:color w:val="auto"/>
              </w:rPr>
            </w:pPr>
            <w:r>
              <w:rPr>
                <w:rFonts w:ascii="Arial" w:cs="Arial" w:eastAsia="Arial" w:hAnsi="Arial"/>
                <w:sz w:val="17"/>
                <w:szCs w:val="17"/>
                <w:b w:val="1"/>
                <w:bCs w:val="1"/>
                <w:color w:val="auto"/>
              </w:rPr>
              <w:t>(2.6)</w:t>
            </w:r>
          </w:p>
        </w:tc>
        <w:tc>
          <w:tcPr>
            <w:tcW w:w="1480" w:type="dxa"/>
            <w:vAlign w:val="bottom"/>
          </w:tcPr>
          <w:p>
            <w:pPr>
              <w:jc w:val="right"/>
              <w:ind w:right="435"/>
              <w:spacing w:after="0"/>
              <w:rPr>
                <w:sz w:val="20"/>
                <w:szCs w:val="20"/>
                <w:color w:val="auto"/>
              </w:rPr>
            </w:pPr>
            <w:r>
              <w:rPr>
                <w:rFonts w:ascii="Arial" w:cs="Arial" w:eastAsia="Arial" w:hAnsi="Arial"/>
                <w:sz w:val="17"/>
                <w:szCs w:val="17"/>
                <w:color w:val="auto"/>
              </w:rPr>
              <w:t>(1.9)</w:t>
            </w:r>
          </w:p>
        </w:tc>
        <w:tc>
          <w:tcPr>
            <w:tcW w:w="1200" w:type="dxa"/>
            <w:vAlign w:val="bottom"/>
          </w:tcPr>
          <w:p>
            <w:pPr>
              <w:jc w:val="right"/>
              <w:ind w:right="155"/>
              <w:spacing w:after="0"/>
              <w:rPr>
                <w:sz w:val="20"/>
                <w:szCs w:val="20"/>
                <w:color w:val="auto"/>
              </w:rPr>
            </w:pPr>
            <w:r>
              <w:rPr>
                <w:rFonts w:ascii="Arial" w:cs="Arial" w:eastAsia="Arial" w:hAnsi="Arial"/>
                <w:sz w:val="17"/>
                <w:szCs w:val="17"/>
                <w:color w:val="auto"/>
              </w:rPr>
              <w:t>(2.8)</w:t>
            </w:r>
          </w:p>
        </w:tc>
      </w:tr>
      <w:tr>
        <w:trPr>
          <w:trHeight w:val="230"/>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Domestic/foreign tax settlements</w:t>
            </w:r>
          </w:p>
        </w:tc>
        <w:tc>
          <w:tcPr>
            <w:tcW w:w="1560" w:type="dxa"/>
            <w:vAlign w:val="bottom"/>
            <w:shd w:val="clear" w:color="auto" w:fill="CCEEFF"/>
          </w:tcPr>
          <w:p>
            <w:pPr>
              <w:jc w:val="right"/>
              <w:ind w:right="435"/>
              <w:spacing w:after="0"/>
              <w:rPr>
                <w:sz w:val="20"/>
                <w:szCs w:val="20"/>
                <w:color w:val="auto"/>
              </w:rPr>
            </w:pPr>
            <w:r>
              <w:rPr>
                <w:rFonts w:ascii="Arial" w:cs="Arial" w:eastAsia="Arial" w:hAnsi="Arial"/>
                <w:sz w:val="17"/>
                <w:szCs w:val="17"/>
                <w:b w:val="1"/>
                <w:bCs w:val="1"/>
                <w:color w:val="auto"/>
              </w:rPr>
              <w:t>(0.2)</w:t>
            </w:r>
          </w:p>
        </w:tc>
        <w:tc>
          <w:tcPr>
            <w:tcW w:w="1480" w:type="dxa"/>
            <w:vAlign w:val="bottom"/>
            <w:shd w:val="clear" w:color="auto" w:fill="CCEEFF"/>
          </w:tcPr>
          <w:p>
            <w:pPr>
              <w:jc w:val="right"/>
              <w:ind w:right="435"/>
              <w:spacing w:after="0"/>
              <w:rPr>
                <w:sz w:val="20"/>
                <w:szCs w:val="20"/>
                <w:color w:val="auto"/>
              </w:rPr>
            </w:pPr>
            <w:r>
              <w:rPr>
                <w:rFonts w:ascii="Arial" w:cs="Arial" w:eastAsia="Arial" w:hAnsi="Arial"/>
                <w:sz w:val="17"/>
                <w:szCs w:val="17"/>
                <w:color w:val="auto"/>
              </w:rPr>
              <w:t>(0.1)</w:t>
            </w: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(0.1)</w:t>
            </w:r>
          </w:p>
        </w:tc>
      </w:tr>
      <w:tr>
        <w:trPr>
          <w:trHeight w:val="230"/>
        </w:trPr>
        <w:tc>
          <w:tcPr>
            <w:tcW w:w="4580" w:type="dxa"/>
            <w:vAlign w:val="bottom"/>
          </w:tcPr>
          <w:p>
            <w:pPr>
              <w:spacing w:after="0"/>
              <w:rPr>
                <w:sz w:val="20"/>
                <w:szCs w:val="20"/>
                <w:color w:val="auto"/>
              </w:rPr>
            </w:pPr>
            <w:r>
              <w:rPr>
                <w:rFonts w:ascii="Arial" w:cs="Arial" w:eastAsia="Arial" w:hAnsi="Arial"/>
                <w:sz w:val="17"/>
                <w:szCs w:val="17"/>
                <w:color w:val="auto"/>
              </w:rPr>
              <w:t>Federal tax credits</w:t>
            </w:r>
          </w:p>
        </w:tc>
        <w:tc>
          <w:tcPr>
            <w:tcW w:w="1560" w:type="dxa"/>
            <w:vAlign w:val="bottom"/>
          </w:tcPr>
          <w:p>
            <w:pPr>
              <w:jc w:val="right"/>
              <w:ind w:right="435"/>
              <w:spacing w:after="0"/>
              <w:rPr>
                <w:sz w:val="20"/>
                <w:szCs w:val="20"/>
                <w:color w:val="auto"/>
              </w:rPr>
            </w:pPr>
            <w:r>
              <w:rPr>
                <w:rFonts w:ascii="Arial" w:cs="Arial" w:eastAsia="Arial" w:hAnsi="Arial"/>
                <w:sz w:val="17"/>
                <w:szCs w:val="17"/>
                <w:b w:val="1"/>
                <w:bCs w:val="1"/>
                <w:color w:val="auto"/>
              </w:rPr>
              <w:t>(0.2)</w:t>
            </w:r>
          </w:p>
        </w:tc>
        <w:tc>
          <w:tcPr>
            <w:tcW w:w="1480" w:type="dxa"/>
            <w:vAlign w:val="bottom"/>
          </w:tcPr>
          <w:p>
            <w:pPr>
              <w:jc w:val="right"/>
              <w:ind w:right="435"/>
              <w:spacing w:after="0"/>
              <w:rPr>
                <w:sz w:val="20"/>
                <w:szCs w:val="20"/>
                <w:color w:val="auto"/>
              </w:rPr>
            </w:pPr>
            <w:r>
              <w:rPr>
                <w:rFonts w:ascii="Arial" w:cs="Arial" w:eastAsia="Arial" w:hAnsi="Arial"/>
                <w:sz w:val="17"/>
                <w:szCs w:val="17"/>
                <w:color w:val="auto"/>
              </w:rPr>
              <w:t>(0.2)</w:t>
            </w:r>
          </w:p>
        </w:tc>
        <w:tc>
          <w:tcPr>
            <w:tcW w:w="1200" w:type="dxa"/>
            <w:vAlign w:val="bottom"/>
          </w:tcPr>
          <w:p>
            <w:pPr>
              <w:jc w:val="right"/>
              <w:ind w:right="155"/>
              <w:spacing w:after="0"/>
              <w:rPr>
                <w:sz w:val="20"/>
                <w:szCs w:val="20"/>
                <w:color w:val="auto"/>
              </w:rPr>
            </w:pPr>
            <w:r>
              <w:rPr>
                <w:rFonts w:ascii="Arial" w:cs="Arial" w:eastAsia="Arial" w:hAnsi="Arial"/>
                <w:sz w:val="17"/>
                <w:szCs w:val="17"/>
                <w:color w:val="auto"/>
              </w:rPr>
              <w:t>(0.2)</w:t>
            </w:r>
          </w:p>
        </w:tc>
      </w:tr>
      <w:tr>
        <w:trPr>
          <w:trHeight w:val="230"/>
        </w:trPr>
        <w:tc>
          <w:tcPr>
            <w:tcW w:w="4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Other, net</w:t>
            </w:r>
          </w:p>
        </w:tc>
        <w:tc>
          <w:tcPr>
            <w:tcW w:w="1560" w:type="dxa"/>
            <w:vAlign w:val="bottom"/>
            <w:tcBorders>
              <w:bottom w:val="single" w:sz="8" w:color="auto"/>
            </w:tcBorders>
            <w:shd w:val="clear" w:color="auto" w:fill="CCEEFF"/>
          </w:tcPr>
          <w:p>
            <w:pPr>
              <w:jc w:val="right"/>
              <w:ind w:right="475"/>
              <w:spacing w:after="0"/>
              <w:rPr>
                <w:sz w:val="20"/>
                <w:szCs w:val="20"/>
                <w:color w:val="auto"/>
              </w:rPr>
            </w:pPr>
            <w:r>
              <w:rPr>
                <w:rFonts w:ascii="Arial" w:cs="Arial" w:eastAsia="Arial" w:hAnsi="Arial"/>
                <w:sz w:val="17"/>
                <w:szCs w:val="17"/>
                <w:b w:val="1"/>
                <w:bCs w:val="1"/>
                <w:color w:val="auto"/>
              </w:rPr>
              <w:t>1.7</w:t>
            </w:r>
          </w:p>
        </w:tc>
        <w:tc>
          <w:tcPr>
            <w:tcW w:w="1480" w:type="dxa"/>
            <w:vAlign w:val="bottom"/>
            <w:tcBorders>
              <w:bottom w:val="single" w:sz="8" w:color="auto"/>
            </w:tcBorders>
            <w:shd w:val="clear" w:color="auto" w:fill="CCEEFF"/>
          </w:tcPr>
          <w:p>
            <w:pPr>
              <w:jc w:val="right"/>
              <w:ind w:right="495"/>
              <w:spacing w:after="0"/>
              <w:rPr>
                <w:sz w:val="20"/>
                <w:szCs w:val="20"/>
                <w:color w:val="auto"/>
              </w:rPr>
            </w:pPr>
            <w:r>
              <w:rPr>
                <w:rFonts w:ascii="Arial" w:cs="Arial" w:eastAsia="Arial" w:hAnsi="Arial"/>
                <w:sz w:val="17"/>
                <w:szCs w:val="17"/>
                <w:color w:val="auto"/>
              </w:rPr>
              <w:t>1.7</w:t>
            </w:r>
          </w:p>
        </w:tc>
        <w:tc>
          <w:tcPr>
            <w:tcW w:w="120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rPr>
              <w:t>2.8</w:t>
            </w:r>
          </w:p>
        </w:tc>
      </w:tr>
      <w:tr>
        <w:trPr>
          <w:trHeight w:val="203"/>
        </w:trPr>
        <w:tc>
          <w:tcPr>
            <w:tcW w:w="4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Effective income tax rate</w:t>
            </w:r>
          </w:p>
        </w:tc>
        <w:tc>
          <w:tcPr>
            <w:tcW w:w="156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50.8 %</w:t>
            </w:r>
          </w:p>
        </w:tc>
        <w:tc>
          <w:tcPr>
            <w:tcW w:w="14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33.9 %</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35.4 %</w:t>
            </w:r>
          </w:p>
        </w:tc>
      </w:tr>
    </w:tbl>
    <w:p>
      <w:pPr>
        <w:spacing w:after="0" w:line="134" w:lineRule="exact"/>
        <w:rPr>
          <w:sz w:val="20"/>
          <w:szCs w:val="20"/>
          <w:color w:val="auto"/>
        </w:rPr>
      </w:pPr>
    </w:p>
    <w:p>
      <w:pPr>
        <w:jc w:val="both"/>
        <w:ind w:left="800" w:right="219" w:hanging="384"/>
        <w:spacing w:after="0" w:line="225" w:lineRule="auto"/>
        <w:tabs>
          <w:tab w:leader="none" w:pos="800" w:val="left"/>
        </w:tabs>
        <w:numPr>
          <w:ilvl w:val="0"/>
          <w:numId w:val="28"/>
        </w:numPr>
        <w:rPr>
          <w:rFonts w:ascii="Arial" w:cs="Arial" w:eastAsia="Arial" w:hAnsi="Arial"/>
          <w:sz w:val="12"/>
          <w:szCs w:val="12"/>
          <w:color w:val="auto"/>
        </w:rPr>
      </w:pPr>
      <w:r>
        <w:rPr>
          <w:rFonts w:ascii="Arial" w:cs="Arial" w:eastAsia="Arial" w:hAnsi="Arial"/>
          <w:sz w:val="14"/>
          <w:szCs w:val="14"/>
          <w:color w:val="auto"/>
        </w:rPr>
        <w:t>On December 22, 2017, the United States enacted tax reform legislation that included a broad range of business tax provisions, including but not limited to a reduction in the U.S. corporate income tax rate from 35 percent to 21 percent as well as provisions that limit or eliminate various deductions or credits. In accordance with Section 15 of the Internal Revenue Code, the tax rate for 2017 represented a blended rate of 33.7 percent, calculated by applying a prorated percentage of the number of days prior to and subsequent to the January 1, 2018 effective date.</w:t>
      </w:r>
    </w:p>
    <w:p>
      <w:pPr>
        <w:spacing w:after="0" w:line="104"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Deferred income taxes are provided for the effects of temporary differences between the amounts of assets and liabilities recognized for financial reporting purposes and the amounts recognized for income tax purposes. Items that give rise to significant portions of the Company’s deferred tax assets and liabilities are as follows:</w:t>
      </w:r>
    </w:p>
    <w:p>
      <w:pPr>
        <w:spacing w:after="0" w:line="74"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45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2017</w:t>
            </w:r>
          </w:p>
        </w:tc>
        <w:tc>
          <w:tcPr>
            <w:tcW w:w="7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color w:val="auto"/>
              </w:rPr>
              <w:t>2016</w:t>
            </w:r>
          </w:p>
        </w:tc>
      </w:tr>
      <w:tr>
        <w:trPr>
          <w:trHeight w:val="210"/>
        </w:trPr>
        <w:tc>
          <w:tcPr>
            <w:tcW w:w="4560" w:type="dxa"/>
            <w:vAlign w:val="bottom"/>
          </w:tcPr>
          <w:p>
            <w:pPr>
              <w:ind w:left="60"/>
              <w:spacing w:after="0"/>
              <w:rPr>
                <w:sz w:val="20"/>
                <w:szCs w:val="20"/>
                <w:color w:val="auto"/>
              </w:rPr>
            </w:pPr>
            <w:r>
              <w:rPr>
                <w:rFonts w:ascii="Arial" w:cs="Arial" w:eastAsia="Arial" w:hAnsi="Arial"/>
                <w:sz w:val="17"/>
                <w:szCs w:val="17"/>
                <w:b w:val="1"/>
                <w:bCs w:val="1"/>
                <w:color w:val="auto"/>
              </w:rPr>
              <w:t>Deferred tax assets:</w:t>
            </w:r>
          </w:p>
        </w:tc>
        <w:tc>
          <w:tcPr>
            <w:tcW w:w="1940" w:type="dxa"/>
            <w:vAlign w:val="bottom"/>
          </w:tcPr>
          <w:p>
            <w:pPr>
              <w:spacing w:after="0"/>
              <w:rPr>
                <w:sz w:val="18"/>
                <w:szCs w:val="18"/>
                <w:color w:val="auto"/>
              </w:rPr>
            </w:pPr>
          </w:p>
        </w:tc>
        <w:tc>
          <w:tcPr>
            <w:tcW w:w="1240" w:type="dxa"/>
            <w:vAlign w:val="bottom"/>
            <w:gridSpan w:val="2"/>
          </w:tcPr>
          <w:p>
            <w:pPr>
              <w:jc w:val="right"/>
              <w:ind w:right="35"/>
              <w:spacing w:after="0"/>
              <w:rPr>
                <w:sz w:val="20"/>
                <w:szCs w:val="20"/>
                <w:color w:val="auto"/>
              </w:rPr>
            </w:pPr>
            <w:r>
              <w:rPr>
                <w:rFonts w:ascii="Arial" w:cs="Arial" w:eastAsia="Arial" w:hAnsi="Arial"/>
                <w:sz w:val="17"/>
                <w:szCs w:val="17"/>
                <w:color w:val="auto"/>
              </w:rPr>
              <w:t>($ in millions)</w:t>
            </w:r>
          </w:p>
        </w:tc>
        <w:tc>
          <w:tcPr>
            <w:tcW w:w="1080" w:type="dxa"/>
            <w:vAlign w:val="bottom"/>
          </w:tcPr>
          <w:p>
            <w:pPr>
              <w:spacing w:after="0"/>
              <w:rPr>
                <w:sz w:val="18"/>
                <w:szCs w:val="18"/>
                <w:color w:val="auto"/>
              </w:rPr>
            </w:pPr>
          </w:p>
        </w:tc>
      </w:tr>
      <w:tr>
        <w:trPr>
          <w:trHeight w:val="230"/>
        </w:trPr>
        <w:tc>
          <w:tcPr>
            <w:tcW w:w="45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Tax loss/credit carryforwards and capital loss</w:t>
            </w:r>
          </w:p>
        </w:tc>
        <w:tc>
          <w:tcPr>
            <w:tcW w:w="1940" w:type="dxa"/>
            <w:vAlign w:val="bottom"/>
            <w:shd w:val="clear" w:color="auto" w:fill="CCEEFF"/>
          </w:tcPr>
          <w:p>
            <w:pPr>
              <w:jc w:val="right"/>
              <w:ind w:right="695"/>
              <w:spacing w:after="0"/>
              <w:rPr>
                <w:sz w:val="20"/>
                <w:szCs w:val="20"/>
                <w:color w:val="auto"/>
              </w:rPr>
            </w:pPr>
            <w:r>
              <w:rPr>
                <w:rFonts w:ascii="Arial" w:cs="Arial" w:eastAsia="Arial" w:hAnsi="Arial"/>
                <w:sz w:val="17"/>
                <w:szCs w:val="17"/>
                <w:b w:val="1"/>
                <w:bCs w:val="1"/>
                <w:color w:val="auto"/>
              </w:rPr>
              <w:t>$</w:t>
            </w:r>
          </w:p>
        </w:tc>
        <w:tc>
          <w:tcPr>
            <w:tcW w:w="720" w:type="dxa"/>
            <w:vAlign w:val="bottom"/>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23</w:t>
            </w:r>
          </w:p>
        </w:tc>
        <w:tc>
          <w:tcPr>
            <w:tcW w:w="5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30"/>
        </w:trPr>
        <w:tc>
          <w:tcPr>
            <w:tcW w:w="4560" w:type="dxa"/>
            <w:vAlign w:val="bottom"/>
          </w:tcPr>
          <w:p>
            <w:pPr>
              <w:ind w:left="120"/>
              <w:spacing w:after="0"/>
              <w:rPr>
                <w:sz w:val="20"/>
                <w:szCs w:val="20"/>
                <w:color w:val="auto"/>
              </w:rPr>
            </w:pPr>
            <w:r>
              <w:rPr>
                <w:rFonts w:ascii="Arial" w:cs="Arial" w:eastAsia="Arial" w:hAnsi="Arial"/>
                <w:sz w:val="17"/>
                <w:szCs w:val="17"/>
                <w:color w:val="auto"/>
              </w:rPr>
              <w:t>Employee benefits</w:t>
            </w:r>
          </w:p>
        </w:tc>
        <w:tc>
          <w:tcPr>
            <w:tcW w:w="1940" w:type="dxa"/>
            <w:vAlign w:val="bottom"/>
          </w:tcPr>
          <w:p>
            <w:pPr>
              <w:spacing w:after="0"/>
              <w:rPr>
                <w:sz w:val="19"/>
                <w:szCs w:val="19"/>
                <w:color w:val="auto"/>
              </w:rPr>
            </w:pPr>
          </w:p>
        </w:tc>
        <w:tc>
          <w:tcPr>
            <w:tcW w:w="720" w:type="dxa"/>
            <w:vAlign w:val="bottom"/>
          </w:tcPr>
          <w:p>
            <w:pPr>
              <w:jc w:val="right"/>
              <w:ind w:right="195"/>
              <w:spacing w:after="0"/>
              <w:rPr>
                <w:sz w:val="20"/>
                <w:szCs w:val="20"/>
                <w:color w:val="auto"/>
              </w:rPr>
            </w:pPr>
            <w:r>
              <w:rPr>
                <w:rFonts w:ascii="Arial" w:cs="Arial" w:eastAsia="Arial" w:hAnsi="Arial"/>
                <w:sz w:val="17"/>
                <w:szCs w:val="17"/>
                <w:b w:val="1"/>
                <w:bCs w:val="1"/>
                <w:color w:val="auto"/>
              </w:rPr>
              <w:t>16</w:t>
            </w: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76</w:t>
            </w:r>
          </w:p>
        </w:tc>
      </w:tr>
      <w:tr>
        <w:trPr>
          <w:trHeight w:val="230"/>
        </w:trPr>
        <w:tc>
          <w:tcPr>
            <w:tcW w:w="45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Property and equipment</w:t>
            </w:r>
          </w:p>
        </w:tc>
        <w:tc>
          <w:tcPr>
            <w:tcW w:w="19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54</w:t>
            </w: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r>
      <w:tr>
        <w:trPr>
          <w:trHeight w:val="230"/>
        </w:trPr>
        <w:tc>
          <w:tcPr>
            <w:tcW w:w="4560" w:type="dxa"/>
            <w:vAlign w:val="bottom"/>
          </w:tcPr>
          <w:p>
            <w:pPr>
              <w:ind w:left="120"/>
              <w:spacing w:after="0"/>
              <w:rPr>
                <w:sz w:val="20"/>
                <w:szCs w:val="20"/>
                <w:color w:val="auto"/>
              </w:rPr>
            </w:pPr>
            <w:r>
              <w:rPr>
                <w:rFonts w:ascii="Arial" w:cs="Arial" w:eastAsia="Arial" w:hAnsi="Arial"/>
                <w:sz w:val="17"/>
                <w:szCs w:val="17"/>
                <w:color w:val="auto"/>
              </w:rPr>
              <w:t>Straight-line rent</w:t>
            </w:r>
          </w:p>
        </w:tc>
        <w:tc>
          <w:tcPr>
            <w:tcW w:w="1940" w:type="dxa"/>
            <w:vAlign w:val="bottom"/>
          </w:tcPr>
          <w:p>
            <w:pPr>
              <w:spacing w:after="0"/>
              <w:rPr>
                <w:sz w:val="19"/>
                <w:szCs w:val="19"/>
                <w:color w:val="auto"/>
              </w:rPr>
            </w:pPr>
          </w:p>
        </w:tc>
        <w:tc>
          <w:tcPr>
            <w:tcW w:w="720" w:type="dxa"/>
            <w:vAlign w:val="bottom"/>
          </w:tcPr>
          <w:p>
            <w:pPr>
              <w:jc w:val="right"/>
              <w:ind w:right="195"/>
              <w:spacing w:after="0"/>
              <w:rPr>
                <w:sz w:val="20"/>
                <w:szCs w:val="20"/>
                <w:color w:val="auto"/>
              </w:rPr>
            </w:pPr>
            <w:r>
              <w:rPr>
                <w:rFonts w:ascii="Arial" w:cs="Arial" w:eastAsia="Arial" w:hAnsi="Arial"/>
                <w:sz w:val="17"/>
                <w:szCs w:val="17"/>
                <w:b w:val="1"/>
                <w:bCs w:val="1"/>
                <w:color w:val="auto"/>
              </w:rPr>
              <w:t>44</w:t>
            </w: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30"/>
        </w:trPr>
        <w:tc>
          <w:tcPr>
            <w:tcW w:w="45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Other</w:t>
            </w:r>
          </w:p>
        </w:tc>
        <w:tc>
          <w:tcPr>
            <w:tcW w:w="19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27</w:t>
            </w:r>
          </w:p>
        </w:tc>
        <w:tc>
          <w:tcPr>
            <w:tcW w:w="5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w:t>
            </w:r>
          </w:p>
        </w:tc>
      </w:tr>
      <w:tr>
        <w:trPr>
          <w:trHeight w:val="210"/>
        </w:trPr>
        <w:tc>
          <w:tcPr>
            <w:tcW w:w="4560" w:type="dxa"/>
            <w:vAlign w:val="bottom"/>
          </w:tcPr>
          <w:p>
            <w:pPr>
              <w:spacing w:after="0"/>
              <w:rPr>
                <w:sz w:val="20"/>
                <w:szCs w:val="20"/>
                <w:color w:val="auto"/>
              </w:rPr>
            </w:pPr>
            <w:r>
              <w:rPr>
                <w:rFonts w:ascii="Arial" w:cs="Arial" w:eastAsia="Arial" w:hAnsi="Arial"/>
                <w:sz w:val="17"/>
                <w:szCs w:val="17"/>
                <w:color w:val="auto"/>
              </w:rPr>
              <w:t>Total deferred tax assets</w:t>
            </w:r>
          </w:p>
        </w:tc>
        <w:tc>
          <w:tcPr>
            <w:tcW w:w="1940" w:type="dxa"/>
            <w:vAlign w:val="bottom"/>
          </w:tcPr>
          <w:p>
            <w:pPr>
              <w:jc w:val="right"/>
              <w:ind w:right="695"/>
              <w:spacing w:after="0"/>
              <w:rPr>
                <w:sz w:val="20"/>
                <w:szCs w:val="20"/>
                <w:color w:val="auto"/>
              </w:rPr>
            </w:pPr>
            <w:r>
              <w:rPr>
                <w:rFonts w:ascii="Arial" w:cs="Arial" w:eastAsia="Arial" w:hAnsi="Arial"/>
                <w:sz w:val="17"/>
                <w:szCs w:val="17"/>
                <w:b w:val="1"/>
                <w:bCs w:val="1"/>
                <w:color w:val="auto"/>
              </w:rPr>
              <w:t>$</w:t>
            </w:r>
          </w:p>
        </w:tc>
        <w:tc>
          <w:tcPr>
            <w:tcW w:w="720" w:type="dxa"/>
            <w:vAlign w:val="bottom"/>
          </w:tcPr>
          <w:p>
            <w:pPr>
              <w:jc w:val="right"/>
              <w:ind w:right="195"/>
              <w:spacing w:after="0"/>
              <w:rPr>
                <w:sz w:val="20"/>
                <w:szCs w:val="20"/>
                <w:color w:val="auto"/>
              </w:rPr>
            </w:pPr>
            <w:r>
              <w:rPr>
                <w:rFonts w:ascii="Arial" w:cs="Arial" w:eastAsia="Arial" w:hAnsi="Arial"/>
                <w:sz w:val="17"/>
                <w:szCs w:val="17"/>
                <w:b w:val="1"/>
                <w:bCs w:val="1"/>
                <w:color w:val="auto"/>
              </w:rPr>
              <w:t>164</w:t>
            </w:r>
          </w:p>
        </w:tc>
        <w:tc>
          <w:tcPr>
            <w:tcW w:w="52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296</w:t>
            </w:r>
          </w:p>
        </w:tc>
      </w:tr>
      <w:tr>
        <w:trPr>
          <w:trHeight w:val="230"/>
        </w:trPr>
        <w:tc>
          <w:tcPr>
            <w:tcW w:w="45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Valuation allowance</w:t>
            </w:r>
          </w:p>
        </w:tc>
        <w:tc>
          <w:tcPr>
            <w:tcW w:w="19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(17)</w:t>
            </w:r>
          </w:p>
        </w:tc>
        <w:tc>
          <w:tcPr>
            <w:tcW w:w="5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210"/>
        </w:trPr>
        <w:tc>
          <w:tcPr>
            <w:tcW w:w="4560" w:type="dxa"/>
            <w:vAlign w:val="bottom"/>
            <w:tcBorders>
              <w:bottom w:val="single" w:sz="8" w:color="auto"/>
            </w:tcBorders>
          </w:tcPr>
          <w:p>
            <w:pPr>
              <w:ind w:left="300"/>
              <w:spacing w:after="0"/>
              <w:rPr>
                <w:sz w:val="20"/>
                <w:szCs w:val="20"/>
                <w:color w:val="auto"/>
              </w:rPr>
            </w:pPr>
            <w:r>
              <w:rPr>
                <w:rFonts w:ascii="Arial" w:cs="Arial" w:eastAsia="Arial" w:hAnsi="Arial"/>
                <w:sz w:val="17"/>
                <w:szCs w:val="17"/>
                <w:color w:val="auto"/>
              </w:rPr>
              <w:t>Total deferred tax assets, net</w:t>
            </w:r>
          </w:p>
        </w:tc>
        <w:tc>
          <w:tcPr>
            <w:tcW w:w="1940" w:type="dxa"/>
            <w:vAlign w:val="bottom"/>
            <w:tcBorders>
              <w:bottom w:val="single" w:sz="8" w:color="auto"/>
            </w:tcBorders>
          </w:tcPr>
          <w:p>
            <w:pPr>
              <w:jc w:val="right"/>
              <w:ind w:right="695"/>
              <w:spacing w:after="0"/>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147</w:t>
            </w:r>
          </w:p>
        </w:tc>
        <w:tc>
          <w:tcPr>
            <w:tcW w:w="5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289</w:t>
            </w: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Deferred tax liabilities:</w:t>
            </w:r>
          </w:p>
        </w:tc>
        <w:tc>
          <w:tcPr>
            <w:tcW w:w="1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4560" w:type="dxa"/>
            <w:vAlign w:val="bottom"/>
          </w:tcPr>
          <w:p>
            <w:pPr>
              <w:ind w:left="120"/>
              <w:spacing w:after="0"/>
              <w:rPr>
                <w:sz w:val="20"/>
                <w:szCs w:val="20"/>
                <w:color w:val="auto"/>
              </w:rPr>
            </w:pPr>
            <w:r>
              <w:rPr>
                <w:rFonts w:ascii="Arial" w:cs="Arial" w:eastAsia="Arial" w:hAnsi="Arial"/>
                <w:sz w:val="17"/>
                <w:szCs w:val="17"/>
                <w:color w:val="auto"/>
              </w:rPr>
              <w:t>Merchandise inventories</w:t>
            </w:r>
          </w:p>
        </w:tc>
        <w:tc>
          <w:tcPr>
            <w:tcW w:w="1940" w:type="dxa"/>
            <w:vAlign w:val="bottom"/>
          </w:tcPr>
          <w:p>
            <w:pPr>
              <w:jc w:val="right"/>
              <w:ind w:right="695"/>
              <w:spacing w:after="0"/>
              <w:rPr>
                <w:sz w:val="20"/>
                <w:szCs w:val="20"/>
                <w:color w:val="auto"/>
              </w:rPr>
            </w:pPr>
            <w:r>
              <w:rPr>
                <w:rFonts w:ascii="Arial" w:cs="Arial" w:eastAsia="Arial" w:hAnsi="Arial"/>
                <w:sz w:val="17"/>
                <w:szCs w:val="17"/>
                <w:b w:val="1"/>
                <w:bCs w:val="1"/>
                <w:color w:val="auto"/>
              </w:rPr>
              <w:t>$</w:t>
            </w:r>
          </w:p>
        </w:tc>
        <w:tc>
          <w:tcPr>
            <w:tcW w:w="720" w:type="dxa"/>
            <w:vAlign w:val="bottom"/>
          </w:tcPr>
          <w:p>
            <w:pPr>
              <w:jc w:val="right"/>
              <w:ind w:right="195"/>
              <w:spacing w:after="0"/>
              <w:rPr>
                <w:sz w:val="20"/>
                <w:szCs w:val="20"/>
                <w:color w:val="auto"/>
              </w:rPr>
            </w:pPr>
            <w:r>
              <w:rPr>
                <w:rFonts w:ascii="Arial" w:cs="Arial" w:eastAsia="Arial" w:hAnsi="Arial"/>
                <w:sz w:val="17"/>
                <w:szCs w:val="17"/>
                <w:b w:val="1"/>
                <w:bCs w:val="1"/>
                <w:color w:val="auto"/>
              </w:rPr>
              <w:t>79</w:t>
            </w:r>
          </w:p>
        </w:tc>
        <w:tc>
          <w:tcPr>
            <w:tcW w:w="52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104</w:t>
            </w:r>
          </w:p>
        </w:tc>
      </w:tr>
      <w:tr>
        <w:trPr>
          <w:trHeight w:val="230"/>
        </w:trPr>
        <w:tc>
          <w:tcPr>
            <w:tcW w:w="45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Goodwill and other intangible assets</w:t>
            </w:r>
          </w:p>
        </w:tc>
        <w:tc>
          <w:tcPr>
            <w:tcW w:w="19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20</w:t>
            </w: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r>
      <w:tr>
        <w:trPr>
          <w:trHeight w:val="230"/>
        </w:trPr>
        <w:tc>
          <w:tcPr>
            <w:tcW w:w="45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Other</w:t>
            </w:r>
          </w:p>
        </w:tc>
        <w:tc>
          <w:tcPr>
            <w:tcW w:w="19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15</w:t>
            </w: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r>
      <w:tr>
        <w:trPr>
          <w:trHeight w:val="210"/>
        </w:trPr>
        <w:tc>
          <w:tcPr>
            <w:tcW w:w="45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Total deferred tax liabilities</w:t>
            </w:r>
          </w:p>
        </w:tc>
        <w:tc>
          <w:tcPr>
            <w:tcW w:w="1940" w:type="dxa"/>
            <w:vAlign w:val="bottom"/>
            <w:tcBorders>
              <w:bottom w:val="single" w:sz="8" w:color="auto"/>
            </w:tcBorders>
            <w:shd w:val="clear" w:color="auto" w:fill="CCEEFF"/>
          </w:tcPr>
          <w:p>
            <w:pPr>
              <w:jc w:val="right"/>
              <w:ind w:right="695"/>
              <w:spacing w:after="0"/>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114</w:t>
            </w:r>
          </w:p>
        </w:tc>
        <w:tc>
          <w:tcPr>
            <w:tcW w:w="5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w:t>
            </w:r>
          </w:p>
        </w:tc>
      </w:tr>
      <w:tr>
        <w:trPr>
          <w:trHeight w:val="203"/>
        </w:trPr>
        <w:tc>
          <w:tcPr>
            <w:tcW w:w="45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Net deferred tax asset</w:t>
            </w:r>
          </w:p>
        </w:tc>
        <w:tc>
          <w:tcPr>
            <w:tcW w:w="1940" w:type="dxa"/>
            <w:vAlign w:val="bottom"/>
            <w:tcBorders>
              <w:bottom w:val="single" w:sz="8" w:color="auto"/>
            </w:tcBorders>
          </w:tcPr>
          <w:p>
            <w:pPr>
              <w:jc w:val="right"/>
              <w:ind w:right="695"/>
              <w:spacing w:after="0"/>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33</w:t>
            </w:r>
          </w:p>
        </w:tc>
        <w:tc>
          <w:tcPr>
            <w:tcW w:w="5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Sheet caption reported in:</w:t>
            </w:r>
          </w:p>
        </w:tc>
        <w:tc>
          <w:tcPr>
            <w:tcW w:w="1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4560" w:type="dxa"/>
            <w:vAlign w:val="bottom"/>
          </w:tcPr>
          <w:p>
            <w:pPr>
              <w:ind w:left="120"/>
              <w:spacing w:after="0"/>
              <w:rPr>
                <w:sz w:val="20"/>
                <w:szCs w:val="20"/>
                <w:color w:val="auto"/>
              </w:rPr>
            </w:pPr>
            <w:r>
              <w:rPr>
                <w:rFonts w:ascii="Arial" w:cs="Arial" w:eastAsia="Arial" w:hAnsi="Arial"/>
                <w:sz w:val="17"/>
                <w:szCs w:val="17"/>
                <w:color w:val="auto"/>
              </w:rPr>
              <w:t>Deferred taxes</w:t>
            </w:r>
          </w:p>
        </w:tc>
        <w:tc>
          <w:tcPr>
            <w:tcW w:w="1940" w:type="dxa"/>
            <w:vAlign w:val="bottom"/>
          </w:tcPr>
          <w:p>
            <w:pPr>
              <w:jc w:val="right"/>
              <w:ind w:right="695"/>
              <w:spacing w:after="0"/>
              <w:rPr>
                <w:sz w:val="20"/>
                <w:szCs w:val="20"/>
                <w:color w:val="auto"/>
              </w:rPr>
            </w:pPr>
            <w:r>
              <w:rPr>
                <w:rFonts w:ascii="Arial" w:cs="Arial" w:eastAsia="Arial" w:hAnsi="Arial"/>
                <w:sz w:val="17"/>
                <w:szCs w:val="17"/>
                <w:b w:val="1"/>
                <w:bCs w:val="1"/>
                <w:color w:val="auto"/>
              </w:rPr>
              <w:t>$</w:t>
            </w:r>
          </w:p>
        </w:tc>
        <w:tc>
          <w:tcPr>
            <w:tcW w:w="720" w:type="dxa"/>
            <w:vAlign w:val="bottom"/>
          </w:tcPr>
          <w:p>
            <w:pPr>
              <w:jc w:val="right"/>
              <w:ind w:right="195"/>
              <w:spacing w:after="0"/>
              <w:rPr>
                <w:sz w:val="20"/>
                <w:szCs w:val="20"/>
                <w:color w:val="auto"/>
              </w:rPr>
            </w:pPr>
            <w:r>
              <w:rPr>
                <w:rFonts w:ascii="Arial" w:cs="Arial" w:eastAsia="Arial" w:hAnsi="Arial"/>
                <w:sz w:val="17"/>
                <w:szCs w:val="17"/>
                <w:b w:val="1"/>
                <w:bCs w:val="1"/>
                <w:color w:val="auto"/>
              </w:rPr>
              <w:t>48</w:t>
            </w:r>
          </w:p>
        </w:tc>
        <w:tc>
          <w:tcPr>
            <w:tcW w:w="52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161</w:t>
            </w:r>
          </w:p>
        </w:tc>
      </w:tr>
      <w:tr>
        <w:trPr>
          <w:trHeight w:val="230"/>
        </w:trPr>
        <w:tc>
          <w:tcPr>
            <w:tcW w:w="45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Other liabilities</w:t>
            </w:r>
          </w:p>
        </w:tc>
        <w:tc>
          <w:tcPr>
            <w:tcW w:w="19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(15)</w:t>
            </w:r>
          </w:p>
        </w:tc>
        <w:tc>
          <w:tcPr>
            <w:tcW w:w="5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03"/>
        </w:trPr>
        <w:tc>
          <w:tcPr>
            <w:tcW w:w="45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695"/>
              <w:spacing w:after="0"/>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33</w:t>
            </w:r>
          </w:p>
        </w:tc>
        <w:tc>
          <w:tcPr>
            <w:tcW w:w="5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w:t>
            </w:r>
          </w:p>
        </w:tc>
      </w:tr>
    </w:tbl>
    <w:p>
      <w:pPr>
        <w:spacing w:after="0" w:line="115"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As a result of the Tax Act’s corporate income tax rate reduction to 21 percent, the Company remeasured its deferred tax assets and liabilities, and the adjustment was not significant.</w:t>
      </w:r>
    </w:p>
    <w:p>
      <w:pPr>
        <w:spacing w:after="0" w:line="171"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Based upon the level of historical taxable income and projections for future taxable income, which are based upon the Company’s long-range strategic plans, management believes it is more likely than not that the Company will realize the benefits of these deductible differences, net of the valuation allowances at February 3, 2018, over the periods in which the temporary differences are anticipated to reverse. However, the amount of the deferred tax asset considered realizable could be adjusted in the future if estimates of taxable income are revised.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3"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As of February 3, 2018, the Company has a valuation allowance of $17 million to reduce its deferred tax assets to an amount that is more likely than not to be realized. A valuation allowance of $15 million was recorded against tax loss carryforwards of certain foreign entities. Based on the history of losses and the absence of prudent and feasible business plans for generating future taxable income in these entities, the Company believes it is more likely than not that the benefit of these loss carryforwards will not be realized. An additional valuation allowance of $2 million relates to the deferred tax assets arising from a capital loss associated with an impairment of the Northern Group note receivable in 2008. The Company does not anticipate realizing capital gains to utilize the capital loss associated with the note receivable impairment.</w:t>
      </w:r>
    </w:p>
    <w:p>
      <w:pPr>
        <w:spacing w:after="0" w:line="177"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At February 3, 2018, the Company has U.S. state operating loss carryforwards with a potential tax benefit of $1 million that expire between 2021 and 2037. The Company will have, when realized, a capital loss with a potential benefit of $2 million arising from a note receivable. This loss will carryforward for 5 years after realization. The Company has international minimum tax credit carryforwards with a potential tax benefit of $4 million and operating loss carryforwards with a potential tax benefit of $16 million, a portion of which will expire between 2018 and 2026 and a portion of which will never expire. The state and international operating loss carryforwards do not include unrecognized tax benefits.</w:t>
      </w:r>
    </w:p>
    <w:p>
      <w:pPr>
        <w:spacing w:after="0" w:line="178"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The Company operates in multiple taxing jurisdictions and is subject to audit. Audits can involve complex issues that may require an extended period of time to resolve. A taxing authority may challenge positions that the Company has adopted in its income tax filings. Accordingly, the Company may apply different tax treatments for transactions in filing its income tax returns than for income tax financial reporting. The Company regularly assesses its tax positions for such transactions and records reserves for those differences.</w:t>
      </w:r>
    </w:p>
    <w:p>
      <w:pPr>
        <w:spacing w:after="0" w:line="177"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The Company’s U.S. Federal income tax filings have been examined by the Internal Revenue Service through 2016. The Company is participating in the IRS’s Compliance Assurance Process (“CAP”) for 2017, which is expected to conclude during 2018. The Company has started the CAP for 2018. Due to the recent utilization of net operating loss carryforwards, the Company is subject to state and local tax examinations effectively including years from 2000 to the present. To date, no adjustments have been proposed in any audits that will have a material effect on the Company’s financial position or results of operations.</w:t>
      </w:r>
    </w:p>
    <w:p>
      <w:pPr>
        <w:spacing w:after="0" w:line="175"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At February 3, 2018 and January 28, 2017, the Company had $44 million and $38 million, respectively, of gross unrecognized tax benefits, and $44 million and $38 million, respectively, of net unrecognized tax benefits that would, if recognized, affect the Company’s annual effective tax rate. The Company has classified certain income tax liabilities as current or noncurrent based on management’s estimate of when these liabilities will be settled. Interest expense and penalties related to unrecognized tax benefits are classified as income tax expense. Interest income was not significant in 2017, was $1 million in 2016, and was not significant for 2015. Accrued interest and penalties was not significant for 2017, $1 million in 2016, and $2 million in 2015.</w:t>
      </w:r>
    </w:p>
    <w:p>
      <w:pPr>
        <w:spacing w:after="0" w:line="178"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following table summarizes the activity related to unrecognized tax benefits:</w:t>
      </w:r>
    </w:p>
    <w:p>
      <w:pPr>
        <w:spacing w:after="0" w:line="257"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39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2017</w:t>
            </w:r>
          </w:p>
        </w:tc>
        <w:tc>
          <w:tcPr>
            <w:tcW w:w="5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color w:val="auto"/>
              </w:rPr>
              <w:t>2016</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rPr>
              <w:t>2015</w:t>
            </w:r>
          </w:p>
        </w:tc>
        <w:tc>
          <w:tcPr>
            <w:tcW w:w="40" w:type="dxa"/>
            <w:vAlign w:val="bottom"/>
          </w:tcPr>
          <w:p>
            <w:pPr>
              <w:spacing w:after="0"/>
              <w:rPr>
                <w:sz w:val="18"/>
                <w:szCs w:val="18"/>
                <w:color w:val="auto"/>
              </w:rPr>
            </w:pPr>
          </w:p>
        </w:tc>
      </w:tr>
      <w:tr>
        <w:trPr>
          <w:trHeight w:val="210"/>
        </w:trPr>
        <w:tc>
          <w:tcPr>
            <w:tcW w:w="39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00" w:type="dxa"/>
            <w:vAlign w:val="bottom"/>
            <w:gridSpan w:val="2"/>
          </w:tcPr>
          <w:p>
            <w:pPr>
              <w:ind w:left="200"/>
              <w:spacing w:after="0"/>
              <w:rPr>
                <w:sz w:val="20"/>
                <w:szCs w:val="20"/>
                <w:color w:val="auto"/>
              </w:rPr>
            </w:pPr>
            <w:r>
              <w:rPr>
                <w:rFonts w:ascii="Arial" w:cs="Arial" w:eastAsia="Arial" w:hAnsi="Arial"/>
                <w:sz w:val="17"/>
                <w:szCs w:val="17"/>
                <w:color w:val="auto"/>
              </w:rPr>
              <w:t>($ in millions)</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Unrecognized tax benefits at beginning of year</w:t>
            </w:r>
          </w:p>
        </w:tc>
        <w:tc>
          <w:tcPr>
            <w:tcW w:w="1500" w:type="dxa"/>
            <w:vAlign w:val="bottom"/>
            <w:shd w:val="clear" w:color="auto" w:fill="CCEEFF"/>
          </w:tcPr>
          <w:p>
            <w:pPr>
              <w:jc w:val="right"/>
              <w:ind w:right="655"/>
              <w:spacing w:after="0"/>
              <w:rPr>
                <w:sz w:val="20"/>
                <w:szCs w:val="20"/>
                <w:color w:val="auto"/>
              </w:rPr>
            </w:pPr>
            <w:r>
              <w:rPr>
                <w:rFonts w:ascii="Arial" w:cs="Arial" w:eastAsia="Arial" w:hAnsi="Arial"/>
                <w:sz w:val="17"/>
                <w:szCs w:val="17"/>
                <w:b w:val="1"/>
                <w:bCs w:val="1"/>
                <w:color w:val="auto"/>
              </w:rPr>
              <w:t>$</w:t>
            </w:r>
          </w:p>
        </w:tc>
        <w:tc>
          <w:tcPr>
            <w:tcW w:w="540" w:type="dxa"/>
            <w:vAlign w:val="bottom"/>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38</w:t>
            </w:r>
          </w:p>
        </w:tc>
        <w:tc>
          <w:tcPr>
            <w:tcW w:w="4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38</w:t>
            </w:r>
          </w:p>
        </w:tc>
        <w:tc>
          <w:tcPr>
            <w:tcW w:w="4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40" w:type="dxa"/>
            <w:vAlign w:val="bottom"/>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7"/>
                <w:szCs w:val="17"/>
                <w:color w:val="auto"/>
              </w:rPr>
              <w:t>Foreign currency translation adjustments</w:t>
            </w:r>
          </w:p>
        </w:tc>
        <w:tc>
          <w:tcPr>
            <w:tcW w:w="1500" w:type="dxa"/>
            <w:vAlign w:val="bottom"/>
          </w:tcPr>
          <w:p>
            <w:pPr>
              <w:spacing w:after="0"/>
              <w:rPr>
                <w:sz w:val="19"/>
                <w:szCs w:val="19"/>
                <w:color w:val="auto"/>
              </w:rPr>
            </w:pPr>
          </w:p>
        </w:tc>
        <w:tc>
          <w:tcPr>
            <w:tcW w:w="540" w:type="dxa"/>
            <w:vAlign w:val="bottom"/>
          </w:tcPr>
          <w:p>
            <w:pPr>
              <w:jc w:val="right"/>
              <w:ind w:right="155"/>
              <w:spacing w:after="0"/>
              <w:rPr>
                <w:sz w:val="20"/>
                <w:szCs w:val="20"/>
                <w:color w:val="auto"/>
              </w:rPr>
            </w:pPr>
            <w:r>
              <w:rPr>
                <w:rFonts w:ascii="Arial" w:cs="Arial" w:eastAsia="Arial" w:hAnsi="Arial"/>
                <w:sz w:val="17"/>
                <w:szCs w:val="17"/>
                <w:b w:val="1"/>
                <w:bCs w:val="1"/>
                <w:color w:val="auto"/>
              </w:rPr>
              <w:t>4</w:t>
            </w:r>
          </w:p>
        </w:tc>
        <w:tc>
          <w:tcPr>
            <w:tcW w:w="400" w:type="dxa"/>
            <w:vAlign w:val="bottom"/>
          </w:tcPr>
          <w:p>
            <w:pPr>
              <w:spacing w:after="0"/>
              <w:rPr>
                <w:sz w:val="19"/>
                <w:szCs w:val="19"/>
                <w:color w:val="auto"/>
              </w:rPr>
            </w:pPr>
          </w:p>
        </w:tc>
        <w:tc>
          <w:tcPr>
            <w:tcW w:w="1100" w:type="dxa"/>
            <w:vAlign w:val="bottom"/>
          </w:tcPr>
          <w:p>
            <w:pPr>
              <w:jc w:val="right"/>
              <w:ind w:right="115"/>
              <w:spacing w:after="0"/>
              <w:rPr>
                <w:sz w:val="20"/>
                <w:szCs w:val="20"/>
                <w:color w:val="auto"/>
              </w:rPr>
            </w:pPr>
            <w:r>
              <w:rPr>
                <w:rFonts w:ascii="Arial" w:cs="Arial" w:eastAsia="Arial" w:hAnsi="Arial"/>
                <w:sz w:val="17"/>
                <w:szCs w:val="17"/>
                <w:color w:val="auto"/>
              </w:rPr>
              <w:t>1</w:t>
            </w:r>
          </w:p>
        </w:tc>
        <w:tc>
          <w:tcPr>
            <w:tcW w:w="4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(2)</w:t>
            </w:r>
          </w:p>
        </w:tc>
      </w:tr>
      <w:tr>
        <w:trPr>
          <w:trHeight w:val="230"/>
        </w:trPr>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Increases related to current year tax positions</w:t>
            </w:r>
          </w:p>
        </w:tc>
        <w:tc>
          <w:tcPr>
            <w:tcW w:w="15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3</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8</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40" w:type="dxa"/>
            <w:vAlign w:val="bottom"/>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7"/>
                <w:szCs w:val="17"/>
                <w:color w:val="auto"/>
              </w:rPr>
              <w:t>Increases related to prior period tax positions</w:t>
            </w:r>
          </w:p>
        </w:tc>
        <w:tc>
          <w:tcPr>
            <w:tcW w:w="1500" w:type="dxa"/>
            <w:vAlign w:val="bottom"/>
          </w:tcPr>
          <w:p>
            <w:pPr>
              <w:spacing w:after="0"/>
              <w:rPr>
                <w:sz w:val="19"/>
                <w:szCs w:val="19"/>
                <w:color w:val="auto"/>
              </w:rPr>
            </w:pPr>
          </w:p>
        </w:tc>
        <w:tc>
          <w:tcPr>
            <w:tcW w:w="540" w:type="dxa"/>
            <w:vAlign w:val="bottom"/>
          </w:tcPr>
          <w:p>
            <w:pPr>
              <w:jc w:val="right"/>
              <w:ind w:right="155"/>
              <w:spacing w:after="0"/>
              <w:rPr>
                <w:sz w:val="20"/>
                <w:szCs w:val="20"/>
                <w:color w:val="auto"/>
              </w:rPr>
            </w:pPr>
            <w:r>
              <w:rPr>
                <w:rFonts w:ascii="Arial" w:cs="Arial" w:eastAsia="Arial" w:hAnsi="Arial"/>
                <w:sz w:val="17"/>
                <w:szCs w:val="17"/>
                <w:b w:val="1"/>
                <w:bCs w:val="1"/>
                <w:color w:val="auto"/>
              </w:rPr>
              <w:t>1</w:t>
            </w:r>
          </w:p>
        </w:tc>
        <w:tc>
          <w:tcPr>
            <w:tcW w:w="400" w:type="dxa"/>
            <w:vAlign w:val="bottom"/>
          </w:tcPr>
          <w:p>
            <w:pPr>
              <w:spacing w:after="0"/>
              <w:rPr>
                <w:sz w:val="19"/>
                <w:szCs w:val="19"/>
                <w:color w:val="auto"/>
              </w:rPr>
            </w:pPr>
          </w:p>
        </w:tc>
        <w:tc>
          <w:tcPr>
            <w:tcW w:w="1100" w:type="dxa"/>
            <w:vAlign w:val="bottom"/>
          </w:tcPr>
          <w:p>
            <w:pPr>
              <w:jc w:val="right"/>
              <w:ind w:right="115"/>
              <w:spacing w:after="0"/>
              <w:rPr>
                <w:sz w:val="20"/>
                <w:szCs w:val="20"/>
                <w:color w:val="auto"/>
              </w:rPr>
            </w:pPr>
            <w:r>
              <w:rPr>
                <w:rFonts w:ascii="Arial" w:cs="Arial" w:eastAsia="Arial" w:hAnsi="Arial"/>
                <w:sz w:val="17"/>
                <w:szCs w:val="17"/>
                <w:color w:val="auto"/>
              </w:rPr>
              <w:t>1</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9"/>
                <w:szCs w:val="19"/>
                <w:color w:val="auto"/>
              </w:rPr>
            </w:pPr>
          </w:p>
        </w:tc>
      </w:tr>
      <w:tr>
        <w:trPr>
          <w:trHeight w:val="230"/>
        </w:trPr>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Decreases related to prior period tax positions</w:t>
            </w:r>
          </w:p>
        </w:tc>
        <w:tc>
          <w:tcPr>
            <w:tcW w:w="15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7"/>
                <w:szCs w:val="17"/>
                <w:color w:val="auto"/>
              </w:rPr>
              <w:t>Settlements</w:t>
            </w:r>
          </w:p>
        </w:tc>
        <w:tc>
          <w:tcPr>
            <w:tcW w:w="1500" w:type="dxa"/>
            <w:vAlign w:val="bottom"/>
          </w:tcPr>
          <w:p>
            <w:pPr>
              <w:spacing w:after="0"/>
              <w:rPr>
                <w:sz w:val="19"/>
                <w:szCs w:val="19"/>
                <w:color w:val="auto"/>
              </w:rPr>
            </w:pPr>
          </w:p>
        </w:tc>
        <w:tc>
          <w:tcPr>
            <w:tcW w:w="540" w:type="dxa"/>
            <w:vAlign w:val="bottom"/>
          </w:tcPr>
          <w:p>
            <w:pPr>
              <w:jc w:val="right"/>
              <w:ind w:right="95"/>
              <w:spacing w:after="0"/>
              <w:rPr>
                <w:sz w:val="20"/>
                <w:szCs w:val="20"/>
                <w:color w:val="auto"/>
              </w:rPr>
            </w:pPr>
            <w:r>
              <w:rPr>
                <w:rFonts w:ascii="Arial" w:cs="Arial" w:eastAsia="Arial" w:hAnsi="Arial"/>
                <w:sz w:val="17"/>
                <w:szCs w:val="17"/>
                <w:b w:val="1"/>
                <w:bCs w:val="1"/>
                <w:color w:val="auto"/>
              </w:rPr>
              <w:t>(1)</w:t>
            </w:r>
          </w:p>
        </w:tc>
        <w:tc>
          <w:tcPr>
            <w:tcW w:w="400" w:type="dxa"/>
            <w:vAlign w:val="bottom"/>
          </w:tcPr>
          <w:p>
            <w:pPr>
              <w:spacing w:after="0"/>
              <w:rPr>
                <w:sz w:val="19"/>
                <w:szCs w:val="19"/>
                <w:color w:val="auto"/>
              </w:rPr>
            </w:pPr>
          </w:p>
        </w:tc>
        <w:tc>
          <w:tcPr>
            <w:tcW w:w="1100" w:type="dxa"/>
            <w:vAlign w:val="bottom"/>
          </w:tcPr>
          <w:p>
            <w:pPr>
              <w:jc w:val="right"/>
              <w:ind w:right="75"/>
              <w:spacing w:after="0"/>
              <w:rPr>
                <w:sz w:val="20"/>
                <w:szCs w:val="20"/>
                <w:color w:val="auto"/>
              </w:rPr>
            </w:pPr>
            <w:r>
              <w:rPr>
                <w:rFonts w:ascii="Arial" w:cs="Arial" w:eastAsia="Arial" w:hAnsi="Arial"/>
                <w:sz w:val="17"/>
                <w:szCs w:val="17"/>
                <w:color w:val="auto"/>
              </w:rPr>
              <w:t>(7)</w:t>
            </w:r>
          </w:p>
        </w:tc>
        <w:tc>
          <w:tcPr>
            <w:tcW w:w="4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230"/>
        </w:trPr>
        <w:tc>
          <w:tcPr>
            <w:tcW w:w="3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Lapse of statute of limitations</w:t>
            </w:r>
          </w:p>
        </w:tc>
        <w:tc>
          <w:tcPr>
            <w:tcW w:w="15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(1)</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w:t>
            </w: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40" w:type="dxa"/>
            <w:vAlign w:val="bottom"/>
          </w:tcPr>
          <w:p>
            <w:pPr>
              <w:spacing w:after="0"/>
              <w:rPr>
                <w:sz w:val="19"/>
                <w:szCs w:val="19"/>
                <w:color w:val="auto"/>
              </w:rPr>
            </w:pPr>
          </w:p>
        </w:tc>
      </w:tr>
      <w:tr>
        <w:trPr>
          <w:trHeight w:val="203"/>
        </w:trPr>
        <w:tc>
          <w:tcPr>
            <w:tcW w:w="3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Unrecognized tax benefits at end of year</w:t>
            </w:r>
          </w:p>
        </w:tc>
        <w:tc>
          <w:tcPr>
            <w:tcW w:w="1500" w:type="dxa"/>
            <w:vAlign w:val="bottom"/>
            <w:tcBorders>
              <w:bottom w:val="single" w:sz="8" w:color="auto"/>
            </w:tcBorders>
          </w:tcPr>
          <w:p>
            <w:pPr>
              <w:jc w:val="right"/>
              <w:ind w:right="655"/>
              <w:spacing w:after="0"/>
              <w:rPr>
                <w:sz w:val="20"/>
                <w:szCs w:val="20"/>
                <w:color w:val="auto"/>
              </w:rPr>
            </w:pPr>
            <w:r>
              <w:rPr>
                <w:rFonts w:ascii="Arial" w:cs="Arial" w:eastAsia="Arial" w:hAnsi="Arial"/>
                <w:sz w:val="17"/>
                <w:szCs w:val="17"/>
                <w:b w:val="1"/>
                <w:bCs w:val="1"/>
                <w:color w:val="auto"/>
              </w:rPr>
              <w:t>$</w:t>
            </w:r>
          </w:p>
        </w:tc>
        <w:tc>
          <w:tcPr>
            <w:tcW w:w="5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44</w:t>
            </w:r>
          </w:p>
        </w:tc>
        <w:tc>
          <w:tcPr>
            <w:tcW w:w="40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38</w:t>
            </w:r>
          </w:p>
        </w:tc>
        <w:tc>
          <w:tcPr>
            <w:tcW w:w="4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w:t>
            </w:r>
          </w:p>
        </w:tc>
        <w:tc>
          <w:tcPr>
            <w:tcW w:w="40" w:type="dxa"/>
            <w:vAlign w:val="bottom"/>
          </w:tcPr>
          <w:p>
            <w:pPr>
              <w:spacing w:after="0"/>
              <w:rPr>
                <w:sz w:val="17"/>
                <w:szCs w:val="17"/>
                <w:color w:val="auto"/>
              </w:rPr>
            </w:pPr>
          </w:p>
        </w:tc>
      </w:tr>
      <w:tr>
        <w:trPr>
          <w:trHeight w:val="604"/>
        </w:trPr>
        <w:tc>
          <w:tcPr>
            <w:tcW w:w="3920" w:type="dxa"/>
            <w:vAlign w:val="bottom"/>
          </w:tcPr>
          <w:p>
            <w:pPr>
              <w:spacing w:after="0"/>
              <w:rPr>
                <w:sz w:val="24"/>
                <w:szCs w:val="24"/>
                <w:color w:val="auto"/>
              </w:rPr>
            </w:pPr>
          </w:p>
        </w:tc>
        <w:tc>
          <w:tcPr>
            <w:tcW w:w="1500" w:type="dxa"/>
            <w:vAlign w:val="bottom"/>
          </w:tcPr>
          <w:p>
            <w:pPr>
              <w:jc w:val="right"/>
              <w:ind w:right="835"/>
              <w:spacing w:after="0"/>
              <w:rPr>
                <w:sz w:val="20"/>
                <w:szCs w:val="20"/>
                <w:color w:val="auto"/>
              </w:rPr>
            </w:pPr>
            <w:r>
              <w:rPr>
                <w:rFonts w:ascii="Arial" w:cs="Arial" w:eastAsia="Arial" w:hAnsi="Arial"/>
                <w:sz w:val="17"/>
                <w:szCs w:val="17"/>
                <w:color w:val="auto"/>
              </w:rPr>
              <w:t>60</w:t>
            </w: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2"/>
        </w:trPr>
        <w:tc>
          <w:tcPr>
            <w:tcW w:w="39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r>
        <w:trPr>
          <w:trHeight w:val="20"/>
        </w:trPr>
        <w:tc>
          <w:tcPr>
            <w:tcW w:w="3920" w:type="dxa"/>
            <w:vAlign w:val="bottom"/>
            <w:tcBorders>
              <w:bottom w:val="single" w:sz="8" w:color="EEEEEE"/>
            </w:tcBorders>
          </w:tcPr>
          <w:p>
            <w:pPr>
              <w:spacing w:after="0" w:line="20" w:lineRule="exact"/>
              <w:rPr>
                <w:sz w:val="1"/>
                <w:szCs w:val="1"/>
                <w:color w:val="auto"/>
              </w:rPr>
            </w:pPr>
          </w:p>
        </w:tc>
        <w:tc>
          <w:tcPr>
            <w:tcW w:w="150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3"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It is reasonably possible that the liability associated with the Company’s unrecognized tax benefits will increase or decrease within the next twelve months. These changes may be the result of foreign currency fluctuations, ongoing audits, or the expiration of statutes of limitations. Settlements could increase earnings up to $5 million based on current estimates. Audit outcomes and the timing of audit settlements are subject to significant uncertainty. Although management believes that adequate provision has been made for such issues, the ultimate resolution could have an adverse effect on the earnings of the Company. Conversely, if these issues are resolved favorably in the future, the related provision would be reduced, generating a positive effect on earnings. Due to the uncertainty of amounts and in accordance with its accounting policies, the Company has not recorded any potential consequences of these settlements.</w:t>
      </w:r>
    </w:p>
    <w:p>
      <w:pPr>
        <w:spacing w:after="0" w:line="15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18. Financial Instruments and Risk Management</w:t>
      </w:r>
    </w:p>
    <w:p>
      <w:pPr>
        <w:spacing w:after="0" w:line="201"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The Company operates internationally and utilizes certain derivative financial instruments to mitigate its foreign currency exposures, primarily related to third-party and intercompany forecasted transactions. As a result of the use of derivative instruments, the Company is exposed to the risk that counterparties will fail to meet their contractual obligations. To mitigate this counterparty credit risk, the Company has a practice of entering into contracts only with major financial institutions selected based upon their credit ratings and other financial factors. The Company monitors the creditworthiness of counterparties throughout the duration of the derivative instrument.</w:t>
      </w:r>
    </w:p>
    <w:p>
      <w:pPr>
        <w:spacing w:after="0" w:line="15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 xml:space="preserve">Additional information is contained within Note 19, </w:t>
      </w:r>
      <w:r>
        <w:rPr>
          <w:rFonts w:ascii="Arial" w:cs="Arial" w:eastAsia="Arial" w:hAnsi="Arial"/>
          <w:sz w:val="17"/>
          <w:szCs w:val="17"/>
          <w:i w:val="1"/>
          <w:iCs w:val="1"/>
          <w:color w:val="auto"/>
        </w:rPr>
        <w:t>Fair Value Measurements</w:t>
      </w:r>
      <w:r>
        <w:rPr>
          <w:rFonts w:ascii="Arial" w:cs="Arial" w:eastAsia="Arial" w:hAnsi="Arial"/>
          <w:sz w:val="17"/>
          <w:szCs w:val="17"/>
          <w:color w:val="auto"/>
        </w:rPr>
        <w:t>.</w:t>
      </w:r>
    </w:p>
    <w:p>
      <w:pPr>
        <w:spacing w:after="0" w:line="183"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Derivative Holdings Designated as Hedges</w:t>
      </w:r>
    </w:p>
    <w:p>
      <w:pPr>
        <w:spacing w:after="0" w:line="201" w:lineRule="exact"/>
        <w:rPr>
          <w:sz w:val="20"/>
          <w:szCs w:val="20"/>
          <w:color w:val="auto"/>
        </w:rPr>
      </w:pPr>
    </w:p>
    <w:p>
      <w:pPr>
        <w:jc w:val="both"/>
        <w:ind w:left="100" w:right="99"/>
        <w:spacing w:after="0" w:line="233" w:lineRule="auto"/>
        <w:rPr>
          <w:sz w:val="20"/>
          <w:szCs w:val="20"/>
          <w:color w:val="auto"/>
        </w:rPr>
      </w:pPr>
      <w:r>
        <w:rPr>
          <w:rFonts w:ascii="Arial" w:cs="Arial" w:eastAsia="Arial" w:hAnsi="Arial"/>
          <w:sz w:val="17"/>
          <w:szCs w:val="17"/>
          <w:color w:val="auto"/>
        </w:rPr>
        <w:t>For a derivative to qualify as a hedge at inception and throughout the hedged period, the Company formally documents the nature of the hedged items and the relationships between the hedging instruments and the hedged items, as well as its risk-management objectives, strategies for undertaking the various hedge transactions, and the methods of assessing hedge effectiveness and ineffectiveness. In addition, for hedges of forecasted transactions, the significant characteristics and expected terms of a forecasted transaction must be specifically identified, and it must be probable that each forecasted transaction would occur. If it were deemed probable that the forecasted transaction would not occur, the gain or loss on the derivative instrument would be recognized in earnings immediately. Gains or losses recognized in earnings for any of the periods presented were not significant. Derivative financial instruments qualifying for hedge accounting must maintain a specified level of effectiveness between the hedging instrument and the item being hedged, both at inception and throughout the hedged period, which management evaluates periodically.</w:t>
      </w:r>
    </w:p>
    <w:p>
      <w:pPr>
        <w:spacing w:after="0" w:line="181"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The primary currencies to which the Company is exposed are the euro, British pound, Canadian dollar, and Australian dollar. For the most part, merchandise inventories are purchased by each geographic area in their respective local currency. The most significant exception to this is the United Kingdom, whose merchandise inventory purchases are denominated in euros.</w:t>
      </w:r>
    </w:p>
    <w:p>
      <w:pPr>
        <w:spacing w:after="0" w:line="177"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For option and foreign exchange forward contracts designated as cash flow hedges of the purchase of inventory, the effective portion of gains and losses is deferred as a component of Accumulated Other Comprehensive Loss (“AOCL”) and is recognized as a component of cost of sales when the related inventory is sold. The amount reclassified to cost of sales related to such contracts was not significant for any of the periods presented. The effective portion of gains or losses associated with other forward contracts is deferred as a component of AOCL until the underlying transaction is reported in earnings. The ineffective portion of gains and losses related to cash flow hedges recorded to earnings was not significant for any of the periods presented. When using a forward contract as a hedging instrument, the Company excludes the time value of the contract from the assessment of effectiveness.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3"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As of February 3, 2018, all of the Company’s hedged forecasted transactions extend less than twelve months into the future, and the Company expects all derivative-related amounts reported in AOCL to be reclassified to earnings within twelve months. The balance in AOCL was a gain of $1 million as of January 28, 2017. During 2017, the net change in the fair value of the foreign exchange derivative financial instruments designated as cash flow hedges of the purchase of inventory was more than offset by amounts recognized in cost of sales, therefore AOCL was reduced to zero.</w:t>
      </w:r>
    </w:p>
    <w:p>
      <w:pPr>
        <w:spacing w:after="0" w:line="175"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The notional value of the contracts outstanding at February 3, 2018 was $118 million, and these contracts mature at various dates through January 2019.</w:t>
      </w:r>
    </w:p>
    <w:p>
      <w:pPr>
        <w:spacing w:after="0" w:line="153"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Derivative Holdings Not Designated as Hedges</w:t>
      </w:r>
    </w:p>
    <w:p>
      <w:pPr>
        <w:spacing w:after="0" w:line="201"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The Company enters into certain derivative contracts that are not designated as hedges, such as foreign exchange forward contracts and currency option contracts. These derivative contracts are used to manage certain costs of foreign currency-denominated merchandise purchases, intercompany transactions, and the effect of fluctuating foreign exchange rates on the reporting of foreign currency-denominated earnings. Changes in the fair value of derivative holdings not designated as hedges, as well as realized gains and premiums paid, are recorded in earnings immediately within selling, general and administrative expenses or other income, depending on the type of transaction. The aggregate amount recognized for these contracts was not significant as of February 3, 2018 and represented income of $1 million as of January 28, 2017. The notional value of foreign exchange forward contracts outstanding at February 3, 2018 was $2 million, and these contracts mature during September 2018.</w:t>
      </w:r>
    </w:p>
    <w:p>
      <w:pPr>
        <w:spacing w:after="0" w:line="175"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From time to time, the Company mitigates the effect of fluctuating foreign exchange rates on the reporting of foreign-currency denominated earnings by entering into currency option contracts. Changes in the fair value of these foreign currency option contracts, which are not designated as hedges, are recorded in earnings immediately within other income. The realized gains, premiums paid, and changes in the fair market value recorded were not significant for any of the periods presented. There were no currency option contracts outstanding at February 3, 2018.</w:t>
      </w:r>
    </w:p>
    <w:p>
      <w:pPr>
        <w:spacing w:after="0" w:line="159"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Fair Value of Derivative Contracts</w:t>
      </w:r>
    </w:p>
    <w:p>
      <w:pPr>
        <w:spacing w:after="0" w:line="201"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The following represents the fair value of the Company’s derivative contracts. Many of the Company’s agreements allow for a netting arrangement. The following is presented on a gross basis, by type of contract:</w:t>
      </w:r>
    </w:p>
    <w:p>
      <w:pPr>
        <w:spacing w:after="0" w:line="273"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2200" w:type="dxa"/>
            <w:vAlign w:val="bottom"/>
          </w:tcPr>
          <w:p>
            <w:pPr>
              <w:jc w:val="center"/>
              <w:ind w:left="255"/>
              <w:spacing w:after="0"/>
              <w:rPr>
                <w:sz w:val="20"/>
                <w:szCs w:val="20"/>
                <w:color w:val="auto"/>
              </w:rPr>
            </w:pPr>
            <w:r>
              <w:rPr>
                <w:rFonts w:ascii="Arial" w:cs="Arial" w:eastAsia="Arial" w:hAnsi="Arial"/>
                <w:sz w:val="17"/>
                <w:szCs w:val="17"/>
                <w:b w:val="1"/>
                <w:bCs w:val="1"/>
                <w:color w:val="auto"/>
              </w:rPr>
              <w:t>Balance Sheet</w:t>
            </w:r>
          </w:p>
        </w:tc>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5"/>
        </w:trPr>
        <w:tc>
          <w:tcPr>
            <w:tcW w:w="33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2200" w:type="dxa"/>
            <w:vAlign w:val="bottom"/>
            <w:tcBorders>
              <w:bottom w:val="single" w:sz="8" w:color="auto"/>
            </w:tcBorders>
          </w:tcPr>
          <w:p>
            <w:pPr>
              <w:jc w:val="center"/>
              <w:ind w:left="255"/>
              <w:spacing w:after="0"/>
              <w:rPr>
                <w:sz w:val="20"/>
                <w:szCs w:val="20"/>
                <w:color w:val="auto"/>
              </w:rPr>
            </w:pPr>
            <w:r>
              <w:rPr>
                <w:rFonts w:ascii="Arial" w:cs="Arial" w:eastAsia="Arial" w:hAnsi="Arial"/>
                <w:sz w:val="17"/>
                <w:szCs w:val="17"/>
                <w:b w:val="1"/>
                <w:bCs w:val="1"/>
                <w:color w:val="auto"/>
                <w:w w:val="97"/>
              </w:rPr>
              <w:t>Caption</w:t>
            </w:r>
          </w:p>
        </w:tc>
        <w:tc>
          <w:tcPr>
            <w:tcW w:w="12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2017</w:t>
            </w:r>
          </w:p>
        </w:tc>
        <w:tc>
          <w:tcPr>
            <w:tcW w:w="5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color w:val="auto"/>
              </w:rPr>
              <w:t>2016</w:t>
            </w:r>
          </w:p>
        </w:tc>
      </w:tr>
      <w:tr>
        <w:trPr>
          <w:trHeight w:val="210"/>
        </w:trPr>
        <w:tc>
          <w:tcPr>
            <w:tcW w:w="3380" w:type="dxa"/>
            <w:vAlign w:val="bottom"/>
          </w:tcPr>
          <w:p>
            <w:pPr>
              <w:spacing w:after="0"/>
              <w:rPr>
                <w:sz w:val="20"/>
                <w:szCs w:val="20"/>
                <w:color w:val="auto"/>
              </w:rPr>
            </w:pPr>
            <w:r>
              <w:rPr>
                <w:rFonts w:ascii="Arial" w:cs="Arial" w:eastAsia="Arial" w:hAnsi="Arial"/>
                <w:sz w:val="17"/>
                <w:szCs w:val="17"/>
                <w:b w:val="1"/>
                <w:bCs w:val="1"/>
                <w:i w:val="1"/>
                <w:iCs w:val="1"/>
                <w:color w:val="auto"/>
              </w:rPr>
              <w:t>Hedging Instruments:</w:t>
            </w:r>
          </w:p>
        </w:tc>
        <w:tc>
          <w:tcPr>
            <w:tcW w:w="2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Foreign exchange forward contracts</w:t>
            </w:r>
          </w:p>
        </w:tc>
        <w:tc>
          <w:tcPr>
            <w:tcW w:w="2200" w:type="dxa"/>
            <w:vAlign w:val="bottom"/>
            <w:shd w:val="clear" w:color="auto" w:fill="CCEEFF"/>
          </w:tcPr>
          <w:p>
            <w:pPr>
              <w:jc w:val="center"/>
              <w:ind w:left="255"/>
              <w:spacing w:after="0"/>
              <w:rPr>
                <w:sz w:val="20"/>
                <w:szCs w:val="20"/>
                <w:color w:val="auto"/>
              </w:rPr>
            </w:pPr>
            <w:r>
              <w:rPr>
                <w:rFonts w:ascii="Arial" w:cs="Arial" w:eastAsia="Arial" w:hAnsi="Arial"/>
                <w:sz w:val="17"/>
                <w:szCs w:val="17"/>
                <w:color w:val="auto"/>
                <w:w w:val="99"/>
              </w:rPr>
              <w:t>Current assets</w:t>
            </w:r>
          </w:p>
        </w:tc>
        <w:tc>
          <w:tcPr>
            <w:tcW w:w="1220" w:type="dxa"/>
            <w:vAlign w:val="bottom"/>
            <w:shd w:val="clear" w:color="auto" w:fill="CCEEFF"/>
          </w:tcPr>
          <w:p>
            <w:pPr>
              <w:jc w:val="right"/>
              <w:ind w:right="735"/>
              <w:spacing w:after="0"/>
              <w:rPr>
                <w:sz w:val="20"/>
                <w:szCs w:val="20"/>
                <w:color w:val="auto"/>
              </w:rPr>
            </w:pPr>
            <w:r>
              <w:rPr>
                <w:rFonts w:ascii="Arial" w:cs="Arial" w:eastAsia="Arial" w:hAnsi="Arial"/>
                <w:sz w:val="17"/>
                <w:szCs w:val="17"/>
                <w:b w:val="1"/>
                <w:bCs w:val="1"/>
                <w:color w:val="auto"/>
              </w:rPr>
              <w:t>$</w:t>
            </w:r>
          </w:p>
        </w:tc>
        <w:tc>
          <w:tcPr>
            <w:tcW w:w="540" w:type="dxa"/>
            <w:vAlign w:val="bottom"/>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1</w:t>
            </w:r>
          </w:p>
        </w:tc>
        <w:tc>
          <w:tcPr>
            <w:tcW w:w="4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30"/>
        </w:trPr>
        <w:tc>
          <w:tcPr>
            <w:tcW w:w="33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Foreign exchange forward contracts</w:t>
            </w:r>
          </w:p>
        </w:tc>
        <w:tc>
          <w:tcPr>
            <w:tcW w:w="2200" w:type="dxa"/>
            <w:vAlign w:val="bottom"/>
            <w:tcBorders>
              <w:bottom w:val="single" w:sz="8" w:color="auto"/>
            </w:tcBorders>
          </w:tcPr>
          <w:p>
            <w:pPr>
              <w:jc w:val="center"/>
              <w:ind w:left="255"/>
              <w:spacing w:after="0"/>
              <w:rPr>
                <w:sz w:val="20"/>
                <w:szCs w:val="20"/>
                <w:color w:val="auto"/>
              </w:rPr>
            </w:pPr>
            <w:r>
              <w:rPr>
                <w:rFonts w:ascii="Arial" w:cs="Arial" w:eastAsia="Arial" w:hAnsi="Arial"/>
                <w:sz w:val="17"/>
                <w:szCs w:val="17"/>
                <w:color w:val="auto"/>
              </w:rPr>
              <w:t>Current liabilities</w:t>
            </w:r>
          </w:p>
        </w:tc>
        <w:tc>
          <w:tcPr>
            <w:tcW w:w="1220" w:type="dxa"/>
            <w:vAlign w:val="bottom"/>
            <w:tcBorders>
              <w:bottom w:val="single" w:sz="8" w:color="auto"/>
            </w:tcBorders>
          </w:tcPr>
          <w:p>
            <w:pPr>
              <w:jc w:val="right"/>
              <w:ind w:right="735"/>
              <w:spacing w:after="0"/>
              <w:rPr>
                <w:sz w:val="20"/>
                <w:szCs w:val="20"/>
                <w:color w:val="auto"/>
              </w:rPr>
            </w:pPr>
            <w:r>
              <w:rPr>
                <w:rFonts w:ascii="Arial" w:cs="Arial" w:eastAsia="Arial" w:hAnsi="Arial"/>
                <w:sz w:val="17"/>
                <w:szCs w:val="17"/>
                <w:b w:val="1"/>
                <w:bCs w:val="1"/>
                <w:color w:val="auto"/>
              </w:rPr>
              <w:t>$</w:t>
            </w:r>
          </w:p>
        </w:tc>
        <w:tc>
          <w:tcPr>
            <w:tcW w:w="54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1</w:t>
            </w:r>
          </w:p>
        </w:tc>
        <w:tc>
          <w:tcPr>
            <w:tcW w:w="4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r>
    </w:tbl>
    <w:p>
      <w:pPr>
        <w:spacing w:after="0" w:line="165"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Notional Values and Foreign Currency Exchange Rates</w:t>
      </w:r>
    </w:p>
    <w:p>
      <w:pPr>
        <w:spacing w:after="0" w:line="201"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The table below presents the notional amounts for all outstanding derivatives and the weighted-average exchange rates of foreign exchange forward contracts at February 3, 2018:</w:t>
      </w:r>
    </w:p>
    <w:p>
      <w:pPr>
        <w:spacing w:after="0" w:line="205" w:lineRule="exact"/>
        <w:rPr>
          <w:sz w:val="20"/>
          <w:szCs w:val="20"/>
          <w:color w:val="auto"/>
        </w:rPr>
      </w:pPr>
    </w:p>
    <w:tbl>
      <w:tblPr>
        <w:tblLayout w:type="fixed"/>
        <w:tblInd w:w="100" w:type="dxa"/>
        <w:tblCellMar>
          <w:top w:w="0" w:type="dxa"/>
          <w:left w:w="0" w:type="dxa"/>
          <w:bottom w:w="0" w:type="dxa"/>
          <w:right w:w="0" w:type="dxa"/>
        </w:tblCellMar>
      </w:tblPr>
      <w:tr>
        <w:trPr>
          <w:trHeight w:val="225"/>
        </w:trPr>
        <w:tc>
          <w:tcPr>
            <w:tcW w:w="2960" w:type="dxa"/>
            <w:vAlign w:val="bottom"/>
          </w:tcPr>
          <w:p>
            <w:pPr>
              <w:spacing w:after="0"/>
              <w:rPr>
                <w:sz w:val="19"/>
                <w:szCs w:val="19"/>
                <w:color w:val="auto"/>
              </w:rPr>
            </w:pPr>
          </w:p>
        </w:tc>
        <w:tc>
          <w:tcPr>
            <w:tcW w:w="4260" w:type="dxa"/>
            <w:vAlign w:val="bottom"/>
            <w:gridSpan w:val="2"/>
          </w:tcPr>
          <w:p>
            <w:pPr>
              <w:ind w:left="2900"/>
              <w:spacing w:after="0"/>
              <w:rPr>
                <w:sz w:val="20"/>
                <w:szCs w:val="20"/>
                <w:color w:val="auto"/>
              </w:rPr>
            </w:pPr>
            <w:r>
              <w:rPr>
                <w:rFonts w:ascii="Arial" w:cs="Arial" w:eastAsia="Arial" w:hAnsi="Arial"/>
                <w:sz w:val="17"/>
                <w:szCs w:val="17"/>
                <w:b w:val="1"/>
                <w:bCs w:val="1"/>
                <w:color w:val="auto"/>
              </w:rPr>
              <w:t>Contract Value</w:t>
            </w:r>
          </w:p>
        </w:tc>
        <w:tc>
          <w:tcPr>
            <w:tcW w:w="1600" w:type="dxa"/>
            <w:vAlign w:val="bottom"/>
          </w:tcPr>
          <w:p>
            <w:pPr>
              <w:jc w:val="right"/>
              <w:spacing w:after="0"/>
              <w:rPr>
                <w:sz w:val="20"/>
                <w:szCs w:val="20"/>
                <w:color w:val="auto"/>
              </w:rPr>
            </w:pPr>
            <w:r>
              <w:rPr>
                <w:rFonts w:ascii="Arial" w:cs="Arial" w:eastAsia="Arial" w:hAnsi="Arial"/>
                <w:sz w:val="17"/>
                <w:szCs w:val="17"/>
                <w:b w:val="1"/>
                <w:bCs w:val="1"/>
                <w:color w:val="auto"/>
              </w:rPr>
              <w:t>Weighted-Average</w:t>
            </w:r>
          </w:p>
        </w:tc>
        <w:tc>
          <w:tcPr>
            <w:tcW w:w="40" w:type="dxa"/>
            <w:vAlign w:val="bottom"/>
          </w:tcPr>
          <w:p>
            <w:pPr>
              <w:spacing w:after="0"/>
              <w:rPr>
                <w:sz w:val="19"/>
                <w:szCs w:val="19"/>
                <w:color w:val="auto"/>
              </w:rPr>
            </w:pPr>
          </w:p>
        </w:tc>
      </w:tr>
      <w:tr>
        <w:trPr>
          <w:trHeight w:val="220"/>
        </w:trPr>
        <w:tc>
          <w:tcPr>
            <w:tcW w:w="296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tcPr>
          <w:p>
            <w:pPr>
              <w:ind w:left="298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in millions)</w:t>
            </w:r>
          </w:p>
        </w:tc>
        <w:tc>
          <w:tcPr>
            <w:tcW w:w="16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Exchange Rate</w:t>
            </w:r>
          </w:p>
        </w:tc>
        <w:tc>
          <w:tcPr>
            <w:tcW w:w="40" w:type="dxa"/>
            <w:vAlign w:val="bottom"/>
          </w:tcPr>
          <w:p>
            <w:pPr>
              <w:spacing w:after="0"/>
              <w:rPr>
                <w:sz w:val="19"/>
                <w:szCs w:val="19"/>
                <w:color w:val="auto"/>
              </w:rPr>
            </w:pPr>
          </w:p>
        </w:tc>
      </w:tr>
      <w:tr>
        <w:trPr>
          <w:trHeight w:val="210"/>
        </w:trPr>
        <w:tc>
          <w:tcPr>
            <w:tcW w:w="2960" w:type="dxa"/>
            <w:vAlign w:val="bottom"/>
          </w:tcPr>
          <w:p>
            <w:pPr>
              <w:spacing w:after="0"/>
              <w:rPr>
                <w:sz w:val="20"/>
                <w:szCs w:val="20"/>
                <w:color w:val="auto"/>
              </w:rPr>
            </w:pPr>
            <w:r>
              <w:rPr>
                <w:rFonts w:ascii="Arial" w:cs="Arial" w:eastAsia="Arial" w:hAnsi="Arial"/>
                <w:sz w:val="17"/>
                <w:szCs w:val="17"/>
                <w:b w:val="1"/>
                <w:bCs w:val="1"/>
                <w:color w:val="auto"/>
              </w:rPr>
              <w:t>Inventory</w:t>
            </w:r>
          </w:p>
        </w:tc>
        <w:tc>
          <w:tcPr>
            <w:tcW w:w="3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Buy €/Sell British £</w:t>
            </w:r>
          </w:p>
        </w:tc>
        <w:tc>
          <w:tcPr>
            <w:tcW w:w="3160" w:type="dxa"/>
            <w:vAlign w:val="bottom"/>
            <w:shd w:val="clear" w:color="auto" w:fill="CCEEFF"/>
          </w:tcPr>
          <w:p>
            <w:pPr>
              <w:ind w:left="290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111</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0.8749</w:t>
            </w:r>
          </w:p>
        </w:tc>
        <w:tc>
          <w:tcPr>
            <w:tcW w:w="40" w:type="dxa"/>
            <w:vAlign w:val="bottom"/>
          </w:tcPr>
          <w:p>
            <w:pPr>
              <w:spacing w:after="0"/>
              <w:rPr>
                <w:sz w:val="19"/>
                <w:szCs w:val="19"/>
                <w:color w:val="auto"/>
              </w:rPr>
            </w:pPr>
          </w:p>
        </w:tc>
      </w:tr>
      <w:tr>
        <w:trPr>
          <w:trHeight w:val="189"/>
        </w:trPr>
        <w:tc>
          <w:tcPr>
            <w:tcW w:w="29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2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Intercompany</w:t>
            </w:r>
          </w:p>
        </w:tc>
        <w:tc>
          <w:tcPr>
            <w:tcW w:w="3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2960" w:type="dxa"/>
            <w:vAlign w:val="bottom"/>
          </w:tcPr>
          <w:p>
            <w:pPr>
              <w:spacing w:after="0"/>
              <w:rPr>
                <w:sz w:val="20"/>
                <w:szCs w:val="20"/>
                <w:color w:val="auto"/>
              </w:rPr>
            </w:pPr>
            <w:r>
              <w:rPr>
                <w:rFonts w:ascii="Arial" w:cs="Arial" w:eastAsia="Arial" w:hAnsi="Arial"/>
                <w:sz w:val="17"/>
                <w:szCs w:val="17"/>
                <w:color w:val="auto"/>
              </w:rPr>
              <w:t>Buy US $/Sell €</w:t>
            </w:r>
          </w:p>
        </w:tc>
        <w:tc>
          <w:tcPr>
            <w:tcW w:w="3160" w:type="dxa"/>
            <w:vAlign w:val="bottom"/>
          </w:tcPr>
          <w:p>
            <w:pPr>
              <w:ind w:left="290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7</w:t>
            </w:r>
          </w:p>
        </w:tc>
        <w:tc>
          <w:tcPr>
            <w:tcW w:w="1600" w:type="dxa"/>
            <w:vAlign w:val="bottom"/>
          </w:tcPr>
          <w:p>
            <w:pPr>
              <w:jc w:val="right"/>
              <w:spacing w:after="0"/>
              <w:rPr>
                <w:sz w:val="20"/>
                <w:szCs w:val="20"/>
                <w:color w:val="auto"/>
              </w:rPr>
            </w:pPr>
            <w:r>
              <w:rPr>
                <w:rFonts w:ascii="Arial" w:cs="Arial" w:eastAsia="Arial" w:hAnsi="Arial"/>
                <w:sz w:val="17"/>
                <w:szCs w:val="17"/>
                <w:color w:val="auto"/>
              </w:rPr>
              <w:t>1.2118</w:t>
            </w:r>
          </w:p>
        </w:tc>
        <w:tc>
          <w:tcPr>
            <w:tcW w:w="40" w:type="dxa"/>
            <w:vAlign w:val="bottom"/>
          </w:tcPr>
          <w:p>
            <w:pPr>
              <w:spacing w:after="0"/>
              <w:rPr>
                <w:sz w:val="19"/>
                <w:szCs w:val="19"/>
                <w:color w:val="auto"/>
              </w:rPr>
            </w:pPr>
          </w:p>
        </w:tc>
      </w:tr>
      <w:tr>
        <w:trPr>
          <w:trHeight w:val="230"/>
        </w:trPr>
        <w:tc>
          <w:tcPr>
            <w:tcW w:w="2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Buy US $/Sell CAD $</w:t>
            </w:r>
          </w:p>
        </w:tc>
        <w:tc>
          <w:tcPr>
            <w:tcW w:w="3160" w:type="dxa"/>
            <w:vAlign w:val="bottom"/>
            <w:tcBorders>
              <w:bottom w:val="single" w:sz="8" w:color="auto"/>
            </w:tcBorders>
            <w:shd w:val="clear" w:color="auto" w:fill="CCEEFF"/>
          </w:tcPr>
          <w:p>
            <w:pPr>
              <w:ind w:left="290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1.2568</w:t>
            </w:r>
          </w:p>
        </w:tc>
        <w:tc>
          <w:tcPr>
            <w:tcW w:w="40" w:type="dxa"/>
            <w:vAlign w:val="bottom"/>
          </w:tcPr>
          <w:p>
            <w:pPr>
              <w:spacing w:after="0"/>
              <w:rPr>
                <w:sz w:val="19"/>
                <w:szCs w:val="19"/>
                <w:color w:val="auto"/>
              </w:rPr>
            </w:pPr>
          </w:p>
        </w:tc>
      </w:tr>
      <w:tr>
        <w:trPr>
          <w:trHeight w:val="408"/>
        </w:trPr>
        <w:tc>
          <w:tcPr>
            <w:tcW w:w="2960" w:type="dxa"/>
            <w:vAlign w:val="bottom"/>
          </w:tcPr>
          <w:p>
            <w:pPr>
              <w:spacing w:after="0"/>
              <w:rPr>
                <w:sz w:val="24"/>
                <w:szCs w:val="24"/>
                <w:color w:val="auto"/>
              </w:rPr>
            </w:pPr>
          </w:p>
        </w:tc>
        <w:tc>
          <w:tcPr>
            <w:tcW w:w="3160" w:type="dxa"/>
            <w:vAlign w:val="bottom"/>
          </w:tcPr>
          <w:p>
            <w:pPr>
              <w:ind w:left="1360"/>
              <w:spacing w:after="0"/>
              <w:rPr>
                <w:sz w:val="20"/>
                <w:szCs w:val="20"/>
                <w:color w:val="auto"/>
              </w:rPr>
            </w:pPr>
            <w:r>
              <w:rPr>
                <w:rFonts w:ascii="Arial" w:cs="Arial" w:eastAsia="Arial" w:hAnsi="Arial"/>
                <w:sz w:val="17"/>
                <w:szCs w:val="17"/>
                <w:color w:val="auto"/>
              </w:rPr>
              <w:t>62</w:t>
            </w:r>
          </w:p>
        </w:tc>
        <w:tc>
          <w:tcPr>
            <w:tcW w:w="1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2"/>
        </w:trPr>
        <w:tc>
          <w:tcPr>
            <w:tcW w:w="296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r>
        <w:trPr>
          <w:trHeight w:val="20"/>
        </w:trPr>
        <w:tc>
          <w:tcPr>
            <w:tcW w:w="2960" w:type="dxa"/>
            <w:vAlign w:val="bottom"/>
            <w:tcBorders>
              <w:bottom w:val="single" w:sz="8" w:color="EEEEEE"/>
            </w:tcBorders>
          </w:tcPr>
          <w:p>
            <w:pPr>
              <w:spacing w:after="0" w:line="20" w:lineRule="exact"/>
              <w:rPr>
                <w:sz w:val="1"/>
                <w:szCs w:val="1"/>
                <w:color w:val="auto"/>
              </w:rPr>
            </w:pPr>
          </w:p>
        </w:tc>
        <w:tc>
          <w:tcPr>
            <w:tcW w:w="316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16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5"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Business Risk</w:t>
      </w:r>
    </w:p>
    <w:p>
      <w:pPr>
        <w:spacing w:after="0" w:line="201"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The retailing business is highly competitive. Price, quality, selection of merchandise, reputation, store location, advertising, and customer experience are important competitive factors in the Company’s business. The Company operates in 24 countries and purchased approximately 93 percent of its merchandise in 2017 from its top 5 suppliers. In 2017, the Company purchased approximately 67 percent of its athletic merchandise from one major supplier, Nike, Inc. (“Nike”). Each of our operating divisions is highly dependent on Nike; they individually purchased 44 to 73 percent of their merchandise from Nike.</w:t>
      </w:r>
    </w:p>
    <w:p>
      <w:pPr>
        <w:spacing w:after="0" w:line="175"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Included in the Company’s Consolidated Balance Sheet at February 3, 2018, are the net assets of the Company’s European operations, which total $1,058 million and are located in 20 countries, 11 of which have adopted the euro as their functional currency.</w:t>
      </w:r>
    </w:p>
    <w:p>
      <w:pPr>
        <w:spacing w:after="0" w:line="6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19. Fair Value Measurements</w:t>
      </w:r>
    </w:p>
    <w:p>
      <w:pPr>
        <w:spacing w:after="0" w:line="201"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The following table provides a summary of the recognized assets and liabilities that are measured at fair value on a recurring basis:</w:t>
      </w:r>
    </w:p>
    <w:p>
      <w:pPr>
        <w:spacing w:after="0" w:line="70"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30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4"/>
          </w:tcPr>
          <w:p>
            <w:pPr>
              <w:ind w:left="160"/>
              <w:spacing w:after="0"/>
              <w:rPr>
                <w:sz w:val="20"/>
                <w:szCs w:val="20"/>
                <w:color w:val="auto"/>
              </w:rPr>
            </w:pPr>
            <w:r>
              <w:rPr>
                <w:rFonts w:ascii="Arial" w:cs="Arial" w:eastAsia="Arial" w:hAnsi="Arial"/>
                <w:sz w:val="17"/>
                <w:szCs w:val="17"/>
                <w:b w:val="1"/>
                <w:bCs w:val="1"/>
                <w:color w:val="auto"/>
                <w:w w:val="99"/>
              </w:rPr>
              <w:t>As of February 3, 2018</w:t>
            </w:r>
          </w:p>
        </w:tc>
        <w:tc>
          <w:tcPr>
            <w:tcW w:w="5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ind w:left="20"/>
              <w:spacing w:after="0"/>
              <w:rPr>
                <w:sz w:val="20"/>
                <w:szCs w:val="20"/>
                <w:color w:val="auto"/>
              </w:rPr>
            </w:pPr>
            <w:r>
              <w:rPr>
                <w:rFonts w:ascii="Arial" w:cs="Arial" w:eastAsia="Arial" w:hAnsi="Arial"/>
                <w:sz w:val="17"/>
                <w:szCs w:val="17"/>
                <w:color w:val="auto"/>
              </w:rPr>
              <w:t>As of January 28, 2017</w:t>
            </w:r>
          </w:p>
        </w:tc>
        <w:tc>
          <w:tcPr>
            <w:tcW w:w="320" w:type="dxa"/>
            <w:vAlign w:val="bottom"/>
            <w:tcBorders>
              <w:bottom w:val="single" w:sz="8" w:color="auto"/>
            </w:tcBorders>
          </w:tcPr>
          <w:p>
            <w:pPr>
              <w:spacing w:after="0"/>
              <w:rPr>
                <w:sz w:val="18"/>
                <w:szCs w:val="18"/>
                <w:color w:val="auto"/>
              </w:rPr>
            </w:pPr>
          </w:p>
        </w:tc>
      </w:tr>
      <w:tr>
        <w:trPr>
          <w:trHeight w:val="219"/>
        </w:trPr>
        <w:tc>
          <w:tcPr>
            <w:tcW w:w="3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gridSpan w:val="2"/>
          </w:tcPr>
          <w:p>
            <w:pPr>
              <w:ind w:left="20"/>
              <w:spacing w:after="0"/>
              <w:rPr>
                <w:sz w:val="20"/>
                <w:szCs w:val="20"/>
                <w:color w:val="auto"/>
              </w:rPr>
            </w:pPr>
            <w:r>
              <w:rPr>
                <w:rFonts w:ascii="Arial" w:cs="Arial" w:eastAsia="Arial" w:hAnsi="Arial"/>
                <w:sz w:val="17"/>
                <w:szCs w:val="17"/>
                <w:color w:val="auto"/>
                <w:w w:val="99"/>
              </w:rPr>
              <w:t>($ in millions)</w:t>
            </w: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20"/>
        </w:trPr>
        <w:tc>
          <w:tcPr>
            <w:tcW w:w="30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ind w:left="340"/>
              <w:spacing w:after="0"/>
              <w:rPr>
                <w:sz w:val="20"/>
                <w:szCs w:val="20"/>
                <w:color w:val="auto"/>
              </w:rPr>
            </w:pPr>
            <w:r>
              <w:rPr>
                <w:rFonts w:ascii="Arial" w:cs="Arial" w:eastAsia="Arial" w:hAnsi="Arial"/>
                <w:sz w:val="17"/>
                <w:szCs w:val="17"/>
                <w:b w:val="1"/>
                <w:bCs w:val="1"/>
                <w:color w:val="auto"/>
              </w:rPr>
              <w:t>Level 1</w:t>
            </w:r>
          </w:p>
        </w:tc>
        <w:tc>
          <w:tcPr>
            <w:tcW w:w="920" w:type="dxa"/>
            <w:vAlign w:val="bottom"/>
            <w:tcBorders>
              <w:bottom w:val="single" w:sz="8" w:color="auto"/>
            </w:tcBorders>
            <w:gridSpan w:val="2"/>
          </w:tcPr>
          <w:p>
            <w:pPr>
              <w:jc w:val="right"/>
              <w:ind w:right="95"/>
              <w:spacing w:after="0"/>
              <w:rPr>
                <w:sz w:val="20"/>
                <w:szCs w:val="20"/>
                <w:color w:val="auto"/>
              </w:rPr>
            </w:pPr>
            <w:r>
              <w:rPr>
                <w:rFonts w:ascii="Arial" w:cs="Arial" w:eastAsia="Arial" w:hAnsi="Arial"/>
                <w:sz w:val="17"/>
                <w:szCs w:val="17"/>
                <w:b w:val="1"/>
                <w:bCs w:val="1"/>
                <w:color w:val="auto"/>
              </w:rPr>
              <w:t>Level 2</w:t>
            </w:r>
          </w:p>
        </w:tc>
        <w:tc>
          <w:tcPr>
            <w:tcW w:w="960" w:type="dxa"/>
            <w:vAlign w:val="bottom"/>
            <w:tcBorders>
              <w:bottom w:val="single" w:sz="8" w:color="auto"/>
            </w:tcBorders>
            <w:gridSpan w:val="2"/>
          </w:tcPr>
          <w:p>
            <w:pPr>
              <w:ind w:left="180"/>
              <w:spacing w:after="0"/>
              <w:rPr>
                <w:sz w:val="20"/>
                <w:szCs w:val="20"/>
                <w:color w:val="auto"/>
              </w:rPr>
            </w:pPr>
            <w:r>
              <w:rPr>
                <w:rFonts w:ascii="Arial" w:cs="Arial" w:eastAsia="Arial" w:hAnsi="Arial"/>
                <w:sz w:val="17"/>
                <w:szCs w:val="17"/>
                <w:b w:val="1"/>
                <w:bCs w:val="1"/>
                <w:color w:val="auto"/>
              </w:rPr>
              <w:t>Level 3</w:t>
            </w:r>
          </w:p>
        </w:tc>
        <w:tc>
          <w:tcPr>
            <w:tcW w:w="960" w:type="dxa"/>
            <w:vAlign w:val="bottom"/>
            <w:tcBorders>
              <w:bottom w:val="single" w:sz="8" w:color="auto"/>
            </w:tcBorders>
            <w:gridSpan w:val="2"/>
          </w:tcPr>
          <w:p>
            <w:pPr>
              <w:ind w:left="180"/>
              <w:spacing w:after="0"/>
              <w:rPr>
                <w:sz w:val="20"/>
                <w:szCs w:val="20"/>
                <w:color w:val="auto"/>
              </w:rPr>
            </w:pPr>
            <w:r>
              <w:rPr>
                <w:rFonts w:ascii="Arial" w:cs="Arial" w:eastAsia="Arial" w:hAnsi="Arial"/>
                <w:sz w:val="17"/>
                <w:szCs w:val="17"/>
                <w:color w:val="auto"/>
              </w:rPr>
              <w:t>Level 1</w:t>
            </w:r>
          </w:p>
        </w:tc>
        <w:tc>
          <w:tcPr>
            <w:tcW w:w="920" w:type="dxa"/>
            <w:vAlign w:val="bottom"/>
            <w:tcBorders>
              <w:bottom w:val="single" w:sz="8" w:color="auto"/>
            </w:tcBorders>
            <w:gridSpan w:val="2"/>
          </w:tcPr>
          <w:p>
            <w:pPr>
              <w:jc w:val="right"/>
              <w:ind w:right="115"/>
              <w:spacing w:after="0"/>
              <w:rPr>
                <w:sz w:val="20"/>
                <w:szCs w:val="20"/>
                <w:color w:val="auto"/>
              </w:rPr>
            </w:pPr>
            <w:r>
              <w:rPr>
                <w:rFonts w:ascii="Arial" w:cs="Arial" w:eastAsia="Arial" w:hAnsi="Arial"/>
                <w:sz w:val="17"/>
                <w:szCs w:val="17"/>
                <w:color w:val="auto"/>
              </w:rPr>
              <w:t>Level 2</w:t>
            </w:r>
          </w:p>
        </w:tc>
        <w:tc>
          <w:tcPr>
            <w:tcW w:w="900" w:type="dxa"/>
            <w:vAlign w:val="bottom"/>
            <w:tcBorders>
              <w:bottom w:val="single" w:sz="8" w:color="auto"/>
            </w:tcBorders>
            <w:gridSpan w:val="2"/>
          </w:tcPr>
          <w:p>
            <w:pPr>
              <w:ind w:left="220"/>
              <w:spacing w:after="0"/>
              <w:rPr>
                <w:sz w:val="20"/>
                <w:szCs w:val="20"/>
                <w:color w:val="auto"/>
              </w:rPr>
            </w:pPr>
            <w:r>
              <w:rPr>
                <w:rFonts w:ascii="Arial" w:cs="Arial" w:eastAsia="Arial" w:hAnsi="Arial"/>
                <w:sz w:val="17"/>
                <w:szCs w:val="17"/>
                <w:color w:val="auto"/>
              </w:rPr>
              <w:t>Level 3</w:t>
            </w:r>
          </w:p>
        </w:tc>
      </w:tr>
      <w:tr>
        <w:trPr>
          <w:trHeight w:val="210"/>
        </w:trPr>
        <w:tc>
          <w:tcPr>
            <w:tcW w:w="302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30"/>
        </w:trPr>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Available-for-sale security</w:t>
            </w:r>
          </w:p>
        </w:tc>
        <w:tc>
          <w:tcPr>
            <w:tcW w:w="52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w:t>
            </w:r>
          </w:p>
        </w:tc>
        <w:tc>
          <w:tcPr>
            <w:tcW w:w="620" w:type="dxa"/>
            <w:vAlign w:val="bottom"/>
            <w:shd w:val="clear" w:color="auto" w:fill="CCEEFF"/>
          </w:tcPr>
          <w:p>
            <w:pPr>
              <w:ind w:left="340"/>
              <w:spacing w:after="0"/>
              <w:rPr>
                <w:sz w:val="20"/>
                <w:szCs w:val="20"/>
                <w:color w:val="auto"/>
              </w:rPr>
            </w:pPr>
            <w:r>
              <w:rPr>
                <w:rFonts w:ascii="Arial" w:cs="Arial" w:eastAsia="Arial" w:hAnsi="Arial"/>
                <w:sz w:val="17"/>
                <w:szCs w:val="17"/>
                <w:b w:val="1"/>
                <w:bCs w:val="1"/>
                <w:color w:val="auto"/>
              </w:rPr>
              <w:t>—</w:t>
            </w:r>
          </w:p>
        </w:tc>
        <w:tc>
          <w:tcPr>
            <w:tcW w:w="440" w:type="dxa"/>
            <w:vAlign w:val="bottom"/>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w:t>
            </w:r>
          </w:p>
        </w:tc>
        <w:tc>
          <w:tcPr>
            <w:tcW w:w="48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7</w:t>
            </w:r>
          </w:p>
        </w:tc>
        <w:tc>
          <w:tcPr>
            <w:tcW w:w="440" w:type="dxa"/>
            <w:vAlign w:val="bottom"/>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7"/>
                <w:szCs w:val="17"/>
                <w:b w:val="1"/>
                <w:bCs w:val="1"/>
                <w:color w:val="auto"/>
              </w:rPr>
              <w:t>—</w:t>
            </w:r>
          </w:p>
        </w:tc>
        <w:tc>
          <w:tcPr>
            <w:tcW w:w="52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6</w:t>
            </w:r>
          </w:p>
        </w:tc>
        <w:tc>
          <w:tcPr>
            <w:tcW w:w="580" w:type="dxa"/>
            <w:vAlign w:val="bottom"/>
            <w:shd w:val="clear" w:color="auto" w:fill="CCEEFF"/>
          </w:tcPr>
          <w:p>
            <w:pPr>
              <w:jc w:val="right"/>
              <w:ind w:right="275"/>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ind w:left="160"/>
              <w:spacing w:after="0"/>
              <w:rPr>
                <w:sz w:val="20"/>
                <w:szCs w:val="20"/>
                <w:color w:val="auto"/>
              </w:rPr>
            </w:pPr>
            <w:r>
              <w:rPr>
                <w:rFonts w:ascii="Arial" w:cs="Arial" w:eastAsia="Arial" w:hAnsi="Arial"/>
                <w:sz w:val="17"/>
                <w:szCs w:val="17"/>
                <w:color w:val="auto"/>
                <w:w w:val="82"/>
              </w:rPr>
              <w:t>—</w:t>
            </w:r>
          </w:p>
        </w:tc>
      </w:tr>
      <w:tr>
        <w:trPr>
          <w:trHeight w:val="230"/>
        </w:trPr>
        <w:tc>
          <w:tcPr>
            <w:tcW w:w="30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Foreign exchange forward contracts</w:t>
            </w:r>
          </w:p>
        </w:tc>
        <w:tc>
          <w:tcPr>
            <w:tcW w:w="5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40"/>
              <w:spacing w:after="0"/>
              <w:rPr>
                <w:sz w:val="20"/>
                <w:szCs w:val="20"/>
                <w:color w:val="auto"/>
              </w:rPr>
            </w:pPr>
            <w:r>
              <w:rPr>
                <w:rFonts w:ascii="Arial" w:cs="Arial" w:eastAsia="Arial" w:hAnsi="Arial"/>
                <w:sz w:val="17"/>
                <w:szCs w:val="17"/>
                <w:b w:val="1"/>
                <w:bCs w:val="1"/>
                <w:color w:val="auto"/>
              </w:rPr>
              <w:t>—</w:t>
            </w:r>
          </w:p>
        </w:tc>
        <w:tc>
          <w:tcPr>
            <w:tcW w:w="4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w:t>
            </w:r>
          </w:p>
        </w:tc>
        <w:tc>
          <w:tcPr>
            <w:tcW w:w="4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w:t>
            </w:r>
          </w:p>
        </w:tc>
        <w:tc>
          <w:tcPr>
            <w:tcW w:w="5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w w:val="82"/>
              </w:rPr>
              <w:t>—</w:t>
            </w:r>
          </w:p>
        </w:tc>
      </w:tr>
      <w:tr>
        <w:trPr>
          <w:trHeight w:val="203"/>
        </w:trPr>
        <w:tc>
          <w:tcPr>
            <w:tcW w:w="3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 Assets</w:t>
            </w:r>
          </w:p>
        </w:tc>
        <w:tc>
          <w:tcPr>
            <w:tcW w:w="5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w:t>
            </w:r>
          </w:p>
        </w:tc>
        <w:tc>
          <w:tcPr>
            <w:tcW w:w="6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7"/>
                <w:szCs w:val="17"/>
                <w:b w:val="1"/>
                <w:bCs w:val="1"/>
                <w:color w:val="auto"/>
              </w:rPr>
              <w:t>—</w:t>
            </w:r>
          </w:p>
        </w:tc>
        <w:tc>
          <w:tcPr>
            <w:tcW w:w="4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w:t>
            </w:r>
          </w:p>
        </w:tc>
        <w:tc>
          <w:tcPr>
            <w:tcW w:w="4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8</w:t>
            </w:r>
          </w:p>
        </w:tc>
        <w:tc>
          <w:tcPr>
            <w:tcW w:w="4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9</w:t>
            </w:r>
          </w:p>
        </w:tc>
        <w:tc>
          <w:tcPr>
            <w:tcW w:w="580" w:type="dxa"/>
            <w:vAlign w:val="bottom"/>
            <w:tcBorders>
              <w:bottom w:val="single" w:sz="8" w:color="auto"/>
            </w:tcBorders>
            <w:shd w:val="clear" w:color="auto" w:fill="CCEEFF"/>
          </w:tcPr>
          <w:p>
            <w:pPr>
              <w:jc w:val="right"/>
              <w:ind w:right="275"/>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w w:val="82"/>
              </w:rPr>
              <w:t>—</w:t>
            </w:r>
          </w:p>
        </w:tc>
      </w:tr>
      <w:tr>
        <w:trPr>
          <w:trHeight w:val="216"/>
        </w:trPr>
        <w:tc>
          <w:tcPr>
            <w:tcW w:w="3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30"/>
        </w:trPr>
        <w:tc>
          <w:tcPr>
            <w:tcW w:w="30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w:t>
            </w:r>
          </w:p>
        </w:tc>
        <w:tc>
          <w:tcPr>
            <w:tcW w:w="5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r>
      <w:tr>
        <w:trPr>
          <w:trHeight w:val="230"/>
        </w:trPr>
        <w:tc>
          <w:tcPr>
            <w:tcW w:w="30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Foreign exchange forward contracts</w:t>
            </w:r>
          </w:p>
        </w:tc>
        <w:tc>
          <w:tcPr>
            <w:tcW w:w="5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40"/>
              <w:spacing w:after="0"/>
              <w:rPr>
                <w:sz w:val="20"/>
                <w:szCs w:val="20"/>
                <w:color w:val="auto"/>
              </w:rPr>
            </w:pPr>
            <w:r>
              <w:rPr>
                <w:rFonts w:ascii="Arial" w:cs="Arial" w:eastAsia="Arial" w:hAnsi="Arial"/>
                <w:sz w:val="17"/>
                <w:szCs w:val="17"/>
                <w:b w:val="1"/>
                <w:bCs w:val="1"/>
                <w:color w:val="auto"/>
              </w:rPr>
              <w:t>—</w:t>
            </w:r>
          </w:p>
        </w:tc>
        <w:tc>
          <w:tcPr>
            <w:tcW w:w="4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w:t>
            </w:r>
          </w:p>
        </w:tc>
        <w:tc>
          <w:tcPr>
            <w:tcW w:w="4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w:t>
            </w:r>
          </w:p>
        </w:tc>
        <w:tc>
          <w:tcPr>
            <w:tcW w:w="5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w w:val="82"/>
              </w:rPr>
              <w:t>—</w:t>
            </w:r>
          </w:p>
        </w:tc>
      </w:tr>
      <w:tr>
        <w:trPr>
          <w:trHeight w:val="203"/>
        </w:trPr>
        <w:tc>
          <w:tcPr>
            <w:tcW w:w="3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5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w:t>
            </w:r>
          </w:p>
        </w:tc>
        <w:tc>
          <w:tcPr>
            <w:tcW w:w="6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7"/>
                <w:szCs w:val="17"/>
                <w:b w:val="1"/>
                <w:bCs w:val="1"/>
                <w:color w:val="auto"/>
              </w:rPr>
              <w:t>—</w:t>
            </w:r>
          </w:p>
        </w:tc>
        <w:tc>
          <w:tcPr>
            <w:tcW w:w="4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w:t>
            </w:r>
          </w:p>
        </w:tc>
        <w:tc>
          <w:tcPr>
            <w:tcW w:w="4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w:t>
            </w:r>
          </w:p>
        </w:tc>
        <w:tc>
          <w:tcPr>
            <w:tcW w:w="4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3</w:t>
            </w:r>
          </w:p>
        </w:tc>
        <w:tc>
          <w:tcPr>
            <w:tcW w:w="580" w:type="dxa"/>
            <w:vAlign w:val="bottom"/>
            <w:tcBorders>
              <w:bottom w:val="single" w:sz="8" w:color="auto"/>
            </w:tcBorders>
            <w:shd w:val="clear" w:color="auto" w:fill="CCEEFF"/>
          </w:tcPr>
          <w:p>
            <w:pPr>
              <w:jc w:val="right"/>
              <w:ind w:right="275"/>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w w:val="82"/>
              </w:rPr>
              <w:t>—</w:t>
            </w:r>
          </w:p>
        </w:tc>
      </w:tr>
    </w:tbl>
    <w:p>
      <w:pPr>
        <w:spacing w:after="0" w:line="183"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Securities classified as available-for-sale are recorded at fair value with unrealized gains and losses reported, net of tax, in other comprehensive income, unless the unrealized gains or losses are determined to be other than temporary. The fair value of the auction rate security is determined by using quoted prices for similar instruments in active markets and accordingly is classified as a Level 2 instrument. The Company’s derivative financial instruments are valued using market-based inputs to valuation models. These valuation models require a variety of inputs, including contractual terms, market prices, yield curves, and measures of volatility and therefore are classified as Level 2 instruments. There were no transfers into or out of Level 1, Level 2, or Level 3 for any of the periods presented.</w:t>
      </w:r>
    </w:p>
    <w:p>
      <w:pPr>
        <w:spacing w:after="0" w:line="177"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 xml:space="preserve">In 2017 and 2016, the Company performed impairment reviews of long-lived and intangible assets for Runners Point and Sidestep. Additionally, during 2017, the Company performed an impairment review of long-lived assets for SIX:02. The fair value of all of the assets reviewed for both periods were measured using Level 3 inputs. Please see Note 3, </w:t>
      </w:r>
      <w:r>
        <w:rPr>
          <w:rFonts w:ascii="Arial" w:cs="Arial" w:eastAsia="Arial" w:hAnsi="Arial"/>
          <w:sz w:val="17"/>
          <w:szCs w:val="17"/>
          <w:i w:val="1"/>
          <w:iCs w:val="1"/>
          <w:color w:val="auto"/>
        </w:rPr>
        <w:t>Litigation and Other Charges</w:t>
      </w:r>
      <w:r>
        <w:rPr>
          <w:rFonts w:ascii="Arial" w:cs="Arial" w:eastAsia="Arial" w:hAnsi="Arial"/>
          <w:sz w:val="17"/>
          <w:szCs w:val="17"/>
          <w:color w:val="auto"/>
        </w:rPr>
        <w:t xml:space="preserve"> for further information.</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carrying value and estimated fair value of long-term debt were as follows:</w:t>
      </w:r>
    </w:p>
    <w:p>
      <w:pPr>
        <w:spacing w:after="0" w:line="82"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348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35"/>
              <w:spacing w:after="0"/>
              <w:rPr>
                <w:sz w:val="20"/>
                <w:szCs w:val="20"/>
                <w:color w:val="auto"/>
              </w:rPr>
            </w:pPr>
            <w:r>
              <w:rPr>
                <w:rFonts w:ascii="Arial" w:cs="Arial" w:eastAsia="Arial" w:hAnsi="Arial"/>
                <w:sz w:val="17"/>
                <w:szCs w:val="17"/>
                <w:b w:val="1"/>
                <w:bCs w:val="1"/>
                <w:color w:val="auto"/>
              </w:rPr>
              <w:t>2017</w:t>
            </w: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color w:val="auto"/>
              </w:rPr>
              <w:t>2016</w:t>
            </w:r>
          </w:p>
        </w:tc>
      </w:tr>
      <w:tr>
        <w:trPr>
          <w:trHeight w:val="210"/>
        </w:trPr>
        <w:tc>
          <w:tcPr>
            <w:tcW w:w="34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760" w:type="dxa"/>
            <w:vAlign w:val="bottom"/>
            <w:gridSpan w:val="2"/>
          </w:tcPr>
          <w:p>
            <w:pPr>
              <w:ind w:left="660"/>
              <w:spacing w:after="0"/>
              <w:rPr>
                <w:sz w:val="20"/>
                <w:szCs w:val="20"/>
                <w:color w:val="auto"/>
              </w:rPr>
            </w:pPr>
            <w:r>
              <w:rPr>
                <w:rFonts w:ascii="Arial" w:cs="Arial" w:eastAsia="Arial" w:hAnsi="Arial"/>
                <w:sz w:val="17"/>
                <w:szCs w:val="17"/>
                <w:color w:val="auto"/>
              </w:rPr>
              <w:t>($ in millions)</w:t>
            </w:r>
          </w:p>
        </w:tc>
        <w:tc>
          <w:tcPr>
            <w:tcW w:w="980" w:type="dxa"/>
            <w:vAlign w:val="bottom"/>
          </w:tcPr>
          <w:p>
            <w:pPr>
              <w:spacing w:after="0"/>
              <w:rPr>
                <w:sz w:val="18"/>
                <w:szCs w:val="18"/>
                <w:color w:val="auto"/>
              </w:rPr>
            </w:pPr>
          </w:p>
        </w:tc>
      </w:tr>
      <w:tr>
        <w:trPr>
          <w:trHeight w:val="230"/>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Carrying value</w:t>
            </w:r>
          </w:p>
        </w:tc>
        <w:tc>
          <w:tcPr>
            <w:tcW w:w="26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1220" w:type="dxa"/>
            <w:vAlign w:val="bottom"/>
            <w:shd w:val="clear" w:color="auto" w:fill="CCEEFF"/>
          </w:tcPr>
          <w:p>
            <w:pPr>
              <w:ind w:left="680"/>
              <w:spacing w:after="0"/>
              <w:rPr>
                <w:sz w:val="20"/>
                <w:szCs w:val="20"/>
                <w:color w:val="auto"/>
              </w:rPr>
            </w:pPr>
            <w:r>
              <w:rPr>
                <w:rFonts w:ascii="Arial" w:cs="Arial" w:eastAsia="Arial" w:hAnsi="Arial"/>
                <w:sz w:val="17"/>
                <w:szCs w:val="17"/>
                <w:b w:val="1"/>
                <w:bCs w:val="1"/>
                <w:color w:val="auto"/>
              </w:rPr>
              <w:t>125</w:t>
            </w:r>
          </w:p>
        </w:tc>
        <w:tc>
          <w:tcPr>
            <w:tcW w:w="5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w:t>
            </w:r>
          </w:p>
        </w:tc>
      </w:tr>
      <w:tr>
        <w:trPr>
          <w:trHeight w:val="230"/>
        </w:trPr>
        <w:tc>
          <w:tcPr>
            <w:tcW w:w="34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Fair value</w:t>
            </w:r>
          </w:p>
        </w:tc>
        <w:tc>
          <w:tcPr>
            <w:tcW w:w="26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tcPr>
          <w:p>
            <w:pPr>
              <w:ind w:left="680"/>
              <w:spacing w:after="0"/>
              <w:rPr>
                <w:sz w:val="20"/>
                <w:szCs w:val="20"/>
                <w:color w:val="auto"/>
              </w:rPr>
            </w:pPr>
            <w:r>
              <w:rPr>
                <w:rFonts w:ascii="Arial" w:cs="Arial" w:eastAsia="Arial" w:hAnsi="Arial"/>
                <w:sz w:val="17"/>
                <w:szCs w:val="17"/>
                <w:b w:val="1"/>
                <w:bCs w:val="1"/>
                <w:color w:val="auto"/>
              </w:rPr>
              <w:t>144</w:t>
            </w:r>
          </w:p>
        </w:tc>
        <w:tc>
          <w:tcPr>
            <w:tcW w:w="5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w:t>
            </w:r>
          </w:p>
        </w:tc>
      </w:tr>
    </w:tbl>
    <w:p>
      <w:pPr>
        <w:spacing w:after="0" w:line="183"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The fair value of long-term debt is determined by using model-derived valuations in which all significant inputs or significant value-drivers are observable in active markets and therefore are classified as Level 2. The carrying values of cash and cash equivalents, restricted cash, and other current receivables and payables approximate their fair value.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20. Retirement Plans and Other Benefits</w:t>
      </w:r>
    </w:p>
    <w:p>
      <w:pPr>
        <w:spacing w:after="0" w:line="201"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 xml:space="preserve">The Company and the Company’s U.S. retirement plan are defendants in a class action lawsuit. Please see Note 22, </w:t>
      </w:r>
      <w:r>
        <w:rPr>
          <w:rFonts w:ascii="Arial" w:cs="Arial" w:eastAsia="Arial" w:hAnsi="Arial"/>
          <w:sz w:val="17"/>
          <w:szCs w:val="17"/>
          <w:i w:val="1"/>
          <w:iCs w:val="1"/>
          <w:color w:val="auto"/>
        </w:rPr>
        <w:t xml:space="preserve">Legal Proceedings </w:t>
      </w:r>
      <w:r>
        <w:rPr>
          <w:rFonts w:ascii="Arial" w:cs="Arial" w:eastAsia="Arial" w:hAnsi="Arial"/>
          <w:sz w:val="17"/>
          <w:szCs w:val="17"/>
          <w:color w:val="auto"/>
        </w:rPr>
        <w:t>for further information. The amounts presented in this note do not include the expected plan</w:t>
      </w:r>
      <w:r>
        <w:rPr>
          <w:rFonts w:ascii="Arial" w:cs="Arial" w:eastAsia="Arial" w:hAnsi="Arial"/>
          <w:sz w:val="17"/>
          <w:szCs w:val="17"/>
          <w:i w:val="1"/>
          <w:iCs w:val="1"/>
          <w:color w:val="auto"/>
        </w:rPr>
        <w:t xml:space="preserve"> </w:t>
      </w:r>
      <w:r>
        <w:rPr>
          <w:rFonts w:ascii="Arial" w:cs="Arial" w:eastAsia="Arial" w:hAnsi="Arial"/>
          <w:sz w:val="17"/>
          <w:szCs w:val="17"/>
          <w:color w:val="auto"/>
        </w:rPr>
        <w:t>reformation.</w:t>
      </w:r>
    </w:p>
    <w:p>
      <w:pPr>
        <w:spacing w:after="0" w:line="157"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Pension and Other Postretirement Plans</w:t>
      </w:r>
    </w:p>
    <w:p>
      <w:pPr>
        <w:spacing w:after="0" w:line="201"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The Company has defined benefit pension plans covering certain of its North American employees, which are funded in accordance with the provisions of the laws where the plans are in effect. In addition, the Company has a defined benefit plan for certain individuals of Runners Point Group. The Company also sponsors postretirement medical and life insurance plans, which are available to most of its retired U.S. employees. These plans are contributory and are not funded. The measurement date of the assets and liabilities is the month-end date that is closest to our fiscal year end.</w:t>
      </w:r>
    </w:p>
    <w:p>
      <w:pPr>
        <w:spacing w:after="0" w:line="175"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The following tables set forth the plans’ changes in benefit obligations and plan assets, funded status, and amounts recognized in the Consolidated Balance Sheets, as of February 3, 2018 and January 28, 2017:</w:t>
      </w:r>
    </w:p>
    <w:p>
      <w:pPr>
        <w:spacing w:after="0" w:line="205"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2200" w:type="dxa"/>
            <w:vAlign w:val="bottom"/>
            <w:gridSpan w:val="3"/>
          </w:tcPr>
          <w:p>
            <w:pPr>
              <w:jc w:val="right"/>
              <w:ind w:right="95"/>
              <w:spacing w:after="0"/>
              <w:rPr>
                <w:sz w:val="20"/>
                <w:szCs w:val="20"/>
                <w:color w:val="auto"/>
              </w:rPr>
            </w:pPr>
            <w:r>
              <w:rPr>
                <w:rFonts w:ascii="Arial" w:cs="Arial" w:eastAsia="Arial" w:hAnsi="Arial"/>
                <w:sz w:val="17"/>
                <w:szCs w:val="17"/>
                <w:b w:val="1"/>
                <w:bCs w:val="1"/>
                <w:color w:val="auto"/>
              </w:rPr>
              <w:t>Pension Benefits</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60" w:type="dxa"/>
            <w:vAlign w:val="bottom"/>
            <w:gridSpan w:val="4"/>
          </w:tcPr>
          <w:p>
            <w:pPr>
              <w:jc w:val="right"/>
              <w:ind w:right="240"/>
              <w:spacing w:after="0"/>
              <w:rPr>
                <w:sz w:val="20"/>
                <w:szCs w:val="20"/>
                <w:color w:val="auto"/>
              </w:rPr>
            </w:pPr>
            <w:r>
              <w:rPr>
                <w:rFonts w:ascii="Arial" w:cs="Arial" w:eastAsia="Arial" w:hAnsi="Arial"/>
                <w:sz w:val="17"/>
                <w:szCs w:val="17"/>
                <w:b w:val="1"/>
                <w:bCs w:val="1"/>
                <w:color w:val="auto"/>
                <w:w w:val="99"/>
              </w:rPr>
              <w:t>Postretirement Benefits</w:t>
            </w:r>
          </w:p>
        </w:tc>
      </w:tr>
      <w:tr>
        <w:trPr>
          <w:trHeight w:val="210"/>
        </w:trPr>
        <w:tc>
          <w:tcPr>
            <w:tcW w:w="37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5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2016</w:t>
            </w:r>
          </w:p>
        </w:tc>
        <w:tc>
          <w:tcPr>
            <w:tcW w:w="5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2017</w:t>
            </w: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7"/>
                <w:szCs w:val="17"/>
                <w:color w:val="auto"/>
              </w:rPr>
              <w:t>2016</w:t>
            </w:r>
          </w:p>
        </w:tc>
        <w:tc>
          <w:tcPr>
            <w:tcW w:w="40" w:type="dxa"/>
            <w:vAlign w:val="bottom"/>
          </w:tcPr>
          <w:p>
            <w:pPr>
              <w:spacing w:after="0"/>
              <w:rPr>
                <w:sz w:val="18"/>
                <w:szCs w:val="18"/>
                <w:color w:val="auto"/>
              </w:rPr>
            </w:pPr>
          </w:p>
        </w:tc>
      </w:tr>
      <w:tr>
        <w:trPr>
          <w:trHeight w:val="210"/>
        </w:trPr>
        <w:tc>
          <w:tcPr>
            <w:tcW w:w="3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60" w:type="dxa"/>
            <w:vAlign w:val="bottom"/>
            <w:gridSpan w:val="4"/>
          </w:tcPr>
          <w:p>
            <w:pPr>
              <w:jc w:val="right"/>
              <w:ind w:right="775"/>
              <w:spacing w:after="0"/>
              <w:rPr>
                <w:sz w:val="20"/>
                <w:szCs w:val="20"/>
                <w:color w:val="auto"/>
              </w:rPr>
            </w:pPr>
            <w:r>
              <w:rPr>
                <w:rFonts w:ascii="Arial" w:cs="Arial" w:eastAsia="Arial" w:hAnsi="Arial"/>
                <w:sz w:val="17"/>
                <w:szCs w:val="17"/>
                <w:color w:val="auto"/>
              </w:rPr>
              <w:t>($ in millions)</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7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Change in benefit obligation</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3740" w:type="dxa"/>
            <w:vAlign w:val="bottom"/>
          </w:tcPr>
          <w:p>
            <w:pPr>
              <w:ind w:left="100"/>
              <w:spacing w:after="0"/>
              <w:rPr>
                <w:sz w:val="20"/>
                <w:szCs w:val="20"/>
                <w:color w:val="auto"/>
              </w:rPr>
            </w:pPr>
            <w:r>
              <w:rPr>
                <w:rFonts w:ascii="Arial" w:cs="Arial" w:eastAsia="Arial" w:hAnsi="Arial"/>
                <w:sz w:val="17"/>
                <w:szCs w:val="17"/>
                <w:color w:val="auto"/>
              </w:rPr>
              <w:t>Benefit obligation at beginning of year</w:t>
            </w:r>
          </w:p>
        </w:tc>
        <w:tc>
          <w:tcPr>
            <w:tcW w:w="880" w:type="dxa"/>
            <w:vAlign w:val="bottom"/>
          </w:tcPr>
          <w:p>
            <w:pPr>
              <w:jc w:val="right"/>
              <w:ind w:right="455"/>
              <w:spacing w:after="0"/>
              <w:rPr>
                <w:sz w:val="20"/>
                <w:szCs w:val="20"/>
                <w:color w:val="auto"/>
              </w:rPr>
            </w:pPr>
            <w:r>
              <w:rPr>
                <w:rFonts w:ascii="Arial" w:cs="Arial" w:eastAsia="Arial" w:hAnsi="Arial"/>
                <w:sz w:val="17"/>
                <w:szCs w:val="17"/>
                <w:b w:val="1"/>
                <w:bCs w:val="1"/>
                <w:color w:val="auto"/>
              </w:rPr>
              <w:t>$</w:t>
            </w:r>
          </w:p>
        </w:tc>
        <w:tc>
          <w:tcPr>
            <w:tcW w:w="520" w:type="dxa"/>
            <w:vAlign w:val="bottom"/>
          </w:tcPr>
          <w:p>
            <w:pPr>
              <w:jc w:val="right"/>
              <w:ind w:right="135"/>
              <w:spacing w:after="0"/>
              <w:rPr>
                <w:sz w:val="20"/>
                <w:szCs w:val="20"/>
                <w:color w:val="auto"/>
              </w:rPr>
            </w:pPr>
            <w:r>
              <w:rPr>
                <w:rFonts w:ascii="Arial" w:cs="Arial" w:eastAsia="Arial" w:hAnsi="Arial"/>
                <w:sz w:val="17"/>
                <w:szCs w:val="17"/>
                <w:b w:val="1"/>
                <w:bCs w:val="1"/>
                <w:color w:val="auto"/>
                <w:w w:val="98"/>
              </w:rPr>
              <w:t>666</w:t>
            </w:r>
          </w:p>
        </w:tc>
        <w:tc>
          <w:tcPr>
            <w:tcW w:w="800" w:type="dxa"/>
            <w:vAlign w:val="bottom"/>
          </w:tcPr>
          <w:p>
            <w:pPr>
              <w:jc w:val="right"/>
              <w:ind w:right="435"/>
              <w:spacing w:after="0"/>
              <w:rPr>
                <w:sz w:val="20"/>
                <w:szCs w:val="20"/>
                <w:color w:val="auto"/>
              </w:rPr>
            </w:pPr>
            <w:r>
              <w:rPr>
                <w:rFonts w:ascii="Arial" w:cs="Arial" w:eastAsia="Arial" w:hAnsi="Arial"/>
                <w:sz w:val="17"/>
                <w:szCs w:val="17"/>
                <w:color w:val="auto"/>
              </w:rPr>
              <w:t>$</w:t>
            </w:r>
          </w:p>
        </w:tc>
        <w:tc>
          <w:tcPr>
            <w:tcW w:w="500" w:type="dxa"/>
            <w:vAlign w:val="bottom"/>
          </w:tcPr>
          <w:p>
            <w:pPr>
              <w:jc w:val="right"/>
              <w:ind w:right="115"/>
              <w:spacing w:after="0"/>
              <w:rPr>
                <w:sz w:val="20"/>
                <w:szCs w:val="20"/>
                <w:color w:val="auto"/>
              </w:rPr>
            </w:pPr>
            <w:r>
              <w:rPr>
                <w:rFonts w:ascii="Arial" w:cs="Arial" w:eastAsia="Arial" w:hAnsi="Arial"/>
                <w:sz w:val="17"/>
                <w:szCs w:val="17"/>
                <w:color w:val="auto"/>
                <w:w w:val="98"/>
              </w:rPr>
              <w:t>667</w:t>
            </w:r>
          </w:p>
        </w:tc>
        <w:tc>
          <w:tcPr>
            <w:tcW w:w="2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ind w:right="115"/>
              <w:spacing w:after="0"/>
              <w:rPr>
                <w:sz w:val="20"/>
                <w:szCs w:val="20"/>
                <w:color w:val="auto"/>
              </w:rPr>
            </w:pPr>
            <w:r>
              <w:rPr>
                <w:rFonts w:ascii="Arial" w:cs="Arial" w:eastAsia="Arial" w:hAnsi="Arial"/>
                <w:sz w:val="17"/>
                <w:szCs w:val="17"/>
                <w:b w:val="1"/>
                <w:bCs w:val="1"/>
                <w:color w:val="auto"/>
              </w:rPr>
              <w:t>15</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14</w:t>
            </w:r>
          </w:p>
        </w:tc>
        <w:tc>
          <w:tcPr>
            <w:tcW w:w="40" w:type="dxa"/>
            <w:vAlign w:val="bottom"/>
          </w:tcPr>
          <w:p>
            <w:pPr>
              <w:spacing w:after="0"/>
              <w:rPr>
                <w:sz w:val="19"/>
                <w:szCs w:val="19"/>
                <w:color w:val="auto"/>
              </w:rPr>
            </w:pPr>
          </w:p>
        </w:tc>
      </w:tr>
      <w:tr>
        <w:trPr>
          <w:trHeight w:val="230"/>
        </w:trPr>
        <w:tc>
          <w:tcPr>
            <w:tcW w:w="37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Service cost</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17</w:t>
            </w: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16</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r>
      <w:tr>
        <w:trPr>
          <w:trHeight w:val="230"/>
        </w:trPr>
        <w:tc>
          <w:tcPr>
            <w:tcW w:w="3740" w:type="dxa"/>
            <w:vAlign w:val="bottom"/>
          </w:tcPr>
          <w:p>
            <w:pPr>
              <w:ind w:left="100"/>
              <w:spacing w:after="0"/>
              <w:rPr>
                <w:sz w:val="20"/>
                <w:szCs w:val="20"/>
                <w:color w:val="auto"/>
              </w:rPr>
            </w:pPr>
            <w:r>
              <w:rPr>
                <w:rFonts w:ascii="Arial" w:cs="Arial" w:eastAsia="Arial" w:hAnsi="Arial"/>
                <w:sz w:val="17"/>
                <w:szCs w:val="17"/>
                <w:color w:val="auto"/>
              </w:rPr>
              <w:t>Interest cost</w:t>
            </w:r>
          </w:p>
        </w:tc>
        <w:tc>
          <w:tcPr>
            <w:tcW w:w="880" w:type="dxa"/>
            <w:vAlign w:val="bottom"/>
          </w:tcPr>
          <w:p>
            <w:pPr>
              <w:spacing w:after="0"/>
              <w:rPr>
                <w:sz w:val="19"/>
                <w:szCs w:val="19"/>
                <w:color w:val="auto"/>
              </w:rPr>
            </w:pPr>
          </w:p>
        </w:tc>
        <w:tc>
          <w:tcPr>
            <w:tcW w:w="520" w:type="dxa"/>
            <w:vAlign w:val="bottom"/>
          </w:tcPr>
          <w:p>
            <w:pPr>
              <w:jc w:val="right"/>
              <w:ind w:right="135"/>
              <w:spacing w:after="0"/>
              <w:rPr>
                <w:sz w:val="20"/>
                <w:szCs w:val="20"/>
                <w:color w:val="auto"/>
              </w:rPr>
            </w:pPr>
            <w:r>
              <w:rPr>
                <w:rFonts w:ascii="Arial" w:cs="Arial" w:eastAsia="Arial" w:hAnsi="Arial"/>
                <w:sz w:val="17"/>
                <w:szCs w:val="17"/>
                <w:b w:val="1"/>
                <w:bCs w:val="1"/>
                <w:color w:val="auto"/>
              </w:rPr>
              <w:t>25</w:t>
            </w:r>
          </w:p>
        </w:tc>
        <w:tc>
          <w:tcPr>
            <w:tcW w:w="800" w:type="dxa"/>
            <w:vAlign w:val="bottom"/>
          </w:tcPr>
          <w:p>
            <w:pPr>
              <w:spacing w:after="0"/>
              <w:rPr>
                <w:sz w:val="19"/>
                <w:szCs w:val="19"/>
                <w:color w:val="auto"/>
              </w:rPr>
            </w:pPr>
          </w:p>
        </w:tc>
        <w:tc>
          <w:tcPr>
            <w:tcW w:w="500" w:type="dxa"/>
            <w:vAlign w:val="bottom"/>
          </w:tcPr>
          <w:p>
            <w:pPr>
              <w:jc w:val="right"/>
              <w:ind w:right="115"/>
              <w:spacing w:after="0"/>
              <w:rPr>
                <w:sz w:val="20"/>
                <w:szCs w:val="20"/>
                <w:color w:val="auto"/>
              </w:rPr>
            </w:pPr>
            <w:r>
              <w:rPr>
                <w:rFonts w:ascii="Arial" w:cs="Arial" w:eastAsia="Arial" w:hAnsi="Arial"/>
                <w:sz w:val="17"/>
                <w:szCs w:val="17"/>
                <w:color w:val="auto"/>
              </w:rPr>
              <w:t>26</w:t>
            </w:r>
          </w:p>
        </w:tc>
        <w:tc>
          <w:tcPr>
            <w:tcW w:w="260" w:type="dxa"/>
            <w:vAlign w:val="bottom"/>
          </w:tcPr>
          <w:p>
            <w:pPr>
              <w:spacing w:after="0"/>
              <w:rPr>
                <w:sz w:val="19"/>
                <w:szCs w:val="19"/>
                <w:color w:val="auto"/>
              </w:rPr>
            </w:pPr>
          </w:p>
        </w:tc>
        <w:tc>
          <w:tcPr>
            <w:tcW w:w="1000" w:type="dxa"/>
            <w:vAlign w:val="bottom"/>
          </w:tcPr>
          <w:p>
            <w:pPr>
              <w:jc w:val="right"/>
              <w:ind w:right="115"/>
              <w:spacing w:after="0"/>
              <w:rPr>
                <w:sz w:val="20"/>
                <w:szCs w:val="20"/>
                <w:color w:val="auto"/>
              </w:rPr>
            </w:pPr>
            <w:r>
              <w:rPr>
                <w:rFonts w:ascii="Arial" w:cs="Arial" w:eastAsia="Arial" w:hAnsi="Arial"/>
                <w:sz w:val="17"/>
                <w:szCs w:val="17"/>
                <w:b w:val="1"/>
                <w:bCs w:val="1"/>
                <w:color w:val="auto"/>
              </w:rPr>
              <w:t>1</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9"/>
                <w:szCs w:val="19"/>
                <w:color w:val="auto"/>
              </w:rPr>
            </w:pPr>
          </w:p>
        </w:tc>
      </w:tr>
      <w:tr>
        <w:trPr>
          <w:trHeight w:val="230"/>
        </w:trPr>
        <w:tc>
          <w:tcPr>
            <w:tcW w:w="37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Plan participants’ contributions</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w:t>
            </w: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1</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9"/>
                <w:szCs w:val="19"/>
                <w:color w:val="auto"/>
              </w:rPr>
            </w:pPr>
          </w:p>
        </w:tc>
      </w:tr>
      <w:tr>
        <w:trPr>
          <w:trHeight w:val="230"/>
        </w:trPr>
        <w:tc>
          <w:tcPr>
            <w:tcW w:w="3740" w:type="dxa"/>
            <w:vAlign w:val="bottom"/>
          </w:tcPr>
          <w:p>
            <w:pPr>
              <w:ind w:left="100"/>
              <w:spacing w:after="0"/>
              <w:rPr>
                <w:sz w:val="20"/>
                <w:szCs w:val="20"/>
                <w:color w:val="auto"/>
              </w:rPr>
            </w:pPr>
            <w:r>
              <w:rPr>
                <w:rFonts w:ascii="Arial" w:cs="Arial" w:eastAsia="Arial" w:hAnsi="Arial"/>
                <w:sz w:val="17"/>
                <w:szCs w:val="17"/>
                <w:color w:val="auto"/>
              </w:rPr>
              <w:t>Actuarial loss</w:t>
            </w:r>
          </w:p>
        </w:tc>
        <w:tc>
          <w:tcPr>
            <w:tcW w:w="880" w:type="dxa"/>
            <w:vAlign w:val="bottom"/>
          </w:tcPr>
          <w:p>
            <w:pPr>
              <w:spacing w:after="0"/>
              <w:rPr>
                <w:sz w:val="19"/>
                <w:szCs w:val="19"/>
                <w:color w:val="auto"/>
              </w:rPr>
            </w:pPr>
          </w:p>
        </w:tc>
        <w:tc>
          <w:tcPr>
            <w:tcW w:w="520" w:type="dxa"/>
            <w:vAlign w:val="bottom"/>
          </w:tcPr>
          <w:p>
            <w:pPr>
              <w:jc w:val="right"/>
              <w:ind w:right="135"/>
              <w:spacing w:after="0"/>
              <w:rPr>
                <w:sz w:val="20"/>
                <w:szCs w:val="20"/>
                <w:color w:val="auto"/>
              </w:rPr>
            </w:pPr>
            <w:r>
              <w:rPr>
                <w:rFonts w:ascii="Arial" w:cs="Arial" w:eastAsia="Arial" w:hAnsi="Arial"/>
                <w:sz w:val="17"/>
                <w:szCs w:val="17"/>
                <w:b w:val="1"/>
                <w:bCs w:val="1"/>
                <w:color w:val="auto"/>
              </w:rPr>
              <w:t>25</w:t>
            </w:r>
          </w:p>
        </w:tc>
        <w:tc>
          <w:tcPr>
            <w:tcW w:w="800" w:type="dxa"/>
            <w:vAlign w:val="bottom"/>
          </w:tcPr>
          <w:p>
            <w:pPr>
              <w:spacing w:after="0"/>
              <w:rPr>
                <w:sz w:val="19"/>
                <w:szCs w:val="19"/>
                <w:color w:val="auto"/>
              </w:rPr>
            </w:pPr>
          </w:p>
        </w:tc>
        <w:tc>
          <w:tcPr>
            <w:tcW w:w="500" w:type="dxa"/>
            <w:vAlign w:val="bottom"/>
          </w:tcPr>
          <w:p>
            <w:pPr>
              <w:jc w:val="right"/>
              <w:ind w:right="115"/>
              <w:spacing w:after="0"/>
              <w:rPr>
                <w:sz w:val="20"/>
                <w:szCs w:val="20"/>
                <w:color w:val="auto"/>
              </w:rPr>
            </w:pPr>
            <w:r>
              <w:rPr>
                <w:rFonts w:ascii="Arial" w:cs="Arial" w:eastAsia="Arial" w:hAnsi="Arial"/>
                <w:sz w:val="17"/>
                <w:szCs w:val="17"/>
                <w:color w:val="auto"/>
              </w:rPr>
              <w:t>7</w:t>
            </w:r>
          </w:p>
        </w:tc>
        <w:tc>
          <w:tcPr>
            <w:tcW w:w="260" w:type="dxa"/>
            <w:vAlign w:val="bottom"/>
          </w:tcPr>
          <w:p>
            <w:pPr>
              <w:spacing w:after="0"/>
              <w:rPr>
                <w:sz w:val="19"/>
                <w:szCs w:val="19"/>
                <w:color w:val="auto"/>
              </w:rPr>
            </w:pPr>
          </w:p>
        </w:tc>
        <w:tc>
          <w:tcPr>
            <w:tcW w:w="1000" w:type="dxa"/>
            <w:vAlign w:val="bottom"/>
          </w:tcPr>
          <w:p>
            <w:pPr>
              <w:jc w:val="right"/>
              <w:ind w:right="55"/>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9"/>
                <w:szCs w:val="19"/>
                <w:color w:val="auto"/>
              </w:rPr>
            </w:pPr>
          </w:p>
        </w:tc>
      </w:tr>
      <w:tr>
        <w:trPr>
          <w:trHeight w:val="230"/>
        </w:trPr>
        <w:tc>
          <w:tcPr>
            <w:tcW w:w="37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Foreign currency translation adjustments</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3</w:t>
            </w: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4</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r>
      <w:tr>
        <w:trPr>
          <w:trHeight w:val="230"/>
        </w:trPr>
        <w:tc>
          <w:tcPr>
            <w:tcW w:w="3740" w:type="dxa"/>
            <w:vAlign w:val="bottom"/>
          </w:tcPr>
          <w:p>
            <w:pPr>
              <w:ind w:left="100"/>
              <w:spacing w:after="0"/>
              <w:rPr>
                <w:sz w:val="20"/>
                <w:szCs w:val="20"/>
                <w:color w:val="auto"/>
              </w:rPr>
            </w:pPr>
            <w:r>
              <w:rPr>
                <w:rFonts w:ascii="Arial" w:cs="Arial" w:eastAsia="Arial" w:hAnsi="Arial"/>
                <w:sz w:val="17"/>
                <w:szCs w:val="17"/>
                <w:color w:val="auto"/>
              </w:rPr>
              <w:t>Benefits paid</w:t>
            </w:r>
          </w:p>
        </w:tc>
        <w:tc>
          <w:tcPr>
            <w:tcW w:w="880" w:type="dxa"/>
            <w:vAlign w:val="bottom"/>
          </w:tcPr>
          <w:p>
            <w:pPr>
              <w:spacing w:after="0"/>
              <w:rPr>
                <w:sz w:val="19"/>
                <w:szCs w:val="19"/>
                <w:color w:val="auto"/>
              </w:rPr>
            </w:pPr>
          </w:p>
        </w:tc>
        <w:tc>
          <w:tcPr>
            <w:tcW w:w="520" w:type="dxa"/>
            <w:vAlign w:val="bottom"/>
          </w:tcPr>
          <w:p>
            <w:pPr>
              <w:jc w:val="right"/>
              <w:ind w:right="95"/>
              <w:spacing w:after="0"/>
              <w:rPr>
                <w:sz w:val="20"/>
                <w:szCs w:val="20"/>
                <w:color w:val="auto"/>
              </w:rPr>
            </w:pPr>
            <w:r>
              <w:rPr>
                <w:rFonts w:ascii="Arial" w:cs="Arial" w:eastAsia="Arial" w:hAnsi="Arial"/>
                <w:sz w:val="17"/>
                <w:szCs w:val="17"/>
                <w:b w:val="1"/>
                <w:bCs w:val="1"/>
                <w:color w:val="auto"/>
              </w:rPr>
              <w:t>(53)</w:t>
            </w:r>
          </w:p>
        </w:tc>
        <w:tc>
          <w:tcPr>
            <w:tcW w:w="800" w:type="dxa"/>
            <w:vAlign w:val="bottom"/>
          </w:tcPr>
          <w:p>
            <w:pPr>
              <w:spacing w:after="0"/>
              <w:rPr>
                <w:sz w:val="19"/>
                <w:szCs w:val="19"/>
                <w:color w:val="auto"/>
              </w:rPr>
            </w:pPr>
          </w:p>
        </w:tc>
        <w:tc>
          <w:tcPr>
            <w:tcW w:w="500" w:type="dxa"/>
            <w:vAlign w:val="bottom"/>
          </w:tcPr>
          <w:p>
            <w:pPr>
              <w:jc w:val="right"/>
              <w:ind w:right="75"/>
              <w:spacing w:after="0"/>
              <w:rPr>
                <w:sz w:val="20"/>
                <w:szCs w:val="20"/>
                <w:color w:val="auto"/>
              </w:rPr>
            </w:pPr>
            <w:r>
              <w:rPr>
                <w:rFonts w:ascii="Arial" w:cs="Arial" w:eastAsia="Arial" w:hAnsi="Arial"/>
                <w:sz w:val="17"/>
                <w:szCs w:val="17"/>
                <w:color w:val="auto"/>
              </w:rPr>
              <w:t>(54)</w:t>
            </w:r>
          </w:p>
        </w:tc>
        <w:tc>
          <w:tcPr>
            <w:tcW w:w="260" w:type="dxa"/>
            <w:vAlign w:val="bottom"/>
          </w:tcPr>
          <w:p>
            <w:pPr>
              <w:spacing w:after="0"/>
              <w:rPr>
                <w:sz w:val="19"/>
                <w:szCs w:val="19"/>
                <w:color w:val="auto"/>
              </w:rPr>
            </w:pPr>
          </w:p>
        </w:tc>
        <w:tc>
          <w:tcPr>
            <w:tcW w:w="1000" w:type="dxa"/>
            <w:vAlign w:val="bottom"/>
          </w:tcPr>
          <w:p>
            <w:pPr>
              <w:jc w:val="right"/>
              <w:ind w:right="55"/>
              <w:spacing w:after="0"/>
              <w:rPr>
                <w:sz w:val="20"/>
                <w:szCs w:val="20"/>
                <w:color w:val="auto"/>
              </w:rPr>
            </w:pPr>
            <w:r>
              <w:rPr>
                <w:rFonts w:ascii="Arial" w:cs="Arial" w:eastAsia="Arial" w:hAnsi="Arial"/>
                <w:sz w:val="17"/>
                <w:szCs w:val="17"/>
                <w:b w:val="1"/>
                <w:bCs w:val="1"/>
                <w:color w:val="auto"/>
              </w:rPr>
              <w:t>(2)</w:t>
            </w:r>
          </w:p>
        </w:tc>
        <w:tc>
          <w:tcPr>
            <w:tcW w:w="3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(2)</w:t>
            </w:r>
          </w:p>
        </w:tc>
      </w:tr>
      <w:tr>
        <w:trPr>
          <w:trHeight w:val="210"/>
        </w:trPr>
        <w:tc>
          <w:tcPr>
            <w:tcW w:w="37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7"/>
                <w:szCs w:val="17"/>
                <w:color w:val="auto"/>
              </w:rPr>
              <w:t>Benefit obligation at end of year</w:t>
            </w:r>
          </w:p>
        </w:tc>
        <w:tc>
          <w:tcPr>
            <w:tcW w:w="880" w:type="dxa"/>
            <w:vAlign w:val="bottom"/>
            <w:tcBorders>
              <w:top w:val="single" w:sz="8" w:color="auto"/>
              <w:bottom w:val="single" w:sz="8" w:color="auto"/>
            </w:tcBorders>
            <w:shd w:val="clear" w:color="auto" w:fill="CCEEFF"/>
          </w:tcPr>
          <w:p>
            <w:pPr>
              <w:jc w:val="right"/>
              <w:ind w:right="455"/>
              <w:spacing w:after="0"/>
              <w:rPr>
                <w:sz w:val="20"/>
                <w:szCs w:val="20"/>
                <w:color w:val="auto"/>
              </w:rPr>
            </w:pPr>
            <w:r>
              <w:rPr>
                <w:rFonts w:ascii="Arial" w:cs="Arial" w:eastAsia="Arial" w:hAnsi="Arial"/>
                <w:sz w:val="17"/>
                <w:szCs w:val="17"/>
                <w:b w:val="1"/>
                <w:bCs w:val="1"/>
                <w:color w:val="auto"/>
              </w:rPr>
              <w:t>$</w:t>
            </w:r>
          </w:p>
        </w:tc>
        <w:tc>
          <w:tcPr>
            <w:tcW w:w="52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b w:val="1"/>
                <w:bCs w:val="1"/>
                <w:color w:val="auto"/>
                <w:w w:val="98"/>
              </w:rPr>
              <w:t>683</w:t>
            </w:r>
          </w:p>
        </w:tc>
        <w:tc>
          <w:tcPr>
            <w:tcW w:w="800" w:type="dxa"/>
            <w:vAlign w:val="bottom"/>
            <w:tcBorders>
              <w:top w:val="single" w:sz="8" w:color="auto"/>
              <w:bottom w:val="single" w:sz="8" w:color="auto"/>
            </w:tcBorders>
            <w:shd w:val="clear" w:color="auto" w:fill="CCEEFF"/>
          </w:tcPr>
          <w:p>
            <w:pPr>
              <w:jc w:val="right"/>
              <w:ind w:right="435"/>
              <w:spacing w:after="0"/>
              <w:rPr>
                <w:sz w:val="20"/>
                <w:szCs w:val="20"/>
                <w:color w:val="auto"/>
              </w:rPr>
            </w:pPr>
            <w:r>
              <w:rPr>
                <w:rFonts w:ascii="Arial" w:cs="Arial" w:eastAsia="Arial" w:hAnsi="Arial"/>
                <w:sz w:val="17"/>
                <w:szCs w:val="17"/>
                <w:color w:val="auto"/>
              </w:rPr>
              <w:t>$</w:t>
            </w:r>
          </w:p>
        </w:tc>
        <w:tc>
          <w:tcPr>
            <w:tcW w:w="50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98"/>
              </w:rPr>
              <w:t>666</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15</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40" w:type="dxa"/>
            <w:vAlign w:val="bottom"/>
          </w:tcPr>
          <w:p>
            <w:pPr>
              <w:spacing w:after="0"/>
              <w:rPr>
                <w:sz w:val="18"/>
                <w:szCs w:val="18"/>
                <w:color w:val="auto"/>
              </w:rPr>
            </w:pPr>
          </w:p>
        </w:tc>
      </w:tr>
      <w:tr>
        <w:trPr>
          <w:trHeight w:val="210"/>
        </w:trPr>
        <w:tc>
          <w:tcPr>
            <w:tcW w:w="3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7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Change in plan assets</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3740" w:type="dxa"/>
            <w:vAlign w:val="bottom"/>
          </w:tcPr>
          <w:p>
            <w:pPr>
              <w:ind w:left="100"/>
              <w:spacing w:after="0"/>
              <w:rPr>
                <w:sz w:val="20"/>
                <w:szCs w:val="20"/>
                <w:color w:val="auto"/>
              </w:rPr>
            </w:pPr>
            <w:r>
              <w:rPr>
                <w:rFonts w:ascii="Arial" w:cs="Arial" w:eastAsia="Arial" w:hAnsi="Arial"/>
                <w:sz w:val="17"/>
                <w:szCs w:val="17"/>
                <w:color w:val="auto"/>
              </w:rPr>
              <w:t>Fair value of plan assets at beginning of year</w:t>
            </w:r>
          </w:p>
        </w:tc>
        <w:tc>
          <w:tcPr>
            <w:tcW w:w="880" w:type="dxa"/>
            <w:vAlign w:val="bottom"/>
          </w:tcPr>
          <w:p>
            <w:pPr>
              <w:jc w:val="right"/>
              <w:ind w:right="455"/>
              <w:spacing w:after="0"/>
              <w:rPr>
                <w:sz w:val="20"/>
                <w:szCs w:val="20"/>
                <w:color w:val="auto"/>
              </w:rPr>
            </w:pPr>
            <w:r>
              <w:rPr>
                <w:rFonts w:ascii="Arial" w:cs="Arial" w:eastAsia="Arial" w:hAnsi="Arial"/>
                <w:sz w:val="17"/>
                <w:szCs w:val="17"/>
                <w:b w:val="1"/>
                <w:bCs w:val="1"/>
                <w:color w:val="auto"/>
              </w:rPr>
              <w:t>$</w:t>
            </w:r>
          </w:p>
        </w:tc>
        <w:tc>
          <w:tcPr>
            <w:tcW w:w="520" w:type="dxa"/>
            <w:vAlign w:val="bottom"/>
          </w:tcPr>
          <w:p>
            <w:pPr>
              <w:jc w:val="right"/>
              <w:ind w:right="135"/>
              <w:spacing w:after="0"/>
              <w:rPr>
                <w:sz w:val="20"/>
                <w:szCs w:val="20"/>
                <w:color w:val="auto"/>
              </w:rPr>
            </w:pPr>
            <w:r>
              <w:rPr>
                <w:rFonts w:ascii="Arial" w:cs="Arial" w:eastAsia="Arial" w:hAnsi="Arial"/>
                <w:sz w:val="17"/>
                <w:szCs w:val="17"/>
                <w:b w:val="1"/>
                <w:bCs w:val="1"/>
                <w:color w:val="auto"/>
                <w:w w:val="98"/>
              </w:rPr>
              <w:t>647</w:t>
            </w:r>
          </w:p>
        </w:tc>
        <w:tc>
          <w:tcPr>
            <w:tcW w:w="800" w:type="dxa"/>
            <w:vAlign w:val="bottom"/>
          </w:tcPr>
          <w:p>
            <w:pPr>
              <w:jc w:val="right"/>
              <w:ind w:right="435"/>
              <w:spacing w:after="0"/>
              <w:rPr>
                <w:sz w:val="20"/>
                <w:szCs w:val="20"/>
                <w:color w:val="auto"/>
              </w:rPr>
            </w:pPr>
            <w:r>
              <w:rPr>
                <w:rFonts w:ascii="Arial" w:cs="Arial" w:eastAsia="Arial" w:hAnsi="Arial"/>
                <w:sz w:val="17"/>
                <w:szCs w:val="17"/>
                <w:color w:val="auto"/>
              </w:rPr>
              <w:t>$</w:t>
            </w:r>
          </w:p>
        </w:tc>
        <w:tc>
          <w:tcPr>
            <w:tcW w:w="500" w:type="dxa"/>
            <w:vAlign w:val="bottom"/>
          </w:tcPr>
          <w:p>
            <w:pPr>
              <w:jc w:val="right"/>
              <w:ind w:right="115"/>
              <w:spacing w:after="0"/>
              <w:rPr>
                <w:sz w:val="20"/>
                <w:szCs w:val="20"/>
                <w:color w:val="auto"/>
              </w:rPr>
            </w:pPr>
            <w:r>
              <w:rPr>
                <w:rFonts w:ascii="Arial" w:cs="Arial" w:eastAsia="Arial" w:hAnsi="Arial"/>
                <w:sz w:val="17"/>
                <w:szCs w:val="17"/>
                <w:color w:val="auto"/>
                <w:w w:val="98"/>
              </w:rPr>
              <w:t>602</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37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Actual return on plan assets</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70</w:t>
            </w: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55</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3740" w:type="dxa"/>
            <w:vAlign w:val="bottom"/>
          </w:tcPr>
          <w:p>
            <w:pPr>
              <w:ind w:left="100"/>
              <w:spacing w:after="0"/>
              <w:rPr>
                <w:sz w:val="20"/>
                <w:szCs w:val="20"/>
                <w:color w:val="auto"/>
              </w:rPr>
            </w:pPr>
            <w:r>
              <w:rPr>
                <w:rFonts w:ascii="Arial" w:cs="Arial" w:eastAsia="Arial" w:hAnsi="Arial"/>
                <w:sz w:val="17"/>
                <w:szCs w:val="17"/>
                <w:color w:val="auto"/>
              </w:rPr>
              <w:t>Employer contributions</w:t>
            </w:r>
          </w:p>
        </w:tc>
        <w:tc>
          <w:tcPr>
            <w:tcW w:w="880" w:type="dxa"/>
            <w:vAlign w:val="bottom"/>
          </w:tcPr>
          <w:p>
            <w:pPr>
              <w:spacing w:after="0"/>
              <w:rPr>
                <w:sz w:val="19"/>
                <w:szCs w:val="19"/>
                <w:color w:val="auto"/>
              </w:rPr>
            </w:pPr>
          </w:p>
        </w:tc>
        <w:tc>
          <w:tcPr>
            <w:tcW w:w="520" w:type="dxa"/>
            <w:vAlign w:val="bottom"/>
          </w:tcPr>
          <w:p>
            <w:pPr>
              <w:jc w:val="right"/>
              <w:ind w:right="135"/>
              <w:spacing w:after="0"/>
              <w:rPr>
                <w:sz w:val="20"/>
                <w:szCs w:val="20"/>
                <w:color w:val="auto"/>
              </w:rPr>
            </w:pPr>
            <w:r>
              <w:rPr>
                <w:rFonts w:ascii="Arial" w:cs="Arial" w:eastAsia="Arial" w:hAnsi="Arial"/>
                <w:sz w:val="17"/>
                <w:szCs w:val="17"/>
                <w:b w:val="1"/>
                <w:bCs w:val="1"/>
                <w:color w:val="auto"/>
              </w:rPr>
              <w:t>29</w:t>
            </w:r>
          </w:p>
        </w:tc>
        <w:tc>
          <w:tcPr>
            <w:tcW w:w="800" w:type="dxa"/>
            <w:vAlign w:val="bottom"/>
          </w:tcPr>
          <w:p>
            <w:pPr>
              <w:spacing w:after="0"/>
              <w:rPr>
                <w:sz w:val="19"/>
                <w:szCs w:val="19"/>
                <w:color w:val="auto"/>
              </w:rPr>
            </w:pPr>
          </w:p>
        </w:tc>
        <w:tc>
          <w:tcPr>
            <w:tcW w:w="500" w:type="dxa"/>
            <w:vAlign w:val="bottom"/>
          </w:tcPr>
          <w:p>
            <w:pPr>
              <w:jc w:val="right"/>
              <w:ind w:right="115"/>
              <w:spacing w:after="0"/>
              <w:rPr>
                <w:sz w:val="20"/>
                <w:szCs w:val="20"/>
                <w:color w:val="auto"/>
              </w:rPr>
            </w:pPr>
            <w:r>
              <w:rPr>
                <w:rFonts w:ascii="Arial" w:cs="Arial" w:eastAsia="Arial" w:hAnsi="Arial"/>
                <w:sz w:val="17"/>
                <w:szCs w:val="17"/>
                <w:color w:val="auto"/>
              </w:rPr>
              <w:t>40</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37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Foreign currency translation adjustments</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4</w:t>
            </w: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4</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37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Benefits paid</w:t>
            </w: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(53)</w:t>
            </w:r>
          </w:p>
        </w:tc>
        <w:tc>
          <w:tcPr>
            <w:tcW w:w="8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(54)</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37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7"/>
                <w:szCs w:val="17"/>
                <w:color w:val="auto"/>
              </w:rPr>
              <w:t>Fair value of plan assets at end of year</w:t>
            </w:r>
          </w:p>
        </w:tc>
        <w:tc>
          <w:tcPr>
            <w:tcW w:w="880" w:type="dxa"/>
            <w:vAlign w:val="bottom"/>
            <w:tcBorders>
              <w:bottom w:val="single" w:sz="8" w:color="auto"/>
            </w:tcBorders>
            <w:shd w:val="clear" w:color="auto" w:fill="CCEEFF"/>
          </w:tcPr>
          <w:p>
            <w:pPr>
              <w:jc w:val="right"/>
              <w:ind w:right="455"/>
              <w:spacing w:after="0"/>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b w:val="1"/>
                <w:bCs w:val="1"/>
                <w:color w:val="auto"/>
                <w:w w:val="98"/>
              </w:rPr>
              <w:t>697</w:t>
            </w:r>
          </w:p>
        </w:tc>
        <w:tc>
          <w:tcPr>
            <w:tcW w:w="800" w:type="dxa"/>
            <w:vAlign w:val="bottom"/>
            <w:tcBorders>
              <w:bottom w:val="single" w:sz="8" w:color="auto"/>
            </w:tcBorders>
            <w:shd w:val="clear" w:color="auto" w:fill="CCEEFF"/>
          </w:tcPr>
          <w:p>
            <w:pPr>
              <w:jc w:val="right"/>
              <w:ind w:right="435"/>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98"/>
              </w:rPr>
              <w:t>647</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3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7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Funded status</w:t>
            </w:r>
          </w:p>
        </w:tc>
        <w:tc>
          <w:tcPr>
            <w:tcW w:w="880" w:type="dxa"/>
            <w:vAlign w:val="bottom"/>
            <w:shd w:val="clear" w:color="auto" w:fill="CCEEFF"/>
          </w:tcPr>
          <w:p>
            <w:pPr>
              <w:jc w:val="right"/>
              <w:ind w:right="455"/>
              <w:spacing w:after="0"/>
              <w:rPr>
                <w:sz w:val="20"/>
                <w:szCs w:val="20"/>
                <w:color w:val="auto"/>
              </w:rPr>
            </w:pPr>
            <w:r>
              <w:rPr>
                <w:rFonts w:ascii="Arial" w:cs="Arial" w:eastAsia="Arial" w:hAnsi="Arial"/>
                <w:sz w:val="17"/>
                <w:szCs w:val="17"/>
                <w:b w:val="1"/>
                <w:bCs w:val="1"/>
                <w:color w:val="auto"/>
              </w:rPr>
              <w:t>$</w:t>
            </w:r>
          </w:p>
        </w:tc>
        <w:tc>
          <w:tcPr>
            <w:tcW w:w="520" w:type="dxa"/>
            <w:vAlign w:val="bottom"/>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14</w:t>
            </w:r>
          </w:p>
        </w:tc>
        <w:tc>
          <w:tcPr>
            <w:tcW w:w="800" w:type="dxa"/>
            <w:vAlign w:val="bottom"/>
            <w:shd w:val="clear" w:color="auto" w:fill="CCEEFF"/>
          </w:tcPr>
          <w:p>
            <w:pPr>
              <w:jc w:val="right"/>
              <w:ind w:right="435"/>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(19)</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(15)</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40" w:type="dxa"/>
            <w:vAlign w:val="bottom"/>
          </w:tcPr>
          <w:p>
            <w:pPr>
              <w:spacing w:after="0"/>
              <w:rPr>
                <w:sz w:val="19"/>
                <w:szCs w:val="19"/>
                <w:color w:val="auto"/>
              </w:rPr>
            </w:pPr>
          </w:p>
        </w:tc>
      </w:tr>
      <w:tr>
        <w:trPr>
          <w:trHeight w:val="230"/>
        </w:trPr>
        <w:tc>
          <w:tcPr>
            <w:tcW w:w="3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37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Amounts recognized on the balance sheet:</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3740" w:type="dxa"/>
            <w:vAlign w:val="bottom"/>
          </w:tcPr>
          <w:p>
            <w:pPr>
              <w:ind w:left="100"/>
              <w:spacing w:after="0"/>
              <w:rPr>
                <w:sz w:val="20"/>
                <w:szCs w:val="20"/>
                <w:color w:val="auto"/>
              </w:rPr>
            </w:pPr>
            <w:r>
              <w:rPr>
                <w:rFonts w:ascii="Arial" w:cs="Arial" w:eastAsia="Arial" w:hAnsi="Arial"/>
                <w:sz w:val="17"/>
                <w:szCs w:val="17"/>
                <w:color w:val="auto"/>
              </w:rPr>
              <w:t>Other assets</w:t>
            </w:r>
          </w:p>
        </w:tc>
        <w:tc>
          <w:tcPr>
            <w:tcW w:w="880" w:type="dxa"/>
            <w:vAlign w:val="bottom"/>
          </w:tcPr>
          <w:p>
            <w:pPr>
              <w:jc w:val="right"/>
              <w:ind w:right="455"/>
              <w:spacing w:after="0"/>
              <w:rPr>
                <w:sz w:val="20"/>
                <w:szCs w:val="20"/>
                <w:color w:val="auto"/>
              </w:rPr>
            </w:pPr>
            <w:r>
              <w:rPr>
                <w:rFonts w:ascii="Arial" w:cs="Arial" w:eastAsia="Arial" w:hAnsi="Arial"/>
                <w:sz w:val="17"/>
                <w:szCs w:val="17"/>
                <w:b w:val="1"/>
                <w:bCs w:val="1"/>
                <w:color w:val="auto"/>
              </w:rPr>
              <w:t>$</w:t>
            </w:r>
          </w:p>
        </w:tc>
        <w:tc>
          <w:tcPr>
            <w:tcW w:w="520" w:type="dxa"/>
            <w:vAlign w:val="bottom"/>
          </w:tcPr>
          <w:p>
            <w:pPr>
              <w:jc w:val="right"/>
              <w:ind w:right="135"/>
              <w:spacing w:after="0"/>
              <w:rPr>
                <w:sz w:val="20"/>
                <w:szCs w:val="20"/>
                <w:color w:val="auto"/>
              </w:rPr>
            </w:pPr>
            <w:r>
              <w:rPr>
                <w:rFonts w:ascii="Arial" w:cs="Arial" w:eastAsia="Arial" w:hAnsi="Arial"/>
                <w:sz w:val="17"/>
                <w:szCs w:val="17"/>
                <w:b w:val="1"/>
                <w:bCs w:val="1"/>
                <w:color w:val="auto"/>
              </w:rPr>
              <w:t>36</w:t>
            </w:r>
          </w:p>
        </w:tc>
        <w:tc>
          <w:tcPr>
            <w:tcW w:w="800" w:type="dxa"/>
            <w:vAlign w:val="bottom"/>
          </w:tcPr>
          <w:p>
            <w:pPr>
              <w:jc w:val="right"/>
              <w:ind w:right="435"/>
              <w:spacing w:after="0"/>
              <w:rPr>
                <w:sz w:val="20"/>
                <w:szCs w:val="20"/>
                <w:color w:val="auto"/>
              </w:rPr>
            </w:pPr>
            <w:r>
              <w:rPr>
                <w:rFonts w:ascii="Arial" w:cs="Arial" w:eastAsia="Arial" w:hAnsi="Arial"/>
                <w:sz w:val="17"/>
                <w:szCs w:val="17"/>
                <w:color w:val="auto"/>
              </w:rPr>
              <w:t>$</w:t>
            </w:r>
          </w:p>
        </w:tc>
        <w:tc>
          <w:tcPr>
            <w:tcW w:w="500" w:type="dxa"/>
            <w:vAlign w:val="bottom"/>
          </w:tcPr>
          <w:p>
            <w:pPr>
              <w:jc w:val="right"/>
              <w:ind w:right="115"/>
              <w:spacing w:after="0"/>
              <w:rPr>
                <w:sz w:val="20"/>
                <w:szCs w:val="20"/>
                <w:color w:val="auto"/>
              </w:rPr>
            </w:pPr>
            <w:r>
              <w:rPr>
                <w:rFonts w:ascii="Arial" w:cs="Arial" w:eastAsia="Arial" w:hAnsi="Arial"/>
                <w:sz w:val="17"/>
                <w:szCs w:val="17"/>
                <w:color w:val="auto"/>
              </w:rPr>
              <w:t>10</w:t>
            </w:r>
          </w:p>
        </w:tc>
        <w:tc>
          <w:tcPr>
            <w:tcW w:w="2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ind w:right="55"/>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r>
      <w:tr>
        <w:trPr>
          <w:trHeight w:val="230"/>
        </w:trPr>
        <w:tc>
          <w:tcPr>
            <w:tcW w:w="37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Accrued and other liabilities</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(3)</w:t>
            </w: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(3)</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(1)</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9"/>
                <w:szCs w:val="19"/>
                <w:color w:val="auto"/>
              </w:rPr>
            </w:pPr>
          </w:p>
        </w:tc>
      </w:tr>
      <w:tr>
        <w:trPr>
          <w:trHeight w:val="230"/>
        </w:trPr>
        <w:tc>
          <w:tcPr>
            <w:tcW w:w="3740" w:type="dxa"/>
            <w:vAlign w:val="bottom"/>
          </w:tcPr>
          <w:p>
            <w:pPr>
              <w:ind w:left="100"/>
              <w:spacing w:after="0"/>
              <w:rPr>
                <w:sz w:val="20"/>
                <w:szCs w:val="20"/>
                <w:color w:val="auto"/>
              </w:rPr>
            </w:pPr>
            <w:r>
              <w:rPr>
                <w:rFonts w:ascii="Arial" w:cs="Arial" w:eastAsia="Arial" w:hAnsi="Arial"/>
                <w:sz w:val="17"/>
                <w:szCs w:val="17"/>
                <w:color w:val="auto"/>
              </w:rPr>
              <w:t>Other liabilities</w:t>
            </w:r>
          </w:p>
        </w:tc>
        <w:tc>
          <w:tcPr>
            <w:tcW w:w="880" w:type="dxa"/>
            <w:vAlign w:val="bottom"/>
          </w:tcPr>
          <w:p>
            <w:pPr>
              <w:spacing w:after="0"/>
              <w:rPr>
                <w:sz w:val="19"/>
                <w:szCs w:val="19"/>
                <w:color w:val="auto"/>
              </w:rPr>
            </w:pPr>
          </w:p>
        </w:tc>
        <w:tc>
          <w:tcPr>
            <w:tcW w:w="520" w:type="dxa"/>
            <w:vAlign w:val="bottom"/>
          </w:tcPr>
          <w:p>
            <w:pPr>
              <w:jc w:val="right"/>
              <w:ind w:right="95"/>
              <w:spacing w:after="0"/>
              <w:rPr>
                <w:sz w:val="20"/>
                <w:szCs w:val="20"/>
                <w:color w:val="auto"/>
              </w:rPr>
            </w:pPr>
            <w:r>
              <w:rPr>
                <w:rFonts w:ascii="Arial" w:cs="Arial" w:eastAsia="Arial" w:hAnsi="Arial"/>
                <w:sz w:val="17"/>
                <w:szCs w:val="17"/>
                <w:b w:val="1"/>
                <w:bCs w:val="1"/>
                <w:color w:val="auto"/>
              </w:rPr>
              <w:t>(19)</w:t>
            </w:r>
          </w:p>
        </w:tc>
        <w:tc>
          <w:tcPr>
            <w:tcW w:w="800" w:type="dxa"/>
            <w:vAlign w:val="bottom"/>
          </w:tcPr>
          <w:p>
            <w:pPr>
              <w:spacing w:after="0"/>
              <w:rPr>
                <w:sz w:val="19"/>
                <w:szCs w:val="19"/>
                <w:color w:val="auto"/>
              </w:rPr>
            </w:pPr>
          </w:p>
        </w:tc>
        <w:tc>
          <w:tcPr>
            <w:tcW w:w="500" w:type="dxa"/>
            <w:vAlign w:val="bottom"/>
          </w:tcPr>
          <w:p>
            <w:pPr>
              <w:jc w:val="right"/>
              <w:ind w:right="75"/>
              <w:spacing w:after="0"/>
              <w:rPr>
                <w:sz w:val="20"/>
                <w:szCs w:val="20"/>
                <w:color w:val="auto"/>
              </w:rPr>
            </w:pPr>
            <w:r>
              <w:rPr>
                <w:rFonts w:ascii="Arial" w:cs="Arial" w:eastAsia="Arial" w:hAnsi="Arial"/>
                <w:sz w:val="17"/>
                <w:szCs w:val="17"/>
                <w:color w:val="auto"/>
              </w:rPr>
              <w:t>(26)</w:t>
            </w:r>
          </w:p>
        </w:tc>
        <w:tc>
          <w:tcPr>
            <w:tcW w:w="260" w:type="dxa"/>
            <w:vAlign w:val="bottom"/>
          </w:tcPr>
          <w:p>
            <w:pPr>
              <w:spacing w:after="0"/>
              <w:rPr>
                <w:sz w:val="19"/>
                <w:szCs w:val="19"/>
                <w:color w:val="auto"/>
              </w:rPr>
            </w:pPr>
          </w:p>
        </w:tc>
        <w:tc>
          <w:tcPr>
            <w:tcW w:w="1000" w:type="dxa"/>
            <w:vAlign w:val="bottom"/>
          </w:tcPr>
          <w:p>
            <w:pPr>
              <w:jc w:val="right"/>
              <w:ind w:right="55"/>
              <w:spacing w:after="0"/>
              <w:rPr>
                <w:sz w:val="20"/>
                <w:szCs w:val="20"/>
                <w:color w:val="auto"/>
              </w:rPr>
            </w:pPr>
            <w:r>
              <w:rPr>
                <w:rFonts w:ascii="Arial" w:cs="Arial" w:eastAsia="Arial" w:hAnsi="Arial"/>
                <w:sz w:val="17"/>
                <w:szCs w:val="17"/>
                <w:b w:val="1"/>
                <w:bCs w:val="1"/>
                <w:color w:val="auto"/>
              </w:rPr>
              <w:t>(14)</w:t>
            </w:r>
          </w:p>
        </w:tc>
        <w:tc>
          <w:tcPr>
            <w:tcW w:w="3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(14)</w:t>
            </w:r>
          </w:p>
        </w:tc>
      </w:tr>
      <w:tr>
        <w:trPr>
          <w:trHeight w:val="203"/>
        </w:trPr>
        <w:tc>
          <w:tcPr>
            <w:tcW w:w="37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ind w:right="455"/>
              <w:spacing w:after="0"/>
              <w:rPr>
                <w:sz w:val="20"/>
                <w:szCs w:val="20"/>
                <w:color w:val="auto"/>
              </w:rPr>
            </w:pPr>
            <w:r>
              <w:rPr>
                <w:rFonts w:ascii="Arial" w:cs="Arial" w:eastAsia="Arial" w:hAnsi="Arial"/>
                <w:sz w:val="17"/>
                <w:szCs w:val="17"/>
                <w:b w:val="1"/>
                <w:bCs w:val="1"/>
                <w:color w:val="auto"/>
              </w:rPr>
              <w:t>$</w:t>
            </w:r>
          </w:p>
        </w:tc>
        <w:tc>
          <w:tcPr>
            <w:tcW w:w="52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14</w:t>
            </w:r>
          </w:p>
        </w:tc>
        <w:tc>
          <w:tcPr>
            <w:tcW w:w="800" w:type="dxa"/>
            <w:vAlign w:val="bottom"/>
            <w:tcBorders>
              <w:top w:val="single" w:sz="8" w:color="auto"/>
              <w:bottom w:val="single" w:sz="8" w:color="auto"/>
            </w:tcBorders>
            <w:shd w:val="clear" w:color="auto" w:fill="CCEEFF"/>
          </w:tcPr>
          <w:p>
            <w:pPr>
              <w:jc w:val="right"/>
              <w:ind w:right="435"/>
              <w:spacing w:after="0"/>
              <w:rPr>
                <w:sz w:val="20"/>
                <w:szCs w:val="20"/>
                <w:color w:val="auto"/>
              </w:rPr>
            </w:pPr>
            <w:r>
              <w:rPr>
                <w:rFonts w:ascii="Arial" w:cs="Arial" w:eastAsia="Arial" w:hAnsi="Arial"/>
                <w:sz w:val="17"/>
                <w:szCs w:val="17"/>
                <w:color w:val="auto"/>
              </w:rPr>
              <w:t>$</w:t>
            </w:r>
          </w:p>
        </w:tc>
        <w:tc>
          <w:tcPr>
            <w:tcW w:w="50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(19)</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(15)</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40" w:type="dxa"/>
            <w:vAlign w:val="bottom"/>
          </w:tcPr>
          <w:p>
            <w:pPr>
              <w:spacing w:after="0"/>
              <w:rPr>
                <w:sz w:val="17"/>
                <w:szCs w:val="17"/>
                <w:color w:val="auto"/>
              </w:rPr>
            </w:pPr>
          </w:p>
        </w:tc>
      </w:tr>
      <w:tr>
        <w:trPr>
          <w:trHeight w:val="216"/>
        </w:trPr>
        <w:tc>
          <w:tcPr>
            <w:tcW w:w="3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7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Amounts recognized in accumulated other</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374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comprehensive loss, pre-tax:</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3740" w:type="dxa"/>
            <w:vAlign w:val="bottom"/>
          </w:tcPr>
          <w:p>
            <w:pPr>
              <w:ind w:left="100"/>
              <w:spacing w:after="0"/>
              <w:rPr>
                <w:sz w:val="20"/>
                <w:szCs w:val="20"/>
                <w:color w:val="auto"/>
              </w:rPr>
            </w:pPr>
            <w:r>
              <w:rPr>
                <w:rFonts w:ascii="Arial" w:cs="Arial" w:eastAsia="Arial" w:hAnsi="Arial"/>
                <w:sz w:val="17"/>
                <w:szCs w:val="17"/>
                <w:color w:val="auto"/>
              </w:rPr>
              <w:t>Net loss (gain)</w:t>
            </w:r>
          </w:p>
        </w:tc>
        <w:tc>
          <w:tcPr>
            <w:tcW w:w="880" w:type="dxa"/>
            <w:vAlign w:val="bottom"/>
          </w:tcPr>
          <w:p>
            <w:pPr>
              <w:jc w:val="right"/>
              <w:ind w:right="455"/>
              <w:spacing w:after="0"/>
              <w:rPr>
                <w:sz w:val="20"/>
                <w:szCs w:val="20"/>
                <w:color w:val="auto"/>
              </w:rPr>
            </w:pPr>
            <w:r>
              <w:rPr>
                <w:rFonts w:ascii="Arial" w:cs="Arial" w:eastAsia="Arial" w:hAnsi="Arial"/>
                <w:sz w:val="17"/>
                <w:szCs w:val="17"/>
                <w:b w:val="1"/>
                <w:bCs w:val="1"/>
                <w:color w:val="auto"/>
              </w:rPr>
              <w:t>$</w:t>
            </w:r>
          </w:p>
        </w:tc>
        <w:tc>
          <w:tcPr>
            <w:tcW w:w="520" w:type="dxa"/>
            <w:vAlign w:val="bottom"/>
          </w:tcPr>
          <w:p>
            <w:pPr>
              <w:jc w:val="right"/>
              <w:ind w:right="135"/>
              <w:spacing w:after="0"/>
              <w:rPr>
                <w:sz w:val="20"/>
                <w:szCs w:val="20"/>
                <w:color w:val="auto"/>
              </w:rPr>
            </w:pPr>
            <w:r>
              <w:rPr>
                <w:rFonts w:ascii="Arial" w:cs="Arial" w:eastAsia="Arial" w:hAnsi="Arial"/>
                <w:sz w:val="17"/>
                <w:szCs w:val="17"/>
                <w:b w:val="1"/>
                <w:bCs w:val="1"/>
                <w:color w:val="auto"/>
                <w:w w:val="98"/>
              </w:rPr>
              <w:t>368</w:t>
            </w:r>
          </w:p>
        </w:tc>
        <w:tc>
          <w:tcPr>
            <w:tcW w:w="800" w:type="dxa"/>
            <w:vAlign w:val="bottom"/>
          </w:tcPr>
          <w:p>
            <w:pPr>
              <w:jc w:val="right"/>
              <w:ind w:right="435"/>
              <w:spacing w:after="0"/>
              <w:rPr>
                <w:sz w:val="20"/>
                <w:szCs w:val="20"/>
                <w:color w:val="auto"/>
              </w:rPr>
            </w:pPr>
            <w:r>
              <w:rPr>
                <w:rFonts w:ascii="Arial" w:cs="Arial" w:eastAsia="Arial" w:hAnsi="Arial"/>
                <w:sz w:val="17"/>
                <w:szCs w:val="17"/>
                <w:color w:val="auto"/>
              </w:rPr>
              <w:t>$</w:t>
            </w:r>
          </w:p>
        </w:tc>
        <w:tc>
          <w:tcPr>
            <w:tcW w:w="500" w:type="dxa"/>
            <w:vAlign w:val="bottom"/>
          </w:tcPr>
          <w:p>
            <w:pPr>
              <w:jc w:val="right"/>
              <w:ind w:right="115"/>
              <w:spacing w:after="0"/>
              <w:rPr>
                <w:sz w:val="20"/>
                <w:szCs w:val="20"/>
                <w:color w:val="auto"/>
              </w:rPr>
            </w:pPr>
            <w:r>
              <w:rPr>
                <w:rFonts w:ascii="Arial" w:cs="Arial" w:eastAsia="Arial" w:hAnsi="Arial"/>
                <w:sz w:val="17"/>
                <w:szCs w:val="17"/>
                <w:color w:val="auto"/>
                <w:w w:val="98"/>
              </w:rPr>
              <w:t>387</w:t>
            </w:r>
          </w:p>
        </w:tc>
        <w:tc>
          <w:tcPr>
            <w:tcW w:w="2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ind w:right="55"/>
              <w:spacing w:after="0"/>
              <w:rPr>
                <w:sz w:val="20"/>
                <w:szCs w:val="20"/>
                <w:color w:val="auto"/>
              </w:rPr>
            </w:pPr>
            <w:r>
              <w:rPr>
                <w:rFonts w:ascii="Arial" w:cs="Arial" w:eastAsia="Arial" w:hAnsi="Arial"/>
                <w:sz w:val="17"/>
                <w:szCs w:val="17"/>
                <w:b w:val="1"/>
                <w:bCs w:val="1"/>
                <w:color w:val="auto"/>
              </w:rPr>
              <w:t>(5)</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(7)</w:t>
            </w:r>
          </w:p>
        </w:tc>
      </w:tr>
      <w:tr>
        <w:trPr>
          <w:trHeight w:val="230"/>
        </w:trPr>
        <w:tc>
          <w:tcPr>
            <w:tcW w:w="37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7"/>
                <w:szCs w:val="17"/>
                <w:color w:val="auto"/>
              </w:rPr>
              <w:t>Prior service cost</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1</w:t>
            </w:r>
          </w:p>
        </w:tc>
        <w:tc>
          <w:tcPr>
            <w:tcW w:w="8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1</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r>
      <w:tr>
        <w:trPr>
          <w:trHeight w:val="203"/>
        </w:trPr>
        <w:tc>
          <w:tcPr>
            <w:tcW w:w="3740" w:type="dxa"/>
            <w:vAlign w:val="bottom"/>
          </w:tcPr>
          <w:p>
            <w:pPr>
              <w:spacing w:after="0"/>
              <w:rPr>
                <w:sz w:val="17"/>
                <w:szCs w:val="17"/>
                <w:color w:val="auto"/>
              </w:rPr>
            </w:pPr>
          </w:p>
        </w:tc>
        <w:tc>
          <w:tcPr>
            <w:tcW w:w="880" w:type="dxa"/>
            <w:vAlign w:val="bottom"/>
          </w:tcPr>
          <w:p>
            <w:pPr>
              <w:jc w:val="right"/>
              <w:ind w:right="455"/>
              <w:spacing w:after="0"/>
              <w:rPr>
                <w:sz w:val="20"/>
                <w:szCs w:val="20"/>
                <w:color w:val="auto"/>
              </w:rPr>
            </w:pPr>
            <w:r>
              <w:rPr>
                <w:rFonts w:ascii="Arial" w:cs="Arial" w:eastAsia="Arial" w:hAnsi="Arial"/>
                <w:sz w:val="17"/>
                <w:szCs w:val="17"/>
                <w:b w:val="1"/>
                <w:bCs w:val="1"/>
                <w:color w:val="auto"/>
              </w:rPr>
              <w:t>$</w:t>
            </w:r>
          </w:p>
        </w:tc>
        <w:tc>
          <w:tcPr>
            <w:tcW w:w="520" w:type="dxa"/>
            <w:vAlign w:val="bottom"/>
          </w:tcPr>
          <w:p>
            <w:pPr>
              <w:jc w:val="right"/>
              <w:ind w:right="135"/>
              <w:spacing w:after="0"/>
              <w:rPr>
                <w:sz w:val="20"/>
                <w:szCs w:val="20"/>
                <w:color w:val="auto"/>
              </w:rPr>
            </w:pPr>
            <w:r>
              <w:rPr>
                <w:rFonts w:ascii="Arial" w:cs="Arial" w:eastAsia="Arial" w:hAnsi="Arial"/>
                <w:sz w:val="17"/>
                <w:szCs w:val="17"/>
                <w:b w:val="1"/>
                <w:bCs w:val="1"/>
                <w:color w:val="auto"/>
                <w:w w:val="98"/>
              </w:rPr>
              <w:t>369</w:t>
            </w:r>
          </w:p>
        </w:tc>
        <w:tc>
          <w:tcPr>
            <w:tcW w:w="800" w:type="dxa"/>
            <w:vAlign w:val="bottom"/>
          </w:tcPr>
          <w:p>
            <w:pPr>
              <w:jc w:val="right"/>
              <w:ind w:right="435"/>
              <w:spacing w:after="0"/>
              <w:rPr>
                <w:sz w:val="20"/>
                <w:szCs w:val="20"/>
                <w:color w:val="auto"/>
              </w:rPr>
            </w:pPr>
            <w:r>
              <w:rPr>
                <w:rFonts w:ascii="Arial" w:cs="Arial" w:eastAsia="Arial" w:hAnsi="Arial"/>
                <w:sz w:val="17"/>
                <w:szCs w:val="17"/>
                <w:color w:val="auto"/>
              </w:rPr>
              <w:t>$</w:t>
            </w:r>
          </w:p>
        </w:tc>
        <w:tc>
          <w:tcPr>
            <w:tcW w:w="500" w:type="dxa"/>
            <w:vAlign w:val="bottom"/>
          </w:tcPr>
          <w:p>
            <w:pPr>
              <w:jc w:val="right"/>
              <w:ind w:right="115"/>
              <w:spacing w:after="0"/>
              <w:rPr>
                <w:sz w:val="20"/>
                <w:szCs w:val="20"/>
                <w:color w:val="auto"/>
              </w:rPr>
            </w:pPr>
            <w:r>
              <w:rPr>
                <w:rFonts w:ascii="Arial" w:cs="Arial" w:eastAsia="Arial" w:hAnsi="Arial"/>
                <w:sz w:val="17"/>
                <w:szCs w:val="17"/>
                <w:color w:val="auto"/>
                <w:w w:val="98"/>
              </w:rPr>
              <w:t>388</w:t>
            </w:r>
          </w:p>
        </w:tc>
        <w:tc>
          <w:tcPr>
            <w:tcW w:w="2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ind w:right="55"/>
              <w:spacing w:after="0"/>
              <w:rPr>
                <w:sz w:val="20"/>
                <w:szCs w:val="20"/>
                <w:color w:val="auto"/>
              </w:rPr>
            </w:pPr>
            <w:r>
              <w:rPr>
                <w:rFonts w:ascii="Arial" w:cs="Arial" w:eastAsia="Arial" w:hAnsi="Arial"/>
                <w:sz w:val="17"/>
                <w:szCs w:val="17"/>
                <w:b w:val="1"/>
                <w:bCs w:val="1"/>
                <w:color w:val="auto"/>
              </w:rPr>
              <w:t>(5)</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(7)</w:t>
            </w:r>
          </w:p>
        </w:tc>
      </w:tr>
      <w:tr>
        <w:trPr>
          <w:trHeight w:val="415"/>
        </w:trPr>
        <w:tc>
          <w:tcPr>
            <w:tcW w:w="37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64</w:t>
            </w:r>
          </w:p>
        </w:tc>
        <w:tc>
          <w:tcPr>
            <w:tcW w:w="5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342"/>
        </w:trPr>
        <w:tc>
          <w:tcPr>
            <w:tcW w:w="37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r>
        <w:trPr>
          <w:trHeight w:val="20"/>
        </w:trPr>
        <w:tc>
          <w:tcPr>
            <w:tcW w:w="374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3"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As of February 3, 2018, the assets of both the Canadian and U.S. qualified pension plans exceeded their accumulated benefit obligations. As of January 28, 2017, the Canadian qualified pension plan’s assets exceeded its accumulated benefit obligation. The Company’s non-qualified pension plans have an accumulated benefit obligation in excess of plan assets, as these plans are unfunded. Accordingly, the table below reflects the non-qualified plans for 2017, whereas the amounts presented for 2016 included both the U.S. qualified plan and the non-qualified plans.</w:t>
      </w:r>
    </w:p>
    <w:p>
      <w:pPr>
        <w:spacing w:after="0" w:line="76"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39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2017</w:t>
            </w:r>
          </w:p>
        </w:tc>
        <w:tc>
          <w:tcPr>
            <w:tcW w:w="7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color w:val="auto"/>
              </w:rPr>
              <w:t>2016</w:t>
            </w:r>
          </w:p>
        </w:tc>
      </w:tr>
      <w:tr>
        <w:trPr>
          <w:trHeight w:val="210"/>
        </w:trPr>
        <w:tc>
          <w:tcPr>
            <w:tcW w:w="39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60" w:type="dxa"/>
            <w:vAlign w:val="bottom"/>
            <w:gridSpan w:val="2"/>
          </w:tcPr>
          <w:p>
            <w:pPr>
              <w:jc w:val="right"/>
              <w:ind w:right="35"/>
              <w:spacing w:after="0"/>
              <w:rPr>
                <w:sz w:val="20"/>
                <w:szCs w:val="20"/>
                <w:color w:val="auto"/>
              </w:rPr>
            </w:pPr>
            <w:r>
              <w:rPr>
                <w:rFonts w:ascii="Arial" w:cs="Arial" w:eastAsia="Arial" w:hAnsi="Arial"/>
                <w:sz w:val="17"/>
                <w:szCs w:val="17"/>
                <w:color w:val="auto"/>
              </w:rPr>
              <w:t>($ in millions)</w:t>
            </w:r>
          </w:p>
        </w:tc>
        <w:tc>
          <w:tcPr>
            <w:tcW w:w="1060" w:type="dxa"/>
            <w:vAlign w:val="bottom"/>
          </w:tcPr>
          <w:p>
            <w:pPr>
              <w:spacing w:after="0"/>
              <w:rPr>
                <w:sz w:val="18"/>
                <w:szCs w:val="18"/>
                <w:color w:val="auto"/>
              </w:rPr>
            </w:pPr>
          </w:p>
        </w:tc>
      </w:tr>
      <w:tr>
        <w:trPr>
          <w:trHeight w:val="230"/>
        </w:trPr>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Projected benefit obligation</w:t>
            </w:r>
          </w:p>
        </w:tc>
        <w:tc>
          <w:tcPr>
            <w:tcW w:w="2520" w:type="dxa"/>
            <w:vAlign w:val="bottom"/>
            <w:shd w:val="clear" w:color="auto" w:fill="CCEEFF"/>
          </w:tcPr>
          <w:p>
            <w:pPr>
              <w:jc w:val="right"/>
              <w:ind w:right="675"/>
              <w:spacing w:after="0"/>
              <w:rPr>
                <w:sz w:val="20"/>
                <w:szCs w:val="20"/>
                <w:color w:val="auto"/>
              </w:rPr>
            </w:pPr>
            <w:r>
              <w:rPr>
                <w:rFonts w:ascii="Arial" w:cs="Arial" w:eastAsia="Arial" w:hAnsi="Arial"/>
                <w:sz w:val="17"/>
                <w:szCs w:val="17"/>
                <w:b w:val="1"/>
                <w:bCs w:val="1"/>
                <w:color w:val="auto"/>
              </w:rPr>
              <w:t>$</w:t>
            </w:r>
          </w:p>
        </w:tc>
        <w:tc>
          <w:tcPr>
            <w:tcW w:w="740" w:type="dxa"/>
            <w:vAlign w:val="bottom"/>
            <w:shd w:val="clear" w:color="auto" w:fill="CCEEFF"/>
          </w:tcPr>
          <w:p>
            <w:pPr>
              <w:jc w:val="right"/>
              <w:ind w:right="235"/>
              <w:spacing w:after="0"/>
              <w:rPr>
                <w:sz w:val="20"/>
                <w:szCs w:val="20"/>
                <w:color w:val="auto"/>
              </w:rPr>
            </w:pPr>
            <w:r>
              <w:rPr>
                <w:rFonts w:ascii="Arial" w:cs="Arial" w:eastAsia="Arial" w:hAnsi="Arial"/>
                <w:sz w:val="17"/>
                <w:szCs w:val="17"/>
                <w:b w:val="1"/>
                <w:bCs w:val="1"/>
                <w:color w:val="auto"/>
              </w:rPr>
              <w:t>22</w:t>
            </w:r>
          </w:p>
        </w:tc>
        <w:tc>
          <w:tcPr>
            <w:tcW w:w="5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w:t>
            </w:r>
          </w:p>
        </w:tc>
      </w:tr>
      <w:tr>
        <w:trPr>
          <w:trHeight w:val="230"/>
        </w:trPr>
        <w:tc>
          <w:tcPr>
            <w:tcW w:w="3980" w:type="dxa"/>
            <w:vAlign w:val="bottom"/>
          </w:tcPr>
          <w:p>
            <w:pPr>
              <w:spacing w:after="0"/>
              <w:rPr>
                <w:sz w:val="20"/>
                <w:szCs w:val="20"/>
                <w:color w:val="auto"/>
              </w:rPr>
            </w:pPr>
            <w:r>
              <w:rPr>
                <w:rFonts w:ascii="Arial" w:cs="Arial" w:eastAsia="Arial" w:hAnsi="Arial"/>
                <w:sz w:val="17"/>
                <w:szCs w:val="17"/>
                <w:color w:val="auto"/>
              </w:rPr>
              <w:t>Accumulated benefit obligation</w:t>
            </w:r>
          </w:p>
        </w:tc>
        <w:tc>
          <w:tcPr>
            <w:tcW w:w="2520" w:type="dxa"/>
            <w:vAlign w:val="bottom"/>
          </w:tcPr>
          <w:p>
            <w:pPr>
              <w:spacing w:after="0"/>
              <w:rPr>
                <w:sz w:val="19"/>
                <w:szCs w:val="19"/>
                <w:color w:val="auto"/>
              </w:rPr>
            </w:pPr>
          </w:p>
        </w:tc>
        <w:tc>
          <w:tcPr>
            <w:tcW w:w="740" w:type="dxa"/>
            <w:vAlign w:val="bottom"/>
          </w:tcPr>
          <w:p>
            <w:pPr>
              <w:jc w:val="right"/>
              <w:ind w:right="235"/>
              <w:spacing w:after="0"/>
              <w:rPr>
                <w:sz w:val="20"/>
                <w:szCs w:val="20"/>
                <w:color w:val="auto"/>
              </w:rPr>
            </w:pPr>
            <w:r>
              <w:rPr>
                <w:rFonts w:ascii="Arial" w:cs="Arial" w:eastAsia="Arial" w:hAnsi="Arial"/>
                <w:sz w:val="17"/>
                <w:szCs w:val="17"/>
                <w:b w:val="1"/>
                <w:bCs w:val="1"/>
                <w:color w:val="auto"/>
              </w:rPr>
              <w:t>22</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617</w:t>
            </w:r>
          </w:p>
        </w:tc>
      </w:tr>
      <w:tr>
        <w:trPr>
          <w:trHeight w:val="230"/>
        </w:trPr>
        <w:tc>
          <w:tcPr>
            <w:tcW w:w="3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Fair value of plan assets</w:t>
            </w:r>
          </w:p>
        </w:tc>
        <w:tc>
          <w:tcPr>
            <w:tcW w:w="25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589</w:t>
            </w:r>
          </w:p>
        </w:tc>
      </w:tr>
    </w:tbl>
    <w:p>
      <w:pPr>
        <w:spacing w:after="0" w:line="18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following tables set forth the changes in accumulated other comprehensive loss (pre-tax) at February 3, 2018:</w:t>
      </w:r>
    </w:p>
    <w:p>
      <w:pPr>
        <w:spacing w:after="0" w:line="55" w:lineRule="exact"/>
        <w:rPr>
          <w:sz w:val="20"/>
          <w:szCs w:val="20"/>
          <w:color w:val="auto"/>
        </w:rPr>
      </w:pPr>
    </w:p>
    <w:tbl>
      <w:tblPr>
        <w:tblLayout w:type="fixed"/>
        <w:tblInd w:w="100" w:type="dxa"/>
        <w:tblCellMar>
          <w:top w:w="0" w:type="dxa"/>
          <w:left w:w="0" w:type="dxa"/>
          <w:bottom w:w="0" w:type="dxa"/>
          <w:right w:w="0" w:type="dxa"/>
        </w:tblCellMar>
      </w:tblPr>
      <w:tr>
        <w:trPr>
          <w:trHeight w:val="203"/>
        </w:trPr>
        <w:tc>
          <w:tcPr>
            <w:tcW w:w="450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Arial" w:cs="Arial" w:eastAsia="Arial" w:hAnsi="Arial"/>
                <w:sz w:val="17"/>
                <w:szCs w:val="17"/>
                <w:b w:val="1"/>
                <w:bCs w:val="1"/>
                <w:color w:val="auto"/>
              </w:rPr>
              <w:t>Pension</w:t>
            </w:r>
          </w:p>
        </w:tc>
        <w:tc>
          <w:tcPr>
            <w:tcW w:w="640" w:type="dxa"/>
            <w:vAlign w:val="bottom"/>
          </w:tcPr>
          <w:p>
            <w:pPr>
              <w:spacing w:after="0"/>
              <w:rPr>
                <w:sz w:val="17"/>
                <w:szCs w:val="17"/>
                <w:color w:val="auto"/>
              </w:rPr>
            </w:pPr>
          </w:p>
        </w:tc>
        <w:tc>
          <w:tcPr>
            <w:tcW w:w="1600" w:type="dxa"/>
            <w:vAlign w:val="bottom"/>
            <w:gridSpan w:val="2"/>
          </w:tcPr>
          <w:p>
            <w:pPr>
              <w:jc w:val="right"/>
              <w:ind w:right="55"/>
              <w:spacing w:after="0"/>
              <w:rPr>
                <w:sz w:val="20"/>
                <w:szCs w:val="20"/>
                <w:color w:val="auto"/>
              </w:rPr>
            </w:pPr>
            <w:r>
              <w:rPr>
                <w:rFonts w:ascii="Arial" w:cs="Arial" w:eastAsia="Arial" w:hAnsi="Arial"/>
                <w:sz w:val="17"/>
                <w:szCs w:val="17"/>
                <w:b w:val="1"/>
                <w:bCs w:val="1"/>
                <w:color w:val="auto"/>
              </w:rPr>
              <w:t>Postretirement</w:t>
            </w:r>
          </w:p>
        </w:tc>
      </w:tr>
      <w:tr>
        <w:trPr>
          <w:trHeight w:val="215"/>
        </w:trPr>
        <w:tc>
          <w:tcPr>
            <w:tcW w:w="45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Benefits</w:t>
            </w:r>
          </w:p>
        </w:tc>
        <w:tc>
          <w:tcPr>
            <w:tcW w:w="6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Benefits</w:t>
            </w:r>
          </w:p>
        </w:tc>
      </w:tr>
      <w:tr>
        <w:trPr>
          <w:trHeight w:val="210"/>
        </w:trPr>
        <w:tc>
          <w:tcPr>
            <w:tcW w:w="45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 in millions)</w:t>
            </w:r>
          </w:p>
        </w:tc>
        <w:tc>
          <w:tcPr>
            <w:tcW w:w="1140" w:type="dxa"/>
            <w:vAlign w:val="bottom"/>
          </w:tcPr>
          <w:p>
            <w:pPr>
              <w:spacing w:after="0"/>
              <w:rPr>
                <w:sz w:val="18"/>
                <w:szCs w:val="18"/>
                <w:color w:val="auto"/>
              </w:rPr>
            </w:pPr>
          </w:p>
        </w:tc>
      </w:tr>
      <w:tr>
        <w:trPr>
          <w:trHeight w:val="230"/>
        </w:trPr>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Net actuarial loss (gain) at beginning of year</w:t>
            </w:r>
          </w:p>
        </w:tc>
        <w:tc>
          <w:tcPr>
            <w:tcW w:w="2080" w:type="dxa"/>
            <w:vAlign w:val="bottom"/>
            <w:shd w:val="clear" w:color="auto" w:fill="CCEEFF"/>
          </w:tcPr>
          <w:p>
            <w:pPr>
              <w:jc w:val="right"/>
              <w:ind w:right="755"/>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387</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230"/>
        </w:trPr>
        <w:tc>
          <w:tcPr>
            <w:tcW w:w="4500" w:type="dxa"/>
            <w:vAlign w:val="bottom"/>
          </w:tcPr>
          <w:p>
            <w:pPr>
              <w:spacing w:after="0"/>
              <w:rPr>
                <w:sz w:val="20"/>
                <w:szCs w:val="20"/>
                <w:color w:val="auto"/>
              </w:rPr>
            </w:pPr>
            <w:r>
              <w:rPr>
                <w:rFonts w:ascii="Arial" w:cs="Arial" w:eastAsia="Arial" w:hAnsi="Arial"/>
                <w:sz w:val="17"/>
                <w:szCs w:val="17"/>
                <w:color w:val="auto"/>
              </w:rPr>
              <w:t>Amortization of net (loss) gain</w:t>
            </w:r>
          </w:p>
        </w:tc>
        <w:tc>
          <w:tcPr>
            <w:tcW w:w="2080" w:type="dxa"/>
            <w:vAlign w:val="bottom"/>
          </w:tcPr>
          <w:p>
            <w:pPr>
              <w:spacing w:after="0"/>
              <w:rPr>
                <w:sz w:val="19"/>
                <w:szCs w:val="19"/>
                <w:color w:val="auto"/>
              </w:rPr>
            </w:pPr>
          </w:p>
        </w:tc>
        <w:tc>
          <w:tcPr>
            <w:tcW w:w="640" w:type="dxa"/>
            <w:vAlign w:val="bottom"/>
          </w:tcPr>
          <w:p>
            <w:pPr>
              <w:jc w:val="right"/>
              <w:ind w:right="175"/>
              <w:spacing w:after="0"/>
              <w:rPr>
                <w:sz w:val="20"/>
                <w:szCs w:val="20"/>
                <w:color w:val="auto"/>
              </w:rPr>
            </w:pPr>
            <w:r>
              <w:rPr>
                <w:rFonts w:ascii="Arial" w:cs="Arial" w:eastAsia="Arial" w:hAnsi="Arial"/>
                <w:sz w:val="17"/>
                <w:szCs w:val="17"/>
                <w:color w:val="auto"/>
              </w:rPr>
              <w:t>(13)</w:t>
            </w: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30"/>
        </w:trPr>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Gain arising during the year</w:t>
            </w:r>
          </w:p>
        </w:tc>
        <w:tc>
          <w:tcPr>
            <w:tcW w:w="20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(8)</w:t>
            </w: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45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Foreign currency fluctuations</w:t>
            </w:r>
          </w:p>
        </w:tc>
        <w:tc>
          <w:tcPr>
            <w:tcW w:w="20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2</w:t>
            </w: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 xml:space="preserve">Net actuarial loss (gain) at end of year </w:t>
            </w:r>
            <w:r>
              <w:rPr>
                <w:rFonts w:ascii="Arial" w:cs="Arial" w:eastAsia="Arial" w:hAnsi="Arial"/>
                <w:sz w:val="8"/>
                <w:szCs w:val="8"/>
                <w:color w:val="auto"/>
              </w:rPr>
              <w:t>(1)</w:t>
            </w:r>
          </w:p>
        </w:tc>
        <w:tc>
          <w:tcPr>
            <w:tcW w:w="2080" w:type="dxa"/>
            <w:vAlign w:val="bottom"/>
            <w:shd w:val="clear" w:color="auto" w:fill="CCEEFF"/>
          </w:tcPr>
          <w:p>
            <w:pPr>
              <w:jc w:val="right"/>
              <w:ind w:right="755"/>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368</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57"/>
        </w:trPr>
        <w:tc>
          <w:tcPr>
            <w:tcW w:w="45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xml:space="preserve">Net prior service cost at end of year </w:t>
            </w:r>
            <w:r>
              <w:rPr>
                <w:rFonts w:ascii="Arial" w:cs="Arial" w:eastAsia="Arial" w:hAnsi="Arial"/>
                <w:sz w:val="8"/>
                <w:szCs w:val="8"/>
                <w:color w:val="auto"/>
              </w:rPr>
              <w:t>(2)</w:t>
            </w:r>
          </w:p>
        </w:tc>
        <w:tc>
          <w:tcPr>
            <w:tcW w:w="20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1</w:t>
            </w:r>
          </w:p>
        </w:tc>
        <w:tc>
          <w:tcPr>
            <w:tcW w:w="4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03"/>
        </w:trPr>
        <w:tc>
          <w:tcPr>
            <w:tcW w:w="4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 amount recognized</w:t>
            </w:r>
          </w:p>
        </w:tc>
        <w:tc>
          <w:tcPr>
            <w:tcW w:w="2080" w:type="dxa"/>
            <w:vAlign w:val="bottom"/>
            <w:tcBorders>
              <w:bottom w:val="single" w:sz="8" w:color="auto"/>
            </w:tcBorders>
            <w:shd w:val="clear" w:color="auto" w:fill="CCEEFF"/>
          </w:tcPr>
          <w:p>
            <w:pPr>
              <w:jc w:val="right"/>
              <w:ind w:right="755"/>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color w:val="auto"/>
              </w:rPr>
              <w:t>369</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r>
    </w:tbl>
    <w:p>
      <w:pPr>
        <w:spacing w:after="0" w:line="134" w:lineRule="exact"/>
        <w:rPr>
          <w:sz w:val="20"/>
          <w:szCs w:val="20"/>
          <w:color w:val="auto"/>
        </w:rPr>
      </w:pPr>
    </w:p>
    <w:p>
      <w:pPr>
        <w:ind w:left="420" w:right="99" w:hanging="315"/>
        <w:spacing w:after="0" w:line="221" w:lineRule="auto"/>
        <w:tabs>
          <w:tab w:leader="none" w:pos="420" w:val="left"/>
        </w:tabs>
        <w:numPr>
          <w:ilvl w:val="0"/>
          <w:numId w:val="29"/>
        </w:numPr>
        <w:rPr>
          <w:rFonts w:ascii="Arial" w:cs="Arial" w:eastAsia="Arial" w:hAnsi="Arial"/>
          <w:sz w:val="12"/>
          <w:szCs w:val="12"/>
          <w:color w:val="auto"/>
        </w:rPr>
      </w:pPr>
      <w:r>
        <w:rPr>
          <w:rFonts w:ascii="Arial" w:cs="Arial" w:eastAsia="Arial" w:hAnsi="Arial"/>
          <w:sz w:val="14"/>
          <w:szCs w:val="14"/>
          <w:color w:val="auto"/>
        </w:rPr>
        <w:t>The amounts in accumulated other comprehensive loss that are expected to be recognized as components of net periodic benefit cost (income) during the next year are approximately $13 million and $(1) million related to the pension and postretirement plans, respectively.</w:t>
      </w:r>
    </w:p>
    <w:p>
      <w:pPr>
        <w:ind w:left="420" w:hanging="315"/>
        <w:spacing w:after="0"/>
        <w:tabs>
          <w:tab w:leader="none" w:pos="420" w:val="left"/>
        </w:tabs>
        <w:numPr>
          <w:ilvl w:val="0"/>
          <w:numId w:val="29"/>
        </w:numPr>
        <w:rPr>
          <w:rFonts w:ascii="Arial" w:cs="Arial" w:eastAsia="Arial" w:hAnsi="Arial"/>
          <w:sz w:val="12"/>
          <w:szCs w:val="12"/>
          <w:color w:val="auto"/>
        </w:rPr>
      </w:pPr>
      <w:r>
        <w:rPr>
          <w:rFonts w:ascii="Arial" w:cs="Arial" w:eastAsia="Arial" w:hAnsi="Arial"/>
          <w:sz w:val="14"/>
          <w:szCs w:val="14"/>
          <w:color w:val="auto"/>
        </w:rPr>
        <w:t>The net prior service cost did not change during the year and is not expected to change significantly during the next year.</w:t>
      </w:r>
    </w:p>
    <w:p>
      <w:pPr>
        <w:spacing w:after="0" w:line="17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following weighted-average assumptions were used to determine the benefit obligations under the plans:</w:t>
      </w:r>
    </w:p>
    <w:p>
      <w:pPr>
        <w:spacing w:after="0" w:line="82"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5840" w:type="dxa"/>
            <w:vAlign w:val="bottom"/>
            <w:tcBorders>
              <w:bottom w:val="single" w:sz="8" w:color="auto"/>
            </w:tcBorders>
            <w:gridSpan w:val="2"/>
          </w:tcPr>
          <w:p>
            <w:pPr>
              <w:jc w:val="right"/>
              <w:ind w:right="95"/>
              <w:spacing w:after="0"/>
              <w:rPr>
                <w:sz w:val="20"/>
                <w:szCs w:val="20"/>
                <w:color w:val="auto"/>
              </w:rPr>
            </w:pPr>
            <w:r>
              <w:rPr>
                <w:rFonts w:ascii="Arial" w:cs="Arial" w:eastAsia="Arial" w:hAnsi="Arial"/>
                <w:sz w:val="17"/>
                <w:szCs w:val="17"/>
                <w:b w:val="1"/>
                <w:bCs w:val="1"/>
                <w:color w:val="auto"/>
              </w:rPr>
              <w:t>Pension Benefits</w:t>
            </w:r>
          </w:p>
        </w:tc>
        <w:tc>
          <w:tcPr>
            <w:tcW w:w="58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2"/>
          </w:tcPr>
          <w:p>
            <w:pPr>
              <w:jc w:val="right"/>
              <w:ind w:right="275"/>
              <w:spacing w:after="0"/>
              <w:rPr>
                <w:sz w:val="20"/>
                <w:szCs w:val="20"/>
                <w:color w:val="auto"/>
              </w:rPr>
            </w:pPr>
            <w:r>
              <w:rPr>
                <w:rFonts w:ascii="Arial" w:cs="Arial" w:eastAsia="Arial" w:hAnsi="Arial"/>
                <w:sz w:val="17"/>
                <w:szCs w:val="17"/>
                <w:b w:val="1"/>
                <w:bCs w:val="1"/>
                <w:color w:val="auto"/>
              </w:rPr>
              <w:t>Postretirement Benefits</w:t>
            </w:r>
          </w:p>
        </w:tc>
      </w:tr>
      <w:tr>
        <w:trPr>
          <w:trHeight w:val="210"/>
        </w:trPr>
        <w:tc>
          <w:tcPr>
            <w:tcW w:w="45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2016</w:t>
            </w:r>
          </w:p>
        </w:tc>
        <w:tc>
          <w:tcPr>
            <w:tcW w:w="5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5"/>
              <w:spacing w:after="0"/>
              <w:rPr>
                <w:sz w:val="20"/>
                <w:szCs w:val="20"/>
                <w:color w:val="auto"/>
              </w:rPr>
            </w:pPr>
            <w:r>
              <w:rPr>
                <w:rFonts w:ascii="Arial" w:cs="Arial" w:eastAsia="Arial" w:hAnsi="Arial"/>
                <w:sz w:val="17"/>
                <w:szCs w:val="17"/>
                <w:b w:val="1"/>
                <w:bCs w:val="1"/>
                <w:color w:val="auto"/>
              </w:rPr>
              <w:t>2017</w:t>
            </w: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color w:val="auto"/>
              </w:rPr>
              <w:t>2016</w:t>
            </w: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7"/>
                <w:szCs w:val="17"/>
                <w:color w:val="auto"/>
              </w:rPr>
              <w:t>Discount rate</w:t>
            </w:r>
          </w:p>
        </w:tc>
        <w:tc>
          <w:tcPr>
            <w:tcW w:w="1320" w:type="dxa"/>
            <w:vAlign w:val="bottom"/>
            <w:shd w:val="clear" w:color="auto" w:fill="CCEEFF"/>
          </w:tcPr>
          <w:p>
            <w:pPr>
              <w:jc w:val="right"/>
              <w:ind w:right="775"/>
              <w:spacing w:after="0"/>
              <w:rPr>
                <w:sz w:val="20"/>
                <w:szCs w:val="20"/>
                <w:color w:val="auto"/>
              </w:rPr>
            </w:pPr>
            <w:r>
              <w:rPr>
                <w:rFonts w:ascii="Arial" w:cs="Arial" w:eastAsia="Arial" w:hAnsi="Arial"/>
                <w:sz w:val="17"/>
                <w:szCs w:val="17"/>
                <w:b w:val="1"/>
                <w:bCs w:val="1"/>
                <w:color w:val="auto"/>
              </w:rPr>
              <w:t>3.7 %</w:t>
            </w:r>
          </w:p>
        </w:tc>
        <w:tc>
          <w:tcPr>
            <w:tcW w:w="5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4.0 %</w:t>
            </w:r>
          </w:p>
        </w:tc>
        <w:tc>
          <w:tcPr>
            <w:tcW w:w="1320" w:type="dxa"/>
            <w:vAlign w:val="bottom"/>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3.7 %</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4.0 %</w:t>
            </w:r>
          </w:p>
        </w:tc>
      </w:tr>
      <w:tr>
        <w:trPr>
          <w:trHeight w:val="230"/>
        </w:trPr>
        <w:tc>
          <w:tcPr>
            <w:tcW w:w="45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Rate of compensation increase</w:t>
            </w:r>
          </w:p>
        </w:tc>
        <w:tc>
          <w:tcPr>
            <w:tcW w:w="1320" w:type="dxa"/>
            <w:vAlign w:val="bottom"/>
            <w:tcBorders>
              <w:bottom w:val="single" w:sz="8" w:color="auto"/>
            </w:tcBorders>
          </w:tcPr>
          <w:p>
            <w:pPr>
              <w:jc w:val="right"/>
              <w:ind w:right="775"/>
              <w:spacing w:after="0"/>
              <w:rPr>
                <w:sz w:val="20"/>
                <w:szCs w:val="20"/>
                <w:color w:val="auto"/>
              </w:rPr>
            </w:pPr>
            <w:r>
              <w:rPr>
                <w:rFonts w:ascii="Arial" w:cs="Arial" w:eastAsia="Arial" w:hAnsi="Arial"/>
                <w:sz w:val="17"/>
                <w:szCs w:val="17"/>
                <w:b w:val="1"/>
                <w:bCs w:val="1"/>
                <w:color w:val="auto"/>
              </w:rPr>
              <w:t>3.6 %</w:t>
            </w:r>
          </w:p>
        </w:tc>
        <w:tc>
          <w:tcPr>
            <w:tcW w:w="5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3.7 %</w:t>
            </w:r>
          </w:p>
        </w:tc>
        <w:tc>
          <w:tcPr>
            <w:tcW w:w="1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bl>
    <w:p>
      <w:pPr>
        <w:spacing w:after="0" w:line="183"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Pension expense is actuarially calculated annually based on data available at the beginning of each year. The expected return on plan assets is determined by multiplying the expected long-term rate of return on assets by the market-related value of plan assets for the U.S. qualified pension plan and market value for the Canadian qualified pension plan. The market-related value of plan assets is a calculated value that recognizes investment gains and losses in fair value related to equities over three or five years, depending on which computation results in a market-related value closer to market value. Market-related value for the U.S. qualified plan was $585 million and $550 million for 2017 and 2016, respectively.</w:t>
      </w:r>
    </w:p>
    <w:p>
      <w:pPr>
        <w:spacing w:after="0" w:line="178"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Assumptions used in the calculation of net benefit cost include the discount rate selected and disclosed at the end of the previous year, as well as other assumptions detailed in the table below:</w:t>
      </w:r>
    </w:p>
    <w:p>
      <w:pPr>
        <w:spacing w:after="0" w:line="70"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29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Pension Benefits</w:t>
            </w:r>
          </w:p>
        </w:tc>
        <w:tc>
          <w:tcPr>
            <w:tcW w:w="9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3"/>
          </w:tcPr>
          <w:p>
            <w:pPr>
              <w:jc w:val="center"/>
              <w:ind w:right="195"/>
              <w:spacing w:after="0"/>
              <w:rPr>
                <w:sz w:val="20"/>
                <w:szCs w:val="20"/>
                <w:color w:val="auto"/>
              </w:rPr>
            </w:pPr>
            <w:r>
              <w:rPr>
                <w:rFonts w:ascii="Arial" w:cs="Arial" w:eastAsia="Arial" w:hAnsi="Arial"/>
                <w:sz w:val="17"/>
                <w:szCs w:val="17"/>
                <w:b w:val="1"/>
                <w:bCs w:val="1"/>
                <w:color w:val="auto"/>
              </w:rPr>
              <w:t>Postretirement Benefits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2017</w:t>
            </w:r>
          </w:p>
        </w:tc>
        <w:tc>
          <w:tcPr>
            <w:tcW w:w="108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color w:val="auto"/>
              </w:rPr>
              <w:t>2016</w:t>
            </w:r>
          </w:p>
        </w:tc>
        <w:tc>
          <w:tcPr>
            <w:tcW w:w="90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color w:val="auto"/>
              </w:rPr>
              <w:t>2015</w:t>
            </w: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2017</w:t>
            </w: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color w:val="auto"/>
              </w:rPr>
              <w:t>2016</w:t>
            </w: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40" w:type="dxa"/>
            <w:vAlign w:val="bottom"/>
            <w:shd w:val="clear" w:color="auto" w:fill="CCEEFF"/>
          </w:tcPr>
          <w:p>
            <w:pPr>
              <w:spacing w:after="0"/>
              <w:rPr>
                <w:sz w:val="20"/>
                <w:szCs w:val="20"/>
                <w:color w:val="auto"/>
              </w:rPr>
            </w:pPr>
            <w:r>
              <w:rPr>
                <w:rFonts w:ascii="Arial" w:cs="Arial" w:eastAsia="Arial" w:hAnsi="Arial"/>
                <w:sz w:val="17"/>
                <w:szCs w:val="17"/>
                <w:color w:val="auto"/>
              </w:rPr>
              <w:t>Discount rate</w:t>
            </w: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4.0 %</w:t>
            </w:r>
          </w:p>
        </w:tc>
        <w:tc>
          <w:tcPr>
            <w:tcW w:w="108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4.1 %</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3.4 %</w:t>
            </w: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4.0 %</w:t>
            </w: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4.1 %</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17"/>
                <w:szCs w:val="17"/>
                <w:color w:val="auto"/>
              </w:rPr>
              <w:t>Rate of compensation increase</w:t>
            </w:r>
          </w:p>
        </w:tc>
        <w:tc>
          <w:tcPr>
            <w:tcW w:w="1060" w:type="dxa"/>
            <w:vAlign w:val="bottom"/>
          </w:tcPr>
          <w:p>
            <w:pPr>
              <w:jc w:val="right"/>
              <w:ind w:right="35"/>
              <w:spacing w:after="0"/>
              <w:rPr>
                <w:sz w:val="20"/>
                <w:szCs w:val="20"/>
                <w:color w:val="auto"/>
              </w:rPr>
            </w:pPr>
            <w:r>
              <w:rPr>
                <w:rFonts w:ascii="Arial" w:cs="Arial" w:eastAsia="Arial" w:hAnsi="Arial"/>
                <w:sz w:val="17"/>
                <w:szCs w:val="17"/>
                <w:b w:val="1"/>
                <w:bCs w:val="1"/>
                <w:color w:val="auto"/>
              </w:rPr>
              <w:t>3.6 %</w:t>
            </w:r>
          </w:p>
        </w:tc>
        <w:tc>
          <w:tcPr>
            <w:tcW w:w="1080" w:type="dxa"/>
            <w:vAlign w:val="bottom"/>
          </w:tcPr>
          <w:p>
            <w:pPr>
              <w:jc w:val="right"/>
              <w:ind w:right="135"/>
              <w:spacing w:after="0"/>
              <w:rPr>
                <w:sz w:val="20"/>
                <w:szCs w:val="20"/>
                <w:color w:val="auto"/>
              </w:rPr>
            </w:pPr>
            <w:r>
              <w:rPr>
                <w:rFonts w:ascii="Arial" w:cs="Arial" w:eastAsia="Arial" w:hAnsi="Arial"/>
                <w:sz w:val="17"/>
                <w:szCs w:val="17"/>
                <w:color w:val="auto"/>
              </w:rPr>
              <w:t>3.7 %</w:t>
            </w: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3.7 %</w:t>
            </w:r>
          </w:p>
        </w:tc>
        <w:tc>
          <w:tcPr>
            <w:tcW w:w="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40" w:type="dxa"/>
            <w:vAlign w:val="bottom"/>
            <w:shd w:val="clear" w:color="auto" w:fill="CCEEFF"/>
          </w:tcPr>
          <w:p>
            <w:pPr>
              <w:spacing w:after="0"/>
              <w:rPr>
                <w:sz w:val="20"/>
                <w:szCs w:val="20"/>
                <w:color w:val="auto"/>
              </w:rPr>
            </w:pPr>
            <w:r>
              <w:rPr>
                <w:rFonts w:ascii="Arial" w:cs="Arial" w:eastAsia="Arial" w:hAnsi="Arial"/>
                <w:sz w:val="17"/>
                <w:szCs w:val="17"/>
                <w:color w:val="auto"/>
              </w:rPr>
              <w:t>Expected long-term rate of return on</w:t>
            </w:r>
          </w:p>
        </w:tc>
        <w:tc>
          <w:tcPr>
            <w:tcW w:w="106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5.8 %</w:t>
            </w:r>
          </w:p>
        </w:tc>
        <w:tc>
          <w:tcPr>
            <w:tcW w:w="10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9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assets</w:t>
            </w: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6.1 %</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6.1 %</w:t>
            </w:r>
          </w:p>
        </w:tc>
        <w:tc>
          <w:tcPr>
            <w:tcW w:w="9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8"/>
        </w:trPr>
        <w:tc>
          <w:tcPr>
            <w:tcW w:w="2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jc w:val="right"/>
              <w:ind w:right="495"/>
              <w:spacing w:after="0"/>
              <w:rPr>
                <w:sz w:val="20"/>
                <w:szCs w:val="20"/>
                <w:color w:val="auto"/>
              </w:rPr>
            </w:pPr>
            <w:r>
              <w:rPr>
                <w:rFonts w:ascii="Arial" w:cs="Arial" w:eastAsia="Arial" w:hAnsi="Arial"/>
                <w:sz w:val="17"/>
                <w:szCs w:val="17"/>
                <w:color w:val="auto"/>
              </w:rPr>
              <w:t>65</w:t>
            </w: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9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4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3"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The expected long-term rate of return on invested plan assets is based on the plans’ weighted-average target asset allocation, as well as historical and future expected performance of those assets. The target asset allocation is selected to obtain an investment return that is sufficient to cover the expected benefit payments and to reduce the variability of future contributions by the Company.</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components of net benefit expense (income) are:</w:t>
      </w:r>
    </w:p>
    <w:p>
      <w:pPr>
        <w:spacing w:after="0" w:line="257"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26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Pension Benefits</w:t>
            </w:r>
          </w:p>
        </w:tc>
        <w:tc>
          <w:tcPr>
            <w:tcW w:w="7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5"/>
          </w:tcPr>
          <w:p>
            <w:pPr>
              <w:jc w:val="right"/>
              <w:ind w:right="335"/>
              <w:spacing w:after="0"/>
              <w:rPr>
                <w:sz w:val="20"/>
                <w:szCs w:val="20"/>
                <w:color w:val="auto"/>
              </w:rPr>
            </w:pPr>
            <w:r>
              <w:rPr>
                <w:rFonts w:ascii="Arial" w:cs="Arial" w:eastAsia="Arial" w:hAnsi="Arial"/>
                <w:sz w:val="17"/>
                <w:szCs w:val="17"/>
                <w:b w:val="1"/>
                <w:bCs w:val="1"/>
                <w:color w:val="auto"/>
              </w:rPr>
              <w:t>Postretirement Benefits</w:t>
            </w:r>
          </w:p>
        </w:tc>
      </w:tr>
      <w:tr>
        <w:trPr>
          <w:trHeight w:val="210"/>
        </w:trPr>
        <w:tc>
          <w:tcPr>
            <w:tcW w:w="26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2017</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rPr>
              <w:t>2016</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rPr>
              <w:t>2015</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2017</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2016</w:t>
            </w: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2015</w:t>
            </w:r>
          </w:p>
        </w:tc>
      </w:tr>
      <w:tr>
        <w:trPr>
          <w:trHeight w:val="210"/>
        </w:trPr>
        <w:tc>
          <w:tcPr>
            <w:tcW w:w="2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3"/>
          </w:tcPr>
          <w:p>
            <w:pPr>
              <w:jc w:val="right"/>
              <w:ind w:right="475"/>
              <w:spacing w:after="0"/>
              <w:rPr>
                <w:sz w:val="20"/>
                <w:szCs w:val="20"/>
                <w:color w:val="auto"/>
              </w:rPr>
            </w:pPr>
            <w:r>
              <w:rPr>
                <w:rFonts w:ascii="Arial" w:cs="Arial" w:eastAsia="Arial" w:hAnsi="Arial"/>
                <w:sz w:val="17"/>
                <w:szCs w:val="17"/>
                <w:color w:val="auto"/>
              </w:rPr>
              <w:t>($ in millions)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0"/>
        </w:trPr>
        <w:tc>
          <w:tcPr>
            <w:tcW w:w="2680" w:type="dxa"/>
            <w:vAlign w:val="bottom"/>
            <w:shd w:val="clear" w:color="auto" w:fill="CCEEFF"/>
          </w:tcPr>
          <w:p>
            <w:pPr>
              <w:spacing w:after="0"/>
              <w:rPr>
                <w:sz w:val="20"/>
                <w:szCs w:val="20"/>
                <w:color w:val="auto"/>
              </w:rPr>
            </w:pPr>
            <w:r>
              <w:rPr>
                <w:rFonts w:ascii="Arial" w:cs="Arial" w:eastAsia="Arial" w:hAnsi="Arial"/>
                <w:sz w:val="17"/>
                <w:szCs w:val="17"/>
                <w:color w:val="auto"/>
              </w:rPr>
              <w:t>Service cost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80" w:type="dxa"/>
            <w:vAlign w:val="bottom"/>
            <w:shd w:val="clear" w:color="auto" w:fill="CCEEFF"/>
          </w:tcPr>
          <w:p>
            <w:pPr>
              <w:jc w:val="center"/>
              <w:ind w:left="215"/>
              <w:spacing w:after="0"/>
              <w:rPr>
                <w:sz w:val="20"/>
                <w:szCs w:val="20"/>
                <w:color w:val="auto"/>
              </w:rPr>
            </w:pPr>
            <w:r>
              <w:rPr>
                <w:rFonts w:ascii="Arial" w:cs="Arial" w:eastAsia="Arial" w:hAnsi="Arial"/>
                <w:sz w:val="17"/>
                <w:szCs w:val="17"/>
                <w:b w:val="1"/>
                <w:bCs w:val="1"/>
                <w:color w:val="auto"/>
              </w:rPr>
              <w:t>17</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center"/>
              <w:ind w:left="215"/>
              <w:spacing w:after="0"/>
              <w:rPr>
                <w:sz w:val="20"/>
                <w:szCs w:val="20"/>
                <w:color w:val="auto"/>
              </w:rPr>
            </w:pPr>
            <w:r>
              <w:rPr>
                <w:rFonts w:ascii="Arial" w:cs="Arial" w:eastAsia="Arial" w:hAnsi="Arial"/>
                <w:sz w:val="17"/>
                <w:szCs w:val="17"/>
                <w:color w:val="auto"/>
                <w:w w:val="94"/>
              </w:rPr>
              <w:t>16</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center"/>
              <w:ind w:left="215"/>
              <w:spacing w:after="0"/>
              <w:rPr>
                <w:sz w:val="20"/>
                <w:szCs w:val="20"/>
                <w:color w:val="auto"/>
              </w:rPr>
            </w:pPr>
            <w:r>
              <w:rPr>
                <w:rFonts w:ascii="Arial" w:cs="Arial" w:eastAsia="Arial" w:hAnsi="Arial"/>
                <w:sz w:val="17"/>
                <w:szCs w:val="17"/>
                <w:color w:val="auto"/>
                <w:w w:val="94"/>
              </w:rPr>
              <w:t>17</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2680" w:type="dxa"/>
            <w:vAlign w:val="bottom"/>
          </w:tcPr>
          <w:p>
            <w:pPr>
              <w:spacing w:after="0"/>
              <w:rPr>
                <w:sz w:val="20"/>
                <w:szCs w:val="20"/>
                <w:color w:val="auto"/>
              </w:rPr>
            </w:pPr>
            <w:r>
              <w:rPr>
                <w:rFonts w:ascii="Arial" w:cs="Arial" w:eastAsia="Arial" w:hAnsi="Arial"/>
                <w:sz w:val="17"/>
                <w:szCs w:val="17"/>
                <w:color w:val="auto"/>
              </w:rPr>
              <w:t>Interest cost</w:t>
            </w:r>
          </w:p>
        </w:tc>
        <w:tc>
          <w:tcPr>
            <w:tcW w:w="480" w:type="dxa"/>
            <w:vAlign w:val="bottom"/>
          </w:tcPr>
          <w:p>
            <w:pPr>
              <w:spacing w:after="0"/>
              <w:rPr>
                <w:sz w:val="19"/>
                <w:szCs w:val="19"/>
                <w:color w:val="auto"/>
              </w:rPr>
            </w:pPr>
          </w:p>
        </w:tc>
        <w:tc>
          <w:tcPr>
            <w:tcW w:w="780" w:type="dxa"/>
            <w:vAlign w:val="bottom"/>
          </w:tcPr>
          <w:p>
            <w:pPr>
              <w:jc w:val="center"/>
              <w:ind w:left="215"/>
              <w:spacing w:after="0"/>
              <w:rPr>
                <w:sz w:val="20"/>
                <w:szCs w:val="20"/>
                <w:color w:val="auto"/>
              </w:rPr>
            </w:pPr>
            <w:r>
              <w:rPr>
                <w:rFonts w:ascii="Arial" w:cs="Arial" w:eastAsia="Arial" w:hAnsi="Arial"/>
                <w:sz w:val="17"/>
                <w:szCs w:val="17"/>
                <w:b w:val="1"/>
                <w:bCs w:val="1"/>
                <w:color w:val="auto"/>
              </w:rPr>
              <w:t>25</w:t>
            </w:r>
          </w:p>
        </w:tc>
        <w:tc>
          <w:tcPr>
            <w:tcW w:w="280" w:type="dxa"/>
            <w:vAlign w:val="bottom"/>
          </w:tcPr>
          <w:p>
            <w:pPr>
              <w:spacing w:after="0"/>
              <w:rPr>
                <w:sz w:val="19"/>
                <w:szCs w:val="19"/>
                <w:color w:val="auto"/>
              </w:rPr>
            </w:pPr>
          </w:p>
        </w:tc>
        <w:tc>
          <w:tcPr>
            <w:tcW w:w="760" w:type="dxa"/>
            <w:vAlign w:val="bottom"/>
          </w:tcPr>
          <w:p>
            <w:pPr>
              <w:jc w:val="center"/>
              <w:ind w:left="215"/>
              <w:spacing w:after="0"/>
              <w:rPr>
                <w:sz w:val="20"/>
                <w:szCs w:val="20"/>
                <w:color w:val="auto"/>
              </w:rPr>
            </w:pPr>
            <w:r>
              <w:rPr>
                <w:rFonts w:ascii="Arial" w:cs="Arial" w:eastAsia="Arial" w:hAnsi="Arial"/>
                <w:sz w:val="17"/>
                <w:szCs w:val="17"/>
                <w:color w:val="auto"/>
                <w:w w:val="94"/>
              </w:rPr>
              <w:t>26</w:t>
            </w:r>
          </w:p>
        </w:tc>
        <w:tc>
          <w:tcPr>
            <w:tcW w:w="240" w:type="dxa"/>
            <w:vAlign w:val="bottom"/>
          </w:tcPr>
          <w:p>
            <w:pPr>
              <w:spacing w:after="0"/>
              <w:rPr>
                <w:sz w:val="19"/>
                <w:szCs w:val="19"/>
                <w:color w:val="auto"/>
              </w:rPr>
            </w:pPr>
          </w:p>
        </w:tc>
        <w:tc>
          <w:tcPr>
            <w:tcW w:w="760" w:type="dxa"/>
            <w:vAlign w:val="bottom"/>
          </w:tcPr>
          <w:p>
            <w:pPr>
              <w:jc w:val="center"/>
              <w:ind w:left="215"/>
              <w:spacing w:after="0"/>
              <w:rPr>
                <w:sz w:val="20"/>
                <w:szCs w:val="20"/>
                <w:color w:val="auto"/>
              </w:rPr>
            </w:pPr>
            <w:r>
              <w:rPr>
                <w:rFonts w:ascii="Arial" w:cs="Arial" w:eastAsia="Arial" w:hAnsi="Arial"/>
                <w:sz w:val="17"/>
                <w:szCs w:val="17"/>
                <w:color w:val="auto"/>
                <w:w w:val="94"/>
              </w:rPr>
              <w:t>24</w:t>
            </w:r>
          </w:p>
        </w:tc>
        <w:tc>
          <w:tcPr>
            <w:tcW w:w="240" w:type="dxa"/>
            <w:vAlign w:val="bottom"/>
          </w:tcPr>
          <w:p>
            <w:pPr>
              <w:spacing w:after="0"/>
              <w:rPr>
                <w:sz w:val="19"/>
                <w:szCs w:val="19"/>
                <w:color w:val="auto"/>
              </w:rPr>
            </w:pPr>
          </w:p>
        </w:tc>
        <w:tc>
          <w:tcPr>
            <w:tcW w:w="760" w:type="dxa"/>
            <w:vAlign w:val="bottom"/>
          </w:tcPr>
          <w:p>
            <w:pPr>
              <w:jc w:val="right"/>
              <w:ind w:right="55"/>
              <w:spacing w:after="0"/>
              <w:rPr>
                <w:sz w:val="20"/>
                <w:szCs w:val="20"/>
                <w:color w:val="auto"/>
              </w:rPr>
            </w:pPr>
            <w:r>
              <w:rPr>
                <w:rFonts w:ascii="Arial" w:cs="Arial" w:eastAsia="Arial" w:hAnsi="Arial"/>
                <w:sz w:val="17"/>
                <w:szCs w:val="17"/>
                <w:b w:val="1"/>
                <w:bCs w:val="1"/>
                <w:color w:val="auto"/>
              </w:rPr>
              <w:t>1</w:t>
            </w:r>
          </w:p>
        </w:tc>
        <w:tc>
          <w:tcPr>
            <w:tcW w:w="220" w:type="dxa"/>
            <w:vAlign w:val="bottom"/>
          </w:tcPr>
          <w:p>
            <w:pPr>
              <w:spacing w:after="0"/>
              <w:rPr>
                <w:sz w:val="19"/>
                <w:szCs w:val="19"/>
                <w:color w:val="auto"/>
              </w:rPr>
            </w:pPr>
          </w:p>
        </w:tc>
        <w:tc>
          <w:tcPr>
            <w:tcW w:w="740" w:type="dxa"/>
            <w:vAlign w:val="bottom"/>
          </w:tcPr>
          <w:p>
            <w:pPr>
              <w:jc w:val="right"/>
              <w:ind w:right="35"/>
              <w:spacing w:after="0"/>
              <w:rPr>
                <w:sz w:val="20"/>
                <w:szCs w:val="20"/>
                <w:color w:val="auto"/>
              </w:rPr>
            </w:pPr>
            <w:r>
              <w:rPr>
                <w:rFonts w:ascii="Arial" w:cs="Arial" w:eastAsia="Arial" w:hAnsi="Arial"/>
                <w:sz w:val="17"/>
                <w:szCs w:val="17"/>
                <w:color w:val="auto"/>
              </w:rPr>
              <w:t>1</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30"/>
        </w:trPr>
        <w:tc>
          <w:tcPr>
            <w:tcW w:w="2680" w:type="dxa"/>
            <w:vAlign w:val="bottom"/>
            <w:shd w:val="clear" w:color="auto" w:fill="CCEEFF"/>
          </w:tcPr>
          <w:p>
            <w:pPr>
              <w:spacing w:after="0"/>
              <w:rPr>
                <w:sz w:val="20"/>
                <w:szCs w:val="20"/>
                <w:color w:val="auto"/>
              </w:rPr>
            </w:pPr>
            <w:r>
              <w:rPr>
                <w:rFonts w:ascii="Arial" w:cs="Arial" w:eastAsia="Arial" w:hAnsi="Arial"/>
                <w:sz w:val="17"/>
                <w:szCs w:val="17"/>
                <w:color w:val="auto"/>
              </w:rPr>
              <w:t>Expected return on plan assets</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left="195"/>
              <w:spacing w:after="0"/>
              <w:rPr>
                <w:sz w:val="20"/>
                <w:szCs w:val="20"/>
                <w:color w:val="auto"/>
              </w:rPr>
            </w:pPr>
            <w:r>
              <w:rPr>
                <w:rFonts w:ascii="Arial" w:cs="Arial" w:eastAsia="Arial" w:hAnsi="Arial"/>
                <w:sz w:val="17"/>
                <w:szCs w:val="17"/>
                <w:b w:val="1"/>
                <w:bCs w:val="1"/>
                <w:color w:val="auto"/>
                <w:w w:val="99"/>
              </w:rPr>
              <w:t>(37)</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left="195"/>
              <w:spacing w:after="0"/>
              <w:rPr>
                <w:sz w:val="20"/>
                <w:szCs w:val="20"/>
                <w:color w:val="auto"/>
              </w:rPr>
            </w:pPr>
            <w:r>
              <w:rPr>
                <w:rFonts w:ascii="Arial" w:cs="Arial" w:eastAsia="Arial" w:hAnsi="Arial"/>
                <w:sz w:val="17"/>
                <w:szCs w:val="17"/>
                <w:color w:val="auto"/>
              </w:rPr>
              <w:t>(37)</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left="195"/>
              <w:spacing w:after="0"/>
              <w:rPr>
                <w:sz w:val="20"/>
                <w:szCs w:val="20"/>
                <w:color w:val="auto"/>
              </w:rPr>
            </w:pPr>
            <w:r>
              <w:rPr>
                <w:rFonts w:ascii="Arial" w:cs="Arial" w:eastAsia="Arial" w:hAnsi="Arial"/>
                <w:sz w:val="17"/>
                <w:szCs w:val="17"/>
                <w:color w:val="auto"/>
              </w:rPr>
              <w:t>(39)</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26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Amortization of net loss (gain)</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left="215"/>
              <w:spacing w:after="0"/>
              <w:rPr>
                <w:sz w:val="20"/>
                <w:szCs w:val="20"/>
                <w:color w:val="auto"/>
              </w:rPr>
            </w:pPr>
            <w:r>
              <w:rPr>
                <w:rFonts w:ascii="Arial" w:cs="Arial" w:eastAsia="Arial" w:hAnsi="Arial"/>
                <w:sz w:val="17"/>
                <w:szCs w:val="17"/>
                <w:b w:val="1"/>
                <w:bCs w:val="1"/>
                <w:color w:val="auto"/>
              </w:rPr>
              <w:t>13</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215"/>
              <w:spacing w:after="0"/>
              <w:rPr>
                <w:sz w:val="20"/>
                <w:szCs w:val="20"/>
                <w:color w:val="auto"/>
              </w:rPr>
            </w:pPr>
            <w:r>
              <w:rPr>
                <w:rFonts w:ascii="Arial" w:cs="Arial" w:eastAsia="Arial" w:hAnsi="Arial"/>
                <w:sz w:val="17"/>
                <w:szCs w:val="17"/>
                <w:color w:val="auto"/>
                <w:w w:val="94"/>
              </w:rPr>
              <w:t>14</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215"/>
              <w:spacing w:after="0"/>
              <w:rPr>
                <w:sz w:val="20"/>
                <w:szCs w:val="20"/>
                <w:color w:val="auto"/>
              </w:rPr>
            </w:pPr>
            <w:r>
              <w:rPr>
                <w:rFonts w:ascii="Arial" w:cs="Arial" w:eastAsia="Arial" w:hAnsi="Arial"/>
                <w:sz w:val="17"/>
                <w:szCs w:val="17"/>
                <w:color w:val="auto"/>
                <w:w w:val="94"/>
              </w:rPr>
              <w:t>14</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r>
      <w:tr>
        <w:trPr>
          <w:trHeight w:val="203"/>
        </w:trPr>
        <w:tc>
          <w:tcPr>
            <w:tcW w:w="2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Net benefit expense (income)</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80" w:type="dxa"/>
            <w:vAlign w:val="bottom"/>
            <w:tcBorders>
              <w:bottom w:val="single" w:sz="8" w:color="auto"/>
            </w:tcBorders>
            <w:shd w:val="clear" w:color="auto" w:fill="CCEEFF"/>
          </w:tcPr>
          <w:p>
            <w:pPr>
              <w:jc w:val="center"/>
              <w:ind w:left="215"/>
              <w:spacing w:after="0"/>
              <w:rPr>
                <w:sz w:val="20"/>
                <w:szCs w:val="20"/>
                <w:color w:val="auto"/>
              </w:rPr>
            </w:pPr>
            <w:r>
              <w:rPr>
                <w:rFonts w:ascii="Arial" w:cs="Arial" w:eastAsia="Arial" w:hAnsi="Arial"/>
                <w:sz w:val="17"/>
                <w:szCs w:val="17"/>
                <w:b w:val="1"/>
                <w:bCs w:val="1"/>
                <w:color w:val="auto"/>
              </w:rPr>
              <w:t>18</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center"/>
              <w:ind w:left="215"/>
              <w:spacing w:after="0"/>
              <w:rPr>
                <w:sz w:val="20"/>
                <w:szCs w:val="20"/>
                <w:color w:val="auto"/>
              </w:rPr>
            </w:pPr>
            <w:r>
              <w:rPr>
                <w:rFonts w:ascii="Arial" w:cs="Arial" w:eastAsia="Arial" w:hAnsi="Arial"/>
                <w:sz w:val="17"/>
                <w:szCs w:val="17"/>
                <w:color w:val="auto"/>
                <w:w w:val="94"/>
              </w:rPr>
              <w:t>19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center"/>
              <w:ind w:left="215"/>
              <w:spacing w:after="0"/>
              <w:rPr>
                <w:sz w:val="20"/>
                <w:szCs w:val="20"/>
                <w:color w:val="auto"/>
              </w:rPr>
            </w:pPr>
            <w:r>
              <w:rPr>
                <w:rFonts w:ascii="Arial" w:cs="Arial" w:eastAsia="Arial" w:hAnsi="Arial"/>
                <w:sz w:val="17"/>
                <w:szCs w:val="17"/>
                <w:color w:val="auto"/>
                <w:w w:val="94"/>
              </w:rPr>
              <w:t>16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bl>
    <w:p>
      <w:pPr>
        <w:spacing w:after="0" w:line="183"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Beginning in 2001, new retirees were charged the expected full cost of the medical plan, and then-existing retirees will incur 100 percent of the expected future increases in medical plan costs. Any changes in the health care cost trend rates assumed would not affect the accumulated benefit obligation or net benefit income, since retirees will incur 100 percent of such expected future increases.</w:t>
      </w:r>
    </w:p>
    <w:p>
      <w:pPr>
        <w:spacing w:after="0" w:line="177"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The Company maintains a Supplemental Executive Retirement Plan (“SERP”), which is an unfunded plan that includes provisions for the continuation of medical and dental insurance benefits to certain executive officers and other key employees of the Company (“SERP Medical Plan”). The SERP Medical Plan’s accumulated projected benefit obligation at February 3, 2018 was $12 million. The following initial and ultimate cost trend rate assumptions were used to determine the benefit obligations under the SERP Medical Plan:</w:t>
      </w:r>
    </w:p>
    <w:p>
      <w:pPr>
        <w:spacing w:after="0" w:line="76"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23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Medical Trend Rate</w:t>
            </w:r>
          </w:p>
        </w:tc>
        <w:tc>
          <w:tcPr>
            <w:tcW w:w="88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Dental Trend Rate</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2017</w:t>
            </w:r>
          </w:p>
        </w:tc>
        <w:tc>
          <w:tcPr>
            <w:tcW w:w="124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color w:val="auto"/>
              </w:rPr>
              <w:t>2016</w:t>
            </w:r>
          </w:p>
        </w:tc>
        <w:tc>
          <w:tcPr>
            <w:tcW w:w="88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color w:val="auto"/>
                <w:w w:val="95"/>
              </w:rPr>
              <w:t>2015</w:t>
            </w: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2017</w:t>
            </w: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color w:val="auto"/>
              </w:rPr>
              <w:t>2016</w:t>
            </w:r>
          </w:p>
        </w:tc>
        <w:tc>
          <w:tcPr>
            <w:tcW w:w="84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2015</w:t>
            </w:r>
          </w:p>
        </w:tc>
        <w:tc>
          <w:tcPr>
            <w:tcW w:w="0" w:type="dxa"/>
            <w:vAlign w:val="bottom"/>
          </w:tcPr>
          <w:p>
            <w:pPr>
              <w:spacing w:after="0"/>
              <w:rPr>
                <w:sz w:val="1"/>
                <w:szCs w:val="1"/>
                <w:color w:val="auto"/>
              </w:rPr>
            </w:pPr>
          </w:p>
        </w:tc>
      </w:tr>
      <w:tr>
        <w:trPr>
          <w:trHeight w:val="210"/>
        </w:trPr>
        <w:tc>
          <w:tcPr>
            <w:tcW w:w="2340" w:type="dxa"/>
            <w:vAlign w:val="bottom"/>
            <w:shd w:val="clear" w:color="auto" w:fill="CCEEFF"/>
          </w:tcPr>
          <w:p>
            <w:pPr>
              <w:spacing w:after="0"/>
              <w:rPr>
                <w:sz w:val="20"/>
                <w:szCs w:val="20"/>
                <w:color w:val="auto"/>
              </w:rPr>
            </w:pPr>
            <w:r>
              <w:rPr>
                <w:rFonts w:ascii="Arial" w:cs="Arial" w:eastAsia="Arial" w:hAnsi="Arial"/>
                <w:sz w:val="17"/>
                <w:szCs w:val="17"/>
                <w:color w:val="auto"/>
              </w:rPr>
              <w:t>Initial cost trend rate</w:t>
            </w:r>
          </w:p>
        </w:tc>
        <w:tc>
          <w:tcPr>
            <w:tcW w:w="1240" w:type="dxa"/>
            <w:vAlign w:val="bottom"/>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7.0 %</w:t>
            </w:r>
          </w:p>
        </w:tc>
        <w:tc>
          <w:tcPr>
            <w:tcW w:w="1240" w:type="dxa"/>
            <w:vAlign w:val="bottom"/>
            <w:shd w:val="clear" w:color="auto" w:fill="CCEEFF"/>
          </w:tcPr>
          <w:p>
            <w:pPr>
              <w:jc w:val="right"/>
              <w:ind w:right="275"/>
              <w:spacing w:after="0"/>
              <w:rPr>
                <w:sz w:val="20"/>
                <w:szCs w:val="20"/>
                <w:color w:val="auto"/>
              </w:rPr>
            </w:pPr>
            <w:r>
              <w:rPr>
                <w:rFonts w:ascii="Arial" w:cs="Arial" w:eastAsia="Arial" w:hAnsi="Arial"/>
                <w:sz w:val="17"/>
                <w:szCs w:val="17"/>
                <w:color w:val="auto"/>
              </w:rPr>
              <w:t>7.0 %</w:t>
            </w:r>
          </w:p>
        </w:tc>
        <w:tc>
          <w:tcPr>
            <w:tcW w:w="8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7.0 %</w:t>
            </w:r>
          </w:p>
        </w:tc>
        <w:tc>
          <w:tcPr>
            <w:tcW w:w="1080" w:type="dxa"/>
            <w:vAlign w:val="bottom"/>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5.0 %</w:t>
            </w:r>
          </w:p>
        </w:tc>
        <w:tc>
          <w:tcPr>
            <w:tcW w:w="120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5.0 %</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5.0 %</w:t>
            </w: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r>
              <w:rPr>
                <w:rFonts w:ascii="Arial" w:cs="Arial" w:eastAsia="Arial" w:hAnsi="Arial"/>
                <w:sz w:val="17"/>
                <w:szCs w:val="17"/>
                <w:color w:val="auto"/>
              </w:rPr>
              <w:t>Ultimate cost trend rate</w:t>
            </w:r>
          </w:p>
        </w:tc>
        <w:tc>
          <w:tcPr>
            <w:tcW w:w="1240" w:type="dxa"/>
            <w:vAlign w:val="bottom"/>
          </w:tcPr>
          <w:p>
            <w:pPr>
              <w:jc w:val="right"/>
              <w:ind w:right="95"/>
              <w:spacing w:after="0"/>
              <w:rPr>
                <w:sz w:val="20"/>
                <w:szCs w:val="20"/>
                <w:color w:val="auto"/>
              </w:rPr>
            </w:pPr>
            <w:r>
              <w:rPr>
                <w:rFonts w:ascii="Arial" w:cs="Arial" w:eastAsia="Arial" w:hAnsi="Arial"/>
                <w:sz w:val="17"/>
                <w:szCs w:val="17"/>
                <w:b w:val="1"/>
                <w:bCs w:val="1"/>
                <w:color w:val="auto"/>
              </w:rPr>
              <w:t>5.0 %</w:t>
            </w:r>
          </w:p>
        </w:tc>
        <w:tc>
          <w:tcPr>
            <w:tcW w:w="1240" w:type="dxa"/>
            <w:vAlign w:val="bottom"/>
          </w:tcPr>
          <w:p>
            <w:pPr>
              <w:jc w:val="right"/>
              <w:ind w:right="275"/>
              <w:spacing w:after="0"/>
              <w:rPr>
                <w:sz w:val="20"/>
                <w:szCs w:val="20"/>
                <w:color w:val="auto"/>
              </w:rPr>
            </w:pPr>
            <w:r>
              <w:rPr>
                <w:rFonts w:ascii="Arial" w:cs="Arial" w:eastAsia="Arial" w:hAnsi="Arial"/>
                <w:sz w:val="17"/>
                <w:szCs w:val="17"/>
                <w:color w:val="auto"/>
              </w:rPr>
              <w:t>5.0 %</w:t>
            </w:r>
          </w:p>
        </w:tc>
        <w:tc>
          <w:tcPr>
            <w:tcW w:w="880" w:type="dxa"/>
            <w:vAlign w:val="bottom"/>
          </w:tcPr>
          <w:p>
            <w:pPr>
              <w:jc w:val="right"/>
              <w:ind w:right="115"/>
              <w:spacing w:after="0"/>
              <w:rPr>
                <w:sz w:val="20"/>
                <w:szCs w:val="20"/>
                <w:color w:val="auto"/>
              </w:rPr>
            </w:pPr>
            <w:r>
              <w:rPr>
                <w:rFonts w:ascii="Arial" w:cs="Arial" w:eastAsia="Arial" w:hAnsi="Arial"/>
                <w:sz w:val="17"/>
                <w:szCs w:val="17"/>
                <w:color w:val="auto"/>
              </w:rPr>
              <w:t>5.0 %</w:t>
            </w:r>
          </w:p>
        </w:tc>
        <w:tc>
          <w:tcPr>
            <w:tcW w:w="1080" w:type="dxa"/>
            <w:vAlign w:val="bottom"/>
          </w:tcPr>
          <w:p>
            <w:pPr>
              <w:jc w:val="right"/>
              <w:ind w:right="95"/>
              <w:spacing w:after="0"/>
              <w:rPr>
                <w:sz w:val="20"/>
                <w:szCs w:val="20"/>
                <w:color w:val="auto"/>
              </w:rPr>
            </w:pPr>
            <w:r>
              <w:rPr>
                <w:rFonts w:ascii="Arial" w:cs="Arial" w:eastAsia="Arial" w:hAnsi="Arial"/>
                <w:sz w:val="17"/>
                <w:szCs w:val="17"/>
                <w:b w:val="1"/>
                <w:bCs w:val="1"/>
                <w:color w:val="auto"/>
              </w:rPr>
              <w:t>5.0 %</w:t>
            </w:r>
          </w:p>
        </w:tc>
        <w:tc>
          <w:tcPr>
            <w:tcW w:w="1200" w:type="dxa"/>
            <w:vAlign w:val="bottom"/>
          </w:tcPr>
          <w:p>
            <w:pPr>
              <w:jc w:val="right"/>
              <w:ind w:right="195"/>
              <w:spacing w:after="0"/>
              <w:rPr>
                <w:sz w:val="20"/>
                <w:szCs w:val="20"/>
                <w:color w:val="auto"/>
              </w:rPr>
            </w:pPr>
            <w:r>
              <w:rPr>
                <w:rFonts w:ascii="Arial" w:cs="Arial" w:eastAsia="Arial" w:hAnsi="Arial"/>
                <w:sz w:val="17"/>
                <w:szCs w:val="17"/>
                <w:color w:val="auto"/>
              </w:rPr>
              <w:t>5.0 %</w:t>
            </w:r>
          </w:p>
        </w:tc>
        <w:tc>
          <w:tcPr>
            <w:tcW w:w="840" w:type="dxa"/>
            <w:vAlign w:val="bottom"/>
          </w:tcPr>
          <w:p>
            <w:pPr>
              <w:jc w:val="right"/>
              <w:spacing w:after="0"/>
              <w:rPr>
                <w:sz w:val="20"/>
                <w:szCs w:val="20"/>
                <w:color w:val="auto"/>
              </w:rPr>
            </w:pPr>
            <w:r>
              <w:rPr>
                <w:rFonts w:ascii="Arial" w:cs="Arial" w:eastAsia="Arial" w:hAnsi="Arial"/>
                <w:sz w:val="17"/>
                <w:szCs w:val="17"/>
                <w:color w:val="auto"/>
              </w:rPr>
              <w:t>5.0 %</w:t>
            </w:r>
          </w:p>
        </w:tc>
        <w:tc>
          <w:tcPr>
            <w:tcW w:w="0" w:type="dxa"/>
            <w:vAlign w:val="bottom"/>
          </w:tcPr>
          <w:p>
            <w:pPr>
              <w:spacing w:after="0"/>
              <w:rPr>
                <w:sz w:val="1"/>
                <w:szCs w:val="1"/>
                <w:color w:val="auto"/>
              </w:rPr>
            </w:pPr>
          </w:p>
        </w:tc>
      </w:tr>
      <w:tr>
        <w:trPr>
          <w:trHeight w:val="264"/>
        </w:trPr>
        <w:tc>
          <w:tcPr>
            <w:tcW w:w="2340" w:type="dxa"/>
            <w:vAlign w:val="bottom"/>
            <w:shd w:val="clear" w:color="auto" w:fill="CCEEFF"/>
          </w:tcPr>
          <w:p>
            <w:pPr>
              <w:spacing w:after="0"/>
              <w:rPr>
                <w:sz w:val="20"/>
                <w:szCs w:val="20"/>
                <w:color w:val="auto"/>
              </w:rPr>
            </w:pPr>
            <w:r>
              <w:rPr>
                <w:rFonts w:ascii="Arial" w:cs="Arial" w:eastAsia="Arial" w:hAnsi="Arial"/>
                <w:sz w:val="17"/>
                <w:szCs w:val="17"/>
                <w:color w:val="auto"/>
              </w:rPr>
              <w:t>Year that the ultimate cost</w:t>
            </w:r>
          </w:p>
        </w:tc>
        <w:tc>
          <w:tcPr>
            <w:tcW w:w="1240" w:type="dxa"/>
            <w:vAlign w:val="bottom"/>
            <w:vMerge w:val="restart"/>
            <w:shd w:val="clear" w:color="auto" w:fill="CCEEFF"/>
          </w:tcPr>
          <w:p>
            <w:pPr>
              <w:jc w:val="right"/>
              <w:ind w:right="295"/>
              <w:spacing w:after="0"/>
              <w:rPr>
                <w:sz w:val="20"/>
                <w:szCs w:val="20"/>
                <w:color w:val="auto"/>
              </w:rPr>
            </w:pPr>
            <w:r>
              <w:rPr>
                <w:rFonts w:ascii="Arial" w:cs="Arial" w:eastAsia="Arial" w:hAnsi="Arial"/>
                <w:sz w:val="17"/>
                <w:szCs w:val="17"/>
                <w:b w:val="1"/>
                <w:bCs w:val="1"/>
                <w:color w:val="auto"/>
              </w:rPr>
              <w:t>2025</w:t>
            </w:r>
          </w:p>
        </w:tc>
        <w:tc>
          <w:tcPr>
            <w:tcW w:w="1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80" w:type="dxa"/>
            <w:vAlign w:val="bottom"/>
            <w:vMerge w:val="restart"/>
            <w:shd w:val="clear" w:color="auto" w:fill="CCEEFF"/>
          </w:tcPr>
          <w:p>
            <w:pPr>
              <w:jc w:val="right"/>
              <w:ind w:right="295"/>
              <w:spacing w:after="0"/>
              <w:rPr>
                <w:sz w:val="20"/>
                <w:szCs w:val="20"/>
                <w:color w:val="auto"/>
              </w:rPr>
            </w:pPr>
            <w:r>
              <w:rPr>
                <w:rFonts w:ascii="Arial" w:cs="Arial" w:eastAsia="Arial" w:hAnsi="Arial"/>
                <w:sz w:val="17"/>
                <w:szCs w:val="17"/>
                <w:b w:val="1"/>
                <w:bCs w:val="1"/>
                <w:color w:val="auto"/>
              </w:rPr>
              <w:t>2018</w:t>
            </w:r>
          </w:p>
        </w:tc>
        <w:tc>
          <w:tcPr>
            <w:tcW w:w="12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3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trend rate is reached</w:t>
            </w:r>
          </w:p>
        </w:tc>
        <w:tc>
          <w:tcPr>
            <w:tcW w:w="1240" w:type="dxa"/>
            <w:vAlign w:val="bottom"/>
            <w:tcBorders>
              <w:bottom w:val="single" w:sz="8" w:color="auto"/>
            </w:tcBorders>
            <w:vMerge w:val="continue"/>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475"/>
              <w:spacing w:after="0"/>
              <w:rPr>
                <w:sz w:val="20"/>
                <w:szCs w:val="20"/>
                <w:color w:val="auto"/>
              </w:rPr>
            </w:pPr>
            <w:r>
              <w:rPr>
                <w:rFonts w:ascii="Arial" w:cs="Arial" w:eastAsia="Arial" w:hAnsi="Arial"/>
                <w:sz w:val="17"/>
                <w:szCs w:val="17"/>
                <w:color w:val="auto"/>
              </w:rPr>
              <w:t>2021</w:t>
            </w:r>
          </w:p>
        </w:tc>
        <w:tc>
          <w:tcPr>
            <w:tcW w:w="88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7"/>
                <w:szCs w:val="17"/>
                <w:color w:val="auto"/>
              </w:rPr>
              <w:t>2021</w:t>
            </w: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395"/>
              <w:spacing w:after="0"/>
              <w:rPr>
                <w:sz w:val="20"/>
                <w:szCs w:val="20"/>
                <w:color w:val="auto"/>
              </w:rPr>
            </w:pPr>
            <w:r>
              <w:rPr>
                <w:rFonts w:ascii="Arial" w:cs="Arial" w:eastAsia="Arial" w:hAnsi="Arial"/>
                <w:sz w:val="17"/>
                <w:szCs w:val="17"/>
                <w:color w:val="auto"/>
              </w:rPr>
              <w:t>2017</w:t>
            </w:r>
          </w:p>
        </w:tc>
        <w:tc>
          <w:tcPr>
            <w:tcW w:w="8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2016</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following initial and ultimate cost trend rate assumptions were used to determine the net periodic cost under the</w:t>
      </w:r>
    </w:p>
    <w:p>
      <w:pPr>
        <w:ind w:left="100"/>
        <w:spacing w:after="0"/>
        <w:rPr>
          <w:sz w:val="20"/>
          <w:szCs w:val="20"/>
          <w:color w:val="auto"/>
        </w:rPr>
      </w:pPr>
      <w:r>
        <w:rPr>
          <w:rFonts w:ascii="Arial" w:cs="Arial" w:eastAsia="Arial" w:hAnsi="Arial"/>
          <w:sz w:val="17"/>
          <w:szCs w:val="17"/>
          <w:color w:val="auto"/>
        </w:rPr>
        <w:t>SERP Medical Plan:</w:t>
      </w:r>
    </w:p>
    <w:p>
      <w:pPr>
        <w:spacing w:after="0" w:line="95"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23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Medical Trend Rate</w:t>
            </w:r>
          </w:p>
        </w:tc>
        <w:tc>
          <w:tcPr>
            <w:tcW w:w="88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Dental Trend Rate</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2017</w:t>
            </w:r>
          </w:p>
        </w:tc>
        <w:tc>
          <w:tcPr>
            <w:tcW w:w="124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color w:val="auto"/>
              </w:rPr>
              <w:t>2016</w:t>
            </w:r>
          </w:p>
        </w:tc>
        <w:tc>
          <w:tcPr>
            <w:tcW w:w="88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color w:val="auto"/>
                <w:w w:val="95"/>
              </w:rPr>
              <w:t>2015</w:t>
            </w: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2017</w:t>
            </w: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color w:val="auto"/>
              </w:rPr>
              <w:t>2016</w:t>
            </w:r>
          </w:p>
        </w:tc>
        <w:tc>
          <w:tcPr>
            <w:tcW w:w="84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2015</w:t>
            </w:r>
          </w:p>
        </w:tc>
        <w:tc>
          <w:tcPr>
            <w:tcW w:w="0" w:type="dxa"/>
            <w:vAlign w:val="bottom"/>
          </w:tcPr>
          <w:p>
            <w:pPr>
              <w:spacing w:after="0"/>
              <w:rPr>
                <w:sz w:val="1"/>
                <w:szCs w:val="1"/>
                <w:color w:val="auto"/>
              </w:rPr>
            </w:pPr>
          </w:p>
        </w:tc>
      </w:tr>
      <w:tr>
        <w:trPr>
          <w:trHeight w:val="210"/>
        </w:trPr>
        <w:tc>
          <w:tcPr>
            <w:tcW w:w="2340" w:type="dxa"/>
            <w:vAlign w:val="bottom"/>
            <w:shd w:val="clear" w:color="auto" w:fill="CCEEFF"/>
          </w:tcPr>
          <w:p>
            <w:pPr>
              <w:spacing w:after="0"/>
              <w:rPr>
                <w:sz w:val="20"/>
                <w:szCs w:val="20"/>
                <w:color w:val="auto"/>
              </w:rPr>
            </w:pPr>
            <w:r>
              <w:rPr>
                <w:rFonts w:ascii="Arial" w:cs="Arial" w:eastAsia="Arial" w:hAnsi="Arial"/>
                <w:sz w:val="17"/>
                <w:szCs w:val="17"/>
                <w:color w:val="auto"/>
              </w:rPr>
              <w:t>Initial cost trend rate</w:t>
            </w:r>
          </w:p>
        </w:tc>
        <w:tc>
          <w:tcPr>
            <w:tcW w:w="1240" w:type="dxa"/>
            <w:vAlign w:val="bottom"/>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7.0 %</w:t>
            </w:r>
          </w:p>
        </w:tc>
        <w:tc>
          <w:tcPr>
            <w:tcW w:w="1240" w:type="dxa"/>
            <w:vAlign w:val="bottom"/>
            <w:shd w:val="clear" w:color="auto" w:fill="CCEEFF"/>
          </w:tcPr>
          <w:p>
            <w:pPr>
              <w:jc w:val="right"/>
              <w:ind w:right="275"/>
              <w:spacing w:after="0"/>
              <w:rPr>
                <w:sz w:val="20"/>
                <w:szCs w:val="20"/>
                <w:color w:val="auto"/>
              </w:rPr>
            </w:pPr>
            <w:r>
              <w:rPr>
                <w:rFonts w:ascii="Arial" w:cs="Arial" w:eastAsia="Arial" w:hAnsi="Arial"/>
                <w:sz w:val="17"/>
                <w:szCs w:val="17"/>
                <w:color w:val="auto"/>
              </w:rPr>
              <w:t>7.0 %</w:t>
            </w:r>
          </w:p>
        </w:tc>
        <w:tc>
          <w:tcPr>
            <w:tcW w:w="8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7.0 %</w:t>
            </w:r>
          </w:p>
        </w:tc>
        <w:tc>
          <w:tcPr>
            <w:tcW w:w="1080" w:type="dxa"/>
            <w:vAlign w:val="bottom"/>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5.0 %</w:t>
            </w:r>
          </w:p>
        </w:tc>
        <w:tc>
          <w:tcPr>
            <w:tcW w:w="120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5.0 %</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5.0 %</w:t>
            </w:r>
          </w:p>
        </w:tc>
        <w:tc>
          <w:tcPr>
            <w:tcW w:w="0" w:type="dxa"/>
            <w:vAlign w:val="bottom"/>
          </w:tcPr>
          <w:p>
            <w:pPr>
              <w:spacing w:after="0"/>
              <w:rPr>
                <w:sz w:val="1"/>
                <w:szCs w:val="1"/>
                <w:color w:val="auto"/>
              </w:rPr>
            </w:pPr>
          </w:p>
        </w:tc>
      </w:tr>
      <w:tr>
        <w:trPr>
          <w:trHeight w:val="230"/>
        </w:trPr>
        <w:tc>
          <w:tcPr>
            <w:tcW w:w="2340" w:type="dxa"/>
            <w:vAlign w:val="bottom"/>
          </w:tcPr>
          <w:p>
            <w:pPr>
              <w:spacing w:after="0"/>
              <w:rPr>
                <w:sz w:val="20"/>
                <w:szCs w:val="20"/>
                <w:color w:val="auto"/>
              </w:rPr>
            </w:pPr>
            <w:r>
              <w:rPr>
                <w:rFonts w:ascii="Arial" w:cs="Arial" w:eastAsia="Arial" w:hAnsi="Arial"/>
                <w:sz w:val="17"/>
                <w:szCs w:val="17"/>
                <w:color w:val="auto"/>
              </w:rPr>
              <w:t>Ultimate cost trend rate</w:t>
            </w:r>
          </w:p>
        </w:tc>
        <w:tc>
          <w:tcPr>
            <w:tcW w:w="1240" w:type="dxa"/>
            <w:vAlign w:val="bottom"/>
          </w:tcPr>
          <w:p>
            <w:pPr>
              <w:jc w:val="right"/>
              <w:ind w:right="95"/>
              <w:spacing w:after="0"/>
              <w:rPr>
                <w:sz w:val="20"/>
                <w:szCs w:val="20"/>
                <w:color w:val="auto"/>
              </w:rPr>
            </w:pPr>
            <w:r>
              <w:rPr>
                <w:rFonts w:ascii="Arial" w:cs="Arial" w:eastAsia="Arial" w:hAnsi="Arial"/>
                <w:sz w:val="17"/>
                <w:szCs w:val="17"/>
                <w:b w:val="1"/>
                <w:bCs w:val="1"/>
                <w:color w:val="auto"/>
              </w:rPr>
              <w:t>5.0 %</w:t>
            </w:r>
          </w:p>
        </w:tc>
        <w:tc>
          <w:tcPr>
            <w:tcW w:w="1240" w:type="dxa"/>
            <w:vAlign w:val="bottom"/>
          </w:tcPr>
          <w:p>
            <w:pPr>
              <w:jc w:val="right"/>
              <w:ind w:right="275"/>
              <w:spacing w:after="0"/>
              <w:rPr>
                <w:sz w:val="20"/>
                <w:szCs w:val="20"/>
                <w:color w:val="auto"/>
              </w:rPr>
            </w:pPr>
            <w:r>
              <w:rPr>
                <w:rFonts w:ascii="Arial" w:cs="Arial" w:eastAsia="Arial" w:hAnsi="Arial"/>
                <w:sz w:val="17"/>
                <w:szCs w:val="17"/>
                <w:color w:val="auto"/>
              </w:rPr>
              <w:t>5.0 %</w:t>
            </w:r>
          </w:p>
        </w:tc>
        <w:tc>
          <w:tcPr>
            <w:tcW w:w="880" w:type="dxa"/>
            <w:vAlign w:val="bottom"/>
          </w:tcPr>
          <w:p>
            <w:pPr>
              <w:jc w:val="right"/>
              <w:ind w:right="115"/>
              <w:spacing w:after="0"/>
              <w:rPr>
                <w:sz w:val="20"/>
                <w:szCs w:val="20"/>
                <w:color w:val="auto"/>
              </w:rPr>
            </w:pPr>
            <w:r>
              <w:rPr>
                <w:rFonts w:ascii="Arial" w:cs="Arial" w:eastAsia="Arial" w:hAnsi="Arial"/>
                <w:sz w:val="17"/>
                <w:szCs w:val="17"/>
                <w:color w:val="auto"/>
              </w:rPr>
              <w:t>5.0 %</w:t>
            </w:r>
          </w:p>
        </w:tc>
        <w:tc>
          <w:tcPr>
            <w:tcW w:w="1080" w:type="dxa"/>
            <w:vAlign w:val="bottom"/>
          </w:tcPr>
          <w:p>
            <w:pPr>
              <w:jc w:val="right"/>
              <w:ind w:right="95"/>
              <w:spacing w:after="0"/>
              <w:rPr>
                <w:sz w:val="20"/>
                <w:szCs w:val="20"/>
                <w:color w:val="auto"/>
              </w:rPr>
            </w:pPr>
            <w:r>
              <w:rPr>
                <w:rFonts w:ascii="Arial" w:cs="Arial" w:eastAsia="Arial" w:hAnsi="Arial"/>
                <w:sz w:val="17"/>
                <w:szCs w:val="17"/>
                <w:b w:val="1"/>
                <w:bCs w:val="1"/>
                <w:color w:val="auto"/>
              </w:rPr>
              <w:t>5.0 %</w:t>
            </w:r>
          </w:p>
        </w:tc>
        <w:tc>
          <w:tcPr>
            <w:tcW w:w="1200" w:type="dxa"/>
            <w:vAlign w:val="bottom"/>
          </w:tcPr>
          <w:p>
            <w:pPr>
              <w:jc w:val="right"/>
              <w:ind w:right="195"/>
              <w:spacing w:after="0"/>
              <w:rPr>
                <w:sz w:val="20"/>
                <w:szCs w:val="20"/>
                <w:color w:val="auto"/>
              </w:rPr>
            </w:pPr>
            <w:r>
              <w:rPr>
                <w:rFonts w:ascii="Arial" w:cs="Arial" w:eastAsia="Arial" w:hAnsi="Arial"/>
                <w:sz w:val="17"/>
                <w:szCs w:val="17"/>
                <w:color w:val="auto"/>
              </w:rPr>
              <w:t>5.0 %</w:t>
            </w:r>
          </w:p>
        </w:tc>
        <w:tc>
          <w:tcPr>
            <w:tcW w:w="840" w:type="dxa"/>
            <w:vAlign w:val="bottom"/>
          </w:tcPr>
          <w:p>
            <w:pPr>
              <w:jc w:val="right"/>
              <w:spacing w:after="0"/>
              <w:rPr>
                <w:sz w:val="20"/>
                <w:szCs w:val="20"/>
                <w:color w:val="auto"/>
              </w:rPr>
            </w:pPr>
            <w:r>
              <w:rPr>
                <w:rFonts w:ascii="Arial" w:cs="Arial" w:eastAsia="Arial" w:hAnsi="Arial"/>
                <w:sz w:val="17"/>
                <w:szCs w:val="17"/>
                <w:color w:val="auto"/>
              </w:rPr>
              <w:t>5.0 %</w:t>
            </w:r>
          </w:p>
        </w:tc>
        <w:tc>
          <w:tcPr>
            <w:tcW w:w="0" w:type="dxa"/>
            <w:vAlign w:val="bottom"/>
          </w:tcPr>
          <w:p>
            <w:pPr>
              <w:spacing w:after="0"/>
              <w:rPr>
                <w:sz w:val="1"/>
                <w:szCs w:val="1"/>
                <w:color w:val="auto"/>
              </w:rPr>
            </w:pPr>
          </w:p>
        </w:tc>
      </w:tr>
      <w:tr>
        <w:trPr>
          <w:trHeight w:val="264"/>
        </w:trPr>
        <w:tc>
          <w:tcPr>
            <w:tcW w:w="2340" w:type="dxa"/>
            <w:vAlign w:val="bottom"/>
            <w:shd w:val="clear" w:color="auto" w:fill="CCEEFF"/>
          </w:tcPr>
          <w:p>
            <w:pPr>
              <w:spacing w:after="0"/>
              <w:rPr>
                <w:sz w:val="20"/>
                <w:szCs w:val="20"/>
                <w:color w:val="auto"/>
              </w:rPr>
            </w:pPr>
            <w:r>
              <w:rPr>
                <w:rFonts w:ascii="Arial" w:cs="Arial" w:eastAsia="Arial" w:hAnsi="Arial"/>
                <w:sz w:val="17"/>
                <w:szCs w:val="17"/>
                <w:color w:val="auto"/>
              </w:rPr>
              <w:t>Year that the ultimate cost</w:t>
            </w:r>
          </w:p>
        </w:tc>
        <w:tc>
          <w:tcPr>
            <w:tcW w:w="1240" w:type="dxa"/>
            <w:vAlign w:val="bottom"/>
            <w:vMerge w:val="restart"/>
            <w:shd w:val="clear" w:color="auto" w:fill="CCEEFF"/>
          </w:tcPr>
          <w:p>
            <w:pPr>
              <w:jc w:val="right"/>
              <w:ind w:right="295"/>
              <w:spacing w:after="0"/>
              <w:rPr>
                <w:sz w:val="20"/>
                <w:szCs w:val="20"/>
                <w:color w:val="auto"/>
              </w:rPr>
            </w:pPr>
            <w:r>
              <w:rPr>
                <w:rFonts w:ascii="Arial" w:cs="Arial" w:eastAsia="Arial" w:hAnsi="Arial"/>
                <w:sz w:val="17"/>
                <w:szCs w:val="17"/>
                <w:b w:val="1"/>
                <w:bCs w:val="1"/>
                <w:color w:val="auto"/>
              </w:rPr>
              <w:t>2021</w:t>
            </w:r>
          </w:p>
        </w:tc>
        <w:tc>
          <w:tcPr>
            <w:tcW w:w="1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80" w:type="dxa"/>
            <w:vAlign w:val="bottom"/>
            <w:vMerge w:val="restart"/>
            <w:shd w:val="clear" w:color="auto" w:fill="CCEEFF"/>
          </w:tcPr>
          <w:p>
            <w:pPr>
              <w:jc w:val="right"/>
              <w:ind w:right="295"/>
              <w:spacing w:after="0"/>
              <w:rPr>
                <w:sz w:val="20"/>
                <w:szCs w:val="20"/>
                <w:color w:val="auto"/>
              </w:rPr>
            </w:pPr>
            <w:r>
              <w:rPr>
                <w:rFonts w:ascii="Arial" w:cs="Arial" w:eastAsia="Arial" w:hAnsi="Arial"/>
                <w:sz w:val="17"/>
                <w:szCs w:val="17"/>
                <w:b w:val="1"/>
                <w:bCs w:val="1"/>
                <w:color w:val="auto"/>
              </w:rPr>
              <w:t>2017</w:t>
            </w:r>
          </w:p>
        </w:tc>
        <w:tc>
          <w:tcPr>
            <w:tcW w:w="12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3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trend rate is reached</w:t>
            </w:r>
          </w:p>
        </w:tc>
        <w:tc>
          <w:tcPr>
            <w:tcW w:w="1240" w:type="dxa"/>
            <w:vAlign w:val="bottom"/>
            <w:tcBorders>
              <w:bottom w:val="single" w:sz="8" w:color="auto"/>
            </w:tcBorders>
            <w:vMerge w:val="continue"/>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475"/>
              <w:spacing w:after="0"/>
              <w:rPr>
                <w:sz w:val="20"/>
                <w:szCs w:val="20"/>
                <w:color w:val="auto"/>
              </w:rPr>
            </w:pPr>
            <w:r>
              <w:rPr>
                <w:rFonts w:ascii="Arial" w:cs="Arial" w:eastAsia="Arial" w:hAnsi="Arial"/>
                <w:sz w:val="17"/>
                <w:szCs w:val="17"/>
                <w:color w:val="auto"/>
              </w:rPr>
              <w:t>2021</w:t>
            </w:r>
          </w:p>
        </w:tc>
        <w:tc>
          <w:tcPr>
            <w:tcW w:w="88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7"/>
                <w:szCs w:val="17"/>
                <w:color w:val="auto"/>
              </w:rPr>
              <w:t>2019</w:t>
            </w: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395"/>
              <w:spacing w:after="0"/>
              <w:rPr>
                <w:sz w:val="20"/>
                <w:szCs w:val="20"/>
                <w:color w:val="auto"/>
              </w:rPr>
            </w:pPr>
            <w:r>
              <w:rPr>
                <w:rFonts w:ascii="Arial" w:cs="Arial" w:eastAsia="Arial" w:hAnsi="Arial"/>
                <w:sz w:val="17"/>
                <w:szCs w:val="17"/>
                <w:color w:val="auto"/>
              </w:rPr>
              <w:t>2016</w:t>
            </w:r>
          </w:p>
        </w:tc>
        <w:tc>
          <w:tcPr>
            <w:tcW w:w="8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2015</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A one percentage-point change in the assumed health care cost trend rates would have the following effects on the</w:t>
      </w:r>
    </w:p>
    <w:p>
      <w:pPr>
        <w:ind w:left="100"/>
        <w:spacing w:after="0"/>
        <w:rPr>
          <w:sz w:val="20"/>
          <w:szCs w:val="20"/>
          <w:color w:val="auto"/>
        </w:rPr>
      </w:pPr>
      <w:r>
        <w:rPr>
          <w:rFonts w:ascii="Arial" w:cs="Arial" w:eastAsia="Arial" w:hAnsi="Arial"/>
          <w:sz w:val="17"/>
          <w:szCs w:val="17"/>
          <w:color w:val="auto"/>
        </w:rPr>
        <w:t>SERP Medical Plan:</w:t>
      </w:r>
    </w:p>
    <w:p>
      <w:pPr>
        <w:spacing w:after="0" w:line="82"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424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Arial" w:cs="Arial" w:eastAsia="Arial" w:hAnsi="Arial"/>
                <w:sz w:val="17"/>
                <w:szCs w:val="17"/>
                <w:b w:val="1"/>
                <w:bCs w:val="1"/>
                <w:color w:val="auto"/>
              </w:rPr>
              <w:t>1% Increase</w:t>
            </w:r>
          </w:p>
        </w:tc>
        <w:tc>
          <w:tcPr>
            <w:tcW w:w="1980" w:type="dxa"/>
            <w:vAlign w:val="bottom"/>
            <w:gridSpan w:val="3"/>
          </w:tcPr>
          <w:p>
            <w:pPr>
              <w:jc w:val="right"/>
              <w:ind w:right="180"/>
              <w:spacing w:after="0"/>
              <w:rPr>
                <w:sz w:val="20"/>
                <w:szCs w:val="20"/>
                <w:color w:val="auto"/>
              </w:rPr>
            </w:pPr>
            <w:r>
              <w:rPr>
                <w:rFonts w:ascii="Arial" w:cs="Arial" w:eastAsia="Arial" w:hAnsi="Arial"/>
                <w:sz w:val="17"/>
                <w:szCs w:val="17"/>
                <w:b w:val="1"/>
                <w:bCs w:val="1"/>
                <w:color w:val="auto"/>
              </w:rPr>
              <w:t>1% (Decrease)</w:t>
            </w:r>
          </w:p>
        </w:tc>
      </w:tr>
      <w:tr>
        <w:trPr>
          <w:trHeight w:val="210"/>
        </w:trPr>
        <w:tc>
          <w:tcPr>
            <w:tcW w:w="4240" w:type="dxa"/>
            <w:vAlign w:val="bottom"/>
            <w:tcBorders>
              <w:top w:val="single" w:sz="8" w:color="auto"/>
            </w:tcBorders>
          </w:tcPr>
          <w:p>
            <w:pPr>
              <w:spacing w:after="0"/>
              <w:rPr>
                <w:sz w:val="18"/>
                <w:szCs w:val="18"/>
                <w:color w:val="auto"/>
              </w:rPr>
            </w:pPr>
          </w:p>
        </w:tc>
        <w:tc>
          <w:tcPr>
            <w:tcW w:w="3940" w:type="dxa"/>
            <w:vAlign w:val="bottom"/>
            <w:tcBorders>
              <w:top w:val="single" w:sz="8" w:color="auto"/>
            </w:tcBorders>
            <w:gridSpan w:val="2"/>
          </w:tcPr>
          <w:p>
            <w:pPr>
              <w:jc w:val="right"/>
              <w:ind w:right="375"/>
              <w:spacing w:after="0"/>
              <w:rPr>
                <w:sz w:val="20"/>
                <w:szCs w:val="20"/>
                <w:color w:val="auto"/>
              </w:rPr>
            </w:pPr>
            <w:r>
              <w:rPr>
                <w:rFonts w:ascii="Arial" w:cs="Arial" w:eastAsia="Arial" w:hAnsi="Arial"/>
                <w:sz w:val="17"/>
                <w:szCs w:val="17"/>
                <w:color w:val="auto"/>
              </w:rPr>
              <w:t>($ in millions)</w:t>
            </w:r>
          </w:p>
        </w:tc>
        <w:tc>
          <w:tcPr>
            <w:tcW w:w="6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Effect on total service and interest cost components</w:t>
            </w:r>
          </w:p>
        </w:tc>
        <w:tc>
          <w:tcPr>
            <w:tcW w:w="2640" w:type="dxa"/>
            <w:vAlign w:val="bottom"/>
            <w:shd w:val="clear" w:color="auto" w:fill="CCEEFF"/>
          </w:tcPr>
          <w:p>
            <w:pPr>
              <w:jc w:val="right"/>
              <w:ind w:right="1075"/>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615"/>
              <w:spacing w:after="0"/>
              <w:rPr>
                <w:sz w:val="20"/>
                <w:szCs w:val="20"/>
                <w:color w:val="auto"/>
              </w:rPr>
            </w:pPr>
            <w:r>
              <w:rPr>
                <w:rFonts w:ascii="Arial" w:cs="Arial" w:eastAsia="Arial" w:hAnsi="Arial"/>
                <w:sz w:val="17"/>
                <w:szCs w:val="17"/>
                <w:color w:val="auto"/>
              </w:rPr>
              <w:t>—   $</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7"/>
                <w:szCs w:val="17"/>
                <w:color w:val="auto"/>
              </w:rPr>
              <w:t>Effect on accumulated postretirement benefit obligation</w:t>
            </w:r>
          </w:p>
        </w:tc>
        <w:tc>
          <w:tcPr>
            <w:tcW w:w="2640" w:type="dxa"/>
            <w:vAlign w:val="bottom"/>
          </w:tcPr>
          <w:p>
            <w:pPr>
              <w:spacing w:after="0"/>
              <w:rPr>
                <w:sz w:val="19"/>
                <w:szCs w:val="19"/>
                <w:color w:val="auto"/>
              </w:rPr>
            </w:pPr>
          </w:p>
        </w:tc>
        <w:tc>
          <w:tcPr>
            <w:tcW w:w="1300" w:type="dxa"/>
            <w:vAlign w:val="bottom"/>
          </w:tcPr>
          <w:p>
            <w:pPr>
              <w:jc w:val="right"/>
              <w:ind w:right="1055"/>
              <w:spacing w:after="0"/>
              <w:rPr>
                <w:sz w:val="20"/>
                <w:szCs w:val="20"/>
                <w:color w:val="auto"/>
              </w:rPr>
            </w:pPr>
            <w:r>
              <w:rPr>
                <w:rFonts w:ascii="Arial" w:cs="Arial" w:eastAsia="Arial" w:hAnsi="Arial"/>
                <w:sz w:val="17"/>
                <w:szCs w:val="17"/>
                <w:color w:val="auto"/>
              </w:rPr>
              <w:t>3</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(2)</w:t>
            </w:r>
          </w:p>
        </w:tc>
      </w:tr>
      <w:tr>
        <w:trPr>
          <w:trHeight w:val="611"/>
        </w:trPr>
        <w:tc>
          <w:tcPr>
            <w:tcW w:w="4240" w:type="dxa"/>
            <w:vAlign w:val="bottom"/>
            <w:tcBorders>
              <w:top w:val="single" w:sz="8" w:color="auto"/>
            </w:tcBorders>
          </w:tcPr>
          <w:p>
            <w:pPr>
              <w:spacing w:after="0"/>
              <w:rPr>
                <w:sz w:val="24"/>
                <w:szCs w:val="24"/>
                <w:color w:val="auto"/>
              </w:rPr>
            </w:pPr>
          </w:p>
        </w:tc>
        <w:tc>
          <w:tcPr>
            <w:tcW w:w="2640" w:type="dxa"/>
            <w:vAlign w:val="bottom"/>
            <w:tcBorders>
              <w:top w:val="single" w:sz="8" w:color="auto"/>
            </w:tcBorders>
          </w:tcPr>
          <w:p>
            <w:pPr>
              <w:jc w:val="right"/>
              <w:ind w:right="2295"/>
              <w:spacing w:after="0"/>
              <w:rPr>
                <w:sz w:val="20"/>
                <w:szCs w:val="20"/>
                <w:color w:val="auto"/>
              </w:rPr>
            </w:pPr>
            <w:r>
              <w:rPr>
                <w:rFonts w:ascii="Arial" w:cs="Arial" w:eastAsia="Arial" w:hAnsi="Arial"/>
                <w:sz w:val="17"/>
                <w:szCs w:val="17"/>
                <w:color w:val="auto"/>
              </w:rPr>
              <w:t>66</w:t>
            </w:r>
          </w:p>
        </w:tc>
        <w:tc>
          <w:tcPr>
            <w:tcW w:w="13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342"/>
        </w:trPr>
        <w:tc>
          <w:tcPr>
            <w:tcW w:w="424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r>
        <w:trPr>
          <w:trHeight w:val="20"/>
        </w:trPr>
        <w:tc>
          <w:tcPr>
            <w:tcW w:w="4240" w:type="dxa"/>
            <w:vAlign w:val="bottom"/>
            <w:tcBorders>
              <w:bottom w:val="single" w:sz="8" w:color="EEEEEE"/>
            </w:tcBorders>
          </w:tcPr>
          <w:p>
            <w:pPr>
              <w:spacing w:after="0" w:line="20" w:lineRule="exact"/>
              <w:rPr>
                <w:sz w:val="1"/>
                <w:szCs w:val="1"/>
                <w:color w:val="auto"/>
              </w:rPr>
            </w:pPr>
          </w:p>
        </w:tc>
        <w:tc>
          <w:tcPr>
            <w:tcW w:w="2640" w:type="dxa"/>
            <w:vAlign w:val="bottom"/>
            <w:tcBorders>
              <w:bottom w:val="single" w:sz="8" w:color="EEEEEE"/>
            </w:tcBorders>
          </w:tcPr>
          <w:p>
            <w:pPr>
              <w:spacing w:after="0" w:line="20" w:lineRule="exact"/>
              <w:rPr>
                <w:sz w:val="1"/>
                <w:szCs w:val="1"/>
                <w:color w:val="auto"/>
              </w:rPr>
            </w:pPr>
          </w:p>
        </w:tc>
        <w:tc>
          <w:tcPr>
            <w:tcW w:w="130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3"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In 2017, the mortality assumption used to value the Company’s U.S. pension obligations was updated to the modified RP-2017 mortality table with generational projection using modified MP-2017 for both males and females and terminated vested participants. The mortality assumption was updated during the current year as the Company’s actual experience more closely matched the RP-2017 table than the previous table. In 2016, the Company used the RP-2000 mortality table with generational projection using scale AA for both males and females to value its pension obligations. This table was also used to value the Canadian pension obligations for 2017. For the SERP Medical Plan, the mortality assumption used to value the 2017 obligation was updated to the RPH-2017 table with generational projection using MP-2017, while in the prior year the obligation was valued using the RPH-2016 table with generational projection using MP-2016.</w:t>
      </w:r>
    </w:p>
    <w:p>
      <w:pPr>
        <w:spacing w:after="0" w:line="130"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Plan Assets</w:t>
      </w:r>
    </w:p>
    <w:p>
      <w:pPr>
        <w:spacing w:after="0" w:line="201"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The target composition of the Company’s Canadian qualified pension plan assets is 95 percent fixed-income securities and 5 percent equities. The Company believes plan assets are invested in a prudent manner with the same overall objective and investment strategy as noted below for the U.S. pension plan. The bond portfolio is comprised of government and corporate bonds chosen to match the duration of the pension plan’s benefit payment obligations. This current asset allocation will limit future volatility with regard to the funded status of the plan.</w:t>
      </w:r>
    </w:p>
    <w:p>
      <w:pPr>
        <w:spacing w:after="0" w:line="177"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The target composition of the Company’s U.S. qualified pension plan assets is 60 percent fixed-income securities, 36.5 percent equities, and 3.5 percent real estate. The Company may alter the asset allocation targets from time to time depending on market conditions and the funding requirements of the pension plan. This current asset allocation has and is expected to limit volatility with regard to the funded status of the plan, but may result in higher pension expense due to the lower long-term rate of return associated with fixed-income securities. Due to market conditions and other factors, actual asset allocations may vary from the target allocation outlined above.</w:t>
      </w:r>
    </w:p>
    <w:p>
      <w:pPr>
        <w:spacing w:after="0" w:line="175"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The Company believes plan assets are invested in a prudent manner with an objective of providing a total return that, over the long term, provides sufficient assets to fund benefit obligations, taking into account the Company’s expected contributions and the level of funding risk deemed appropriate. The Company’s investment strategy seeks to diversify assets among classes of investments with differing rates of return, volatility, and correlation in order to reduce funding risk. Diversification within asset classes is also utilized to ensure that there are no significant concentrations of risk in plan assets and to reduce the effect that the return on any single investment may have on the entire portfolio.</w:t>
      </w:r>
    </w:p>
    <w:p>
      <w:pPr>
        <w:spacing w:after="0" w:line="106"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Valuation of Investments</w:t>
      </w:r>
    </w:p>
    <w:p>
      <w:pPr>
        <w:spacing w:after="0" w:line="201"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Significant portions of plan assets are invested in commingled trust funds. These funds are valued at the net asset value of units held by the plan at year end. Stocks traded on U.S. and Canadian security exchanges are valued at closing market prices on the measurement date.</w:t>
      </w:r>
    </w:p>
    <w:p>
      <w:pPr>
        <w:spacing w:after="0" w:line="175" w:lineRule="exact"/>
        <w:rPr>
          <w:sz w:val="20"/>
          <w:szCs w:val="20"/>
          <w:color w:val="auto"/>
        </w:rPr>
      </w:pPr>
    </w:p>
    <w:p>
      <w:pPr>
        <w:jc w:val="both"/>
        <w:ind w:left="100" w:right="99"/>
        <w:spacing w:after="0"/>
        <w:rPr>
          <w:sz w:val="20"/>
          <w:szCs w:val="20"/>
          <w:color w:val="auto"/>
        </w:rPr>
      </w:pPr>
      <w:r>
        <w:rPr>
          <w:rFonts w:ascii="Arial" w:cs="Arial" w:eastAsia="Arial" w:hAnsi="Arial"/>
          <w:sz w:val="17"/>
          <w:szCs w:val="17"/>
          <w:color w:val="auto"/>
        </w:rPr>
        <w:t>The fair values of the Company’s Canadian pension plan assets at February 3, 2018 and January 28, 2017 were as follows:</w:t>
      </w:r>
    </w:p>
    <w:tbl>
      <w:tblPr>
        <w:tblLayout w:type="fixed"/>
        <w:tblInd w:w="100" w:type="dxa"/>
        <w:tblCellMar>
          <w:top w:w="0" w:type="dxa"/>
          <w:left w:w="0" w:type="dxa"/>
          <w:bottom w:w="0" w:type="dxa"/>
          <w:right w:w="0" w:type="dxa"/>
        </w:tblCellMar>
      </w:tblPr>
      <w:tr>
        <w:trPr>
          <w:trHeight w:val="195"/>
        </w:trPr>
        <w:tc>
          <w:tcPr>
            <w:tcW w:w="25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Level 1</w:t>
            </w:r>
          </w:p>
        </w:tc>
        <w:tc>
          <w:tcPr>
            <w:tcW w:w="3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Level 2</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Level 3</w:t>
            </w:r>
          </w:p>
        </w:tc>
        <w:tc>
          <w:tcPr>
            <w:tcW w:w="1220" w:type="dxa"/>
            <w:vAlign w:val="bottom"/>
            <w:tcBorders>
              <w:bottom w:val="single" w:sz="8" w:color="auto"/>
            </w:tcBorders>
            <w:gridSpan w:val="2"/>
          </w:tcPr>
          <w:p>
            <w:pPr>
              <w:jc w:val="right"/>
              <w:ind w:right="175"/>
              <w:spacing w:after="0"/>
              <w:rPr>
                <w:sz w:val="20"/>
                <w:szCs w:val="20"/>
                <w:color w:val="auto"/>
              </w:rPr>
            </w:pPr>
            <w:r>
              <w:rPr>
                <w:rFonts w:ascii="Arial" w:cs="Arial" w:eastAsia="Arial" w:hAnsi="Arial"/>
                <w:sz w:val="17"/>
                <w:szCs w:val="17"/>
                <w:b w:val="1"/>
                <w:bCs w:val="1"/>
                <w:color w:val="auto"/>
              </w:rPr>
              <w:t>2017 Total</w:t>
            </w:r>
          </w:p>
        </w:tc>
        <w:tc>
          <w:tcPr>
            <w:tcW w:w="1180" w:type="dxa"/>
            <w:vAlign w:val="bottom"/>
            <w:tcBorders>
              <w:bottom w:val="single" w:sz="8" w:color="auto"/>
            </w:tcBorders>
            <w:gridSpan w:val="2"/>
          </w:tcPr>
          <w:p>
            <w:pPr>
              <w:ind w:left="200"/>
              <w:spacing w:after="0"/>
              <w:rPr>
                <w:sz w:val="20"/>
                <w:szCs w:val="20"/>
                <w:color w:val="auto"/>
              </w:rPr>
            </w:pPr>
            <w:r>
              <w:rPr>
                <w:rFonts w:ascii="Arial" w:cs="Arial" w:eastAsia="Arial" w:hAnsi="Arial"/>
                <w:sz w:val="17"/>
                <w:szCs w:val="17"/>
                <w:color w:val="auto"/>
              </w:rPr>
              <w:t>2016 Total*</w:t>
            </w:r>
          </w:p>
        </w:tc>
      </w:tr>
      <w:tr>
        <w:trPr>
          <w:trHeight w:val="210"/>
        </w:trPr>
        <w:tc>
          <w:tcPr>
            <w:tcW w:w="2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Arial" w:cs="Arial" w:eastAsia="Arial" w:hAnsi="Arial"/>
                <w:sz w:val="17"/>
                <w:szCs w:val="17"/>
                <w:color w:val="auto"/>
              </w:rPr>
              <w:t>($ in millions)</w:t>
            </w: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258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1020" w:type="dxa"/>
            <w:vAlign w:val="bottom"/>
            <w:shd w:val="clear" w:color="auto" w:fill="CCEEFF"/>
          </w:tcPr>
          <w:p>
            <w:pPr>
              <w:jc w:val="right"/>
              <w:ind w:right="515"/>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center"/>
              <w:ind w:right="55"/>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w:t>
            </w:r>
          </w:p>
        </w:tc>
        <w:tc>
          <w:tcPr>
            <w:tcW w:w="260" w:type="dxa"/>
            <w:vAlign w:val="bottom"/>
            <w:shd w:val="clear" w:color="auto" w:fill="CCEEFF"/>
          </w:tcPr>
          <w:p>
            <w:pPr>
              <w:ind w:left="160"/>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ind w:right="235"/>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1</w:t>
            </w:r>
          </w:p>
        </w:tc>
        <w:tc>
          <w:tcPr>
            <w:tcW w:w="6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30"/>
        </w:trPr>
        <w:tc>
          <w:tcPr>
            <w:tcW w:w="2580" w:type="dxa"/>
            <w:vAlign w:val="bottom"/>
          </w:tcPr>
          <w:p>
            <w:pPr>
              <w:spacing w:after="0"/>
              <w:rPr>
                <w:sz w:val="20"/>
                <w:szCs w:val="20"/>
                <w:color w:val="auto"/>
              </w:rPr>
            </w:pPr>
            <w:r>
              <w:rPr>
                <w:rFonts w:ascii="Arial" w:cs="Arial" w:eastAsia="Arial" w:hAnsi="Arial"/>
                <w:sz w:val="17"/>
                <w:szCs w:val="17"/>
                <w:color w:val="auto"/>
              </w:rPr>
              <w:t>Equity securities:</w:t>
            </w: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25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 xml:space="preserve">Canadian and international </w:t>
            </w:r>
            <w:r>
              <w:rPr>
                <w:rFonts w:ascii="Arial" w:cs="Arial" w:eastAsia="Arial" w:hAnsi="Arial"/>
                <w:sz w:val="8"/>
                <w:szCs w:val="8"/>
                <w:color w:val="auto"/>
              </w:rPr>
              <w:t>(1)</w:t>
            </w: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jc w:val="center"/>
              <w:ind w:right="55"/>
              <w:spacing w:after="0"/>
              <w:rPr>
                <w:sz w:val="20"/>
                <w:szCs w:val="20"/>
                <w:color w:val="auto"/>
              </w:rPr>
            </w:pPr>
            <w:r>
              <w:rPr>
                <w:rFonts w:ascii="Arial" w:cs="Arial" w:eastAsia="Arial" w:hAnsi="Arial"/>
                <w:sz w:val="17"/>
                <w:szCs w:val="17"/>
                <w:color w:val="auto"/>
              </w:rPr>
              <w:t>4</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4</w:t>
            </w: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30"/>
        </w:trPr>
        <w:tc>
          <w:tcPr>
            <w:tcW w:w="2580" w:type="dxa"/>
            <w:vAlign w:val="bottom"/>
          </w:tcPr>
          <w:p>
            <w:pPr>
              <w:spacing w:after="0"/>
              <w:rPr>
                <w:sz w:val="20"/>
                <w:szCs w:val="20"/>
                <w:color w:val="auto"/>
              </w:rPr>
            </w:pPr>
            <w:r>
              <w:rPr>
                <w:rFonts w:ascii="Arial" w:cs="Arial" w:eastAsia="Arial" w:hAnsi="Arial"/>
                <w:sz w:val="17"/>
                <w:szCs w:val="17"/>
                <w:color w:val="auto"/>
              </w:rPr>
              <w:t>Fixed-income securities:</w:t>
            </w: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25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7"/>
                <w:szCs w:val="17"/>
                <w:color w:val="auto"/>
              </w:rPr>
              <w:t xml:space="preserve">Cash matched bonds </w:t>
            </w:r>
            <w:r>
              <w:rPr>
                <w:rFonts w:ascii="Arial" w:cs="Arial" w:eastAsia="Arial" w:hAnsi="Arial"/>
                <w:sz w:val="8"/>
                <w:szCs w:val="8"/>
                <w:color w:val="auto"/>
              </w:rPr>
              <w:t>(2)</w:t>
            </w:r>
          </w:p>
        </w:tc>
        <w:tc>
          <w:tcPr>
            <w:tcW w:w="10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center"/>
              <w:ind w:right="5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53</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53</w:t>
            </w:r>
          </w:p>
        </w:tc>
        <w:tc>
          <w:tcPr>
            <w:tcW w:w="6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w:t>
            </w:r>
          </w:p>
        </w:tc>
      </w:tr>
      <w:tr>
        <w:trPr>
          <w:trHeight w:val="203"/>
        </w:trPr>
        <w:tc>
          <w:tcPr>
            <w:tcW w:w="2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assets at fair value</w:t>
            </w:r>
          </w:p>
        </w:tc>
        <w:tc>
          <w:tcPr>
            <w:tcW w:w="102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color w:val="auto"/>
              </w:rPr>
              <w:t>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54</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ind w:left="620"/>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w:t>
            </w:r>
          </w:p>
        </w:tc>
        <w:tc>
          <w:tcPr>
            <w:tcW w:w="7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58</w:t>
            </w:r>
          </w:p>
        </w:tc>
        <w:tc>
          <w:tcPr>
            <w:tcW w:w="62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w:t>
            </w:r>
          </w:p>
        </w:tc>
      </w:tr>
    </w:tbl>
    <w:p>
      <w:pPr>
        <w:spacing w:after="0" w:line="81" w:lineRule="exact"/>
        <w:rPr>
          <w:sz w:val="20"/>
          <w:szCs w:val="20"/>
          <w:color w:val="auto"/>
        </w:rPr>
      </w:pPr>
    </w:p>
    <w:p>
      <w:pPr>
        <w:ind w:left="100"/>
        <w:spacing w:after="0"/>
        <w:rPr>
          <w:sz w:val="20"/>
          <w:szCs w:val="20"/>
          <w:color w:val="auto"/>
        </w:rPr>
      </w:pPr>
      <w:r>
        <w:rPr>
          <w:rFonts w:ascii="Arial" w:cs="Arial" w:eastAsia="Arial" w:hAnsi="Arial"/>
          <w:sz w:val="14"/>
          <w:szCs w:val="14"/>
          <w:color w:val="auto"/>
        </w:rPr>
        <w:t>*Each category of plan assets is classified within the same level of the fair value hierarchy for 2017 and 2016.</w:t>
      </w:r>
    </w:p>
    <w:p>
      <w:pPr>
        <w:ind w:left="820" w:hanging="404"/>
        <w:spacing w:after="0" w:line="221" w:lineRule="auto"/>
        <w:tabs>
          <w:tab w:leader="none" w:pos="820" w:val="left"/>
        </w:tabs>
        <w:numPr>
          <w:ilvl w:val="0"/>
          <w:numId w:val="30"/>
        </w:numPr>
        <w:rPr>
          <w:rFonts w:ascii="Arial" w:cs="Arial" w:eastAsia="Arial" w:hAnsi="Arial"/>
          <w:sz w:val="12"/>
          <w:szCs w:val="12"/>
          <w:color w:val="auto"/>
        </w:rPr>
      </w:pPr>
      <w:r>
        <w:rPr>
          <w:rFonts w:ascii="Arial" w:cs="Arial" w:eastAsia="Arial" w:hAnsi="Arial"/>
          <w:sz w:val="14"/>
          <w:szCs w:val="14"/>
          <w:color w:val="auto"/>
        </w:rPr>
        <w:t>This category comprises one mutual fund that invests primarily in a diverse portfolio of Canadian securities.</w:t>
      </w:r>
    </w:p>
    <w:p>
      <w:pPr>
        <w:jc w:val="both"/>
        <w:ind w:left="820" w:right="219" w:hanging="404"/>
        <w:spacing w:after="0" w:line="228" w:lineRule="auto"/>
        <w:tabs>
          <w:tab w:leader="none" w:pos="820" w:val="left"/>
        </w:tabs>
        <w:numPr>
          <w:ilvl w:val="0"/>
          <w:numId w:val="30"/>
        </w:numPr>
        <w:rPr>
          <w:rFonts w:ascii="Arial" w:cs="Arial" w:eastAsia="Arial" w:hAnsi="Arial"/>
          <w:sz w:val="12"/>
          <w:szCs w:val="12"/>
          <w:color w:val="auto"/>
        </w:rPr>
      </w:pPr>
      <w:r>
        <w:rPr>
          <w:rFonts w:ascii="Arial" w:cs="Arial" w:eastAsia="Arial" w:hAnsi="Arial"/>
          <w:sz w:val="14"/>
          <w:szCs w:val="14"/>
          <w:color w:val="auto"/>
        </w:rPr>
        <w:t>This category consists of fixed-income securities, including strips and coupons, issued or guaranteed by the Government of Canada, provinces or municipalities of Canada including their agencies and crown corporations, as well as other governmental bonds and corporate bonds.</w:t>
      </w:r>
    </w:p>
    <w:p>
      <w:pPr>
        <w:spacing w:after="0" w:line="7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 Level 3 assets were held by the Canadian pension plan during 2017 and 2016.</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3" w:lineRule="exact"/>
        <w:rPr>
          <w:sz w:val="20"/>
          <w:szCs w:val="20"/>
          <w:color w:val="auto"/>
        </w:rPr>
      </w:pPr>
    </w:p>
    <w:p>
      <w:pPr>
        <w:ind w:left="100" w:right="99"/>
        <w:spacing w:after="0" w:line="243" w:lineRule="auto"/>
        <w:rPr>
          <w:sz w:val="20"/>
          <w:szCs w:val="20"/>
          <w:color w:val="auto"/>
        </w:rPr>
      </w:pPr>
      <w:r>
        <w:rPr>
          <w:rFonts w:ascii="Arial" w:cs="Arial" w:eastAsia="Arial" w:hAnsi="Arial"/>
          <w:sz w:val="17"/>
          <w:szCs w:val="17"/>
          <w:color w:val="auto"/>
        </w:rPr>
        <w:t>The fair values of the Company’s U.S. pension plan assets at February 3, 2018 and January 28, 2017 were as follows:</w:t>
      </w:r>
    </w:p>
    <w:p>
      <w:pPr>
        <w:spacing w:after="0" w:line="219"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26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Level 1</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Level 2</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Level 3</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w w:val="98"/>
              </w:rPr>
              <w:t>2017 Total</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98"/>
              </w:rPr>
              <w:t>2016 Total*</w:t>
            </w:r>
          </w:p>
        </w:tc>
        <w:tc>
          <w:tcPr>
            <w:tcW w:w="0" w:type="dxa"/>
            <w:vAlign w:val="bottom"/>
          </w:tcPr>
          <w:p>
            <w:pPr>
              <w:spacing w:after="0"/>
              <w:rPr>
                <w:sz w:val="1"/>
                <w:szCs w:val="1"/>
                <w:color w:val="auto"/>
              </w:rPr>
            </w:pPr>
          </w:p>
        </w:tc>
      </w:tr>
      <w:tr>
        <w:trPr>
          <w:trHeight w:val="210"/>
        </w:trPr>
        <w:tc>
          <w:tcPr>
            <w:tcW w:w="2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ind w:left="40"/>
              <w:spacing w:after="0"/>
              <w:rPr>
                <w:sz w:val="20"/>
                <w:szCs w:val="20"/>
                <w:color w:val="auto"/>
              </w:rPr>
            </w:pPr>
            <w:r>
              <w:rPr>
                <w:rFonts w:ascii="Arial" w:cs="Arial" w:eastAsia="Arial" w:hAnsi="Arial"/>
                <w:sz w:val="17"/>
                <w:szCs w:val="17"/>
                <w:color w:val="auto"/>
                <w:w w:val="99"/>
              </w:rPr>
              <w:t>($ in millions)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06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4</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7"/>
                <w:szCs w:val="17"/>
                <w:color w:val="auto"/>
              </w:rPr>
              <w:t>Equity securities: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 xml:space="preserve">U.S. large-cap </w:t>
            </w:r>
            <w:r>
              <w:rPr>
                <w:rFonts w:ascii="Arial" w:cs="Arial" w:eastAsia="Arial" w:hAnsi="Arial"/>
                <w:sz w:val="8"/>
                <w:szCs w:val="8"/>
                <w:color w:val="auto"/>
              </w:rPr>
              <w:t>(1)</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115</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230"/>
        </w:trPr>
        <w:tc>
          <w:tcPr>
            <w:tcW w:w="2660" w:type="dxa"/>
            <w:vAlign w:val="bottom"/>
          </w:tcPr>
          <w:p>
            <w:pPr>
              <w:ind w:left="120"/>
              <w:spacing w:after="0"/>
              <w:rPr>
                <w:sz w:val="20"/>
                <w:szCs w:val="20"/>
                <w:color w:val="auto"/>
              </w:rPr>
            </w:pPr>
            <w:r>
              <w:rPr>
                <w:rFonts w:ascii="Arial" w:cs="Arial" w:eastAsia="Arial" w:hAnsi="Arial"/>
                <w:sz w:val="17"/>
                <w:szCs w:val="17"/>
                <w:color w:val="auto"/>
              </w:rPr>
              <w:t xml:space="preserve">U.S. mid-cap </w:t>
            </w:r>
            <w:r>
              <w:rPr>
                <w:rFonts w:ascii="Arial" w:cs="Arial" w:eastAsia="Arial" w:hAnsi="Arial"/>
                <w:sz w:val="8"/>
                <w:szCs w:val="8"/>
                <w:color w:val="auto"/>
              </w:rPr>
              <w:t>(1)</w:t>
            </w:r>
          </w:p>
        </w:tc>
        <w:tc>
          <w:tcPr>
            <w:tcW w:w="280" w:type="dxa"/>
            <w:vAlign w:val="bottom"/>
          </w:tcPr>
          <w:p>
            <w:pPr>
              <w:spacing w:after="0"/>
              <w:rPr>
                <w:sz w:val="19"/>
                <w:szCs w:val="19"/>
                <w:color w:val="auto"/>
              </w:rPr>
            </w:pPr>
          </w:p>
        </w:tc>
        <w:tc>
          <w:tcPr>
            <w:tcW w:w="940" w:type="dxa"/>
            <w:vAlign w:val="bottom"/>
          </w:tcPr>
          <w:p>
            <w:pPr>
              <w:ind w:left="6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34</w:t>
            </w:r>
          </w:p>
        </w:tc>
        <w:tc>
          <w:tcPr>
            <w:tcW w:w="340" w:type="dxa"/>
            <w:vAlign w:val="bottom"/>
          </w:tcPr>
          <w:p>
            <w:pPr>
              <w:spacing w:after="0"/>
              <w:rPr>
                <w:sz w:val="19"/>
                <w:szCs w:val="19"/>
                <w:color w:val="auto"/>
              </w:rPr>
            </w:pPr>
          </w:p>
        </w:tc>
        <w:tc>
          <w:tcPr>
            <w:tcW w:w="1060" w:type="dxa"/>
            <w:vAlign w:val="bottom"/>
          </w:tcPr>
          <w:p>
            <w:pPr>
              <w:ind w:left="6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060" w:type="dxa"/>
            <w:vAlign w:val="bottom"/>
          </w:tcPr>
          <w:p>
            <w:pPr>
              <w:jc w:val="right"/>
              <w:ind w:right="55"/>
              <w:spacing w:after="0"/>
              <w:rPr>
                <w:sz w:val="20"/>
                <w:szCs w:val="20"/>
                <w:color w:val="auto"/>
              </w:rPr>
            </w:pPr>
            <w:r>
              <w:rPr>
                <w:rFonts w:ascii="Arial" w:cs="Arial" w:eastAsia="Arial" w:hAnsi="Arial"/>
                <w:sz w:val="17"/>
                <w:szCs w:val="17"/>
                <w:b w:val="1"/>
                <w:bCs w:val="1"/>
                <w:color w:val="auto"/>
              </w:rPr>
              <w:t>34</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 xml:space="preserve">International </w:t>
            </w:r>
            <w:r>
              <w:rPr>
                <w:rFonts w:ascii="Arial" w:cs="Arial" w:eastAsia="Arial" w:hAnsi="Arial"/>
                <w:sz w:val="8"/>
                <w:szCs w:val="8"/>
                <w:color w:val="auto"/>
              </w:rPr>
              <w:t>(2)</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78</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30"/>
        </w:trPr>
        <w:tc>
          <w:tcPr>
            <w:tcW w:w="2660" w:type="dxa"/>
            <w:vAlign w:val="bottom"/>
          </w:tcPr>
          <w:p>
            <w:pPr>
              <w:ind w:left="120"/>
              <w:spacing w:after="0"/>
              <w:rPr>
                <w:sz w:val="20"/>
                <w:szCs w:val="20"/>
                <w:color w:val="auto"/>
              </w:rPr>
            </w:pPr>
            <w:r>
              <w:rPr>
                <w:rFonts w:ascii="Arial" w:cs="Arial" w:eastAsia="Arial" w:hAnsi="Arial"/>
                <w:sz w:val="17"/>
                <w:szCs w:val="17"/>
                <w:color w:val="auto"/>
              </w:rPr>
              <w:t xml:space="preserve">Corporate stock </w:t>
            </w:r>
            <w:r>
              <w:rPr>
                <w:rFonts w:ascii="Arial" w:cs="Arial" w:eastAsia="Arial" w:hAnsi="Arial"/>
                <w:sz w:val="8"/>
                <w:szCs w:val="8"/>
                <w:color w:val="auto"/>
              </w:rPr>
              <w:t>(3)</w:t>
            </w:r>
          </w:p>
        </w:tc>
        <w:tc>
          <w:tcPr>
            <w:tcW w:w="280" w:type="dxa"/>
            <w:vAlign w:val="bottom"/>
          </w:tcPr>
          <w:p>
            <w:pPr>
              <w:spacing w:after="0"/>
              <w:rPr>
                <w:sz w:val="19"/>
                <w:szCs w:val="19"/>
                <w:color w:val="auto"/>
              </w:rPr>
            </w:pPr>
          </w:p>
        </w:tc>
        <w:tc>
          <w:tcPr>
            <w:tcW w:w="940" w:type="dxa"/>
            <w:vAlign w:val="bottom"/>
          </w:tcPr>
          <w:p>
            <w:pPr>
              <w:ind w:left="600"/>
              <w:spacing w:after="0"/>
              <w:rPr>
                <w:sz w:val="20"/>
                <w:szCs w:val="20"/>
                <w:color w:val="auto"/>
              </w:rPr>
            </w:pPr>
            <w:r>
              <w:rPr>
                <w:rFonts w:ascii="Arial" w:cs="Arial" w:eastAsia="Arial" w:hAnsi="Arial"/>
                <w:sz w:val="17"/>
                <w:szCs w:val="17"/>
                <w:color w:val="auto"/>
              </w:rPr>
              <w:t>19</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060" w:type="dxa"/>
            <w:vAlign w:val="bottom"/>
          </w:tcPr>
          <w:p>
            <w:pPr>
              <w:ind w:left="6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060" w:type="dxa"/>
            <w:vAlign w:val="bottom"/>
          </w:tcPr>
          <w:p>
            <w:pPr>
              <w:jc w:val="right"/>
              <w:ind w:right="55"/>
              <w:spacing w:after="0"/>
              <w:rPr>
                <w:sz w:val="20"/>
                <w:szCs w:val="20"/>
                <w:color w:val="auto"/>
              </w:rPr>
            </w:pPr>
            <w:r>
              <w:rPr>
                <w:rFonts w:ascii="Arial" w:cs="Arial" w:eastAsia="Arial" w:hAnsi="Arial"/>
                <w:sz w:val="17"/>
                <w:szCs w:val="17"/>
                <w:b w:val="1"/>
                <w:bCs w:val="1"/>
                <w:color w:val="auto"/>
              </w:rPr>
              <w:t>19</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rPr>
              <w:t>Fixed-income securities: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tcPr>
          <w:p>
            <w:pPr>
              <w:ind w:left="160"/>
              <w:spacing w:after="0"/>
              <w:rPr>
                <w:sz w:val="20"/>
                <w:szCs w:val="20"/>
                <w:color w:val="auto"/>
              </w:rPr>
            </w:pPr>
            <w:r>
              <w:rPr>
                <w:rFonts w:ascii="Arial" w:cs="Arial" w:eastAsia="Arial" w:hAnsi="Arial"/>
                <w:sz w:val="17"/>
                <w:szCs w:val="17"/>
                <w:color w:val="auto"/>
              </w:rPr>
              <w:t>Long duration corporate and</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vMerge w:val="restart"/>
          </w:tcPr>
          <w:p>
            <w:pPr>
              <w:jc w:val="right"/>
              <w:ind w:right="55"/>
              <w:spacing w:after="0"/>
              <w:rPr>
                <w:sz w:val="20"/>
                <w:szCs w:val="20"/>
                <w:color w:val="auto"/>
              </w:rPr>
            </w:pPr>
            <w:r>
              <w:rPr>
                <w:rFonts w:ascii="Arial" w:cs="Arial" w:eastAsia="Arial" w:hAnsi="Arial"/>
                <w:sz w:val="17"/>
                <w:szCs w:val="17"/>
                <w:b w:val="1"/>
                <w:bCs w:val="1"/>
                <w:color w:val="auto"/>
              </w:rPr>
              <w:t>254</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660" w:type="dxa"/>
            <w:vAlign w:val="bottom"/>
          </w:tcPr>
          <w:p>
            <w:pPr>
              <w:ind w:left="240"/>
              <w:spacing w:after="0"/>
              <w:rPr>
                <w:sz w:val="20"/>
                <w:szCs w:val="20"/>
                <w:color w:val="auto"/>
              </w:rPr>
            </w:pPr>
            <w:r>
              <w:rPr>
                <w:rFonts w:ascii="Arial" w:cs="Arial" w:eastAsia="Arial" w:hAnsi="Arial"/>
                <w:sz w:val="17"/>
                <w:szCs w:val="17"/>
                <w:color w:val="auto"/>
              </w:rPr>
              <w:t xml:space="preserve">government bonds </w:t>
            </w:r>
            <w:r>
              <w:rPr>
                <w:rFonts w:ascii="Arial" w:cs="Arial" w:eastAsia="Arial" w:hAnsi="Arial"/>
                <w:sz w:val="8"/>
                <w:szCs w:val="8"/>
                <w:color w:val="auto"/>
              </w:rPr>
              <w:t>(4)</w:t>
            </w:r>
          </w:p>
        </w:tc>
        <w:tc>
          <w:tcPr>
            <w:tcW w:w="280" w:type="dxa"/>
            <w:vAlign w:val="bottom"/>
          </w:tcPr>
          <w:p>
            <w:pPr>
              <w:spacing w:after="0"/>
              <w:rPr>
                <w:sz w:val="16"/>
                <w:szCs w:val="16"/>
                <w:color w:val="auto"/>
              </w:rPr>
            </w:pPr>
          </w:p>
        </w:tc>
        <w:tc>
          <w:tcPr>
            <w:tcW w:w="940" w:type="dxa"/>
            <w:vAlign w:val="bottom"/>
          </w:tcPr>
          <w:p>
            <w:pPr>
              <w:ind w:left="6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254</w:t>
            </w:r>
          </w:p>
        </w:tc>
        <w:tc>
          <w:tcPr>
            <w:tcW w:w="340" w:type="dxa"/>
            <w:vAlign w:val="bottom"/>
          </w:tcPr>
          <w:p>
            <w:pPr>
              <w:spacing w:after="0"/>
              <w:rPr>
                <w:sz w:val="16"/>
                <w:szCs w:val="16"/>
                <w:color w:val="auto"/>
              </w:rPr>
            </w:pPr>
          </w:p>
        </w:tc>
        <w:tc>
          <w:tcPr>
            <w:tcW w:w="1060" w:type="dxa"/>
            <w:vAlign w:val="bottom"/>
          </w:tcPr>
          <w:p>
            <w:pPr>
              <w:ind w:left="6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231</w:t>
            </w:r>
          </w:p>
        </w:tc>
        <w:tc>
          <w:tcPr>
            <w:tcW w:w="0" w:type="dxa"/>
            <w:vAlign w:val="bottom"/>
          </w:tcPr>
          <w:p>
            <w:pPr>
              <w:spacing w:after="0"/>
              <w:rPr>
                <w:sz w:val="1"/>
                <w:szCs w:val="1"/>
                <w:color w:val="auto"/>
              </w:rPr>
            </w:pPr>
          </w:p>
        </w:tc>
      </w:tr>
      <w:tr>
        <w:trPr>
          <w:trHeight w:val="264"/>
        </w:trPr>
        <w:tc>
          <w:tcPr>
            <w:tcW w:w="26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Intermediate duration corporate</w:t>
            </w: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vMerge w:val="restart"/>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113</w:t>
            </w: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6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 xml:space="preserve">and government bonds </w:t>
            </w:r>
            <w:r>
              <w:rPr>
                <w:rFonts w:ascii="Arial" w:cs="Arial" w:eastAsia="Arial" w:hAnsi="Arial"/>
                <w:sz w:val="8"/>
                <w:szCs w:val="8"/>
                <w:color w:val="auto"/>
              </w:rPr>
              <w:t>(5)</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7"/>
                <w:szCs w:val="17"/>
                <w:color w:val="auto"/>
              </w:rPr>
              <w:t>Other types of investments: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 xml:space="preserve">Real estate securities </w:t>
            </w:r>
            <w:r>
              <w:rPr>
                <w:rFonts w:ascii="Arial" w:cs="Arial" w:eastAsia="Arial" w:hAnsi="Arial"/>
                <w:sz w:val="8"/>
                <w:szCs w:val="8"/>
                <w:color w:val="auto"/>
              </w:rPr>
              <w:t>(6)</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21</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30"/>
        </w:trPr>
        <w:tc>
          <w:tcPr>
            <w:tcW w:w="26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Insurance contracts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68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68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1</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3"/>
        </w:trPr>
        <w:tc>
          <w:tcPr>
            <w:tcW w:w="2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 assets at fair value</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7"/>
                <w:szCs w:val="17"/>
                <w:color w:val="auto"/>
              </w:rPr>
              <w:t>19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620</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639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589</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*Each category of plan assets is classified within the same level of the fair value hierarchy for 2017 and 2016.</w:t>
      </w:r>
    </w:p>
    <w:p>
      <w:pPr>
        <w:ind w:left="800" w:right="219" w:hanging="400"/>
        <w:spacing w:after="0" w:line="221" w:lineRule="auto"/>
        <w:tabs>
          <w:tab w:leader="none" w:pos="800" w:val="left"/>
        </w:tabs>
        <w:numPr>
          <w:ilvl w:val="0"/>
          <w:numId w:val="31"/>
        </w:numPr>
        <w:rPr>
          <w:rFonts w:ascii="Arial" w:cs="Arial" w:eastAsia="Arial" w:hAnsi="Arial"/>
          <w:sz w:val="12"/>
          <w:szCs w:val="12"/>
          <w:color w:val="auto"/>
        </w:rPr>
      </w:pPr>
      <w:r>
        <w:rPr>
          <w:rFonts w:ascii="Arial" w:cs="Arial" w:eastAsia="Arial" w:hAnsi="Arial"/>
          <w:sz w:val="14"/>
          <w:szCs w:val="14"/>
          <w:color w:val="auto"/>
        </w:rPr>
        <w:t>These categories consist of various managed funds that invest primarily in common stocks, as well as other equity securities and a combination of other funds.</w:t>
      </w:r>
    </w:p>
    <w:p>
      <w:pPr>
        <w:ind w:left="800" w:right="219" w:hanging="400"/>
        <w:spacing w:after="0" w:line="221" w:lineRule="auto"/>
        <w:tabs>
          <w:tab w:leader="none" w:pos="800" w:val="left"/>
        </w:tabs>
        <w:numPr>
          <w:ilvl w:val="0"/>
          <w:numId w:val="31"/>
        </w:numPr>
        <w:rPr>
          <w:rFonts w:ascii="Arial" w:cs="Arial" w:eastAsia="Arial" w:hAnsi="Arial"/>
          <w:sz w:val="12"/>
          <w:szCs w:val="12"/>
          <w:color w:val="auto"/>
        </w:rPr>
      </w:pPr>
      <w:r>
        <w:rPr>
          <w:rFonts w:ascii="Arial" w:cs="Arial" w:eastAsia="Arial" w:hAnsi="Arial"/>
          <w:sz w:val="14"/>
          <w:szCs w:val="14"/>
          <w:color w:val="auto"/>
        </w:rPr>
        <w:t>This category comprises three managed funds that invest primarily in international common stocks, as well as other equity securities and a combination of other funds.</w:t>
      </w:r>
    </w:p>
    <w:p>
      <w:pPr>
        <w:ind w:left="800" w:hanging="400"/>
        <w:spacing w:after="0" w:line="221" w:lineRule="auto"/>
        <w:tabs>
          <w:tab w:leader="none" w:pos="800" w:val="left"/>
        </w:tabs>
        <w:numPr>
          <w:ilvl w:val="0"/>
          <w:numId w:val="31"/>
        </w:numPr>
        <w:rPr>
          <w:rFonts w:ascii="Arial" w:cs="Arial" w:eastAsia="Arial" w:hAnsi="Arial"/>
          <w:sz w:val="12"/>
          <w:szCs w:val="12"/>
          <w:color w:val="auto"/>
        </w:rPr>
      </w:pPr>
      <w:r>
        <w:rPr>
          <w:rFonts w:ascii="Arial" w:cs="Arial" w:eastAsia="Arial" w:hAnsi="Arial"/>
          <w:sz w:val="14"/>
          <w:szCs w:val="14"/>
          <w:color w:val="auto"/>
        </w:rPr>
        <w:t>This category consists of the Company’s common stock.</w:t>
      </w:r>
    </w:p>
    <w:p>
      <w:pPr>
        <w:ind w:left="780" w:right="219" w:hanging="380"/>
        <w:spacing w:after="0" w:line="221" w:lineRule="auto"/>
        <w:tabs>
          <w:tab w:leader="none" w:pos="780" w:val="left"/>
        </w:tabs>
        <w:numPr>
          <w:ilvl w:val="0"/>
          <w:numId w:val="31"/>
        </w:numPr>
        <w:rPr>
          <w:rFonts w:ascii="Arial" w:cs="Arial" w:eastAsia="Arial" w:hAnsi="Arial"/>
          <w:sz w:val="12"/>
          <w:szCs w:val="12"/>
          <w:color w:val="auto"/>
        </w:rPr>
      </w:pPr>
      <w:r>
        <w:rPr>
          <w:rFonts w:ascii="Arial" w:cs="Arial" w:eastAsia="Arial" w:hAnsi="Arial"/>
          <w:sz w:val="14"/>
          <w:szCs w:val="14"/>
          <w:color w:val="auto"/>
        </w:rPr>
        <w:t>This category consists of various fixed-income funds that invest primarily in long-term bonds, as well as a combination of other funds, that together are designed to exceed the performance of related long-term market indices.</w:t>
      </w:r>
    </w:p>
    <w:p>
      <w:pPr>
        <w:ind w:left="800" w:right="219" w:hanging="400"/>
        <w:spacing w:after="0" w:line="221" w:lineRule="auto"/>
        <w:tabs>
          <w:tab w:leader="none" w:pos="800" w:val="left"/>
        </w:tabs>
        <w:numPr>
          <w:ilvl w:val="0"/>
          <w:numId w:val="31"/>
        </w:numPr>
        <w:rPr>
          <w:rFonts w:ascii="Arial" w:cs="Arial" w:eastAsia="Arial" w:hAnsi="Arial"/>
          <w:sz w:val="12"/>
          <w:szCs w:val="12"/>
          <w:color w:val="auto"/>
        </w:rPr>
      </w:pPr>
      <w:r>
        <w:rPr>
          <w:rFonts w:ascii="Arial" w:cs="Arial" w:eastAsia="Arial" w:hAnsi="Arial"/>
          <w:sz w:val="14"/>
          <w:szCs w:val="14"/>
          <w:color w:val="auto"/>
        </w:rPr>
        <w:t>This category consists of two fixed-income funds that invest primarily in intermediate duration bonds, as well as a combination of other funds, that together are designed to exceed the performance of related indices.</w:t>
      </w:r>
    </w:p>
    <w:p>
      <w:pPr>
        <w:ind w:left="800" w:hanging="400"/>
        <w:spacing w:after="0"/>
        <w:tabs>
          <w:tab w:leader="none" w:pos="800" w:val="left"/>
        </w:tabs>
        <w:numPr>
          <w:ilvl w:val="0"/>
          <w:numId w:val="31"/>
        </w:numPr>
        <w:rPr>
          <w:rFonts w:ascii="Arial" w:cs="Arial" w:eastAsia="Arial" w:hAnsi="Arial"/>
          <w:sz w:val="12"/>
          <w:szCs w:val="12"/>
          <w:color w:val="auto"/>
        </w:rPr>
      </w:pPr>
      <w:r>
        <w:rPr>
          <w:rFonts w:ascii="Arial" w:cs="Arial" w:eastAsia="Arial" w:hAnsi="Arial"/>
          <w:sz w:val="14"/>
          <w:szCs w:val="14"/>
          <w:color w:val="auto"/>
        </w:rPr>
        <w:t>This category consists of one fund that invests in global real estate securities.</w:t>
      </w:r>
    </w:p>
    <w:p>
      <w:pPr>
        <w:spacing w:after="0" w:line="13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 Level 3 assets were held by the U.S. pension plan during 2017 and 2016.</w:t>
      </w:r>
    </w:p>
    <w:p>
      <w:pPr>
        <w:spacing w:after="0" w:line="183"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The Company made a contribution of $25 million to its U.S. qualified pension plan during 2017. During 2017, the Company also paid $4 million in pension benefits related to its non-qualified pension plans.</w:t>
      </w:r>
    </w:p>
    <w:p>
      <w:pPr>
        <w:spacing w:after="0" w:line="171" w:lineRule="exact"/>
        <w:rPr>
          <w:sz w:val="20"/>
          <w:szCs w:val="20"/>
          <w:color w:val="auto"/>
        </w:rPr>
      </w:pPr>
    </w:p>
    <w:p>
      <w:pPr>
        <w:jc w:val="both"/>
        <w:ind w:left="100" w:right="99"/>
        <w:spacing w:after="0"/>
        <w:rPr>
          <w:sz w:val="20"/>
          <w:szCs w:val="20"/>
          <w:color w:val="auto"/>
        </w:rPr>
      </w:pPr>
      <w:r>
        <w:rPr>
          <w:rFonts w:ascii="Arial" w:cs="Arial" w:eastAsia="Arial" w:hAnsi="Arial"/>
          <w:sz w:val="17"/>
          <w:szCs w:val="17"/>
          <w:color w:val="auto"/>
        </w:rPr>
        <w:t xml:space="preserve">The Company continually evaluates the amount and timing of any potential contributions. Actual contributions are dependent on several factors; however the Company anticipates making a $128 million contribution during 2018 in connection with the expected U.S. pension plan reformation. See Note 22, </w:t>
      </w:r>
      <w:r>
        <w:rPr>
          <w:rFonts w:ascii="Arial" w:cs="Arial" w:eastAsia="Arial" w:hAnsi="Arial"/>
          <w:sz w:val="17"/>
          <w:szCs w:val="17"/>
          <w:i w:val="1"/>
          <w:iCs w:val="1"/>
          <w:color w:val="auto"/>
        </w:rPr>
        <w:t>Legal Proceedings</w:t>
      </w:r>
      <w:r>
        <w:rPr>
          <w:rFonts w:ascii="Arial" w:cs="Arial" w:eastAsia="Arial" w:hAnsi="Arial"/>
          <w:sz w:val="17"/>
          <w:szCs w:val="17"/>
          <w:color w:val="auto"/>
        </w:rPr>
        <w:t>, for further information.</w:t>
      </w:r>
    </w:p>
    <w:p>
      <w:pPr>
        <w:spacing w:after="0" w:line="35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Estimated future benefit payments (excluding any amounts related to the expected U.S. pension plan reformation)</w:t>
      </w:r>
    </w:p>
    <w:p>
      <w:pPr>
        <w:ind w:left="100"/>
        <w:spacing w:after="0"/>
        <w:rPr>
          <w:sz w:val="20"/>
          <w:szCs w:val="20"/>
          <w:color w:val="auto"/>
        </w:rPr>
      </w:pPr>
      <w:r>
        <w:rPr>
          <w:rFonts w:ascii="Arial" w:cs="Arial" w:eastAsia="Arial" w:hAnsi="Arial"/>
          <w:sz w:val="17"/>
          <w:szCs w:val="17"/>
          <w:color w:val="auto"/>
        </w:rPr>
        <w:t>for each of the next five years and the five years thereafter are as follows:</w:t>
      </w:r>
    </w:p>
    <w:p>
      <w:pPr>
        <w:spacing w:after="0" w:line="55" w:lineRule="exact"/>
        <w:rPr>
          <w:sz w:val="20"/>
          <w:szCs w:val="20"/>
          <w:color w:val="auto"/>
        </w:rPr>
      </w:pPr>
    </w:p>
    <w:tbl>
      <w:tblPr>
        <w:tblLayout w:type="fixed"/>
        <w:tblInd w:w="100" w:type="dxa"/>
        <w:tblCellMar>
          <w:top w:w="0" w:type="dxa"/>
          <w:left w:w="0" w:type="dxa"/>
          <w:bottom w:w="0" w:type="dxa"/>
          <w:right w:w="0" w:type="dxa"/>
        </w:tblCellMar>
      </w:tblPr>
      <w:tr>
        <w:trPr>
          <w:trHeight w:val="203"/>
        </w:trPr>
        <w:tc>
          <w:tcPr>
            <w:tcW w:w="2580" w:type="dxa"/>
            <w:vAlign w:val="bottom"/>
          </w:tcPr>
          <w:p>
            <w:pPr>
              <w:spacing w:after="0"/>
              <w:rPr>
                <w:sz w:val="17"/>
                <w:szCs w:val="17"/>
                <w:color w:val="auto"/>
              </w:rPr>
            </w:pPr>
          </w:p>
        </w:tc>
        <w:tc>
          <w:tcPr>
            <w:tcW w:w="4120" w:type="dxa"/>
            <w:vAlign w:val="bottom"/>
          </w:tcPr>
          <w:p>
            <w:pPr>
              <w:ind w:left="3440"/>
              <w:spacing w:after="0"/>
              <w:rPr>
                <w:sz w:val="20"/>
                <w:szCs w:val="20"/>
                <w:color w:val="auto"/>
              </w:rPr>
            </w:pPr>
            <w:r>
              <w:rPr>
                <w:rFonts w:ascii="Arial" w:cs="Arial" w:eastAsia="Arial" w:hAnsi="Arial"/>
                <w:sz w:val="17"/>
                <w:szCs w:val="17"/>
                <w:b w:val="1"/>
                <w:bCs w:val="1"/>
                <w:color w:val="auto"/>
                <w:w w:val="99"/>
              </w:rPr>
              <w:t>Pension</w:t>
            </w: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b w:val="1"/>
                <w:bCs w:val="1"/>
                <w:color w:val="auto"/>
                <w:w w:val="99"/>
              </w:rPr>
              <w:t>Postretirement</w:t>
            </w:r>
          </w:p>
        </w:tc>
        <w:tc>
          <w:tcPr>
            <w:tcW w:w="40" w:type="dxa"/>
            <w:vAlign w:val="bottom"/>
          </w:tcPr>
          <w:p>
            <w:pPr>
              <w:spacing w:after="0"/>
              <w:rPr>
                <w:sz w:val="17"/>
                <w:szCs w:val="17"/>
                <w:color w:val="auto"/>
              </w:rPr>
            </w:pPr>
          </w:p>
        </w:tc>
      </w:tr>
      <w:tr>
        <w:trPr>
          <w:trHeight w:val="215"/>
        </w:trPr>
        <w:tc>
          <w:tcPr>
            <w:tcW w:w="258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tcPr>
          <w:p>
            <w:pPr>
              <w:ind w:left="3440"/>
              <w:spacing w:after="0"/>
              <w:rPr>
                <w:sz w:val="20"/>
                <w:szCs w:val="20"/>
                <w:color w:val="auto"/>
              </w:rPr>
            </w:pPr>
            <w:r>
              <w:rPr>
                <w:rFonts w:ascii="Arial" w:cs="Arial" w:eastAsia="Arial" w:hAnsi="Arial"/>
                <w:sz w:val="17"/>
                <w:szCs w:val="17"/>
                <w:b w:val="1"/>
                <w:bCs w:val="1"/>
                <w:color w:val="auto"/>
                <w:w w:val="98"/>
              </w:rPr>
              <w:t>Benefits</w:t>
            </w:r>
          </w:p>
        </w:tc>
        <w:tc>
          <w:tcPr>
            <w:tcW w:w="5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Benefits</w:t>
            </w:r>
          </w:p>
        </w:tc>
        <w:tc>
          <w:tcPr>
            <w:tcW w:w="40" w:type="dxa"/>
            <w:vAlign w:val="bottom"/>
          </w:tcPr>
          <w:p>
            <w:pPr>
              <w:spacing w:after="0"/>
              <w:rPr>
                <w:sz w:val="18"/>
                <w:szCs w:val="18"/>
                <w:color w:val="auto"/>
              </w:rPr>
            </w:pPr>
          </w:p>
        </w:tc>
      </w:tr>
      <w:tr>
        <w:trPr>
          <w:trHeight w:val="210"/>
        </w:trPr>
        <w:tc>
          <w:tcPr>
            <w:tcW w:w="25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120" w:type="dxa"/>
            <w:vAlign w:val="bottom"/>
            <w:gridSpan w:val="3"/>
          </w:tcPr>
          <w:p>
            <w:pPr>
              <w:jc w:val="right"/>
              <w:ind w:right="1015"/>
              <w:spacing w:after="0"/>
              <w:rPr>
                <w:sz w:val="20"/>
                <w:szCs w:val="20"/>
                <w:color w:val="auto"/>
              </w:rPr>
            </w:pPr>
            <w:r>
              <w:rPr>
                <w:rFonts w:ascii="Arial" w:cs="Arial" w:eastAsia="Arial" w:hAnsi="Arial"/>
                <w:sz w:val="17"/>
                <w:szCs w:val="17"/>
                <w:color w:val="auto"/>
                <w:w w:val="99"/>
              </w:rPr>
              <w:t>($ in millions)</w:t>
            </w:r>
          </w:p>
        </w:tc>
        <w:tc>
          <w:tcPr>
            <w:tcW w:w="40" w:type="dxa"/>
            <w:vAlign w:val="bottom"/>
          </w:tcPr>
          <w:p>
            <w:pPr>
              <w:spacing w:after="0"/>
              <w:rPr>
                <w:sz w:val="18"/>
                <w:szCs w:val="18"/>
                <w:color w:val="auto"/>
              </w:rPr>
            </w:pPr>
          </w:p>
        </w:tc>
      </w:tr>
      <w:tr>
        <w:trPr>
          <w:trHeight w:val="230"/>
        </w:trPr>
        <w:tc>
          <w:tcPr>
            <w:tcW w:w="2580" w:type="dxa"/>
            <w:vAlign w:val="bottom"/>
            <w:shd w:val="clear" w:color="auto" w:fill="CCEEFF"/>
          </w:tcPr>
          <w:p>
            <w:pPr>
              <w:spacing w:after="0"/>
              <w:rPr>
                <w:sz w:val="20"/>
                <w:szCs w:val="20"/>
                <w:color w:val="auto"/>
              </w:rPr>
            </w:pPr>
            <w:r>
              <w:rPr>
                <w:rFonts w:ascii="Arial" w:cs="Arial" w:eastAsia="Arial" w:hAnsi="Arial"/>
                <w:sz w:val="17"/>
                <w:szCs w:val="17"/>
                <w:color w:val="auto"/>
              </w:rPr>
              <w:t>2018</w:t>
            </w:r>
          </w:p>
        </w:tc>
        <w:tc>
          <w:tcPr>
            <w:tcW w:w="4120" w:type="dxa"/>
            <w:vAlign w:val="bottom"/>
            <w:shd w:val="clear" w:color="auto" w:fill="CCEEFF"/>
          </w:tcPr>
          <w:p>
            <w:pPr>
              <w:jc w:val="right"/>
              <w:ind w:right="895"/>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66</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9"/>
                <w:szCs w:val="19"/>
                <w:color w:val="auto"/>
              </w:rPr>
            </w:pPr>
          </w:p>
        </w:tc>
      </w:tr>
      <w:tr>
        <w:trPr>
          <w:trHeight w:val="230"/>
        </w:trPr>
        <w:tc>
          <w:tcPr>
            <w:tcW w:w="2580" w:type="dxa"/>
            <w:vAlign w:val="bottom"/>
          </w:tcPr>
          <w:p>
            <w:pPr>
              <w:spacing w:after="0"/>
              <w:rPr>
                <w:sz w:val="20"/>
                <w:szCs w:val="20"/>
                <w:color w:val="auto"/>
              </w:rPr>
            </w:pPr>
            <w:r>
              <w:rPr>
                <w:rFonts w:ascii="Arial" w:cs="Arial" w:eastAsia="Arial" w:hAnsi="Arial"/>
                <w:sz w:val="17"/>
                <w:szCs w:val="17"/>
                <w:color w:val="auto"/>
              </w:rPr>
              <w:t>2019</w:t>
            </w:r>
          </w:p>
        </w:tc>
        <w:tc>
          <w:tcPr>
            <w:tcW w:w="4120" w:type="dxa"/>
            <w:vAlign w:val="bottom"/>
          </w:tcPr>
          <w:p>
            <w:pPr>
              <w:spacing w:after="0"/>
              <w:rPr>
                <w:sz w:val="19"/>
                <w:szCs w:val="19"/>
                <w:color w:val="auto"/>
              </w:rPr>
            </w:pPr>
          </w:p>
        </w:tc>
        <w:tc>
          <w:tcPr>
            <w:tcW w:w="520" w:type="dxa"/>
            <w:vAlign w:val="bottom"/>
          </w:tcPr>
          <w:p>
            <w:pPr>
              <w:jc w:val="right"/>
              <w:ind w:right="95"/>
              <w:spacing w:after="0"/>
              <w:rPr>
                <w:sz w:val="20"/>
                <w:szCs w:val="20"/>
                <w:color w:val="auto"/>
              </w:rPr>
            </w:pPr>
            <w:r>
              <w:rPr>
                <w:rFonts w:ascii="Arial" w:cs="Arial" w:eastAsia="Arial" w:hAnsi="Arial"/>
                <w:sz w:val="17"/>
                <w:szCs w:val="17"/>
                <w:color w:val="auto"/>
              </w:rPr>
              <w:t>54</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9"/>
                <w:szCs w:val="19"/>
                <w:color w:val="auto"/>
              </w:rPr>
            </w:pPr>
          </w:p>
        </w:tc>
      </w:tr>
      <w:tr>
        <w:trPr>
          <w:trHeight w:val="230"/>
        </w:trPr>
        <w:tc>
          <w:tcPr>
            <w:tcW w:w="2580" w:type="dxa"/>
            <w:vAlign w:val="bottom"/>
            <w:shd w:val="clear" w:color="auto" w:fill="CCEEFF"/>
          </w:tcPr>
          <w:p>
            <w:pPr>
              <w:spacing w:after="0"/>
              <w:rPr>
                <w:sz w:val="20"/>
                <w:szCs w:val="20"/>
                <w:color w:val="auto"/>
              </w:rPr>
            </w:pPr>
            <w:r>
              <w:rPr>
                <w:rFonts w:ascii="Arial" w:cs="Arial" w:eastAsia="Arial" w:hAnsi="Arial"/>
                <w:sz w:val="17"/>
                <w:szCs w:val="17"/>
                <w:color w:val="auto"/>
              </w:rPr>
              <w:t>2020</w:t>
            </w:r>
          </w:p>
        </w:tc>
        <w:tc>
          <w:tcPr>
            <w:tcW w:w="4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53</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9"/>
                <w:szCs w:val="19"/>
                <w:color w:val="auto"/>
              </w:rPr>
            </w:pPr>
          </w:p>
        </w:tc>
      </w:tr>
      <w:tr>
        <w:trPr>
          <w:trHeight w:val="230"/>
        </w:trPr>
        <w:tc>
          <w:tcPr>
            <w:tcW w:w="2580" w:type="dxa"/>
            <w:vAlign w:val="bottom"/>
          </w:tcPr>
          <w:p>
            <w:pPr>
              <w:spacing w:after="0"/>
              <w:rPr>
                <w:sz w:val="20"/>
                <w:szCs w:val="20"/>
                <w:color w:val="auto"/>
              </w:rPr>
            </w:pPr>
            <w:r>
              <w:rPr>
                <w:rFonts w:ascii="Arial" w:cs="Arial" w:eastAsia="Arial" w:hAnsi="Arial"/>
                <w:sz w:val="17"/>
                <w:szCs w:val="17"/>
                <w:color w:val="auto"/>
              </w:rPr>
              <w:t>2021</w:t>
            </w:r>
          </w:p>
        </w:tc>
        <w:tc>
          <w:tcPr>
            <w:tcW w:w="4120" w:type="dxa"/>
            <w:vAlign w:val="bottom"/>
          </w:tcPr>
          <w:p>
            <w:pPr>
              <w:spacing w:after="0"/>
              <w:rPr>
                <w:sz w:val="19"/>
                <w:szCs w:val="19"/>
                <w:color w:val="auto"/>
              </w:rPr>
            </w:pPr>
          </w:p>
        </w:tc>
        <w:tc>
          <w:tcPr>
            <w:tcW w:w="520" w:type="dxa"/>
            <w:vAlign w:val="bottom"/>
          </w:tcPr>
          <w:p>
            <w:pPr>
              <w:jc w:val="right"/>
              <w:ind w:right="95"/>
              <w:spacing w:after="0"/>
              <w:rPr>
                <w:sz w:val="20"/>
                <w:szCs w:val="20"/>
                <w:color w:val="auto"/>
              </w:rPr>
            </w:pPr>
            <w:r>
              <w:rPr>
                <w:rFonts w:ascii="Arial" w:cs="Arial" w:eastAsia="Arial" w:hAnsi="Arial"/>
                <w:sz w:val="17"/>
                <w:szCs w:val="17"/>
                <w:color w:val="auto"/>
              </w:rPr>
              <w:t>52</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9"/>
                <w:szCs w:val="19"/>
                <w:color w:val="auto"/>
              </w:rPr>
            </w:pPr>
          </w:p>
        </w:tc>
      </w:tr>
      <w:tr>
        <w:trPr>
          <w:trHeight w:val="230"/>
        </w:trPr>
        <w:tc>
          <w:tcPr>
            <w:tcW w:w="2580" w:type="dxa"/>
            <w:vAlign w:val="bottom"/>
            <w:shd w:val="clear" w:color="auto" w:fill="CCEEFF"/>
          </w:tcPr>
          <w:p>
            <w:pPr>
              <w:spacing w:after="0"/>
              <w:rPr>
                <w:sz w:val="20"/>
                <w:szCs w:val="20"/>
                <w:color w:val="auto"/>
              </w:rPr>
            </w:pPr>
            <w:r>
              <w:rPr>
                <w:rFonts w:ascii="Arial" w:cs="Arial" w:eastAsia="Arial" w:hAnsi="Arial"/>
                <w:sz w:val="17"/>
                <w:szCs w:val="17"/>
                <w:color w:val="auto"/>
              </w:rPr>
              <w:t>2022</w:t>
            </w:r>
          </w:p>
        </w:tc>
        <w:tc>
          <w:tcPr>
            <w:tcW w:w="4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51</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9"/>
                <w:szCs w:val="19"/>
                <w:color w:val="auto"/>
              </w:rPr>
            </w:pPr>
          </w:p>
        </w:tc>
      </w:tr>
      <w:tr>
        <w:trPr>
          <w:trHeight w:val="230"/>
        </w:trPr>
        <w:tc>
          <w:tcPr>
            <w:tcW w:w="2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2023–2027</w:t>
            </w:r>
          </w:p>
        </w:tc>
        <w:tc>
          <w:tcPr>
            <w:tcW w:w="4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236</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9"/>
                <w:szCs w:val="19"/>
                <w:color w:val="auto"/>
              </w:rPr>
            </w:pPr>
          </w:p>
        </w:tc>
      </w:tr>
      <w:tr>
        <w:trPr>
          <w:trHeight w:val="408"/>
        </w:trPr>
        <w:tc>
          <w:tcPr>
            <w:tcW w:w="2580" w:type="dxa"/>
            <w:vAlign w:val="bottom"/>
          </w:tcPr>
          <w:p>
            <w:pPr>
              <w:spacing w:after="0"/>
              <w:rPr>
                <w:sz w:val="24"/>
                <w:szCs w:val="24"/>
                <w:color w:val="auto"/>
              </w:rPr>
            </w:pPr>
          </w:p>
        </w:tc>
        <w:tc>
          <w:tcPr>
            <w:tcW w:w="4120" w:type="dxa"/>
            <w:vAlign w:val="bottom"/>
          </w:tcPr>
          <w:p>
            <w:pPr>
              <w:jc w:val="right"/>
              <w:ind w:right="2115"/>
              <w:spacing w:after="0"/>
              <w:rPr>
                <w:sz w:val="20"/>
                <w:szCs w:val="20"/>
                <w:color w:val="auto"/>
              </w:rPr>
            </w:pPr>
            <w:r>
              <w:rPr>
                <w:rFonts w:ascii="Arial" w:cs="Arial" w:eastAsia="Arial" w:hAnsi="Arial"/>
                <w:sz w:val="17"/>
                <w:szCs w:val="17"/>
                <w:color w:val="auto"/>
              </w:rPr>
              <w:t>68</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2"/>
        </w:trPr>
        <w:tc>
          <w:tcPr>
            <w:tcW w:w="258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r>
        <w:trPr>
          <w:trHeight w:val="20"/>
        </w:trPr>
        <w:tc>
          <w:tcPr>
            <w:tcW w:w="2580" w:type="dxa"/>
            <w:vAlign w:val="bottom"/>
            <w:tcBorders>
              <w:bottom w:val="single" w:sz="8" w:color="EEEEEE"/>
            </w:tcBorders>
          </w:tcPr>
          <w:p>
            <w:pPr>
              <w:spacing w:after="0" w:line="20" w:lineRule="exact"/>
              <w:rPr>
                <w:sz w:val="1"/>
                <w:szCs w:val="1"/>
                <w:color w:val="auto"/>
              </w:rPr>
            </w:pPr>
          </w:p>
        </w:tc>
        <w:tc>
          <w:tcPr>
            <w:tcW w:w="412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3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5"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Savings Plans</w:t>
      </w:r>
    </w:p>
    <w:p>
      <w:pPr>
        <w:spacing w:after="0" w:line="201" w:lineRule="exact"/>
        <w:rPr>
          <w:sz w:val="20"/>
          <w:szCs w:val="20"/>
          <w:color w:val="auto"/>
        </w:rPr>
      </w:pPr>
    </w:p>
    <w:p>
      <w:pPr>
        <w:jc w:val="both"/>
        <w:ind w:left="100" w:right="99"/>
        <w:spacing w:after="0" w:line="233" w:lineRule="auto"/>
        <w:rPr>
          <w:sz w:val="20"/>
          <w:szCs w:val="20"/>
          <w:color w:val="auto"/>
        </w:rPr>
      </w:pPr>
      <w:r>
        <w:rPr>
          <w:rFonts w:ascii="Arial" w:cs="Arial" w:eastAsia="Arial" w:hAnsi="Arial"/>
          <w:sz w:val="17"/>
          <w:szCs w:val="17"/>
          <w:color w:val="auto"/>
        </w:rPr>
        <w:t>The Company has two qualified savings plans, a 401(k) plan that is available to employees whose primary place of employment is the U.S., and another plan that is available to employees whose primary place of employment is in Puerto Rico. Prior to January 1, 2018, both plans limited participation to employees who had attained at least the age of twenty-one and have completed one year of service consisting of at least 1,000 hours. Effective January 1, 2018, eligible associates may contribute to the plans following 28 days of employment and are eligible for Company matching contributions upon completion of one year of service consisting of at least 1,000 hours. As of January 1, 2018, the savings plans allow eligible employees to contribute up to 40 percent of their compensation on a pre-tax basis, subject to a maximum of $18,500 for the U.S. plan and $15,000 for the Puerto Rico plan. The Company matches 25 percent of employees’ pre-tax contributions on up to the first 4 percent of the employees’ compensation (subject to certain limitations). Matching contributions made before January 1, 2016 were made with Company stock, subsequent to this date matching contributions were made in cash. Such matching contributions are vested incrementally over the first 5 years of participation for both plans. The charge to operations for the Company’s matching contribution was $3 million for each of the years presented.</w:t>
      </w:r>
    </w:p>
    <w:p>
      <w:pPr>
        <w:spacing w:after="0" w:line="16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21. Share-Based Compensation</w:t>
      </w:r>
    </w:p>
    <w:p>
      <w:pPr>
        <w:spacing w:after="0" w:line="183"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Stock Awards</w:t>
      </w:r>
    </w:p>
    <w:p>
      <w:pPr>
        <w:spacing w:after="0" w:line="201"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Under the Company’s 2007 Stock Incentive Plan (the “2007 Stock Plan”), stock options, restricted stock, restricted stock units, stock appreciation rights, or other stock-based awards may be granted to officers and other employees of the Company, including its subsidiaries and operating divisions worldwide. Nonemployee directors are also eligible to receive stock options under this plan, although none are outstanding as of February 3, 2018. Options for employees become exercisable in substantially equal annual installments over a three-year period, beginning with the first anniversary of the date of grant of the option, unless a shorter or longer duration is established at the time of the option grant. The options terminate up to ten years from the date of grant. On May 21, 2014, the 2007 Stock Plan was amended to increase the number of shares of the Company’s common stock reserved for all awards to 14 million shares. As of February 3, 2018, there were 10,760,270 shares available for issuance under this plan.</w:t>
      </w:r>
    </w:p>
    <w:p>
      <w:pPr>
        <w:spacing w:after="0" w:line="157"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Employees Stock Purchase Plan</w:t>
      </w:r>
    </w:p>
    <w:p>
      <w:pPr>
        <w:spacing w:after="0" w:line="201"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Under the Company’s 2013 Foot Locker Employees Stock Purchase Plan (“ESPP”), participating employees are able to contribute up to 10 percent of their annual compensation, not to exceed $25,000 in any plan year, through payroll deductions to acquire shares of the Company’s common stock at 85 percent of the lower market price on one of two specified dates in each plan year. Of the 3,000,000 shares of common stock authorized under this plan, there were 2,523,865 shares available for purchase as of February 3, 2018. During 2017 and 2016, participating employees purchased 109,790 shares and 80,992 shares, respectively.</w:t>
      </w:r>
    </w:p>
    <w:p>
      <w:pPr>
        <w:spacing w:after="0" w:line="157"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Share-Based Compensation Expense</w:t>
      </w:r>
    </w:p>
    <w:p>
      <w:pPr>
        <w:spacing w:after="0" w:line="201"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Total compensation expense included in SG&amp;A and the associated tax benefits recognized related to the Company’s share-based compensation plans were as follows:</w:t>
      </w:r>
    </w:p>
    <w:p>
      <w:pPr>
        <w:spacing w:after="0" w:line="70"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39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3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color w:val="auto"/>
              </w:rPr>
              <w:t>2016</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rPr>
              <w:t>2015</w:t>
            </w:r>
          </w:p>
        </w:tc>
        <w:tc>
          <w:tcPr>
            <w:tcW w:w="40" w:type="dxa"/>
            <w:vAlign w:val="bottom"/>
          </w:tcPr>
          <w:p>
            <w:pPr>
              <w:spacing w:after="0"/>
              <w:rPr>
                <w:sz w:val="18"/>
                <w:szCs w:val="18"/>
                <w:color w:val="auto"/>
              </w:rPr>
            </w:pPr>
          </w:p>
        </w:tc>
      </w:tr>
      <w:tr>
        <w:trPr>
          <w:trHeight w:val="210"/>
        </w:trPr>
        <w:tc>
          <w:tcPr>
            <w:tcW w:w="39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Arial" w:cs="Arial" w:eastAsia="Arial" w:hAnsi="Arial"/>
                <w:sz w:val="17"/>
                <w:szCs w:val="17"/>
                <w:color w:val="auto"/>
              </w:rPr>
              <w:t>($ in millions)</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Options and shares purchased under the ESPP</w:t>
            </w:r>
          </w:p>
        </w:tc>
        <w:tc>
          <w:tcPr>
            <w:tcW w:w="2140" w:type="dxa"/>
            <w:vAlign w:val="bottom"/>
            <w:shd w:val="clear" w:color="auto" w:fill="CCEEFF"/>
          </w:tcPr>
          <w:p>
            <w:pPr>
              <w:jc w:val="right"/>
              <w:ind w:right="535"/>
              <w:spacing w:after="0"/>
              <w:rPr>
                <w:sz w:val="20"/>
                <w:szCs w:val="20"/>
                <w:color w:val="auto"/>
              </w:rPr>
            </w:pPr>
            <w:r>
              <w:rPr>
                <w:rFonts w:ascii="Arial" w:cs="Arial" w:eastAsia="Arial" w:hAnsi="Arial"/>
                <w:sz w:val="17"/>
                <w:szCs w:val="17"/>
                <w:b w:val="1"/>
                <w:bCs w:val="1"/>
                <w:color w:val="auto"/>
              </w:rPr>
              <w:t>$</w:t>
            </w:r>
          </w:p>
        </w:tc>
        <w:tc>
          <w:tcPr>
            <w:tcW w:w="3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9</w:t>
            </w:r>
          </w:p>
        </w:tc>
        <w:tc>
          <w:tcPr>
            <w:tcW w:w="3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10</w:t>
            </w:r>
          </w:p>
        </w:tc>
        <w:tc>
          <w:tcPr>
            <w:tcW w:w="3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40" w:type="dxa"/>
            <w:vAlign w:val="bottom"/>
          </w:tcPr>
          <w:p>
            <w:pPr>
              <w:spacing w:after="0"/>
              <w:rPr>
                <w:sz w:val="19"/>
                <w:szCs w:val="19"/>
                <w:color w:val="auto"/>
              </w:rPr>
            </w:pPr>
          </w:p>
        </w:tc>
      </w:tr>
      <w:tr>
        <w:trPr>
          <w:trHeight w:val="230"/>
        </w:trPr>
        <w:tc>
          <w:tcPr>
            <w:tcW w:w="3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Restricted stock and restricted stock units</w:t>
            </w:r>
          </w:p>
        </w:tc>
        <w:tc>
          <w:tcPr>
            <w:tcW w:w="2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6</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12</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40" w:type="dxa"/>
            <w:vAlign w:val="bottom"/>
          </w:tcPr>
          <w:p>
            <w:pPr>
              <w:spacing w:after="0"/>
              <w:rPr>
                <w:sz w:val="19"/>
                <w:szCs w:val="19"/>
                <w:color w:val="auto"/>
              </w:rPr>
            </w:pPr>
          </w:p>
        </w:tc>
      </w:tr>
      <w:tr>
        <w:trPr>
          <w:trHeight w:val="203"/>
        </w:trPr>
        <w:tc>
          <w:tcPr>
            <w:tcW w:w="3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 share-based compensation expense</w:t>
            </w:r>
          </w:p>
        </w:tc>
        <w:tc>
          <w:tcPr>
            <w:tcW w:w="2140" w:type="dxa"/>
            <w:vAlign w:val="bottom"/>
            <w:tcBorders>
              <w:bottom w:val="single" w:sz="8" w:color="auto"/>
            </w:tcBorders>
            <w:shd w:val="clear" w:color="auto" w:fill="CCEEFF"/>
          </w:tcPr>
          <w:p>
            <w:pPr>
              <w:jc w:val="right"/>
              <w:ind w:right="535"/>
              <w:spacing w:after="0"/>
              <w:rPr>
                <w:sz w:val="20"/>
                <w:szCs w:val="20"/>
                <w:color w:val="auto"/>
              </w:rPr>
            </w:pPr>
            <w:r>
              <w:rPr>
                <w:rFonts w:ascii="Arial" w:cs="Arial" w:eastAsia="Arial" w:hAnsi="Arial"/>
                <w:sz w:val="17"/>
                <w:szCs w:val="17"/>
                <w:b w:val="1"/>
                <w:bCs w:val="1"/>
                <w:color w:val="auto"/>
              </w:rPr>
              <w:t>$</w:t>
            </w:r>
          </w:p>
        </w:tc>
        <w:tc>
          <w:tcPr>
            <w:tcW w:w="3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15</w:t>
            </w:r>
          </w:p>
        </w:tc>
        <w:tc>
          <w:tcPr>
            <w:tcW w:w="3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22</w:t>
            </w:r>
          </w:p>
        </w:tc>
        <w:tc>
          <w:tcPr>
            <w:tcW w:w="3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40" w:type="dxa"/>
            <w:vAlign w:val="bottom"/>
          </w:tcPr>
          <w:p>
            <w:pPr>
              <w:spacing w:after="0"/>
              <w:rPr>
                <w:sz w:val="17"/>
                <w:szCs w:val="17"/>
                <w:color w:val="auto"/>
              </w:rPr>
            </w:pPr>
          </w:p>
        </w:tc>
      </w:tr>
      <w:tr>
        <w:trPr>
          <w:trHeight w:val="216"/>
        </w:trPr>
        <w:tc>
          <w:tcPr>
            <w:tcW w:w="39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Tax benefit recognized</w:t>
            </w:r>
          </w:p>
        </w:tc>
        <w:tc>
          <w:tcPr>
            <w:tcW w:w="2140" w:type="dxa"/>
            <w:vAlign w:val="bottom"/>
            <w:tcBorders>
              <w:bottom w:val="single" w:sz="8" w:color="auto"/>
            </w:tcBorders>
            <w:shd w:val="clear" w:color="auto" w:fill="CCEEFF"/>
          </w:tcPr>
          <w:p>
            <w:pPr>
              <w:jc w:val="right"/>
              <w:ind w:right="535"/>
              <w:spacing w:after="0"/>
              <w:rPr>
                <w:sz w:val="20"/>
                <w:szCs w:val="20"/>
                <w:color w:val="auto"/>
              </w:rPr>
            </w:pPr>
            <w:r>
              <w:rPr>
                <w:rFonts w:ascii="Arial" w:cs="Arial" w:eastAsia="Arial" w:hAnsi="Arial"/>
                <w:sz w:val="17"/>
                <w:szCs w:val="17"/>
                <w:b w:val="1"/>
                <w:bCs w:val="1"/>
                <w:color w:val="auto"/>
              </w:rPr>
              <w:t>$</w:t>
            </w:r>
          </w:p>
        </w:tc>
        <w:tc>
          <w:tcPr>
            <w:tcW w:w="3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4</w:t>
            </w:r>
          </w:p>
        </w:tc>
        <w:tc>
          <w:tcPr>
            <w:tcW w:w="3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6</w:t>
            </w:r>
          </w:p>
        </w:tc>
        <w:tc>
          <w:tcPr>
            <w:tcW w:w="3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40" w:type="dxa"/>
            <w:vAlign w:val="bottom"/>
          </w:tcPr>
          <w:p>
            <w:pPr>
              <w:spacing w:after="0"/>
              <w:rPr>
                <w:sz w:val="19"/>
                <w:szCs w:val="19"/>
                <w:color w:val="auto"/>
              </w:rPr>
            </w:pPr>
          </w:p>
        </w:tc>
      </w:tr>
      <w:tr>
        <w:trPr>
          <w:trHeight w:val="597"/>
        </w:trPr>
        <w:tc>
          <w:tcPr>
            <w:tcW w:w="3960" w:type="dxa"/>
            <w:vAlign w:val="bottom"/>
          </w:tcPr>
          <w:p>
            <w:pPr>
              <w:spacing w:after="0"/>
              <w:rPr>
                <w:sz w:val="24"/>
                <w:szCs w:val="24"/>
                <w:color w:val="auto"/>
              </w:rPr>
            </w:pPr>
          </w:p>
        </w:tc>
        <w:tc>
          <w:tcPr>
            <w:tcW w:w="2140" w:type="dxa"/>
            <w:vAlign w:val="bottom"/>
          </w:tcPr>
          <w:p>
            <w:pPr>
              <w:jc w:val="right"/>
              <w:ind w:right="1515"/>
              <w:spacing w:after="0"/>
              <w:rPr>
                <w:sz w:val="20"/>
                <w:szCs w:val="20"/>
                <w:color w:val="auto"/>
              </w:rPr>
            </w:pPr>
            <w:r>
              <w:rPr>
                <w:rFonts w:ascii="Arial" w:cs="Arial" w:eastAsia="Arial" w:hAnsi="Arial"/>
                <w:sz w:val="17"/>
                <w:szCs w:val="17"/>
                <w:color w:val="auto"/>
              </w:rPr>
              <w:t>69</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2"/>
        </w:trPr>
        <w:tc>
          <w:tcPr>
            <w:tcW w:w="396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r>
        <w:trPr>
          <w:trHeight w:val="20"/>
        </w:trPr>
        <w:tc>
          <w:tcPr>
            <w:tcW w:w="3960" w:type="dxa"/>
            <w:vAlign w:val="bottom"/>
            <w:tcBorders>
              <w:bottom w:val="single" w:sz="8" w:color="EEEEEE"/>
            </w:tcBorders>
          </w:tcPr>
          <w:p>
            <w:pPr>
              <w:spacing w:after="0" w:line="20" w:lineRule="exact"/>
              <w:rPr>
                <w:sz w:val="1"/>
                <w:szCs w:val="1"/>
                <w:color w:val="auto"/>
              </w:rPr>
            </w:pPr>
          </w:p>
        </w:tc>
        <w:tc>
          <w:tcPr>
            <w:tcW w:w="214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5"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Valuation Model and Assumptions</w:t>
      </w:r>
    </w:p>
    <w:p>
      <w:pPr>
        <w:spacing w:after="0" w:line="201"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The Black-Scholes option-pricing model is used to estimate the fair value of share-based awards. The Black-Scholes option-pricing model incorporates various and highly subjective assumptions, including expected term and expected volatility.</w:t>
      </w:r>
    </w:p>
    <w:p>
      <w:pPr>
        <w:spacing w:after="0" w:line="175"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The Company estimates the expected term of share-based awards using the Company’s historical exercise and post-vesting employment termination patterns, which it believes are representative of future behavior. The expected term for the employee stock purchase plan valuation is based on the length of each purchase period as measured at the beginning of the offering period, which is one year.</w:t>
      </w:r>
    </w:p>
    <w:p>
      <w:pPr>
        <w:spacing w:after="0" w:line="177"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The Company estimates the expected volatility of its common stock at the grant date using a weighted-average of the Company’s historical volatility and implied volatility from traded options on the Company’s common stock. The Company believes that this combination of historical volatility and implied volatility provides a better estimate of future stock price volatility.</w:t>
      </w:r>
    </w:p>
    <w:p>
      <w:pPr>
        <w:spacing w:after="0" w:line="177"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The risk-free interest rate assumption is determined using the Federal Reserve nominal rates for U.S. Treasury zero-coupon bonds with maturities similar to those of the expected term of the award being valued. The expected dividend yield is derived from the Company’s historical experience.</w:t>
      </w:r>
    </w:p>
    <w:p>
      <w:pPr>
        <w:spacing w:after="0" w:line="175"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As of Q1 2017, in connection with the adoption of ASU 2016-09, we have made the accounting policy election to discontinue estimating forfeitures and will account for forfeitures as they occur. Prior to 2017, the Company recorded share-based compensation expense only for those awards expected to vest using an estimated forfeiture rate based on its historical pre-vesting forfeiture data.</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following table shows the Company’s assumptions used to compute the share-based compensation expense:</w:t>
      </w:r>
    </w:p>
    <w:p>
      <w:pPr>
        <w:spacing w:after="0" w:line="82"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278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3"/>
          </w:tcPr>
          <w:p>
            <w:pPr>
              <w:jc w:val="right"/>
              <w:ind w:right="595"/>
              <w:spacing w:after="0"/>
              <w:rPr>
                <w:sz w:val="20"/>
                <w:szCs w:val="20"/>
                <w:color w:val="auto"/>
              </w:rPr>
            </w:pPr>
            <w:r>
              <w:rPr>
                <w:rFonts w:ascii="Arial" w:cs="Arial" w:eastAsia="Arial" w:hAnsi="Arial"/>
                <w:sz w:val="17"/>
                <w:szCs w:val="17"/>
                <w:b w:val="1"/>
                <w:bCs w:val="1"/>
                <w:color w:val="auto"/>
              </w:rPr>
              <w:t>Stock Option Plans</w:t>
            </w:r>
          </w:p>
        </w:tc>
        <w:tc>
          <w:tcPr>
            <w:tcW w:w="2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3"/>
          </w:tcPr>
          <w:p>
            <w:pPr>
              <w:jc w:val="right"/>
              <w:ind w:right="455"/>
              <w:spacing w:after="0"/>
              <w:rPr>
                <w:sz w:val="20"/>
                <w:szCs w:val="20"/>
                <w:color w:val="auto"/>
              </w:rPr>
            </w:pPr>
            <w:r>
              <w:rPr>
                <w:rFonts w:ascii="Arial" w:cs="Arial" w:eastAsia="Arial" w:hAnsi="Arial"/>
                <w:sz w:val="17"/>
                <w:szCs w:val="17"/>
                <w:b w:val="1"/>
                <w:bCs w:val="1"/>
                <w:color w:val="auto"/>
              </w:rPr>
              <w:t>Stock Purchase Plan</w:t>
            </w:r>
          </w:p>
        </w:tc>
        <w:tc>
          <w:tcPr>
            <w:tcW w:w="0" w:type="dxa"/>
            <w:vAlign w:val="bottom"/>
          </w:tcPr>
          <w:p>
            <w:pPr>
              <w:spacing w:after="0"/>
              <w:rPr>
                <w:sz w:val="1"/>
                <w:szCs w:val="1"/>
                <w:color w:val="auto"/>
              </w:rPr>
            </w:pPr>
          </w:p>
        </w:tc>
      </w:tr>
      <w:tr>
        <w:trPr>
          <w:trHeight w:val="210"/>
        </w:trPr>
        <w:tc>
          <w:tcPr>
            <w:tcW w:w="27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2017</w:t>
            </w:r>
          </w:p>
        </w:tc>
        <w:tc>
          <w:tcPr>
            <w:tcW w:w="102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2016</w:t>
            </w:r>
          </w:p>
        </w:tc>
        <w:tc>
          <w:tcPr>
            <w:tcW w:w="100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2015</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2017</w:t>
            </w:r>
          </w:p>
        </w:tc>
        <w:tc>
          <w:tcPr>
            <w:tcW w:w="98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rPr>
              <w:t>2016</w:t>
            </w:r>
          </w:p>
        </w:tc>
        <w:tc>
          <w:tcPr>
            <w:tcW w:w="96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2015</w:t>
            </w:r>
          </w:p>
        </w:tc>
        <w:tc>
          <w:tcPr>
            <w:tcW w:w="0" w:type="dxa"/>
            <w:vAlign w:val="bottom"/>
          </w:tcPr>
          <w:p>
            <w:pPr>
              <w:spacing w:after="0"/>
              <w:rPr>
                <w:sz w:val="1"/>
                <w:szCs w:val="1"/>
                <w:color w:val="auto"/>
              </w:rPr>
            </w:pPr>
          </w:p>
        </w:tc>
      </w:tr>
      <w:tr>
        <w:trPr>
          <w:trHeight w:val="217"/>
        </w:trPr>
        <w:tc>
          <w:tcPr>
            <w:tcW w:w="278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risk free rate of</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2.1 %</w:t>
            </w:r>
          </w:p>
        </w:tc>
        <w:tc>
          <w:tcPr>
            <w:tcW w:w="1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1.0 %</w:t>
            </w:r>
          </w:p>
        </w:tc>
        <w:tc>
          <w:tcPr>
            <w:tcW w:w="9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7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interest</w:t>
            </w:r>
          </w:p>
        </w:tc>
        <w:tc>
          <w:tcPr>
            <w:tcW w:w="1100" w:type="dxa"/>
            <w:vAlign w:val="bottom"/>
            <w:vMerge w:val="continue"/>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1.4 %</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1.5 %</w:t>
            </w:r>
          </w:p>
        </w:tc>
        <w:tc>
          <w:tcPr>
            <w:tcW w:w="2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0.5 %</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0.2 %</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r>
              <w:rPr>
                <w:rFonts w:ascii="Arial" w:cs="Arial" w:eastAsia="Arial" w:hAnsi="Arial"/>
                <w:sz w:val="17"/>
                <w:szCs w:val="17"/>
                <w:color w:val="auto"/>
              </w:rPr>
              <w:t>Expected volatility</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25 %</w:t>
            </w:r>
          </w:p>
        </w:tc>
        <w:tc>
          <w:tcPr>
            <w:tcW w:w="1020" w:type="dxa"/>
            <w:vAlign w:val="bottom"/>
          </w:tcPr>
          <w:p>
            <w:pPr>
              <w:jc w:val="right"/>
              <w:spacing w:after="0"/>
              <w:rPr>
                <w:sz w:val="20"/>
                <w:szCs w:val="20"/>
                <w:color w:val="auto"/>
              </w:rPr>
            </w:pPr>
            <w:r>
              <w:rPr>
                <w:rFonts w:ascii="Arial" w:cs="Arial" w:eastAsia="Arial" w:hAnsi="Arial"/>
                <w:sz w:val="17"/>
                <w:szCs w:val="17"/>
                <w:color w:val="auto"/>
              </w:rPr>
              <w:t>30 %</w:t>
            </w:r>
          </w:p>
        </w:tc>
        <w:tc>
          <w:tcPr>
            <w:tcW w:w="1000" w:type="dxa"/>
            <w:vAlign w:val="bottom"/>
          </w:tcPr>
          <w:p>
            <w:pPr>
              <w:jc w:val="right"/>
              <w:spacing w:after="0"/>
              <w:rPr>
                <w:sz w:val="20"/>
                <w:szCs w:val="20"/>
                <w:color w:val="auto"/>
              </w:rPr>
            </w:pPr>
            <w:r>
              <w:rPr>
                <w:rFonts w:ascii="Arial" w:cs="Arial" w:eastAsia="Arial" w:hAnsi="Arial"/>
                <w:sz w:val="17"/>
                <w:szCs w:val="17"/>
                <w:color w:val="auto"/>
              </w:rPr>
              <w:t>30 %</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30 %</w:t>
            </w:r>
          </w:p>
        </w:tc>
        <w:tc>
          <w:tcPr>
            <w:tcW w:w="980" w:type="dxa"/>
            <w:vAlign w:val="bottom"/>
          </w:tcPr>
          <w:p>
            <w:pPr>
              <w:jc w:val="right"/>
              <w:spacing w:after="0"/>
              <w:rPr>
                <w:sz w:val="20"/>
                <w:szCs w:val="20"/>
                <w:color w:val="auto"/>
              </w:rPr>
            </w:pPr>
            <w:r>
              <w:rPr>
                <w:rFonts w:ascii="Arial" w:cs="Arial" w:eastAsia="Arial" w:hAnsi="Arial"/>
                <w:sz w:val="17"/>
                <w:szCs w:val="17"/>
                <w:color w:val="auto"/>
              </w:rPr>
              <w:t>27 %</w:t>
            </w:r>
          </w:p>
        </w:tc>
        <w:tc>
          <w:tcPr>
            <w:tcW w:w="960" w:type="dxa"/>
            <w:vAlign w:val="bottom"/>
          </w:tcPr>
          <w:p>
            <w:pPr>
              <w:jc w:val="right"/>
              <w:spacing w:after="0"/>
              <w:rPr>
                <w:sz w:val="20"/>
                <w:szCs w:val="20"/>
                <w:color w:val="auto"/>
              </w:rPr>
            </w:pPr>
            <w:r>
              <w:rPr>
                <w:rFonts w:ascii="Arial" w:cs="Arial" w:eastAsia="Arial" w:hAnsi="Arial"/>
                <w:sz w:val="17"/>
                <w:szCs w:val="17"/>
                <w:color w:val="auto"/>
              </w:rPr>
              <w:t>25 %</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expected award</w:t>
            </w:r>
          </w:p>
        </w:tc>
        <w:tc>
          <w:tcPr>
            <w:tcW w:w="1100" w:type="dxa"/>
            <w:vAlign w:val="bottom"/>
            <w:vMerge w:val="restart"/>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5.4</w:t>
            </w:r>
          </w:p>
        </w:tc>
        <w:tc>
          <w:tcPr>
            <w:tcW w:w="1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1.0</w:t>
            </w:r>
          </w:p>
        </w:tc>
        <w:tc>
          <w:tcPr>
            <w:tcW w:w="9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7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life (in years)</w:t>
            </w:r>
          </w:p>
        </w:tc>
        <w:tc>
          <w:tcPr>
            <w:tcW w:w="1100" w:type="dxa"/>
            <w:vAlign w:val="bottom"/>
            <w:vMerge w:val="continue"/>
            <w:shd w:val="clear" w:color="auto" w:fill="CCEEFF"/>
          </w:tcPr>
          <w:p>
            <w:pPr>
              <w:spacing w:after="0"/>
              <w:rPr>
                <w:sz w:val="16"/>
                <w:szCs w:val="16"/>
                <w:color w:val="auto"/>
              </w:rPr>
            </w:pPr>
          </w:p>
        </w:tc>
        <w:tc>
          <w:tcPr>
            <w:tcW w:w="102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5.7</w:t>
            </w:r>
          </w:p>
        </w:tc>
        <w:tc>
          <w:tcPr>
            <w:tcW w:w="10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6.0</w:t>
            </w:r>
          </w:p>
        </w:tc>
        <w:tc>
          <w:tcPr>
            <w:tcW w:w="2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98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1.0</w:t>
            </w:r>
          </w:p>
        </w:tc>
        <w:tc>
          <w:tcPr>
            <w:tcW w:w="9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r>
              <w:rPr>
                <w:rFonts w:ascii="Arial" w:cs="Arial" w:eastAsia="Arial" w:hAnsi="Arial"/>
                <w:sz w:val="17"/>
                <w:szCs w:val="17"/>
                <w:color w:val="auto"/>
              </w:rPr>
              <w:t>Dividend yield</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1.9 %</w:t>
            </w:r>
          </w:p>
        </w:tc>
        <w:tc>
          <w:tcPr>
            <w:tcW w:w="1020" w:type="dxa"/>
            <w:vAlign w:val="bottom"/>
          </w:tcPr>
          <w:p>
            <w:pPr>
              <w:jc w:val="right"/>
              <w:spacing w:after="0"/>
              <w:rPr>
                <w:sz w:val="20"/>
                <w:szCs w:val="20"/>
                <w:color w:val="auto"/>
              </w:rPr>
            </w:pPr>
            <w:r>
              <w:rPr>
                <w:rFonts w:ascii="Arial" w:cs="Arial" w:eastAsia="Arial" w:hAnsi="Arial"/>
                <w:sz w:val="17"/>
                <w:szCs w:val="17"/>
                <w:color w:val="auto"/>
              </w:rPr>
              <w:t>1.7 %</w:t>
            </w:r>
          </w:p>
        </w:tc>
        <w:tc>
          <w:tcPr>
            <w:tcW w:w="1000" w:type="dxa"/>
            <w:vAlign w:val="bottom"/>
          </w:tcPr>
          <w:p>
            <w:pPr>
              <w:jc w:val="right"/>
              <w:spacing w:after="0"/>
              <w:rPr>
                <w:sz w:val="20"/>
                <w:szCs w:val="20"/>
                <w:color w:val="auto"/>
              </w:rPr>
            </w:pPr>
            <w:r>
              <w:rPr>
                <w:rFonts w:ascii="Arial" w:cs="Arial" w:eastAsia="Arial" w:hAnsi="Arial"/>
                <w:sz w:val="17"/>
                <w:szCs w:val="17"/>
                <w:color w:val="auto"/>
              </w:rPr>
              <w:t>1.6 %</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2.0 %</w:t>
            </w:r>
          </w:p>
        </w:tc>
        <w:tc>
          <w:tcPr>
            <w:tcW w:w="980" w:type="dxa"/>
            <w:vAlign w:val="bottom"/>
          </w:tcPr>
          <w:p>
            <w:pPr>
              <w:jc w:val="right"/>
              <w:spacing w:after="0"/>
              <w:rPr>
                <w:sz w:val="20"/>
                <w:szCs w:val="20"/>
                <w:color w:val="auto"/>
              </w:rPr>
            </w:pPr>
            <w:r>
              <w:rPr>
                <w:rFonts w:ascii="Arial" w:cs="Arial" w:eastAsia="Arial" w:hAnsi="Arial"/>
                <w:sz w:val="17"/>
                <w:szCs w:val="17"/>
                <w:color w:val="auto"/>
              </w:rPr>
              <w:t>1.8 %</w:t>
            </w:r>
          </w:p>
        </w:tc>
        <w:tc>
          <w:tcPr>
            <w:tcW w:w="960" w:type="dxa"/>
            <w:vAlign w:val="bottom"/>
          </w:tcPr>
          <w:p>
            <w:pPr>
              <w:jc w:val="right"/>
              <w:spacing w:after="0"/>
              <w:rPr>
                <w:sz w:val="20"/>
                <w:szCs w:val="20"/>
                <w:color w:val="auto"/>
              </w:rPr>
            </w:pPr>
            <w:r>
              <w:rPr>
                <w:rFonts w:ascii="Arial" w:cs="Arial" w:eastAsia="Arial" w:hAnsi="Arial"/>
                <w:sz w:val="17"/>
                <w:szCs w:val="17"/>
                <w:color w:val="auto"/>
              </w:rPr>
              <w:t>1.6 %</w:t>
            </w:r>
          </w:p>
        </w:tc>
        <w:tc>
          <w:tcPr>
            <w:tcW w:w="0" w:type="dxa"/>
            <w:vAlign w:val="bottom"/>
          </w:tcPr>
          <w:p>
            <w:pPr>
              <w:spacing w:after="0"/>
              <w:rPr>
                <w:sz w:val="1"/>
                <w:szCs w:val="1"/>
                <w:color w:val="auto"/>
              </w:rPr>
            </w:pPr>
          </w:p>
        </w:tc>
      </w:tr>
      <w:tr>
        <w:trPr>
          <w:trHeight w:val="230"/>
        </w:trPr>
        <w:tc>
          <w:tcPr>
            <w:tcW w:w="2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Weighted-average fair value</w:t>
            </w:r>
          </w:p>
        </w:tc>
        <w:tc>
          <w:tcPr>
            <w:tcW w:w="110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  14.74</w:t>
            </w:r>
          </w:p>
        </w:tc>
        <w:tc>
          <w:tcPr>
            <w:tcW w:w="10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  15.71</w:t>
            </w:r>
          </w:p>
        </w:tc>
        <w:tc>
          <w:tcPr>
            <w:tcW w:w="100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  16.07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8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10.96</w:t>
            </w:r>
          </w:p>
        </w:tc>
        <w:tc>
          <w:tcPr>
            <w:tcW w:w="98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  13.33</w:t>
            </w:r>
          </w:p>
        </w:tc>
        <w:tc>
          <w:tcPr>
            <w:tcW w:w="9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  10.47</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information set forth in the following table covers options granted under the Company’s stock option plans:</w:t>
      </w:r>
    </w:p>
    <w:p>
      <w:pPr>
        <w:spacing w:after="0" w:line="365"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7"/>
                <w:szCs w:val="17"/>
                <w:b w:val="1"/>
                <w:bCs w:val="1"/>
                <w:color w:val="auto"/>
                <w:w w:val="99"/>
              </w:rPr>
              <w:t>Weighted-</w:t>
            </w:r>
          </w:p>
        </w:tc>
        <w:tc>
          <w:tcPr>
            <w:tcW w:w="400" w:type="dxa"/>
            <w:vAlign w:val="bottom"/>
          </w:tcPr>
          <w:p>
            <w:pPr>
              <w:spacing w:after="0"/>
              <w:rPr>
                <w:sz w:val="18"/>
                <w:szCs w:val="18"/>
                <w:color w:val="auto"/>
              </w:rPr>
            </w:pPr>
          </w:p>
        </w:tc>
        <w:tc>
          <w:tcPr>
            <w:tcW w:w="1240" w:type="dxa"/>
            <w:vAlign w:val="bottom"/>
          </w:tcPr>
          <w:p>
            <w:pPr>
              <w:jc w:val="center"/>
              <w:ind w:right="115"/>
              <w:spacing w:after="0"/>
              <w:rPr>
                <w:sz w:val="20"/>
                <w:szCs w:val="20"/>
                <w:color w:val="auto"/>
              </w:rPr>
            </w:pPr>
            <w:r>
              <w:rPr>
                <w:rFonts w:ascii="Arial" w:cs="Arial" w:eastAsia="Arial" w:hAnsi="Arial"/>
                <w:sz w:val="17"/>
                <w:szCs w:val="17"/>
                <w:b w:val="1"/>
                <w:bCs w:val="1"/>
                <w:color w:val="auto"/>
              </w:rPr>
              <w:t>Weighted-</w:t>
            </w:r>
          </w:p>
        </w:tc>
        <w:tc>
          <w:tcPr>
            <w:tcW w:w="40" w:type="dxa"/>
            <w:vAlign w:val="bottom"/>
          </w:tcPr>
          <w:p>
            <w:pPr>
              <w:spacing w:after="0"/>
              <w:rPr>
                <w:sz w:val="18"/>
                <w:szCs w:val="18"/>
                <w:color w:val="auto"/>
              </w:rPr>
            </w:pPr>
          </w:p>
        </w:tc>
      </w:tr>
      <w:tr>
        <w:trPr>
          <w:trHeight w:val="216"/>
        </w:trPr>
        <w:tc>
          <w:tcPr>
            <w:tcW w:w="5480" w:type="dxa"/>
            <w:vAlign w:val="bottom"/>
            <w:gridSpan w:val="2"/>
          </w:tcPr>
          <w:p>
            <w:pPr>
              <w:jc w:val="center"/>
              <w:ind w:left="3715"/>
              <w:spacing w:after="0"/>
              <w:rPr>
                <w:sz w:val="20"/>
                <w:szCs w:val="20"/>
                <w:color w:val="auto"/>
              </w:rPr>
            </w:pPr>
            <w:r>
              <w:rPr>
                <w:rFonts w:ascii="Arial" w:cs="Arial" w:eastAsia="Arial" w:hAnsi="Arial"/>
                <w:sz w:val="17"/>
                <w:szCs w:val="17"/>
                <w:b w:val="1"/>
                <w:bCs w:val="1"/>
                <w:color w:val="auto"/>
                <w:w w:val="99"/>
              </w:rPr>
              <w:t>Number</w:t>
            </w:r>
          </w:p>
        </w:tc>
        <w:tc>
          <w:tcPr>
            <w:tcW w:w="1700" w:type="dxa"/>
            <w:vAlign w:val="bottom"/>
          </w:tcPr>
          <w:p>
            <w:pPr>
              <w:jc w:val="center"/>
              <w:spacing w:after="0"/>
              <w:rPr>
                <w:sz w:val="20"/>
                <w:szCs w:val="20"/>
                <w:color w:val="auto"/>
              </w:rPr>
            </w:pPr>
            <w:r>
              <w:rPr>
                <w:rFonts w:ascii="Arial" w:cs="Arial" w:eastAsia="Arial" w:hAnsi="Arial"/>
                <w:sz w:val="17"/>
                <w:szCs w:val="17"/>
                <w:b w:val="1"/>
                <w:bCs w:val="1"/>
                <w:color w:val="auto"/>
                <w:w w:val="98"/>
              </w:rPr>
              <w:t>Average</w:t>
            </w:r>
          </w:p>
        </w:tc>
        <w:tc>
          <w:tcPr>
            <w:tcW w:w="400" w:type="dxa"/>
            <w:vAlign w:val="bottom"/>
          </w:tcPr>
          <w:p>
            <w:pPr>
              <w:spacing w:after="0"/>
              <w:rPr>
                <w:sz w:val="18"/>
                <w:szCs w:val="18"/>
                <w:color w:val="auto"/>
              </w:rPr>
            </w:pPr>
          </w:p>
        </w:tc>
        <w:tc>
          <w:tcPr>
            <w:tcW w:w="1240" w:type="dxa"/>
            <w:vAlign w:val="bottom"/>
          </w:tcPr>
          <w:p>
            <w:pPr>
              <w:jc w:val="center"/>
              <w:ind w:right="115"/>
              <w:spacing w:after="0"/>
              <w:rPr>
                <w:sz w:val="20"/>
                <w:szCs w:val="20"/>
                <w:color w:val="auto"/>
              </w:rPr>
            </w:pPr>
            <w:r>
              <w:rPr>
                <w:rFonts w:ascii="Arial" w:cs="Arial" w:eastAsia="Arial" w:hAnsi="Arial"/>
                <w:sz w:val="17"/>
                <w:szCs w:val="17"/>
                <w:b w:val="1"/>
                <w:bCs w:val="1"/>
                <w:color w:val="auto"/>
              </w:rPr>
              <w:t>Average</w:t>
            </w:r>
          </w:p>
        </w:tc>
        <w:tc>
          <w:tcPr>
            <w:tcW w:w="40" w:type="dxa"/>
            <w:vAlign w:val="bottom"/>
          </w:tcPr>
          <w:p>
            <w:pPr>
              <w:spacing w:after="0"/>
              <w:rPr>
                <w:sz w:val="18"/>
                <w:szCs w:val="18"/>
                <w:color w:val="auto"/>
              </w:rPr>
            </w:pPr>
          </w:p>
        </w:tc>
      </w:tr>
      <w:tr>
        <w:trPr>
          <w:trHeight w:val="216"/>
        </w:trPr>
        <w:tc>
          <w:tcPr>
            <w:tcW w:w="4760" w:type="dxa"/>
            <w:vAlign w:val="bottom"/>
          </w:tcPr>
          <w:p>
            <w:pPr>
              <w:jc w:val="center"/>
              <w:ind w:left="4435"/>
              <w:spacing w:after="0"/>
              <w:rPr>
                <w:sz w:val="20"/>
                <w:szCs w:val="20"/>
                <w:color w:val="auto"/>
              </w:rPr>
            </w:pPr>
            <w:r>
              <w:rPr>
                <w:rFonts w:ascii="Arial" w:cs="Arial" w:eastAsia="Arial" w:hAnsi="Arial"/>
                <w:sz w:val="17"/>
                <w:szCs w:val="17"/>
                <w:b w:val="1"/>
                <w:bCs w:val="1"/>
                <w:color w:val="auto"/>
                <w:w w:val="99"/>
              </w:rPr>
              <w:t>of</w:t>
            </w:r>
          </w:p>
        </w:tc>
        <w:tc>
          <w:tcPr>
            <w:tcW w:w="7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7"/>
                <w:szCs w:val="17"/>
                <w:b w:val="1"/>
                <w:bCs w:val="1"/>
                <w:color w:val="auto"/>
              </w:rPr>
              <w:t>Remaining</w:t>
            </w:r>
          </w:p>
        </w:tc>
        <w:tc>
          <w:tcPr>
            <w:tcW w:w="400" w:type="dxa"/>
            <w:vAlign w:val="bottom"/>
          </w:tcPr>
          <w:p>
            <w:pPr>
              <w:spacing w:after="0"/>
              <w:rPr>
                <w:sz w:val="18"/>
                <w:szCs w:val="18"/>
                <w:color w:val="auto"/>
              </w:rPr>
            </w:pPr>
          </w:p>
        </w:tc>
        <w:tc>
          <w:tcPr>
            <w:tcW w:w="1240" w:type="dxa"/>
            <w:vAlign w:val="bottom"/>
          </w:tcPr>
          <w:p>
            <w:pPr>
              <w:jc w:val="center"/>
              <w:ind w:right="115"/>
              <w:spacing w:after="0"/>
              <w:rPr>
                <w:sz w:val="20"/>
                <w:szCs w:val="20"/>
                <w:color w:val="auto"/>
              </w:rPr>
            </w:pPr>
            <w:r>
              <w:rPr>
                <w:rFonts w:ascii="Arial" w:cs="Arial" w:eastAsia="Arial" w:hAnsi="Arial"/>
                <w:sz w:val="17"/>
                <w:szCs w:val="17"/>
                <w:b w:val="1"/>
                <w:bCs w:val="1"/>
                <w:color w:val="auto"/>
              </w:rPr>
              <w:t>Exercise</w:t>
            </w:r>
          </w:p>
        </w:tc>
        <w:tc>
          <w:tcPr>
            <w:tcW w:w="40" w:type="dxa"/>
            <w:vAlign w:val="bottom"/>
          </w:tcPr>
          <w:p>
            <w:pPr>
              <w:spacing w:after="0"/>
              <w:rPr>
                <w:sz w:val="18"/>
                <w:szCs w:val="18"/>
                <w:color w:val="auto"/>
              </w:rPr>
            </w:pPr>
          </w:p>
        </w:tc>
      </w:tr>
      <w:tr>
        <w:trPr>
          <w:trHeight w:val="215"/>
        </w:trPr>
        <w:tc>
          <w:tcPr>
            <w:tcW w:w="5480" w:type="dxa"/>
            <w:vAlign w:val="bottom"/>
            <w:tcBorders>
              <w:bottom w:val="single" w:sz="8" w:color="auto"/>
            </w:tcBorders>
            <w:gridSpan w:val="2"/>
          </w:tcPr>
          <w:p>
            <w:pPr>
              <w:jc w:val="center"/>
              <w:ind w:left="3715"/>
              <w:spacing w:after="0"/>
              <w:rPr>
                <w:sz w:val="20"/>
                <w:szCs w:val="20"/>
                <w:color w:val="auto"/>
              </w:rPr>
            </w:pPr>
            <w:r>
              <w:rPr>
                <w:rFonts w:ascii="Arial" w:cs="Arial" w:eastAsia="Arial" w:hAnsi="Arial"/>
                <w:sz w:val="17"/>
                <w:szCs w:val="17"/>
                <w:b w:val="1"/>
                <w:bCs w:val="1"/>
                <w:color w:val="auto"/>
                <w:w w:val="98"/>
              </w:rPr>
              <w:t>Shares</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Contractual Life</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b w:val="1"/>
                <w:bCs w:val="1"/>
                <w:color w:val="auto"/>
              </w:rPr>
              <w:t>Price</w:t>
            </w:r>
          </w:p>
        </w:tc>
        <w:tc>
          <w:tcPr>
            <w:tcW w:w="40" w:type="dxa"/>
            <w:vAlign w:val="bottom"/>
          </w:tcPr>
          <w:p>
            <w:pPr>
              <w:spacing w:after="0"/>
              <w:rPr>
                <w:sz w:val="18"/>
                <w:szCs w:val="18"/>
                <w:color w:val="auto"/>
              </w:rPr>
            </w:pPr>
          </w:p>
        </w:tc>
      </w:tr>
      <w:tr>
        <w:trPr>
          <w:trHeight w:val="210"/>
        </w:trPr>
        <w:tc>
          <w:tcPr>
            <w:tcW w:w="5480" w:type="dxa"/>
            <w:vAlign w:val="bottom"/>
            <w:gridSpan w:val="2"/>
          </w:tcPr>
          <w:p>
            <w:pPr>
              <w:jc w:val="center"/>
              <w:ind w:left="3715"/>
              <w:spacing w:after="0"/>
              <w:rPr>
                <w:sz w:val="20"/>
                <w:szCs w:val="20"/>
                <w:color w:val="auto"/>
              </w:rPr>
            </w:pPr>
            <w:r>
              <w:rPr>
                <w:rFonts w:ascii="Arial" w:cs="Arial" w:eastAsia="Arial" w:hAnsi="Arial"/>
                <w:sz w:val="17"/>
                <w:szCs w:val="17"/>
                <w:color w:val="auto"/>
              </w:rPr>
              <w:t>(in thousands)</w:t>
            </w:r>
          </w:p>
        </w:tc>
        <w:tc>
          <w:tcPr>
            <w:tcW w:w="1700" w:type="dxa"/>
            <w:vAlign w:val="bottom"/>
          </w:tcPr>
          <w:p>
            <w:pPr>
              <w:jc w:val="center"/>
              <w:spacing w:after="0"/>
              <w:rPr>
                <w:sz w:val="20"/>
                <w:szCs w:val="20"/>
                <w:color w:val="auto"/>
              </w:rPr>
            </w:pPr>
            <w:r>
              <w:rPr>
                <w:rFonts w:ascii="Arial" w:cs="Arial" w:eastAsia="Arial" w:hAnsi="Arial"/>
                <w:sz w:val="17"/>
                <w:szCs w:val="17"/>
                <w:color w:val="auto"/>
              </w:rPr>
              <w:t>(in years)</w:t>
            </w:r>
          </w:p>
        </w:tc>
        <w:tc>
          <w:tcPr>
            <w:tcW w:w="400" w:type="dxa"/>
            <w:vAlign w:val="bottom"/>
          </w:tcPr>
          <w:p>
            <w:pPr>
              <w:spacing w:after="0"/>
              <w:rPr>
                <w:sz w:val="18"/>
                <w:szCs w:val="18"/>
                <w:color w:val="auto"/>
              </w:rPr>
            </w:pPr>
          </w:p>
        </w:tc>
        <w:tc>
          <w:tcPr>
            <w:tcW w:w="1240" w:type="dxa"/>
            <w:vAlign w:val="bottom"/>
          </w:tcPr>
          <w:p>
            <w:pPr>
              <w:jc w:val="center"/>
              <w:ind w:right="115"/>
              <w:spacing w:after="0"/>
              <w:rPr>
                <w:sz w:val="20"/>
                <w:szCs w:val="20"/>
                <w:color w:val="auto"/>
              </w:rPr>
            </w:pPr>
            <w:r>
              <w:rPr>
                <w:rFonts w:ascii="Arial" w:cs="Arial" w:eastAsia="Arial" w:hAnsi="Arial"/>
                <w:sz w:val="17"/>
                <w:szCs w:val="17"/>
                <w:color w:val="auto"/>
              </w:rPr>
              <w:t>(per share)</w:t>
            </w: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7"/>
                <w:szCs w:val="17"/>
                <w:color w:val="auto"/>
              </w:rPr>
              <w:t>Options outstanding at January 28, 2017</w:t>
            </w:r>
          </w:p>
        </w:tc>
        <w:tc>
          <w:tcPr>
            <w:tcW w:w="72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2,806</w:t>
            </w:r>
          </w:p>
        </w:tc>
        <w:tc>
          <w:tcPr>
            <w:tcW w:w="17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42.61</w:t>
            </w:r>
          </w:p>
        </w:tc>
        <w:tc>
          <w:tcPr>
            <w:tcW w:w="40" w:type="dxa"/>
            <w:vAlign w:val="bottom"/>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7"/>
                <w:szCs w:val="17"/>
                <w:color w:val="auto"/>
              </w:rPr>
              <w:t>Granted</w:t>
            </w:r>
          </w:p>
        </w:tc>
        <w:tc>
          <w:tcPr>
            <w:tcW w:w="720" w:type="dxa"/>
            <w:vAlign w:val="bottom"/>
          </w:tcPr>
          <w:p>
            <w:pPr>
              <w:jc w:val="right"/>
              <w:ind w:right="175"/>
              <w:spacing w:after="0"/>
              <w:rPr>
                <w:sz w:val="20"/>
                <w:szCs w:val="20"/>
                <w:color w:val="auto"/>
              </w:rPr>
            </w:pPr>
            <w:r>
              <w:rPr>
                <w:rFonts w:ascii="Arial" w:cs="Arial" w:eastAsia="Arial" w:hAnsi="Arial"/>
                <w:sz w:val="17"/>
                <w:szCs w:val="17"/>
                <w:color w:val="auto"/>
              </w:rPr>
              <w:t>547</w:t>
            </w:r>
          </w:p>
        </w:tc>
        <w:tc>
          <w:tcPr>
            <w:tcW w:w="1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69.58</w:t>
            </w:r>
          </w:p>
        </w:tc>
        <w:tc>
          <w:tcPr>
            <w:tcW w:w="4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7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(593)</w:t>
            </w:r>
          </w:p>
        </w:tc>
        <w:tc>
          <w:tcPr>
            <w:tcW w:w="1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21.35</w:t>
            </w:r>
          </w:p>
        </w:tc>
        <w:tc>
          <w:tcPr>
            <w:tcW w:w="40" w:type="dxa"/>
            <w:vAlign w:val="bottom"/>
          </w:tcPr>
          <w:p>
            <w:pPr>
              <w:spacing w:after="0"/>
              <w:rPr>
                <w:sz w:val="18"/>
                <w:szCs w:val="18"/>
                <w:color w:val="auto"/>
              </w:rPr>
            </w:pPr>
          </w:p>
        </w:tc>
      </w:tr>
      <w:tr>
        <w:trPr>
          <w:trHeight w:val="216"/>
        </w:trPr>
        <w:tc>
          <w:tcPr>
            <w:tcW w:w="47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Expired or cancelled</w:t>
            </w:r>
          </w:p>
        </w:tc>
        <w:tc>
          <w:tcPr>
            <w:tcW w:w="7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(21)</w:t>
            </w:r>
          </w:p>
        </w:tc>
        <w:tc>
          <w:tcPr>
            <w:tcW w:w="17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61.50</w:t>
            </w:r>
          </w:p>
        </w:tc>
        <w:tc>
          <w:tcPr>
            <w:tcW w:w="40" w:type="dxa"/>
            <w:vAlign w:val="bottom"/>
          </w:tcPr>
          <w:p>
            <w:pPr>
              <w:spacing w:after="0"/>
              <w:rPr>
                <w:sz w:val="18"/>
                <w:szCs w:val="18"/>
                <w:color w:val="auto"/>
              </w:rPr>
            </w:pPr>
          </w:p>
        </w:tc>
      </w:tr>
      <w:tr>
        <w:trPr>
          <w:trHeight w:val="217"/>
        </w:trPr>
        <w:tc>
          <w:tcPr>
            <w:tcW w:w="4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Options outstanding at February 3, 2018</w:t>
            </w:r>
          </w:p>
        </w:tc>
        <w:tc>
          <w:tcPr>
            <w:tcW w:w="7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2,739</w:t>
            </w:r>
          </w:p>
        </w:tc>
        <w:tc>
          <w:tcPr>
            <w:tcW w:w="1700" w:type="dxa"/>
            <w:vAlign w:val="bottom"/>
            <w:tcBorders>
              <w:bottom w:val="single" w:sz="8" w:color="auto"/>
            </w:tcBorders>
            <w:shd w:val="clear" w:color="auto" w:fill="CCEEFF"/>
          </w:tcPr>
          <w:p>
            <w:pPr>
              <w:jc w:val="right"/>
              <w:ind w:right="535"/>
              <w:spacing w:after="0"/>
              <w:rPr>
                <w:sz w:val="20"/>
                <w:szCs w:val="20"/>
                <w:color w:val="auto"/>
              </w:rPr>
            </w:pPr>
            <w:r>
              <w:rPr>
                <w:rFonts w:ascii="Arial" w:cs="Arial" w:eastAsia="Arial" w:hAnsi="Arial"/>
                <w:sz w:val="17"/>
                <w:szCs w:val="17"/>
                <w:color w:val="auto"/>
              </w:rPr>
              <w:t>6.5</w:t>
            </w:r>
          </w:p>
        </w:tc>
        <w:tc>
          <w:tcPr>
            <w:tcW w:w="4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52.45</w:t>
            </w:r>
          </w:p>
        </w:tc>
        <w:tc>
          <w:tcPr>
            <w:tcW w:w="40" w:type="dxa"/>
            <w:vAlign w:val="bottom"/>
          </w:tcPr>
          <w:p>
            <w:pPr>
              <w:spacing w:after="0"/>
              <w:rPr>
                <w:sz w:val="18"/>
                <w:szCs w:val="18"/>
                <w:color w:val="auto"/>
              </w:rPr>
            </w:pPr>
          </w:p>
        </w:tc>
      </w:tr>
      <w:tr>
        <w:trPr>
          <w:trHeight w:val="230"/>
        </w:trPr>
        <w:tc>
          <w:tcPr>
            <w:tcW w:w="47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Options exercisable at February 3, 2018</w:t>
            </w:r>
          </w:p>
        </w:tc>
        <w:tc>
          <w:tcPr>
            <w:tcW w:w="7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1,699</w:t>
            </w:r>
          </w:p>
        </w:tc>
        <w:tc>
          <w:tcPr>
            <w:tcW w:w="170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color w:val="auto"/>
              </w:rPr>
              <w:t>5.2</w:t>
            </w:r>
          </w:p>
        </w:tc>
        <w:tc>
          <w:tcPr>
            <w:tcW w:w="4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43.85</w:t>
            </w:r>
          </w:p>
        </w:tc>
        <w:tc>
          <w:tcPr>
            <w:tcW w:w="40" w:type="dxa"/>
            <w:vAlign w:val="bottom"/>
          </w:tcPr>
          <w:p>
            <w:pPr>
              <w:spacing w:after="0"/>
              <w:rPr>
                <w:sz w:val="19"/>
                <w:szCs w:val="19"/>
                <w:color w:val="auto"/>
              </w:rPr>
            </w:pPr>
          </w:p>
        </w:tc>
      </w:tr>
      <w:tr>
        <w:trPr>
          <w:trHeight w:val="597"/>
        </w:trPr>
        <w:tc>
          <w:tcPr>
            <w:tcW w:w="4760" w:type="dxa"/>
            <w:vAlign w:val="bottom"/>
          </w:tcPr>
          <w:p>
            <w:pPr>
              <w:ind w:left="4320"/>
              <w:spacing w:after="0"/>
              <w:rPr>
                <w:sz w:val="20"/>
                <w:szCs w:val="20"/>
                <w:color w:val="auto"/>
              </w:rPr>
            </w:pPr>
            <w:r>
              <w:rPr>
                <w:rFonts w:ascii="Arial" w:cs="Arial" w:eastAsia="Arial" w:hAnsi="Arial"/>
                <w:sz w:val="17"/>
                <w:szCs w:val="17"/>
                <w:color w:val="auto"/>
              </w:rPr>
              <w:t>70</w:t>
            </w:r>
          </w:p>
        </w:tc>
        <w:tc>
          <w:tcPr>
            <w:tcW w:w="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2"/>
        </w:trPr>
        <w:tc>
          <w:tcPr>
            <w:tcW w:w="47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r>
        <w:trPr>
          <w:trHeight w:val="20"/>
        </w:trPr>
        <w:tc>
          <w:tcPr>
            <w:tcW w:w="476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170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3"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The total fair value of options vested during 2017, 2016, and 2015 was $8 million, $9 million, and $15 million, respectively.</w:t>
      </w:r>
    </w:p>
    <w:p>
      <w:pPr>
        <w:spacing w:after="0" w:line="171"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During the year ended February 3, 2018, the Company received $13 million in cash from option exercises and recognized a related tax benefit of $8 million. The total intrinsic value of options exercised (the difference between the market price of the Company’s common stock on the exercise date and the price paid by the optionee to exercise the option) is presented below:</w:t>
      </w:r>
    </w:p>
    <w:p>
      <w:pPr>
        <w:spacing w:after="0" w:line="75" w:lineRule="exact"/>
        <w:rPr>
          <w:sz w:val="20"/>
          <w:szCs w:val="20"/>
          <w:color w:val="auto"/>
        </w:rPr>
      </w:pPr>
    </w:p>
    <w:p>
      <w:pPr>
        <w:ind w:left="5800"/>
        <w:spacing w:after="0"/>
        <w:tabs>
          <w:tab w:leader="none" w:pos="7000" w:val="left"/>
          <w:tab w:leader="none" w:pos="8220" w:val="left"/>
        </w:tabs>
        <w:rPr>
          <w:sz w:val="20"/>
          <w:szCs w:val="20"/>
          <w:color w:val="auto"/>
        </w:rPr>
      </w:pPr>
      <w:r>
        <w:rPr>
          <w:rFonts w:ascii="Arial" w:cs="Arial" w:eastAsia="Arial" w:hAnsi="Arial"/>
          <w:sz w:val="17"/>
          <w:szCs w:val="17"/>
          <w:b w:val="1"/>
          <w:bCs w:val="1"/>
          <w:color w:val="auto"/>
        </w:rPr>
        <w:t>2017</w:t>
      </w:r>
      <w:r>
        <w:rPr>
          <w:sz w:val="20"/>
          <w:szCs w:val="20"/>
          <w:color w:val="auto"/>
        </w:rPr>
        <w:tab/>
      </w:r>
      <w:r>
        <w:rPr>
          <w:rFonts w:ascii="Arial" w:cs="Arial" w:eastAsia="Arial" w:hAnsi="Arial"/>
          <w:sz w:val="17"/>
          <w:szCs w:val="17"/>
          <w:color w:val="auto"/>
        </w:rPr>
        <w:t>2016</w:t>
      </w:r>
      <w:r>
        <w:rPr>
          <w:sz w:val="20"/>
          <w:szCs w:val="20"/>
          <w:color w:val="auto"/>
        </w:rPr>
        <w:tab/>
      </w:r>
      <w:r>
        <w:rPr>
          <w:rFonts w:ascii="Arial" w:cs="Arial" w:eastAsia="Arial" w:hAnsi="Arial"/>
          <w:sz w:val="17"/>
          <w:szCs w:val="17"/>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12700</wp:posOffset>
            </wp:positionV>
            <wp:extent cx="560006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00065" cy="8890"/>
                    </a:xfrm>
                    <a:prstGeom prst="rect">
                      <a:avLst/>
                    </a:prstGeom>
                    <a:noFill/>
                  </pic:spPr>
                </pic:pic>
              </a:graphicData>
            </a:graphic>
          </wp:anchor>
        </w:drawing>
      </w:r>
    </w:p>
    <w:p>
      <w:pPr>
        <w:spacing w:after="0" w:line="34"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0</wp:posOffset>
            </wp:positionV>
            <wp:extent cx="5600065"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00065" cy="146050"/>
                    </a:xfrm>
                    <a:prstGeom prst="rect">
                      <a:avLst/>
                    </a:prstGeom>
                    <a:noFill/>
                  </pic:spPr>
                </pic:pic>
              </a:graphicData>
            </a:graphic>
          </wp:anchor>
        </w:drawing>
      </w:r>
    </w:p>
    <w:p>
      <w:pPr>
        <w:ind w:left="100"/>
        <w:spacing w:after="0"/>
        <w:tabs>
          <w:tab w:leader="none" w:pos="5480" w:val="left"/>
          <w:tab w:leader="none" w:pos="6240" w:val="left"/>
          <w:tab w:leader="none" w:pos="6680" w:val="left"/>
          <w:tab w:leader="none" w:pos="7440" w:val="left"/>
          <w:tab w:leader="none" w:pos="7920" w:val="left"/>
          <w:tab w:leader="none" w:pos="8660" w:val="left"/>
        </w:tabs>
        <w:rPr>
          <w:sz w:val="20"/>
          <w:szCs w:val="20"/>
          <w:color w:val="auto"/>
        </w:rPr>
      </w:pPr>
      <w:r>
        <w:rPr>
          <w:rFonts w:ascii="Arial" w:cs="Arial" w:eastAsia="Arial" w:hAnsi="Arial"/>
          <w:sz w:val="17"/>
          <w:szCs w:val="17"/>
          <w:color w:val="auto"/>
        </w:rPr>
        <w:t>Exercised</w:t>
      </w:r>
      <w:r>
        <w:rPr>
          <w:sz w:val="20"/>
          <w:szCs w:val="20"/>
          <w:color w:val="auto"/>
        </w:rPr>
        <w:tab/>
      </w: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b w:val="1"/>
          <w:bCs w:val="1"/>
          <w:color w:val="auto"/>
        </w:rPr>
        <w:t>22</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56</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12700</wp:posOffset>
            </wp:positionV>
            <wp:extent cx="560006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00065" cy="8890"/>
                    </a:xfrm>
                    <a:prstGeom prst="rect">
                      <a:avLst/>
                    </a:prstGeom>
                    <a:noFill/>
                  </pic:spPr>
                </pic:pic>
              </a:graphicData>
            </a:graphic>
          </wp:anchor>
        </w:drawing>
      </w:r>
    </w:p>
    <w:p>
      <w:pPr>
        <w:spacing w:after="0" w:line="196"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The aggregate intrinsic value for stock options outstanding, and those outstanding and exercisable (the difference between the Company’s closing stock price on the last trading day of the period and the exercise price of the options, multiplied by the number of in-the-money stock options) is presented below:</w:t>
      </w:r>
    </w:p>
    <w:p>
      <w:pPr>
        <w:spacing w:after="0" w:line="74"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480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2017</w:t>
            </w:r>
          </w:p>
        </w:tc>
      </w:tr>
      <w:tr>
        <w:trPr>
          <w:trHeight w:val="210"/>
        </w:trPr>
        <w:tc>
          <w:tcPr>
            <w:tcW w:w="4800" w:type="dxa"/>
            <w:vAlign w:val="bottom"/>
          </w:tcPr>
          <w:p>
            <w:pPr>
              <w:spacing w:after="0"/>
              <w:rPr>
                <w:sz w:val="18"/>
                <w:szCs w:val="18"/>
                <w:color w:val="auto"/>
              </w:rPr>
            </w:pPr>
          </w:p>
        </w:tc>
        <w:tc>
          <w:tcPr>
            <w:tcW w:w="300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95"/>
              <w:spacing w:after="0"/>
              <w:rPr>
                <w:sz w:val="20"/>
                <w:szCs w:val="20"/>
                <w:color w:val="auto"/>
              </w:rPr>
            </w:pPr>
            <w:r>
              <w:rPr>
                <w:rFonts w:ascii="Arial" w:cs="Arial" w:eastAsia="Arial" w:hAnsi="Arial"/>
                <w:sz w:val="17"/>
                <w:szCs w:val="17"/>
                <w:color w:val="auto"/>
              </w:rPr>
              <w:t>in millions)</w:t>
            </w:r>
          </w:p>
        </w:tc>
      </w:tr>
      <w:tr>
        <w:trPr>
          <w:trHeight w:val="230"/>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Outstanding</w:t>
            </w:r>
          </w:p>
        </w:tc>
        <w:tc>
          <w:tcPr>
            <w:tcW w:w="300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30"/>
        </w:trPr>
        <w:tc>
          <w:tcPr>
            <w:tcW w:w="4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Outstanding and exercisable</w:t>
            </w:r>
          </w:p>
        </w:tc>
        <w:tc>
          <w:tcPr>
            <w:tcW w:w="300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r>
    </w:tbl>
    <w:p>
      <w:pPr>
        <w:spacing w:after="0" w:line="183"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As of February 3, 2018, there was $5 million of total unrecognized compensation cost related to nonvested stock options, which is expected to be recognized over a remaining weighted-average period of 1.5 years.</w:t>
      </w:r>
    </w:p>
    <w:p>
      <w:pPr>
        <w:spacing w:after="0" w:line="17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following table summarizes information about stock options outstanding and exercisable at February 3, 2018:</w:t>
      </w:r>
    </w:p>
    <w:p>
      <w:pPr>
        <w:spacing w:after="0" w:line="122"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194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3"/>
          </w:tcPr>
          <w:p>
            <w:pPr>
              <w:jc w:val="center"/>
              <w:ind w:left="1255"/>
              <w:spacing w:after="0"/>
              <w:rPr>
                <w:sz w:val="20"/>
                <w:szCs w:val="20"/>
                <w:color w:val="auto"/>
              </w:rPr>
            </w:pPr>
            <w:r>
              <w:rPr>
                <w:rFonts w:ascii="Arial" w:cs="Arial" w:eastAsia="Arial" w:hAnsi="Arial"/>
                <w:sz w:val="17"/>
                <w:szCs w:val="17"/>
                <w:b w:val="1"/>
                <w:bCs w:val="1"/>
                <w:color w:val="auto"/>
              </w:rPr>
              <w:t>Options Outstanding</w:t>
            </w:r>
          </w:p>
        </w:tc>
        <w:tc>
          <w:tcPr>
            <w:tcW w:w="10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3"/>
          </w:tcPr>
          <w:p>
            <w:pPr>
              <w:jc w:val="right"/>
              <w:ind w:right="275"/>
              <w:spacing w:after="0"/>
              <w:rPr>
                <w:sz w:val="20"/>
                <w:szCs w:val="20"/>
                <w:color w:val="auto"/>
              </w:rPr>
            </w:pPr>
            <w:r>
              <w:rPr>
                <w:rFonts w:ascii="Arial" w:cs="Arial" w:eastAsia="Arial" w:hAnsi="Arial"/>
                <w:sz w:val="17"/>
                <w:szCs w:val="17"/>
                <w:b w:val="1"/>
                <w:bCs w:val="1"/>
                <w:color w:val="auto"/>
              </w:rPr>
              <w:t>Options Exercisable</w:t>
            </w:r>
          </w:p>
        </w:tc>
      </w:tr>
      <w:tr>
        <w:trPr>
          <w:trHeight w:val="197"/>
        </w:trPr>
        <w:tc>
          <w:tcPr>
            <w:tcW w:w="19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7"/>
                <w:szCs w:val="17"/>
                <w:b w:val="1"/>
                <w:bCs w:val="1"/>
                <w:color w:val="auto"/>
                <w:w w:val="99"/>
              </w:rPr>
              <w:t>Weighted-</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19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7"/>
                <w:szCs w:val="17"/>
                <w:b w:val="1"/>
                <w:bCs w:val="1"/>
                <w:color w:val="auto"/>
                <w:w w:val="98"/>
              </w:rPr>
              <w:t>Average</w:t>
            </w:r>
          </w:p>
        </w:tc>
        <w:tc>
          <w:tcPr>
            <w:tcW w:w="3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7"/>
                <w:szCs w:val="17"/>
                <w:b w:val="1"/>
                <w:bCs w:val="1"/>
                <w:color w:val="auto"/>
                <w:w w:val="99"/>
              </w:rPr>
              <w:t>Weighted-</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b w:val="1"/>
                <w:bCs w:val="1"/>
                <w:color w:val="auto"/>
                <w:w w:val="99"/>
              </w:rPr>
              <w:t>Weighted-</w:t>
            </w:r>
          </w:p>
        </w:tc>
      </w:tr>
      <w:tr>
        <w:trPr>
          <w:trHeight w:val="216"/>
        </w:trPr>
        <w:tc>
          <w:tcPr>
            <w:tcW w:w="19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7"/>
                <w:szCs w:val="17"/>
                <w:b w:val="1"/>
                <w:bCs w:val="1"/>
                <w:color w:val="auto"/>
              </w:rPr>
              <w:t>Remaining</w:t>
            </w:r>
          </w:p>
        </w:tc>
        <w:tc>
          <w:tcPr>
            <w:tcW w:w="3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7"/>
                <w:szCs w:val="17"/>
                <w:b w:val="1"/>
                <w:bCs w:val="1"/>
                <w:color w:val="auto"/>
                <w:w w:val="98"/>
              </w:rPr>
              <w:t>Average</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b w:val="1"/>
                <w:bCs w:val="1"/>
                <w:color w:val="auto"/>
                <w:w w:val="98"/>
              </w:rPr>
              <w:t>Average</w:t>
            </w:r>
          </w:p>
        </w:tc>
      </w:tr>
      <w:tr>
        <w:trPr>
          <w:trHeight w:val="216"/>
        </w:trPr>
        <w:tc>
          <w:tcPr>
            <w:tcW w:w="1940" w:type="dxa"/>
            <w:vAlign w:val="bottom"/>
          </w:tcPr>
          <w:p>
            <w:pPr>
              <w:spacing w:after="0"/>
              <w:rPr>
                <w:sz w:val="20"/>
                <w:szCs w:val="20"/>
                <w:color w:val="auto"/>
              </w:rPr>
            </w:pPr>
            <w:r>
              <w:rPr>
                <w:rFonts w:ascii="Arial" w:cs="Arial" w:eastAsia="Arial" w:hAnsi="Arial"/>
                <w:sz w:val="17"/>
                <w:szCs w:val="17"/>
                <w:b w:val="1"/>
                <w:bCs w:val="1"/>
                <w:color w:val="auto"/>
              </w:rPr>
              <w:t>Range of Exercise</w:t>
            </w:r>
          </w:p>
        </w:tc>
        <w:tc>
          <w:tcPr>
            <w:tcW w:w="1680" w:type="dxa"/>
            <w:vAlign w:val="bottom"/>
          </w:tcPr>
          <w:p>
            <w:pPr>
              <w:jc w:val="right"/>
              <w:ind w:right="315"/>
              <w:spacing w:after="0"/>
              <w:rPr>
                <w:sz w:val="20"/>
                <w:szCs w:val="20"/>
                <w:color w:val="auto"/>
              </w:rPr>
            </w:pPr>
            <w:r>
              <w:rPr>
                <w:rFonts w:ascii="Arial" w:cs="Arial" w:eastAsia="Arial" w:hAnsi="Arial"/>
                <w:sz w:val="17"/>
                <w:szCs w:val="17"/>
                <w:b w:val="1"/>
                <w:bCs w:val="1"/>
                <w:color w:val="auto"/>
              </w:rPr>
              <w:t>Number</w:t>
            </w:r>
          </w:p>
        </w:tc>
        <w:tc>
          <w:tcPr>
            <w:tcW w:w="1260" w:type="dxa"/>
            <w:vAlign w:val="bottom"/>
          </w:tcPr>
          <w:p>
            <w:pPr>
              <w:jc w:val="center"/>
              <w:spacing w:after="0"/>
              <w:rPr>
                <w:sz w:val="20"/>
                <w:szCs w:val="20"/>
                <w:color w:val="auto"/>
              </w:rPr>
            </w:pPr>
            <w:r>
              <w:rPr>
                <w:rFonts w:ascii="Arial" w:cs="Arial" w:eastAsia="Arial" w:hAnsi="Arial"/>
                <w:sz w:val="17"/>
                <w:szCs w:val="17"/>
                <w:b w:val="1"/>
                <w:bCs w:val="1"/>
                <w:color w:val="auto"/>
                <w:w w:val="99"/>
              </w:rPr>
              <w:t>Contractual</w:t>
            </w:r>
          </w:p>
        </w:tc>
        <w:tc>
          <w:tcPr>
            <w:tcW w:w="3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7"/>
                <w:szCs w:val="17"/>
                <w:b w:val="1"/>
                <w:bCs w:val="1"/>
                <w:color w:val="auto"/>
              </w:rPr>
              <w:t>Exercise</w:t>
            </w:r>
          </w:p>
        </w:tc>
        <w:tc>
          <w:tcPr>
            <w:tcW w:w="1220" w:type="dxa"/>
            <w:vAlign w:val="bottom"/>
          </w:tcPr>
          <w:p>
            <w:pPr>
              <w:jc w:val="right"/>
              <w:ind w:right="195"/>
              <w:spacing w:after="0"/>
              <w:rPr>
                <w:sz w:val="20"/>
                <w:szCs w:val="20"/>
                <w:color w:val="auto"/>
              </w:rPr>
            </w:pPr>
            <w:r>
              <w:rPr>
                <w:rFonts w:ascii="Arial" w:cs="Arial" w:eastAsia="Arial" w:hAnsi="Arial"/>
                <w:sz w:val="17"/>
                <w:szCs w:val="17"/>
                <w:b w:val="1"/>
                <w:bCs w:val="1"/>
                <w:color w:val="auto"/>
              </w:rPr>
              <w:t>Number</w:t>
            </w:r>
          </w:p>
        </w:tc>
        <w:tc>
          <w:tcPr>
            <w:tcW w:w="3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7"/>
                <w:szCs w:val="17"/>
                <w:b w:val="1"/>
                <w:bCs w:val="1"/>
                <w:color w:val="auto"/>
              </w:rPr>
              <w:t>Exercise</w:t>
            </w:r>
          </w:p>
        </w:tc>
      </w:tr>
      <w:tr>
        <w:trPr>
          <w:trHeight w:val="215"/>
        </w:trPr>
        <w:tc>
          <w:tcPr>
            <w:tcW w:w="19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Prices</w:t>
            </w:r>
          </w:p>
        </w:tc>
        <w:tc>
          <w:tcPr>
            <w:tcW w:w="16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Outstanding</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Life</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Price</w:t>
            </w: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Exercisable</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Price</w:t>
            </w:r>
          </w:p>
        </w:tc>
      </w:tr>
      <w:tr>
        <w:trPr>
          <w:trHeight w:val="210"/>
        </w:trPr>
        <w:tc>
          <w:tcPr>
            <w:tcW w:w="1940" w:type="dxa"/>
            <w:vAlign w:val="bottom"/>
          </w:tcPr>
          <w:p>
            <w:pPr>
              <w:spacing w:after="0"/>
              <w:rPr>
                <w:sz w:val="18"/>
                <w:szCs w:val="18"/>
                <w:color w:val="auto"/>
              </w:rPr>
            </w:pPr>
          </w:p>
        </w:tc>
        <w:tc>
          <w:tcPr>
            <w:tcW w:w="5920" w:type="dxa"/>
            <w:vAlign w:val="bottom"/>
            <w:gridSpan w:val="6"/>
          </w:tcPr>
          <w:p>
            <w:pPr>
              <w:jc w:val="right"/>
              <w:spacing w:after="0"/>
              <w:rPr>
                <w:sz w:val="20"/>
                <w:szCs w:val="20"/>
                <w:color w:val="auto"/>
              </w:rPr>
            </w:pPr>
            <w:r>
              <w:rPr>
                <w:rFonts w:ascii="Arial" w:cs="Arial" w:eastAsia="Arial" w:hAnsi="Arial"/>
                <w:sz w:val="17"/>
                <w:szCs w:val="17"/>
                <w:color w:val="auto"/>
              </w:rPr>
              <w:t>(in thousands, except prices per share and contractual life)</w:t>
            </w:r>
          </w:p>
        </w:tc>
        <w:tc>
          <w:tcPr>
            <w:tcW w:w="960" w:type="dxa"/>
            <w:vAlign w:val="bottom"/>
          </w:tcPr>
          <w:p>
            <w:pPr>
              <w:spacing w:after="0"/>
              <w:rPr>
                <w:sz w:val="18"/>
                <w:szCs w:val="18"/>
                <w:color w:val="auto"/>
              </w:rPr>
            </w:pPr>
          </w:p>
        </w:tc>
      </w:tr>
      <w:tr>
        <w:trPr>
          <w:trHeight w:val="230"/>
        </w:trPr>
        <w:tc>
          <w:tcPr>
            <w:tcW w:w="1940" w:type="dxa"/>
            <w:vAlign w:val="bottom"/>
            <w:shd w:val="clear" w:color="auto" w:fill="CCEEFF"/>
          </w:tcPr>
          <w:p>
            <w:pPr>
              <w:spacing w:after="0"/>
              <w:rPr>
                <w:sz w:val="20"/>
                <w:szCs w:val="20"/>
                <w:color w:val="auto"/>
              </w:rPr>
            </w:pPr>
            <w:r>
              <w:rPr>
                <w:rFonts w:ascii="Arial" w:cs="Arial" w:eastAsia="Arial" w:hAnsi="Arial"/>
                <w:sz w:val="17"/>
                <w:szCs w:val="17"/>
                <w:color w:val="auto"/>
              </w:rPr>
              <w:t>$9.85 to $24.75</w:t>
            </w:r>
          </w:p>
        </w:tc>
        <w:tc>
          <w:tcPr>
            <w:tcW w:w="16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312</w:t>
            </w: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2.6</w:t>
            </w:r>
          </w:p>
        </w:tc>
        <w:tc>
          <w:tcPr>
            <w:tcW w:w="3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17.40</w:t>
            </w:r>
          </w:p>
        </w:tc>
        <w:tc>
          <w:tcPr>
            <w:tcW w:w="12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312</w:t>
            </w:r>
          </w:p>
        </w:tc>
        <w:tc>
          <w:tcPr>
            <w:tcW w:w="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17.40</w:t>
            </w:r>
          </w:p>
        </w:tc>
      </w:tr>
      <w:tr>
        <w:trPr>
          <w:trHeight w:val="230"/>
        </w:trPr>
        <w:tc>
          <w:tcPr>
            <w:tcW w:w="1940" w:type="dxa"/>
            <w:vAlign w:val="bottom"/>
          </w:tcPr>
          <w:p>
            <w:pPr>
              <w:spacing w:after="0"/>
              <w:rPr>
                <w:sz w:val="20"/>
                <w:szCs w:val="20"/>
                <w:color w:val="auto"/>
              </w:rPr>
            </w:pPr>
            <w:r>
              <w:rPr>
                <w:rFonts w:ascii="Arial" w:cs="Arial" w:eastAsia="Arial" w:hAnsi="Arial"/>
                <w:sz w:val="17"/>
                <w:szCs w:val="17"/>
                <w:color w:val="auto"/>
              </w:rPr>
              <w:t>$30.92 to $45.75</w:t>
            </w:r>
          </w:p>
        </w:tc>
        <w:tc>
          <w:tcPr>
            <w:tcW w:w="1680" w:type="dxa"/>
            <w:vAlign w:val="bottom"/>
          </w:tcPr>
          <w:p>
            <w:pPr>
              <w:jc w:val="right"/>
              <w:ind w:right="95"/>
              <w:spacing w:after="0"/>
              <w:rPr>
                <w:sz w:val="20"/>
                <w:szCs w:val="20"/>
                <w:color w:val="auto"/>
              </w:rPr>
            </w:pPr>
            <w:r>
              <w:rPr>
                <w:rFonts w:ascii="Arial" w:cs="Arial" w:eastAsia="Arial" w:hAnsi="Arial"/>
                <w:sz w:val="17"/>
                <w:szCs w:val="17"/>
                <w:color w:val="auto"/>
              </w:rPr>
              <w:t>762</w:t>
            </w: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5.2</w:t>
            </w:r>
          </w:p>
        </w:tc>
        <w:tc>
          <w:tcPr>
            <w:tcW w:w="340" w:type="dxa"/>
            <w:vAlign w:val="bottom"/>
          </w:tcPr>
          <w:p>
            <w:pPr>
              <w:spacing w:after="0"/>
              <w:rPr>
                <w:sz w:val="19"/>
                <w:szCs w:val="19"/>
                <w:color w:val="auto"/>
              </w:rPr>
            </w:pPr>
          </w:p>
        </w:tc>
        <w:tc>
          <w:tcPr>
            <w:tcW w:w="1080" w:type="dxa"/>
            <w:vAlign w:val="bottom"/>
          </w:tcPr>
          <w:p>
            <w:pPr>
              <w:jc w:val="right"/>
              <w:ind w:right="55"/>
              <w:spacing w:after="0"/>
              <w:rPr>
                <w:sz w:val="20"/>
                <w:szCs w:val="20"/>
                <w:color w:val="auto"/>
              </w:rPr>
            </w:pPr>
            <w:r>
              <w:rPr>
                <w:rFonts w:ascii="Arial" w:cs="Arial" w:eastAsia="Arial" w:hAnsi="Arial"/>
                <w:sz w:val="17"/>
                <w:szCs w:val="17"/>
                <w:color w:val="auto"/>
              </w:rPr>
              <w:t>38.46</w:t>
            </w:r>
          </w:p>
        </w:tc>
        <w:tc>
          <w:tcPr>
            <w:tcW w:w="1220" w:type="dxa"/>
            <w:vAlign w:val="bottom"/>
          </w:tcPr>
          <w:p>
            <w:pPr>
              <w:jc w:val="right"/>
              <w:ind w:right="55"/>
              <w:spacing w:after="0"/>
              <w:rPr>
                <w:sz w:val="20"/>
                <w:szCs w:val="20"/>
                <w:color w:val="auto"/>
              </w:rPr>
            </w:pPr>
            <w:r>
              <w:rPr>
                <w:rFonts w:ascii="Arial" w:cs="Arial" w:eastAsia="Arial" w:hAnsi="Arial"/>
                <w:sz w:val="17"/>
                <w:szCs w:val="17"/>
                <w:color w:val="auto"/>
              </w:rPr>
              <w:t>722</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38.64</w:t>
            </w:r>
          </w:p>
        </w:tc>
      </w:tr>
      <w:tr>
        <w:trPr>
          <w:trHeight w:val="230"/>
        </w:trPr>
        <w:tc>
          <w:tcPr>
            <w:tcW w:w="1940" w:type="dxa"/>
            <w:vAlign w:val="bottom"/>
            <w:shd w:val="clear" w:color="auto" w:fill="CCEEFF"/>
          </w:tcPr>
          <w:p>
            <w:pPr>
              <w:spacing w:after="0"/>
              <w:rPr>
                <w:sz w:val="20"/>
                <w:szCs w:val="20"/>
                <w:color w:val="auto"/>
              </w:rPr>
            </w:pPr>
            <w:r>
              <w:rPr>
                <w:rFonts w:ascii="Arial" w:cs="Arial" w:eastAsia="Arial" w:hAnsi="Arial"/>
                <w:sz w:val="17"/>
                <w:szCs w:val="17"/>
                <w:color w:val="auto"/>
              </w:rPr>
              <w:t>$48.55 to $62.11</w:t>
            </w:r>
          </w:p>
        </w:tc>
        <w:tc>
          <w:tcPr>
            <w:tcW w:w="16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703</w:t>
            </w: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6.6</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61.04</w:t>
            </w:r>
          </w:p>
        </w:tc>
        <w:tc>
          <w:tcPr>
            <w:tcW w:w="12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499</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61.08</w:t>
            </w:r>
          </w:p>
        </w:tc>
      </w:tr>
      <w:tr>
        <w:trPr>
          <w:trHeight w:val="230"/>
        </w:trPr>
        <w:tc>
          <w:tcPr>
            <w:tcW w:w="1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$63.79 to $73.21</w:t>
            </w:r>
          </w:p>
        </w:tc>
        <w:tc>
          <w:tcPr>
            <w:tcW w:w="16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962</w:t>
            </w: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8.6</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68.60</w:t>
            </w:r>
          </w:p>
        </w:tc>
        <w:tc>
          <w:tcPr>
            <w:tcW w:w="12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166</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64.35</w:t>
            </w:r>
          </w:p>
        </w:tc>
      </w:tr>
      <w:tr>
        <w:trPr>
          <w:trHeight w:val="203"/>
        </w:trPr>
        <w:tc>
          <w:tcPr>
            <w:tcW w:w="194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2,739</w:t>
            </w:r>
          </w:p>
        </w:tc>
        <w:tc>
          <w:tcPr>
            <w:tcW w:w="12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6.5</w:t>
            </w:r>
          </w:p>
        </w:tc>
        <w:tc>
          <w:tcPr>
            <w:tcW w:w="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52.45</w:t>
            </w:r>
          </w:p>
        </w:tc>
        <w:tc>
          <w:tcPr>
            <w:tcW w:w="12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1,699</w:t>
            </w:r>
          </w:p>
        </w:tc>
        <w:tc>
          <w:tcPr>
            <w:tcW w:w="3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43.85</w:t>
            </w:r>
          </w:p>
        </w:tc>
      </w:tr>
    </w:tbl>
    <w:p>
      <w:pPr>
        <w:spacing w:after="0" w:line="165"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Restricted Stock and Restricted Stock Units</w:t>
      </w:r>
    </w:p>
    <w:p>
      <w:pPr>
        <w:spacing w:after="0" w:line="201"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Restricted shares of the Company’s common stock and restricted stock units (“RSU”) may be awarded to certain officers and key employees of the Company. Additionally, RSU awards are made to employees in connection with the Company’ long-term incentive program and to nonemployee directors. Each RSU represents the right to receive one share of the Company’s common stock provided that the performance and vesting conditions are satisfied. In 2017, 2016, and 2015 there were 360,782, 648,558, and 588,308 RSU awards outstanding, respectively.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3"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Generally, awards fully vest after the passage of time, typically three years. However, RSU awards made in connection with the Company’s long-term incentive program are earned after the attainment of certain performance metrics and vest after the passage of time. Restricted stock is considered outstanding at the time of grant and the holders have voting rights. Dividends are paid to holders of restricted stock that vest with the passage of time. With regard to performance-based restricted stock, dividends will be accumulated and paid after the performance criteria are met. No dividends are paid or accumulated on RSU awards. Compensation expense is recognized using the fair market value on the date of grant and is amortized over the vesting period, provided the recipient continues to be employed by the Company. Restricted stock and RSU activity is summarized as follows:</w:t>
      </w:r>
    </w:p>
    <w:p>
      <w:pPr>
        <w:spacing w:after="0" w:line="8" w:lineRule="exact"/>
        <w:rPr>
          <w:sz w:val="20"/>
          <w:szCs w:val="20"/>
          <w:color w:val="auto"/>
        </w:rPr>
      </w:pPr>
    </w:p>
    <w:tbl>
      <w:tblPr>
        <w:tblLayout w:type="fixed"/>
        <w:tblInd w:w="100" w:type="dxa"/>
        <w:tblCellMar>
          <w:top w:w="0" w:type="dxa"/>
          <w:left w:w="0" w:type="dxa"/>
          <w:bottom w:w="0" w:type="dxa"/>
          <w:right w:w="0" w:type="dxa"/>
        </w:tblCellMar>
      </w:tblPr>
      <w:tr>
        <w:trPr>
          <w:trHeight w:val="203"/>
        </w:trPr>
        <w:tc>
          <w:tcPr>
            <w:tcW w:w="2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7"/>
                <w:szCs w:val="17"/>
                <w:b w:val="1"/>
                <w:bCs w:val="1"/>
                <w:color w:val="auto"/>
              </w:rPr>
              <w:t>Weighted-Average</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80" w:type="dxa"/>
            <w:vAlign w:val="bottom"/>
          </w:tcPr>
          <w:p>
            <w:pPr>
              <w:jc w:val="center"/>
              <w:ind w:right="135"/>
              <w:spacing w:after="0"/>
              <w:rPr>
                <w:sz w:val="20"/>
                <w:szCs w:val="20"/>
                <w:color w:val="auto"/>
              </w:rPr>
            </w:pPr>
            <w:r>
              <w:rPr>
                <w:rFonts w:ascii="Arial" w:cs="Arial" w:eastAsia="Arial" w:hAnsi="Arial"/>
                <w:sz w:val="17"/>
                <w:szCs w:val="17"/>
                <w:b w:val="1"/>
                <w:bCs w:val="1"/>
                <w:color w:val="auto"/>
              </w:rPr>
              <w:t>Number</w:t>
            </w:r>
          </w:p>
        </w:tc>
        <w:tc>
          <w:tcPr>
            <w:tcW w:w="1900" w:type="dxa"/>
            <w:vAlign w:val="bottom"/>
          </w:tcPr>
          <w:p>
            <w:pPr>
              <w:jc w:val="center"/>
              <w:spacing w:after="0"/>
              <w:rPr>
                <w:sz w:val="20"/>
                <w:szCs w:val="20"/>
                <w:color w:val="auto"/>
              </w:rPr>
            </w:pPr>
            <w:r>
              <w:rPr>
                <w:rFonts w:ascii="Arial" w:cs="Arial" w:eastAsia="Arial" w:hAnsi="Arial"/>
                <w:sz w:val="17"/>
                <w:szCs w:val="17"/>
                <w:b w:val="1"/>
                <w:bCs w:val="1"/>
                <w:color w:val="auto"/>
                <w:w w:val="98"/>
              </w:rPr>
              <w:t>Remaining</w:t>
            </w:r>
          </w:p>
        </w:tc>
        <w:tc>
          <w:tcPr>
            <w:tcW w:w="1800" w:type="dxa"/>
            <w:vAlign w:val="bottom"/>
            <w:gridSpan w:val="2"/>
          </w:tcPr>
          <w:p>
            <w:pPr>
              <w:jc w:val="center"/>
              <w:ind w:left="115"/>
              <w:spacing w:after="0"/>
              <w:rPr>
                <w:sz w:val="20"/>
                <w:szCs w:val="20"/>
                <w:color w:val="auto"/>
              </w:rPr>
            </w:pPr>
            <w:r>
              <w:rPr>
                <w:rFonts w:ascii="Arial" w:cs="Arial" w:eastAsia="Arial" w:hAnsi="Arial"/>
                <w:sz w:val="17"/>
                <w:szCs w:val="17"/>
                <w:b w:val="1"/>
                <w:bCs w:val="1"/>
                <w:color w:val="auto"/>
                <w:w w:val="99"/>
              </w:rPr>
              <w:t>Weighted-Average</w:t>
            </w:r>
          </w:p>
        </w:tc>
      </w:tr>
      <w:tr>
        <w:trPr>
          <w:trHeight w:val="203"/>
        </w:trPr>
        <w:tc>
          <w:tcPr>
            <w:tcW w:w="2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80" w:type="dxa"/>
            <w:vAlign w:val="bottom"/>
          </w:tcPr>
          <w:p>
            <w:pPr>
              <w:jc w:val="center"/>
              <w:ind w:right="115"/>
              <w:spacing w:after="0"/>
              <w:rPr>
                <w:sz w:val="20"/>
                <w:szCs w:val="20"/>
                <w:color w:val="auto"/>
              </w:rPr>
            </w:pPr>
            <w:r>
              <w:rPr>
                <w:rFonts w:ascii="Arial" w:cs="Arial" w:eastAsia="Arial" w:hAnsi="Arial"/>
                <w:sz w:val="17"/>
                <w:szCs w:val="17"/>
                <w:b w:val="1"/>
                <w:bCs w:val="1"/>
                <w:color w:val="auto"/>
                <w:w w:val="99"/>
              </w:rPr>
              <w:t>of</w:t>
            </w:r>
          </w:p>
        </w:tc>
        <w:tc>
          <w:tcPr>
            <w:tcW w:w="1900" w:type="dxa"/>
            <w:vAlign w:val="bottom"/>
          </w:tcPr>
          <w:p>
            <w:pPr>
              <w:jc w:val="center"/>
              <w:spacing w:after="0"/>
              <w:rPr>
                <w:sz w:val="20"/>
                <w:szCs w:val="20"/>
                <w:color w:val="auto"/>
              </w:rPr>
            </w:pPr>
            <w:r>
              <w:rPr>
                <w:rFonts w:ascii="Arial" w:cs="Arial" w:eastAsia="Arial" w:hAnsi="Arial"/>
                <w:sz w:val="17"/>
                <w:szCs w:val="17"/>
                <w:b w:val="1"/>
                <w:bCs w:val="1"/>
                <w:color w:val="auto"/>
                <w:w w:val="99"/>
              </w:rPr>
              <w:t>Contractual</w:t>
            </w:r>
          </w:p>
        </w:tc>
        <w:tc>
          <w:tcPr>
            <w:tcW w:w="420" w:type="dxa"/>
            <w:vAlign w:val="bottom"/>
          </w:tcPr>
          <w:p>
            <w:pPr>
              <w:spacing w:after="0"/>
              <w:rPr>
                <w:sz w:val="17"/>
                <w:szCs w:val="17"/>
                <w:color w:val="auto"/>
              </w:rPr>
            </w:pPr>
          </w:p>
        </w:tc>
        <w:tc>
          <w:tcPr>
            <w:tcW w:w="1380" w:type="dxa"/>
            <w:vAlign w:val="bottom"/>
          </w:tcPr>
          <w:p>
            <w:pPr>
              <w:jc w:val="center"/>
              <w:ind w:right="135"/>
              <w:spacing w:after="0"/>
              <w:rPr>
                <w:sz w:val="20"/>
                <w:szCs w:val="20"/>
                <w:color w:val="auto"/>
              </w:rPr>
            </w:pPr>
            <w:r>
              <w:rPr>
                <w:rFonts w:ascii="Arial" w:cs="Arial" w:eastAsia="Arial" w:hAnsi="Arial"/>
                <w:sz w:val="17"/>
                <w:szCs w:val="17"/>
                <w:b w:val="1"/>
                <w:bCs w:val="1"/>
                <w:color w:val="auto"/>
              </w:rPr>
              <w:t>Grant Date</w:t>
            </w:r>
          </w:p>
        </w:tc>
      </w:tr>
      <w:tr>
        <w:trPr>
          <w:trHeight w:val="215"/>
        </w:trPr>
        <w:tc>
          <w:tcPr>
            <w:tcW w:w="29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135"/>
              <w:spacing w:after="0"/>
              <w:rPr>
                <w:sz w:val="20"/>
                <w:szCs w:val="20"/>
                <w:color w:val="auto"/>
              </w:rPr>
            </w:pPr>
            <w:r>
              <w:rPr>
                <w:rFonts w:ascii="Arial" w:cs="Arial" w:eastAsia="Arial" w:hAnsi="Arial"/>
                <w:sz w:val="17"/>
                <w:szCs w:val="17"/>
                <w:b w:val="1"/>
                <w:bCs w:val="1"/>
                <w:color w:val="auto"/>
              </w:rPr>
              <w:t>Shares</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Life</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35"/>
              <w:spacing w:after="0"/>
              <w:rPr>
                <w:sz w:val="20"/>
                <w:szCs w:val="20"/>
                <w:color w:val="auto"/>
              </w:rPr>
            </w:pPr>
            <w:r>
              <w:rPr>
                <w:rFonts w:ascii="Arial" w:cs="Arial" w:eastAsia="Arial" w:hAnsi="Arial"/>
                <w:sz w:val="17"/>
                <w:szCs w:val="17"/>
                <w:b w:val="1"/>
                <w:bCs w:val="1"/>
                <w:color w:val="auto"/>
                <w:w w:val="98"/>
              </w:rPr>
              <w:t>Fair Value</w:t>
            </w:r>
          </w:p>
        </w:tc>
      </w:tr>
      <w:tr>
        <w:trPr>
          <w:trHeight w:val="210"/>
        </w:trPr>
        <w:tc>
          <w:tcPr>
            <w:tcW w:w="2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80" w:type="dxa"/>
            <w:vAlign w:val="bottom"/>
          </w:tcPr>
          <w:p>
            <w:pPr>
              <w:jc w:val="center"/>
              <w:ind w:right="115"/>
              <w:spacing w:after="0"/>
              <w:rPr>
                <w:sz w:val="20"/>
                <w:szCs w:val="20"/>
                <w:color w:val="auto"/>
              </w:rPr>
            </w:pPr>
            <w:r>
              <w:rPr>
                <w:rFonts w:ascii="Arial" w:cs="Arial" w:eastAsia="Arial" w:hAnsi="Arial"/>
                <w:sz w:val="17"/>
                <w:szCs w:val="17"/>
                <w:color w:val="auto"/>
              </w:rPr>
              <w:t>(in thousands)</w:t>
            </w:r>
          </w:p>
        </w:tc>
        <w:tc>
          <w:tcPr>
            <w:tcW w:w="1900" w:type="dxa"/>
            <w:vAlign w:val="bottom"/>
          </w:tcPr>
          <w:p>
            <w:pPr>
              <w:jc w:val="center"/>
              <w:spacing w:after="0"/>
              <w:rPr>
                <w:sz w:val="20"/>
                <w:szCs w:val="20"/>
                <w:color w:val="auto"/>
              </w:rPr>
            </w:pPr>
            <w:r>
              <w:rPr>
                <w:rFonts w:ascii="Arial" w:cs="Arial" w:eastAsia="Arial" w:hAnsi="Arial"/>
                <w:sz w:val="17"/>
                <w:szCs w:val="17"/>
                <w:color w:val="auto"/>
                <w:w w:val="98"/>
              </w:rPr>
              <w:t>(in years)</w:t>
            </w:r>
          </w:p>
        </w:tc>
        <w:tc>
          <w:tcPr>
            <w:tcW w:w="420" w:type="dxa"/>
            <w:vAlign w:val="bottom"/>
          </w:tcPr>
          <w:p>
            <w:pPr>
              <w:spacing w:after="0"/>
              <w:rPr>
                <w:sz w:val="18"/>
                <w:szCs w:val="18"/>
                <w:color w:val="auto"/>
              </w:rPr>
            </w:pPr>
          </w:p>
        </w:tc>
        <w:tc>
          <w:tcPr>
            <w:tcW w:w="1380" w:type="dxa"/>
            <w:vAlign w:val="bottom"/>
          </w:tcPr>
          <w:p>
            <w:pPr>
              <w:jc w:val="right"/>
              <w:ind w:right="155"/>
              <w:spacing w:after="0"/>
              <w:rPr>
                <w:sz w:val="20"/>
                <w:szCs w:val="20"/>
                <w:color w:val="auto"/>
              </w:rPr>
            </w:pPr>
            <w:r>
              <w:rPr>
                <w:rFonts w:ascii="Arial" w:cs="Arial" w:eastAsia="Arial" w:hAnsi="Arial"/>
                <w:sz w:val="17"/>
                <w:szCs w:val="17"/>
                <w:color w:val="auto"/>
              </w:rPr>
              <w:t>(per share)</w:t>
            </w:r>
          </w:p>
        </w:tc>
      </w:tr>
      <w:tr>
        <w:trPr>
          <w:trHeight w:val="230"/>
        </w:trPr>
        <w:tc>
          <w:tcPr>
            <w:tcW w:w="2920" w:type="dxa"/>
            <w:vAlign w:val="bottom"/>
            <w:shd w:val="clear" w:color="auto" w:fill="CCEEFF"/>
          </w:tcPr>
          <w:p>
            <w:pPr>
              <w:spacing w:after="0"/>
              <w:rPr>
                <w:sz w:val="20"/>
                <w:szCs w:val="20"/>
                <w:color w:val="auto"/>
              </w:rPr>
            </w:pPr>
            <w:r>
              <w:rPr>
                <w:rFonts w:ascii="Arial" w:cs="Arial" w:eastAsia="Arial" w:hAnsi="Arial"/>
                <w:sz w:val="17"/>
                <w:szCs w:val="17"/>
                <w:color w:val="auto"/>
              </w:rPr>
              <w:t>Nonvested at January 28, 2017</w:t>
            </w:r>
          </w:p>
        </w:tc>
        <w:tc>
          <w:tcPr>
            <w:tcW w:w="7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798</w:t>
            </w:r>
          </w:p>
        </w:tc>
        <w:tc>
          <w:tcPr>
            <w:tcW w:w="19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56.91</w:t>
            </w:r>
          </w:p>
        </w:tc>
      </w:tr>
      <w:tr>
        <w:trPr>
          <w:trHeight w:val="230"/>
        </w:trPr>
        <w:tc>
          <w:tcPr>
            <w:tcW w:w="2920" w:type="dxa"/>
            <w:vAlign w:val="bottom"/>
          </w:tcPr>
          <w:p>
            <w:pPr>
              <w:spacing w:after="0"/>
              <w:rPr>
                <w:sz w:val="20"/>
                <w:szCs w:val="20"/>
                <w:color w:val="auto"/>
              </w:rPr>
            </w:pPr>
            <w:r>
              <w:rPr>
                <w:rFonts w:ascii="Arial" w:cs="Arial" w:eastAsia="Arial" w:hAnsi="Arial"/>
                <w:sz w:val="17"/>
                <w:szCs w:val="17"/>
                <w:color w:val="auto"/>
              </w:rPr>
              <w:t>Granted</w:t>
            </w:r>
          </w:p>
        </w:tc>
        <w:tc>
          <w:tcPr>
            <w:tcW w:w="720" w:type="dxa"/>
            <w:vAlign w:val="bottom"/>
          </w:tcPr>
          <w:p>
            <w:pPr>
              <w:spacing w:after="0"/>
              <w:rPr>
                <w:sz w:val="19"/>
                <w:szCs w:val="19"/>
                <w:color w:val="auto"/>
              </w:rPr>
            </w:pPr>
          </w:p>
        </w:tc>
        <w:tc>
          <w:tcPr>
            <w:tcW w:w="1480" w:type="dxa"/>
            <w:vAlign w:val="bottom"/>
          </w:tcPr>
          <w:p>
            <w:pPr>
              <w:jc w:val="right"/>
              <w:ind w:right="175"/>
              <w:spacing w:after="0"/>
              <w:rPr>
                <w:sz w:val="20"/>
                <w:szCs w:val="20"/>
                <w:color w:val="auto"/>
              </w:rPr>
            </w:pPr>
            <w:r>
              <w:rPr>
                <w:rFonts w:ascii="Arial" w:cs="Arial" w:eastAsia="Arial" w:hAnsi="Arial"/>
                <w:sz w:val="17"/>
                <w:szCs w:val="17"/>
                <w:color w:val="auto"/>
              </w:rPr>
              <w:t>329</w:t>
            </w:r>
          </w:p>
        </w:tc>
        <w:tc>
          <w:tcPr>
            <w:tcW w:w="1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63.68</w:t>
            </w:r>
          </w:p>
        </w:tc>
      </w:tr>
      <w:tr>
        <w:trPr>
          <w:trHeight w:val="230"/>
        </w:trPr>
        <w:tc>
          <w:tcPr>
            <w:tcW w:w="2920" w:type="dxa"/>
            <w:vAlign w:val="bottom"/>
            <w:shd w:val="clear" w:color="auto" w:fill="CCEEFF"/>
          </w:tcPr>
          <w:p>
            <w:pPr>
              <w:spacing w:after="0"/>
              <w:rPr>
                <w:sz w:val="20"/>
                <w:szCs w:val="20"/>
                <w:color w:val="auto"/>
              </w:rPr>
            </w:pPr>
            <w:r>
              <w:rPr>
                <w:rFonts w:ascii="Arial" w:cs="Arial" w:eastAsia="Arial" w:hAnsi="Arial"/>
                <w:sz w:val="17"/>
                <w:szCs w:val="17"/>
                <w:color w:val="auto"/>
              </w:rPr>
              <w:t>Vested</w:t>
            </w:r>
          </w:p>
        </w:tc>
        <w:tc>
          <w:tcPr>
            <w:tcW w:w="7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(305)</w:t>
            </w:r>
          </w:p>
        </w:tc>
        <w:tc>
          <w:tcPr>
            <w:tcW w:w="19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49.97</w:t>
            </w:r>
          </w:p>
        </w:tc>
      </w:tr>
      <w:tr>
        <w:trPr>
          <w:trHeight w:val="230"/>
        </w:trPr>
        <w:tc>
          <w:tcPr>
            <w:tcW w:w="2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Expired or cancelled</w:t>
            </w:r>
          </w:p>
        </w:tc>
        <w:tc>
          <w:tcPr>
            <w:tcW w:w="7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(448)</w:t>
            </w:r>
          </w:p>
        </w:tc>
        <w:tc>
          <w:tcPr>
            <w:tcW w:w="1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64.75</w:t>
            </w:r>
          </w:p>
        </w:tc>
      </w:tr>
      <w:tr>
        <w:trPr>
          <w:trHeight w:val="203"/>
        </w:trPr>
        <w:tc>
          <w:tcPr>
            <w:tcW w:w="2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Nonvested at February 3, 2018</w:t>
            </w:r>
          </w:p>
        </w:tc>
        <w:tc>
          <w:tcPr>
            <w:tcW w:w="7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374</w:t>
            </w:r>
          </w:p>
        </w:tc>
        <w:tc>
          <w:tcPr>
            <w:tcW w:w="1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1.3</w:t>
            </w:r>
          </w:p>
        </w:tc>
        <w:tc>
          <w:tcPr>
            <w:tcW w:w="4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59.15</w:t>
            </w:r>
          </w:p>
        </w:tc>
      </w:tr>
      <w:tr>
        <w:trPr>
          <w:trHeight w:val="216"/>
        </w:trPr>
        <w:tc>
          <w:tcPr>
            <w:tcW w:w="2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Aggregate value ($ in millions)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22</w:t>
            </w:r>
          </w:p>
        </w:tc>
        <w:tc>
          <w:tcPr>
            <w:tcW w:w="19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The total fair value of awards for which restrictions lapsed was $15 million, $9 million, and $10 million for 2017, 2016, and 2015, respectively. At February 3, 2018, there was $8 million of total unrecognized compensation cost related to nonvested restricted stock and RSU awards.</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22. Legal Proceedings</w:t>
      </w:r>
    </w:p>
    <w:p>
      <w:pPr>
        <w:spacing w:after="0" w:line="201" w:lineRule="exact"/>
        <w:rPr>
          <w:sz w:val="20"/>
          <w:szCs w:val="20"/>
          <w:color w:val="auto"/>
        </w:rPr>
      </w:pPr>
    </w:p>
    <w:p>
      <w:pPr>
        <w:jc w:val="both"/>
        <w:ind w:left="100" w:right="99"/>
        <w:spacing w:after="0"/>
        <w:rPr>
          <w:sz w:val="20"/>
          <w:szCs w:val="20"/>
          <w:color w:val="auto"/>
        </w:rPr>
      </w:pPr>
      <w:r>
        <w:rPr>
          <w:rFonts w:ascii="Arial" w:cs="Arial" w:eastAsia="Arial" w:hAnsi="Arial"/>
          <w:sz w:val="17"/>
          <w:szCs w:val="17"/>
          <w:color w:val="auto"/>
        </w:rPr>
        <w:t>Legal proceedings pending against the Company or its consolidated subsidiaries consist of ordinary, routine litigation, including administrative proceedings, incidental to the business of the Company or businesses that have been sold or disposed of by the Company in past years. These legal proceedings include commercial, intellectual property, customer, environmental, and employment-related claims. Additionally, the Company is a defendant in a purported Fair Credit Reporting Act class action in California and a purported meal break class action in California. The Company and certain officers of the Company are defendants in purported securities law class actions in New York.</w:t>
      </w:r>
    </w:p>
    <w:p>
      <w:pPr>
        <w:spacing w:after="0" w:line="322" w:lineRule="exact"/>
        <w:rPr>
          <w:sz w:val="20"/>
          <w:szCs w:val="20"/>
          <w:color w:val="auto"/>
        </w:rPr>
      </w:pPr>
    </w:p>
    <w:p>
      <w:pPr>
        <w:jc w:val="both"/>
        <w:ind w:left="100" w:right="99"/>
        <w:spacing w:after="0"/>
        <w:rPr>
          <w:sz w:val="20"/>
          <w:szCs w:val="20"/>
          <w:color w:val="auto"/>
        </w:rPr>
      </w:pPr>
      <w:r>
        <w:rPr>
          <w:rFonts w:ascii="Arial" w:cs="Arial" w:eastAsia="Arial" w:hAnsi="Arial"/>
          <w:sz w:val="17"/>
          <w:szCs w:val="17"/>
          <w:color w:val="auto"/>
        </w:rPr>
        <w:t>The Company and the Company’s U.S. retirement plan are defendants in a class action (</w:t>
      </w:r>
      <w:r>
        <w:rPr>
          <w:rFonts w:ascii="Arial" w:cs="Arial" w:eastAsia="Arial" w:hAnsi="Arial"/>
          <w:sz w:val="17"/>
          <w:szCs w:val="17"/>
          <w:i w:val="1"/>
          <w:iCs w:val="1"/>
          <w:color w:val="auto"/>
        </w:rPr>
        <w:t>Osberg v. Foot Locker Inc.</w:t>
      </w:r>
      <w:r>
        <w:rPr>
          <w:rFonts w:ascii="Arial" w:cs="Arial" w:eastAsia="Arial" w:hAnsi="Arial"/>
          <w:sz w:val="17"/>
          <w:szCs w:val="17"/>
          <w:color w:val="auto"/>
        </w:rPr>
        <w:t xml:space="preserve"> et ano., filed in the U.S. District Court for the Southern District of New York) in which the plaintiff alleges that, in connection with the 1996 conversion of the retirement plan to a defined benefit plan with a cash balance formula, the Company and the retirement plan failed to properly advise plan participants of the “wear-away” effect of the conversion. Plaintiff’s claims were for breach of fiduciary duty under the Employee Retirement Income Security Act of 1974, as amended, and violation of the statutory provisions governing the content of the Summary Plan Description. In February 2018, the Company’s Petition for Writ of Certiorari with the U.S. Supreme Court was denied. Accordingly, the Company must reform the pension plan consistent with the trial court’s judgment, and will be working with plaintiffs’ counsel and the court on the specific steps needed to implement the judgment. The Company has estimated that the cost of plan reformation is $278 million as of February 3, 2018 and this amount will continue to increase with interest until paid, as required by the provisions of the required plan reformation. The previous amount accrued was $150 million. Accordingly, during the fourth quarter of 2017, the Company recorded an additional charge of $128 million, bringing the cumulative amount accrued for this matter to $278 million. The Company is currently formulating the actions and steps necessary to reform the plan and has determined that it will make a $128 million contribution during 2018 to the pension trust to fund a portion of this obligation. Also during the fourth quarter of 2017, the Company established a qualified settlement fund in the amount of $150 million, which will also be used to fund future pension contributions that may be required as a result of the plan reformation and plaintiffs’ legal fees.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3" w:lineRule="exact"/>
        <w:rPr>
          <w:sz w:val="20"/>
          <w:szCs w:val="20"/>
          <w:color w:val="auto"/>
        </w:rPr>
      </w:pPr>
    </w:p>
    <w:p>
      <w:pPr>
        <w:jc w:val="both"/>
        <w:ind w:left="100" w:right="99"/>
        <w:spacing w:after="0"/>
        <w:rPr>
          <w:sz w:val="20"/>
          <w:szCs w:val="20"/>
          <w:color w:val="auto"/>
        </w:rPr>
      </w:pPr>
      <w:r>
        <w:rPr>
          <w:rFonts w:ascii="Arial" w:cs="Arial" w:eastAsia="Arial" w:hAnsi="Arial"/>
          <w:sz w:val="17"/>
          <w:szCs w:val="17"/>
          <w:color w:val="auto"/>
        </w:rPr>
        <w:t>Management does not believe that the outcome of any such legal proceedings pending against the Company or its consolidated subsidiaries, as described above, would have a material adverse effect on the Company’s consolidated financial position, liquidity, or results of operations, taken as a whole, based upon current knowledge and taking into consideration current accruals. Litigation is inherently unpredictable, and judgments could be rendered or settlements entered into that could adversely affect the Company’s operating results or cash flows in a particular period.</w:t>
      </w:r>
    </w:p>
    <w:p>
      <w:pPr>
        <w:spacing w:after="0" w:line="32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23. Quarterly Results (Unaudited)</w:t>
      </w:r>
    </w:p>
    <w:p>
      <w:pPr>
        <w:spacing w:after="0" w:line="289"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25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1</w:t>
            </w:r>
            <w:r>
              <w:rPr>
                <w:rFonts w:ascii="Arial" w:cs="Arial" w:eastAsia="Arial" w:hAnsi="Arial"/>
                <w:sz w:val="8"/>
                <w:szCs w:val="8"/>
                <w:b w:val="1"/>
                <w:bCs w:val="1"/>
                <w:color w:val="auto"/>
              </w:rPr>
              <w:t>st</w:t>
            </w:r>
            <w:r>
              <w:rPr>
                <w:rFonts w:ascii="Arial" w:cs="Arial" w:eastAsia="Arial" w:hAnsi="Arial"/>
                <w:sz w:val="17"/>
                <w:szCs w:val="17"/>
                <w:b w:val="1"/>
                <w:bCs w:val="1"/>
                <w:color w:val="auto"/>
              </w:rPr>
              <w:t xml:space="preserve"> Quarter</w:t>
            </w:r>
          </w:p>
        </w:tc>
        <w:tc>
          <w:tcPr>
            <w:tcW w:w="11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2</w:t>
            </w:r>
            <w:r>
              <w:rPr>
                <w:rFonts w:ascii="Arial" w:cs="Arial" w:eastAsia="Arial" w:hAnsi="Arial"/>
                <w:sz w:val="8"/>
                <w:szCs w:val="8"/>
                <w:b w:val="1"/>
                <w:bCs w:val="1"/>
                <w:color w:val="auto"/>
              </w:rPr>
              <w:t>nd</w:t>
            </w:r>
            <w:r>
              <w:rPr>
                <w:rFonts w:ascii="Arial" w:cs="Arial" w:eastAsia="Arial" w:hAnsi="Arial"/>
                <w:sz w:val="17"/>
                <w:szCs w:val="17"/>
                <w:b w:val="1"/>
                <w:bCs w:val="1"/>
                <w:color w:val="auto"/>
              </w:rPr>
              <w:t xml:space="preserve"> Quarter</w:t>
            </w:r>
          </w:p>
        </w:tc>
        <w:tc>
          <w:tcPr>
            <w:tcW w:w="11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3</w:t>
            </w:r>
            <w:r>
              <w:rPr>
                <w:rFonts w:ascii="Arial" w:cs="Arial" w:eastAsia="Arial" w:hAnsi="Arial"/>
                <w:sz w:val="8"/>
                <w:szCs w:val="8"/>
                <w:b w:val="1"/>
                <w:bCs w:val="1"/>
                <w:color w:val="auto"/>
              </w:rPr>
              <w:t>rd</w:t>
            </w:r>
            <w:r>
              <w:rPr>
                <w:rFonts w:ascii="Arial" w:cs="Arial" w:eastAsia="Arial" w:hAnsi="Arial"/>
                <w:sz w:val="17"/>
                <w:szCs w:val="17"/>
                <w:b w:val="1"/>
                <w:bCs w:val="1"/>
                <w:color w:val="auto"/>
              </w:rPr>
              <w:t xml:space="preserve"> Quarter</w:t>
            </w:r>
          </w:p>
        </w:tc>
        <w:tc>
          <w:tcPr>
            <w:tcW w:w="13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4</w:t>
            </w:r>
            <w:r>
              <w:rPr>
                <w:rFonts w:ascii="Arial" w:cs="Arial" w:eastAsia="Arial" w:hAnsi="Arial"/>
                <w:sz w:val="8"/>
                <w:szCs w:val="8"/>
                <w:b w:val="1"/>
                <w:bCs w:val="1"/>
                <w:color w:val="auto"/>
              </w:rPr>
              <w:t>th</w:t>
            </w:r>
            <w:r>
              <w:rPr>
                <w:rFonts w:ascii="Arial" w:cs="Arial" w:eastAsia="Arial" w:hAnsi="Arial"/>
                <w:sz w:val="17"/>
                <w:szCs w:val="17"/>
                <w:b w:val="1"/>
                <w:bCs w:val="1"/>
                <w:color w:val="auto"/>
              </w:rPr>
              <w:t xml:space="preserve"> Quarter </w:t>
            </w:r>
            <w:r>
              <w:rPr>
                <w:rFonts w:ascii="Arial" w:cs="Arial" w:eastAsia="Arial" w:hAnsi="Arial"/>
                <w:sz w:val="8"/>
                <w:szCs w:val="8"/>
                <w:b w:val="1"/>
                <w:bCs w:val="1"/>
                <w:color w:val="auto"/>
              </w:rPr>
              <w:t>(1)</w:t>
            </w:r>
          </w:p>
        </w:tc>
        <w:tc>
          <w:tcPr>
            <w:tcW w:w="1200" w:type="dxa"/>
            <w:vAlign w:val="bottom"/>
            <w:tcBorders>
              <w:bottom w:val="single" w:sz="8" w:color="auto"/>
            </w:tcBorders>
            <w:gridSpan w:val="2"/>
          </w:tcPr>
          <w:p>
            <w:pPr>
              <w:ind w:left="180"/>
              <w:spacing w:after="0"/>
              <w:rPr>
                <w:sz w:val="20"/>
                <w:szCs w:val="20"/>
                <w:color w:val="auto"/>
              </w:rPr>
            </w:pPr>
            <w:r>
              <w:rPr>
                <w:rFonts w:ascii="Arial" w:cs="Arial" w:eastAsia="Arial" w:hAnsi="Arial"/>
                <w:sz w:val="17"/>
                <w:szCs w:val="17"/>
                <w:b w:val="1"/>
                <w:bCs w:val="1"/>
                <w:color w:val="auto"/>
              </w:rPr>
              <w:t>Fiscal Year</w:t>
            </w:r>
          </w:p>
        </w:tc>
      </w:tr>
      <w:tr>
        <w:trPr>
          <w:trHeight w:val="115"/>
        </w:trPr>
        <w:tc>
          <w:tcPr>
            <w:tcW w:w="25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230"/>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Sales</w:t>
            </w:r>
          </w:p>
        </w:tc>
        <w:tc>
          <w:tcPr>
            <w:tcW w:w="1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2540" w:type="dxa"/>
            <w:vAlign w:val="bottom"/>
          </w:tcPr>
          <w:p>
            <w:pPr>
              <w:jc w:val="right"/>
              <w:ind w:right="1855"/>
              <w:spacing w:after="0"/>
              <w:rPr>
                <w:sz w:val="20"/>
                <w:szCs w:val="20"/>
                <w:color w:val="auto"/>
              </w:rPr>
            </w:pPr>
            <w:r>
              <w:rPr>
                <w:rFonts w:ascii="Arial" w:cs="Arial" w:eastAsia="Arial" w:hAnsi="Arial"/>
                <w:sz w:val="17"/>
                <w:szCs w:val="17"/>
                <w:b w:val="1"/>
                <w:bCs w:val="1"/>
                <w:color w:val="auto"/>
              </w:rPr>
              <w:t>2017</w:t>
            </w:r>
          </w:p>
        </w:tc>
        <w:tc>
          <w:tcPr>
            <w:tcW w:w="1360" w:type="dxa"/>
            <w:vAlign w:val="bottom"/>
          </w:tcPr>
          <w:p>
            <w:pPr>
              <w:jc w:val="right"/>
              <w:ind w:right="55"/>
              <w:spacing w:after="0"/>
              <w:rPr>
                <w:sz w:val="20"/>
                <w:szCs w:val="20"/>
                <w:color w:val="auto"/>
              </w:rPr>
            </w:pPr>
            <w:r>
              <w:rPr>
                <w:rFonts w:ascii="Arial" w:cs="Arial" w:eastAsia="Arial" w:hAnsi="Arial"/>
                <w:sz w:val="17"/>
                <w:szCs w:val="17"/>
                <w:b w:val="1"/>
                <w:bCs w:val="1"/>
                <w:color w:val="auto"/>
              </w:rPr>
              <w:t>2,001</w:t>
            </w:r>
          </w:p>
        </w:tc>
        <w:tc>
          <w:tcPr>
            <w:tcW w:w="1180" w:type="dxa"/>
            <w:vAlign w:val="bottom"/>
          </w:tcPr>
          <w:p>
            <w:pPr>
              <w:jc w:val="right"/>
              <w:ind w:right="75"/>
              <w:spacing w:after="0"/>
              <w:rPr>
                <w:sz w:val="20"/>
                <w:szCs w:val="20"/>
                <w:color w:val="auto"/>
              </w:rPr>
            </w:pPr>
            <w:r>
              <w:rPr>
                <w:rFonts w:ascii="Arial" w:cs="Arial" w:eastAsia="Arial" w:hAnsi="Arial"/>
                <w:sz w:val="17"/>
                <w:szCs w:val="17"/>
                <w:b w:val="1"/>
                <w:bCs w:val="1"/>
                <w:color w:val="auto"/>
              </w:rPr>
              <w:t>1,701</w:t>
            </w:r>
          </w:p>
        </w:tc>
        <w:tc>
          <w:tcPr>
            <w:tcW w:w="1160" w:type="dxa"/>
            <w:vAlign w:val="bottom"/>
          </w:tcPr>
          <w:p>
            <w:pPr>
              <w:jc w:val="right"/>
              <w:ind w:right="75"/>
              <w:spacing w:after="0"/>
              <w:rPr>
                <w:sz w:val="20"/>
                <w:szCs w:val="20"/>
                <w:color w:val="auto"/>
              </w:rPr>
            </w:pPr>
            <w:r>
              <w:rPr>
                <w:rFonts w:ascii="Arial" w:cs="Arial" w:eastAsia="Arial" w:hAnsi="Arial"/>
                <w:sz w:val="17"/>
                <w:szCs w:val="17"/>
                <w:b w:val="1"/>
                <w:bCs w:val="1"/>
                <w:color w:val="auto"/>
              </w:rPr>
              <w:t>1,870</w:t>
            </w:r>
          </w:p>
        </w:tc>
        <w:tc>
          <w:tcPr>
            <w:tcW w:w="1380" w:type="dxa"/>
            <w:vAlign w:val="bottom"/>
          </w:tcPr>
          <w:p>
            <w:pPr>
              <w:jc w:val="right"/>
              <w:ind w:right="115"/>
              <w:spacing w:after="0"/>
              <w:rPr>
                <w:sz w:val="20"/>
                <w:szCs w:val="20"/>
                <w:color w:val="auto"/>
              </w:rPr>
            </w:pPr>
            <w:r>
              <w:rPr>
                <w:rFonts w:ascii="Arial" w:cs="Arial" w:eastAsia="Arial" w:hAnsi="Arial"/>
                <w:sz w:val="17"/>
                <w:szCs w:val="17"/>
                <w:b w:val="1"/>
                <w:bCs w:val="1"/>
                <w:color w:val="auto"/>
              </w:rPr>
              <w:t>2,210</w:t>
            </w:r>
          </w:p>
        </w:tc>
        <w:tc>
          <w:tcPr>
            <w:tcW w:w="500" w:type="dxa"/>
            <w:vAlign w:val="bottom"/>
          </w:tcPr>
          <w:p>
            <w:pPr>
              <w:ind w:left="18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7,782</w:t>
            </w:r>
          </w:p>
        </w:tc>
      </w:tr>
      <w:tr>
        <w:trPr>
          <w:trHeight w:val="230"/>
        </w:trPr>
        <w:tc>
          <w:tcPr>
            <w:tcW w:w="2540" w:type="dxa"/>
            <w:vAlign w:val="bottom"/>
            <w:shd w:val="clear" w:color="auto" w:fill="CCEEFF"/>
          </w:tcPr>
          <w:p>
            <w:pPr>
              <w:jc w:val="right"/>
              <w:ind w:right="1855"/>
              <w:spacing w:after="0"/>
              <w:rPr>
                <w:sz w:val="20"/>
                <w:szCs w:val="20"/>
                <w:color w:val="auto"/>
              </w:rPr>
            </w:pPr>
            <w:r>
              <w:rPr>
                <w:rFonts w:ascii="Arial" w:cs="Arial" w:eastAsia="Arial" w:hAnsi="Arial"/>
                <w:sz w:val="17"/>
                <w:szCs w:val="17"/>
                <w:color w:val="auto"/>
              </w:rPr>
              <w:t>2016</w:t>
            </w:r>
          </w:p>
        </w:tc>
        <w:tc>
          <w:tcPr>
            <w:tcW w:w="13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1,987</w:t>
            </w:r>
          </w:p>
        </w:tc>
        <w:tc>
          <w:tcPr>
            <w:tcW w:w="11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1,780</w:t>
            </w:r>
          </w:p>
        </w:tc>
        <w:tc>
          <w:tcPr>
            <w:tcW w:w="11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1,886</w:t>
            </w:r>
          </w:p>
        </w:tc>
        <w:tc>
          <w:tcPr>
            <w:tcW w:w="13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2,113</w:t>
            </w:r>
          </w:p>
        </w:tc>
        <w:tc>
          <w:tcPr>
            <w:tcW w:w="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7,766</w:t>
            </w:r>
          </w:p>
        </w:tc>
      </w:tr>
      <w:tr>
        <w:trPr>
          <w:trHeight w:val="230"/>
        </w:trPr>
        <w:tc>
          <w:tcPr>
            <w:tcW w:w="2540" w:type="dxa"/>
            <w:vAlign w:val="bottom"/>
          </w:tcPr>
          <w:p>
            <w:pPr>
              <w:spacing w:after="0"/>
              <w:rPr>
                <w:sz w:val="20"/>
                <w:szCs w:val="20"/>
                <w:color w:val="auto"/>
              </w:rPr>
            </w:pPr>
            <w:r>
              <w:rPr>
                <w:rFonts w:ascii="Arial" w:cs="Arial" w:eastAsia="Arial" w:hAnsi="Arial"/>
                <w:sz w:val="17"/>
                <w:szCs w:val="17"/>
                <w:color w:val="auto"/>
              </w:rPr>
              <w:t xml:space="preserve">Gross margin </w:t>
            </w:r>
            <w:r>
              <w:rPr>
                <w:rFonts w:ascii="Arial" w:cs="Arial" w:eastAsia="Arial" w:hAnsi="Arial"/>
                <w:sz w:val="8"/>
                <w:szCs w:val="8"/>
                <w:color w:val="auto"/>
              </w:rPr>
              <w:t>(2)</w:t>
            </w:r>
          </w:p>
        </w:tc>
        <w:tc>
          <w:tcPr>
            <w:tcW w:w="1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2540" w:type="dxa"/>
            <w:vAlign w:val="bottom"/>
            <w:shd w:val="clear" w:color="auto" w:fill="CCEEFF"/>
          </w:tcPr>
          <w:p>
            <w:pPr>
              <w:jc w:val="right"/>
              <w:ind w:right="1855"/>
              <w:spacing w:after="0"/>
              <w:rPr>
                <w:sz w:val="20"/>
                <w:szCs w:val="20"/>
                <w:color w:val="auto"/>
              </w:rPr>
            </w:pPr>
            <w:r>
              <w:rPr>
                <w:rFonts w:ascii="Arial" w:cs="Arial" w:eastAsia="Arial" w:hAnsi="Arial"/>
                <w:sz w:val="17"/>
                <w:szCs w:val="17"/>
                <w:b w:val="1"/>
                <w:bCs w:val="1"/>
                <w:color w:val="auto"/>
              </w:rPr>
              <w:t>2017</w:t>
            </w:r>
          </w:p>
        </w:tc>
        <w:tc>
          <w:tcPr>
            <w:tcW w:w="136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680</w:t>
            </w:r>
          </w:p>
        </w:tc>
        <w:tc>
          <w:tcPr>
            <w:tcW w:w="1180" w:type="dxa"/>
            <w:vAlign w:val="bottom"/>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503</w:t>
            </w:r>
          </w:p>
        </w:tc>
        <w:tc>
          <w:tcPr>
            <w:tcW w:w="1160" w:type="dxa"/>
            <w:vAlign w:val="bottom"/>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580</w:t>
            </w:r>
          </w:p>
        </w:tc>
        <w:tc>
          <w:tcPr>
            <w:tcW w:w="1380" w:type="dxa"/>
            <w:vAlign w:val="bottom"/>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693</w:t>
            </w:r>
          </w:p>
        </w:tc>
        <w:tc>
          <w:tcPr>
            <w:tcW w:w="500" w:type="dxa"/>
            <w:vAlign w:val="bottom"/>
            <w:shd w:val="clear" w:color="auto" w:fill="CCEEFF"/>
          </w:tcPr>
          <w:p>
            <w:pPr>
              <w:ind w:left="18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2,456</w:t>
            </w:r>
          </w:p>
        </w:tc>
      </w:tr>
      <w:tr>
        <w:trPr>
          <w:trHeight w:val="230"/>
        </w:trPr>
        <w:tc>
          <w:tcPr>
            <w:tcW w:w="2540" w:type="dxa"/>
            <w:vAlign w:val="bottom"/>
          </w:tcPr>
          <w:p>
            <w:pPr>
              <w:jc w:val="right"/>
              <w:ind w:right="1855"/>
              <w:spacing w:after="0"/>
              <w:rPr>
                <w:sz w:val="20"/>
                <w:szCs w:val="20"/>
                <w:color w:val="auto"/>
              </w:rPr>
            </w:pPr>
            <w:r>
              <w:rPr>
                <w:rFonts w:ascii="Arial" w:cs="Arial" w:eastAsia="Arial" w:hAnsi="Arial"/>
                <w:sz w:val="17"/>
                <w:szCs w:val="17"/>
                <w:color w:val="auto"/>
              </w:rPr>
              <w:t>2016</w:t>
            </w:r>
          </w:p>
        </w:tc>
        <w:tc>
          <w:tcPr>
            <w:tcW w:w="1360" w:type="dxa"/>
            <w:vAlign w:val="bottom"/>
          </w:tcPr>
          <w:p>
            <w:pPr>
              <w:jc w:val="right"/>
              <w:ind w:right="55"/>
              <w:spacing w:after="0"/>
              <w:rPr>
                <w:sz w:val="20"/>
                <w:szCs w:val="20"/>
                <w:color w:val="auto"/>
              </w:rPr>
            </w:pPr>
            <w:r>
              <w:rPr>
                <w:rFonts w:ascii="Arial" w:cs="Arial" w:eastAsia="Arial" w:hAnsi="Arial"/>
                <w:sz w:val="17"/>
                <w:szCs w:val="17"/>
                <w:color w:val="auto"/>
              </w:rPr>
              <w:t>696</w:t>
            </w:r>
          </w:p>
        </w:tc>
        <w:tc>
          <w:tcPr>
            <w:tcW w:w="1180" w:type="dxa"/>
            <w:vAlign w:val="bottom"/>
          </w:tcPr>
          <w:p>
            <w:pPr>
              <w:jc w:val="right"/>
              <w:ind w:right="75"/>
              <w:spacing w:after="0"/>
              <w:rPr>
                <w:sz w:val="20"/>
                <w:szCs w:val="20"/>
                <w:color w:val="auto"/>
              </w:rPr>
            </w:pPr>
            <w:r>
              <w:rPr>
                <w:rFonts w:ascii="Arial" w:cs="Arial" w:eastAsia="Arial" w:hAnsi="Arial"/>
                <w:sz w:val="17"/>
                <w:szCs w:val="17"/>
                <w:color w:val="auto"/>
              </w:rPr>
              <w:t>587</w:t>
            </w:r>
          </w:p>
        </w:tc>
        <w:tc>
          <w:tcPr>
            <w:tcW w:w="1160" w:type="dxa"/>
            <w:vAlign w:val="bottom"/>
          </w:tcPr>
          <w:p>
            <w:pPr>
              <w:jc w:val="right"/>
              <w:ind w:right="75"/>
              <w:spacing w:after="0"/>
              <w:rPr>
                <w:sz w:val="20"/>
                <w:szCs w:val="20"/>
                <w:color w:val="auto"/>
              </w:rPr>
            </w:pPr>
            <w:r>
              <w:rPr>
                <w:rFonts w:ascii="Arial" w:cs="Arial" w:eastAsia="Arial" w:hAnsi="Arial"/>
                <w:sz w:val="17"/>
                <w:szCs w:val="17"/>
                <w:color w:val="auto"/>
              </w:rPr>
              <w:t>640</w:t>
            </w:r>
          </w:p>
        </w:tc>
        <w:tc>
          <w:tcPr>
            <w:tcW w:w="1380" w:type="dxa"/>
            <w:vAlign w:val="bottom"/>
          </w:tcPr>
          <w:p>
            <w:pPr>
              <w:jc w:val="right"/>
              <w:ind w:right="115"/>
              <w:spacing w:after="0"/>
              <w:rPr>
                <w:sz w:val="20"/>
                <w:szCs w:val="20"/>
                <w:color w:val="auto"/>
              </w:rPr>
            </w:pPr>
            <w:r>
              <w:rPr>
                <w:rFonts w:ascii="Arial" w:cs="Arial" w:eastAsia="Arial" w:hAnsi="Arial"/>
                <w:sz w:val="17"/>
                <w:szCs w:val="17"/>
                <w:color w:val="auto"/>
              </w:rPr>
              <w:t>713</w:t>
            </w:r>
          </w:p>
        </w:tc>
        <w:tc>
          <w:tcPr>
            <w:tcW w:w="500" w:type="dxa"/>
            <w:vAlign w:val="bottom"/>
          </w:tcPr>
          <w:p>
            <w:pPr>
              <w:ind w:left="18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2,636</w:t>
            </w:r>
          </w:p>
        </w:tc>
      </w:tr>
      <w:tr>
        <w:trPr>
          <w:trHeight w:val="230"/>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 xml:space="preserve">Operating profit </w:t>
            </w:r>
            <w:r>
              <w:rPr>
                <w:rFonts w:ascii="Arial" w:cs="Arial" w:eastAsia="Arial" w:hAnsi="Arial"/>
                <w:sz w:val="8"/>
                <w:szCs w:val="8"/>
                <w:color w:val="auto"/>
              </w:rPr>
              <w:t>(3)</w:t>
            </w:r>
          </w:p>
        </w:tc>
        <w:tc>
          <w:tcPr>
            <w:tcW w:w="1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2540" w:type="dxa"/>
            <w:vAlign w:val="bottom"/>
          </w:tcPr>
          <w:p>
            <w:pPr>
              <w:jc w:val="right"/>
              <w:ind w:right="1855"/>
              <w:spacing w:after="0"/>
              <w:rPr>
                <w:sz w:val="20"/>
                <w:szCs w:val="20"/>
                <w:color w:val="auto"/>
              </w:rPr>
            </w:pPr>
            <w:r>
              <w:rPr>
                <w:rFonts w:ascii="Arial" w:cs="Arial" w:eastAsia="Arial" w:hAnsi="Arial"/>
                <w:sz w:val="17"/>
                <w:szCs w:val="17"/>
                <w:b w:val="1"/>
                <w:bCs w:val="1"/>
                <w:color w:val="auto"/>
              </w:rPr>
              <w:t>2017</w:t>
            </w:r>
          </w:p>
        </w:tc>
        <w:tc>
          <w:tcPr>
            <w:tcW w:w="1360" w:type="dxa"/>
            <w:vAlign w:val="bottom"/>
          </w:tcPr>
          <w:p>
            <w:pPr>
              <w:jc w:val="right"/>
              <w:ind w:right="55"/>
              <w:spacing w:after="0"/>
              <w:rPr>
                <w:sz w:val="20"/>
                <w:szCs w:val="20"/>
                <w:color w:val="auto"/>
              </w:rPr>
            </w:pPr>
            <w:r>
              <w:rPr>
                <w:rFonts w:ascii="Arial" w:cs="Arial" w:eastAsia="Arial" w:hAnsi="Arial"/>
                <w:sz w:val="17"/>
                <w:szCs w:val="17"/>
                <w:b w:val="1"/>
                <w:bCs w:val="1"/>
                <w:color w:val="auto"/>
              </w:rPr>
              <w:t>268</w:t>
            </w:r>
          </w:p>
        </w:tc>
        <w:tc>
          <w:tcPr>
            <w:tcW w:w="1180" w:type="dxa"/>
            <w:vAlign w:val="bottom"/>
          </w:tcPr>
          <w:p>
            <w:pPr>
              <w:jc w:val="right"/>
              <w:ind w:right="75"/>
              <w:spacing w:after="0"/>
              <w:rPr>
                <w:sz w:val="20"/>
                <w:szCs w:val="20"/>
                <w:color w:val="auto"/>
              </w:rPr>
            </w:pPr>
            <w:r>
              <w:rPr>
                <w:rFonts w:ascii="Arial" w:cs="Arial" w:eastAsia="Arial" w:hAnsi="Arial"/>
                <w:sz w:val="17"/>
                <w:szCs w:val="17"/>
                <w:b w:val="1"/>
                <w:bCs w:val="1"/>
                <w:color w:val="auto"/>
              </w:rPr>
              <w:t>72</w:t>
            </w:r>
          </w:p>
        </w:tc>
        <w:tc>
          <w:tcPr>
            <w:tcW w:w="1160" w:type="dxa"/>
            <w:vAlign w:val="bottom"/>
          </w:tcPr>
          <w:p>
            <w:pPr>
              <w:jc w:val="right"/>
              <w:ind w:right="75"/>
              <w:spacing w:after="0"/>
              <w:rPr>
                <w:sz w:val="20"/>
                <w:szCs w:val="20"/>
                <w:color w:val="auto"/>
              </w:rPr>
            </w:pPr>
            <w:r>
              <w:rPr>
                <w:rFonts w:ascii="Arial" w:cs="Arial" w:eastAsia="Arial" w:hAnsi="Arial"/>
                <w:sz w:val="17"/>
                <w:szCs w:val="17"/>
                <w:b w:val="1"/>
                <w:bCs w:val="1"/>
                <w:color w:val="auto"/>
              </w:rPr>
              <w:t>155</w:t>
            </w:r>
          </w:p>
        </w:tc>
        <w:tc>
          <w:tcPr>
            <w:tcW w:w="1380" w:type="dxa"/>
            <w:vAlign w:val="bottom"/>
          </w:tcPr>
          <w:p>
            <w:pPr>
              <w:jc w:val="right"/>
              <w:ind w:right="115"/>
              <w:spacing w:after="0"/>
              <w:rPr>
                <w:sz w:val="20"/>
                <w:szCs w:val="20"/>
                <w:color w:val="auto"/>
              </w:rPr>
            </w:pPr>
            <w:r>
              <w:rPr>
                <w:rFonts w:ascii="Arial" w:cs="Arial" w:eastAsia="Arial" w:hAnsi="Arial"/>
                <w:sz w:val="17"/>
                <w:szCs w:val="17"/>
                <w:b w:val="1"/>
                <w:bCs w:val="1"/>
                <w:color w:val="auto"/>
              </w:rPr>
              <w:t>76</w:t>
            </w:r>
          </w:p>
        </w:tc>
        <w:tc>
          <w:tcPr>
            <w:tcW w:w="500" w:type="dxa"/>
            <w:vAlign w:val="bottom"/>
          </w:tcPr>
          <w:p>
            <w:pPr>
              <w:ind w:left="18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571</w:t>
            </w:r>
          </w:p>
        </w:tc>
      </w:tr>
      <w:tr>
        <w:trPr>
          <w:trHeight w:val="230"/>
        </w:trPr>
        <w:tc>
          <w:tcPr>
            <w:tcW w:w="2540" w:type="dxa"/>
            <w:vAlign w:val="bottom"/>
            <w:shd w:val="clear" w:color="auto" w:fill="CCEEFF"/>
          </w:tcPr>
          <w:p>
            <w:pPr>
              <w:jc w:val="right"/>
              <w:ind w:right="1855"/>
              <w:spacing w:after="0"/>
              <w:rPr>
                <w:sz w:val="20"/>
                <w:szCs w:val="20"/>
                <w:color w:val="auto"/>
              </w:rPr>
            </w:pPr>
            <w:r>
              <w:rPr>
                <w:rFonts w:ascii="Arial" w:cs="Arial" w:eastAsia="Arial" w:hAnsi="Arial"/>
                <w:sz w:val="17"/>
                <w:szCs w:val="17"/>
                <w:color w:val="auto"/>
              </w:rPr>
              <w:t>2016</w:t>
            </w:r>
          </w:p>
        </w:tc>
        <w:tc>
          <w:tcPr>
            <w:tcW w:w="13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296</w:t>
            </w:r>
          </w:p>
        </w:tc>
        <w:tc>
          <w:tcPr>
            <w:tcW w:w="11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198</w:t>
            </w:r>
          </w:p>
        </w:tc>
        <w:tc>
          <w:tcPr>
            <w:tcW w:w="11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228</w:t>
            </w:r>
          </w:p>
        </w:tc>
        <w:tc>
          <w:tcPr>
            <w:tcW w:w="13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278</w:t>
            </w:r>
          </w:p>
        </w:tc>
        <w:tc>
          <w:tcPr>
            <w:tcW w:w="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230"/>
        </w:trPr>
        <w:tc>
          <w:tcPr>
            <w:tcW w:w="2540" w:type="dxa"/>
            <w:vAlign w:val="bottom"/>
          </w:tcPr>
          <w:p>
            <w:pPr>
              <w:spacing w:after="0"/>
              <w:rPr>
                <w:sz w:val="20"/>
                <w:szCs w:val="20"/>
                <w:color w:val="auto"/>
              </w:rPr>
            </w:pPr>
            <w:r>
              <w:rPr>
                <w:rFonts w:ascii="Arial" w:cs="Arial" w:eastAsia="Arial" w:hAnsi="Arial"/>
                <w:sz w:val="17"/>
                <w:szCs w:val="17"/>
                <w:color w:val="auto"/>
              </w:rPr>
              <w:t xml:space="preserve">Net income/(loss) </w:t>
            </w:r>
            <w:r>
              <w:rPr>
                <w:rFonts w:ascii="Arial" w:cs="Arial" w:eastAsia="Arial" w:hAnsi="Arial"/>
                <w:sz w:val="8"/>
                <w:szCs w:val="8"/>
                <w:color w:val="auto"/>
              </w:rPr>
              <w:t>(4), (5), (6), (7)</w:t>
            </w:r>
          </w:p>
        </w:tc>
        <w:tc>
          <w:tcPr>
            <w:tcW w:w="1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2540" w:type="dxa"/>
            <w:vAlign w:val="bottom"/>
            <w:shd w:val="clear" w:color="auto" w:fill="CCEEFF"/>
          </w:tcPr>
          <w:p>
            <w:pPr>
              <w:jc w:val="right"/>
              <w:ind w:right="1855"/>
              <w:spacing w:after="0"/>
              <w:rPr>
                <w:sz w:val="20"/>
                <w:szCs w:val="20"/>
                <w:color w:val="auto"/>
              </w:rPr>
            </w:pPr>
            <w:r>
              <w:rPr>
                <w:rFonts w:ascii="Arial" w:cs="Arial" w:eastAsia="Arial" w:hAnsi="Arial"/>
                <w:sz w:val="17"/>
                <w:szCs w:val="17"/>
                <w:b w:val="1"/>
                <w:bCs w:val="1"/>
                <w:color w:val="auto"/>
              </w:rPr>
              <w:t>2017</w:t>
            </w:r>
          </w:p>
        </w:tc>
        <w:tc>
          <w:tcPr>
            <w:tcW w:w="136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180</w:t>
            </w:r>
          </w:p>
        </w:tc>
        <w:tc>
          <w:tcPr>
            <w:tcW w:w="1180" w:type="dxa"/>
            <w:vAlign w:val="bottom"/>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51</w:t>
            </w:r>
          </w:p>
        </w:tc>
        <w:tc>
          <w:tcPr>
            <w:tcW w:w="1160" w:type="dxa"/>
            <w:vAlign w:val="bottom"/>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102</w:t>
            </w:r>
          </w:p>
        </w:tc>
        <w:tc>
          <w:tcPr>
            <w:tcW w:w="1380" w:type="dxa"/>
            <w:vAlign w:val="bottom"/>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(49)</w:t>
            </w:r>
          </w:p>
        </w:tc>
        <w:tc>
          <w:tcPr>
            <w:tcW w:w="500" w:type="dxa"/>
            <w:vAlign w:val="bottom"/>
            <w:shd w:val="clear" w:color="auto" w:fill="CCEEFF"/>
          </w:tcPr>
          <w:p>
            <w:pPr>
              <w:ind w:left="18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284</w:t>
            </w:r>
          </w:p>
        </w:tc>
      </w:tr>
      <w:tr>
        <w:trPr>
          <w:trHeight w:val="230"/>
        </w:trPr>
        <w:tc>
          <w:tcPr>
            <w:tcW w:w="2540" w:type="dxa"/>
            <w:vAlign w:val="bottom"/>
          </w:tcPr>
          <w:p>
            <w:pPr>
              <w:jc w:val="right"/>
              <w:ind w:right="1855"/>
              <w:spacing w:after="0"/>
              <w:rPr>
                <w:sz w:val="20"/>
                <w:szCs w:val="20"/>
                <w:color w:val="auto"/>
              </w:rPr>
            </w:pPr>
            <w:r>
              <w:rPr>
                <w:rFonts w:ascii="Arial" w:cs="Arial" w:eastAsia="Arial" w:hAnsi="Arial"/>
                <w:sz w:val="17"/>
                <w:szCs w:val="17"/>
                <w:color w:val="auto"/>
              </w:rPr>
              <w:t>2016</w:t>
            </w:r>
          </w:p>
        </w:tc>
        <w:tc>
          <w:tcPr>
            <w:tcW w:w="1360" w:type="dxa"/>
            <w:vAlign w:val="bottom"/>
          </w:tcPr>
          <w:p>
            <w:pPr>
              <w:jc w:val="right"/>
              <w:ind w:right="55"/>
              <w:spacing w:after="0"/>
              <w:rPr>
                <w:sz w:val="20"/>
                <w:szCs w:val="20"/>
                <w:color w:val="auto"/>
              </w:rPr>
            </w:pPr>
            <w:r>
              <w:rPr>
                <w:rFonts w:ascii="Arial" w:cs="Arial" w:eastAsia="Arial" w:hAnsi="Arial"/>
                <w:sz w:val="17"/>
                <w:szCs w:val="17"/>
                <w:color w:val="auto"/>
              </w:rPr>
              <w:t>191</w:t>
            </w:r>
          </w:p>
        </w:tc>
        <w:tc>
          <w:tcPr>
            <w:tcW w:w="1180" w:type="dxa"/>
            <w:vAlign w:val="bottom"/>
          </w:tcPr>
          <w:p>
            <w:pPr>
              <w:jc w:val="right"/>
              <w:ind w:right="75"/>
              <w:spacing w:after="0"/>
              <w:rPr>
                <w:sz w:val="20"/>
                <w:szCs w:val="20"/>
                <w:color w:val="auto"/>
              </w:rPr>
            </w:pPr>
            <w:r>
              <w:rPr>
                <w:rFonts w:ascii="Arial" w:cs="Arial" w:eastAsia="Arial" w:hAnsi="Arial"/>
                <w:sz w:val="17"/>
                <w:szCs w:val="17"/>
                <w:color w:val="auto"/>
              </w:rPr>
              <w:t>127</w:t>
            </w:r>
          </w:p>
        </w:tc>
        <w:tc>
          <w:tcPr>
            <w:tcW w:w="1160" w:type="dxa"/>
            <w:vAlign w:val="bottom"/>
          </w:tcPr>
          <w:p>
            <w:pPr>
              <w:jc w:val="right"/>
              <w:ind w:right="75"/>
              <w:spacing w:after="0"/>
              <w:rPr>
                <w:sz w:val="20"/>
                <w:szCs w:val="20"/>
                <w:color w:val="auto"/>
              </w:rPr>
            </w:pPr>
            <w:r>
              <w:rPr>
                <w:rFonts w:ascii="Arial" w:cs="Arial" w:eastAsia="Arial" w:hAnsi="Arial"/>
                <w:sz w:val="17"/>
                <w:szCs w:val="17"/>
                <w:color w:val="auto"/>
              </w:rPr>
              <w:t>157</w:t>
            </w:r>
          </w:p>
        </w:tc>
        <w:tc>
          <w:tcPr>
            <w:tcW w:w="1380" w:type="dxa"/>
            <w:vAlign w:val="bottom"/>
          </w:tcPr>
          <w:p>
            <w:pPr>
              <w:jc w:val="right"/>
              <w:ind w:right="115"/>
              <w:spacing w:after="0"/>
              <w:rPr>
                <w:sz w:val="20"/>
                <w:szCs w:val="20"/>
                <w:color w:val="auto"/>
              </w:rPr>
            </w:pPr>
            <w:r>
              <w:rPr>
                <w:rFonts w:ascii="Arial" w:cs="Arial" w:eastAsia="Arial" w:hAnsi="Arial"/>
                <w:sz w:val="17"/>
                <w:szCs w:val="17"/>
                <w:color w:val="auto"/>
              </w:rPr>
              <w:t>189</w:t>
            </w:r>
          </w:p>
        </w:tc>
        <w:tc>
          <w:tcPr>
            <w:tcW w:w="500" w:type="dxa"/>
            <w:vAlign w:val="bottom"/>
          </w:tcPr>
          <w:p>
            <w:pPr>
              <w:ind w:left="18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664</w:t>
            </w:r>
          </w:p>
        </w:tc>
      </w:tr>
      <w:tr>
        <w:trPr>
          <w:trHeight w:val="230"/>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 xml:space="preserve">Basic earnings per share </w:t>
            </w:r>
            <w:r>
              <w:rPr>
                <w:rFonts w:ascii="Arial" w:cs="Arial" w:eastAsia="Arial" w:hAnsi="Arial"/>
                <w:sz w:val="8"/>
                <w:szCs w:val="8"/>
                <w:color w:val="auto"/>
              </w:rPr>
              <w:t>(8)</w:t>
            </w:r>
          </w:p>
        </w:tc>
        <w:tc>
          <w:tcPr>
            <w:tcW w:w="1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2540" w:type="dxa"/>
            <w:vAlign w:val="bottom"/>
          </w:tcPr>
          <w:p>
            <w:pPr>
              <w:jc w:val="right"/>
              <w:ind w:right="1855"/>
              <w:spacing w:after="0"/>
              <w:rPr>
                <w:sz w:val="20"/>
                <w:szCs w:val="20"/>
                <w:color w:val="auto"/>
              </w:rPr>
            </w:pPr>
            <w:r>
              <w:rPr>
                <w:rFonts w:ascii="Arial" w:cs="Arial" w:eastAsia="Arial" w:hAnsi="Arial"/>
                <w:sz w:val="17"/>
                <w:szCs w:val="17"/>
                <w:b w:val="1"/>
                <w:bCs w:val="1"/>
                <w:color w:val="auto"/>
              </w:rPr>
              <w:t>2017</w:t>
            </w:r>
          </w:p>
        </w:tc>
        <w:tc>
          <w:tcPr>
            <w:tcW w:w="1360" w:type="dxa"/>
            <w:vAlign w:val="bottom"/>
          </w:tcPr>
          <w:p>
            <w:pPr>
              <w:jc w:val="right"/>
              <w:ind w:right="55"/>
              <w:spacing w:after="0"/>
              <w:rPr>
                <w:sz w:val="20"/>
                <w:szCs w:val="20"/>
                <w:color w:val="auto"/>
              </w:rPr>
            </w:pPr>
            <w:r>
              <w:rPr>
                <w:rFonts w:ascii="Arial" w:cs="Arial" w:eastAsia="Arial" w:hAnsi="Arial"/>
                <w:sz w:val="17"/>
                <w:szCs w:val="17"/>
                <w:b w:val="1"/>
                <w:bCs w:val="1"/>
                <w:color w:val="auto"/>
              </w:rPr>
              <w:t>1.37</w:t>
            </w:r>
          </w:p>
        </w:tc>
        <w:tc>
          <w:tcPr>
            <w:tcW w:w="1180" w:type="dxa"/>
            <w:vAlign w:val="bottom"/>
          </w:tcPr>
          <w:p>
            <w:pPr>
              <w:jc w:val="right"/>
              <w:ind w:right="75"/>
              <w:spacing w:after="0"/>
              <w:rPr>
                <w:sz w:val="20"/>
                <w:szCs w:val="20"/>
                <w:color w:val="auto"/>
              </w:rPr>
            </w:pPr>
            <w:r>
              <w:rPr>
                <w:rFonts w:ascii="Arial" w:cs="Arial" w:eastAsia="Arial" w:hAnsi="Arial"/>
                <w:sz w:val="17"/>
                <w:szCs w:val="17"/>
                <w:b w:val="1"/>
                <w:bCs w:val="1"/>
                <w:color w:val="auto"/>
              </w:rPr>
              <w:t>0.39</w:t>
            </w:r>
          </w:p>
        </w:tc>
        <w:tc>
          <w:tcPr>
            <w:tcW w:w="1160" w:type="dxa"/>
            <w:vAlign w:val="bottom"/>
          </w:tcPr>
          <w:p>
            <w:pPr>
              <w:jc w:val="right"/>
              <w:ind w:right="75"/>
              <w:spacing w:after="0"/>
              <w:rPr>
                <w:sz w:val="20"/>
                <w:szCs w:val="20"/>
                <w:color w:val="auto"/>
              </w:rPr>
            </w:pPr>
            <w:r>
              <w:rPr>
                <w:rFonts w:ascii="Arial" w:cs="Arial" w:eastAsia="Arial" w:hAnsi="Arial"/>
                <w:sz w:val="17"/>
                <w:szCs w:val="17"/>
                <w:b w:val="1"/>
                <w:bCs w:val="1"/>
                <w:color w:val="auto"/>
              </w:rPr>
              <w:t>0.81</w:t>
            </w:r>
          </w:p>
        </w:tc>
        <w:tc>
          <w:tcPr>
            <w:tcW w:w="1380" w:type="dxa"/>
            <w:vAlign w:val="bottom"/>
          </w:tcPr>
          <w:p>
            <w:pPr>
              <w:jc w:val="right"/>
              <w:ind w:right="75"/>
              <w:spacing w:after="0"/>
              <w:rPr>
                <w:sz w:val="20"/>
                <w:szCs w:val="20"/>
                <w:color w:val="auto"/>
              </w:rPr>
            </w:pPr>
            <w:r>
              <w:rPr>
                <w:rFonts w:ascii="Arial" w:cs="Arial" w:eastAsia="Arial" w:hAnsi="Arial"/>
                <w:sz w:val="17"/>
                <w:szCs w:val="17"/>
                <w:b w:val="1"/>
                <w:bCs w:val="1"/>
                <w:color w:val="auto"/>
              </w:rPr>
              <w:t>(0.40)</w:t>
            </w:r>
          </w:p>
        </w:tc>
        <w:tc>
          <w:tcPr>
            <w:tcW w:w="500" w:type="dxa"/>
            <w:vAlign w:val="bottom"/>
          </w:tcPr>
          <w:p>
            <w:pPr>
              <w:ind w:left="18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2.23</w:t>
            </w:r>
          </w:p>
        </w:tc>
      </w:tr>
      <w:tr>
        <w:trPr>
          <w:trHeight w:val="230"/>
        </w:trPr>
        <w:tc>
          <w:tcPr>
            <w:tcW w:w="2540" w:type="dxa"/>
            <w:vAlign w:val="bottom"/>
            <w:shd w:val="clear" w:color="auto" w:fill="CCEEFF"/>
          </w:tcPr>
          <w:p>
            <w:pPr>
              <w:jc w:val="right"/>
              <w:ind w:right="1855"/>
              <w:spacing w:after="0"/>
              <w:rPr>
                <w:sz w:val="20"/>
                <w:szCs w:val="20"/>
                <w:color w:val="auto"/>
              </w:rPr>
            </w:pPr>
            <w:r>
              <w:rPr>
                <w:rFonts w:ascii="Arial" w:cs="Arial" w:eastAsia="Arial" w:hAnsi="Arial"/>
                <w:sz w:val="17"/>
                <w:szCs w:val="17"/>
                <w:color w:val="auto"/>
              </w:rPr>
              <w:t>2016</w:t>
            </w:r>
          </w:p>
        </w:tc>
        <w:tc>
          <w:tcPr>
            <w:tcW w:w="13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1.40</w:t>
            </w:r>
          </w:p>
        </w:tc>
        <w:tc>
          <w:tcPr>
            <w:tcW w:w="11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0.94</w:t>
            </w:r>
          </w:p>
        </w:tc>
        <w:tc>
          <w:tcPr>
            <w:tcW w:w="11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1.18</w:t>
            </w:r>
          </w:p>
        </w:tc>
        <w:tc>
          <w:tcPr>
            <w:tcW w:w="13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1.43</w:t>
            </w:r>
          </w:p>
        </w:tc>
        <w:tc>
          <w:tcPr>
            <w:tcW w:w="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4.95</w:t>
            </w:r>
          </w:p>
        </w:tc>
      </w:tr>
      <w:tr>
        <w:trPr>
          <w:trHeight w:val="230"/>
        </w:trPr>
        <w:tc>
          <w:tcPr>
            <w:tcW w:w="2540" w:type="dxa"/>
            <w:vAlign w:val="bottom"/>
          </w:tcPr>
          <w:p>
            <w:pPr>
              <w:spacing w:after="0"/>
              <w:rPr>
                <w:sz w:val="20"/>
                <w:szCs w:val="20"/>
                <w:color w:val="auto"/>
              </w:rPr>
            </w:pPr>
            <w:r>
              <w:rPr>
                <w:rFonts w:ascii="Arial" w:cs="Arial" w:eastAsia="Arial" w:hAnsi="Arial"/>
                <w:sz w:val="17"/>
                <w:szCs w:val="17"/>
                <w:color w:val="auto"/>
              </w:rPr>
              <w:t xml:space="preserve">Diluted earnings per share </w:t>
            </w:r>
            <w:r>
              <w:rPr>
                <w:rFonts w:ascii="Arial" w:cs="Arial" w:eastAsia="Arial" w:hAnsi="Arial"/>
                <w:sz w:val="8"/>
                <w:szCs w:val="8"/>
                <w:color w:val="auto"/>
              </w:rPr>
              <w:t>(8)</w:t>
            </w:r>
          </w:p>
        </w:tc>
        <w:tc>
          <w:tcPr>
            <w:tcW w:w="1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2540" w:type="dxa"/>
            <w:vAlign w:val="bottom"/>
            <w:shd w:val="clear" w:color="auto" w:fill="CCEEFF"/>
          </w:tcPr>
          <w:p>
            <w:pPr>
              <w:jc w:val="right"/>
              <w:ind w:right="1855"/>
              <w:spacing w:after="0"/>
              <w:rPr>
                <w:sz w:val="20"/>
                <w:szCs w:val="20"/>
                <w:color w:val="auto"/>
              </w:rPr>
            </w:pPr>
            <w:r>
              <w:rPr>
                <w:rFonts w:ascii="Arial" w:cs="Arial" w:eastAsia="Arial" w:hAnsi="Arial"/>
                <w:sz w:val="17"/>
                <w:szCs w:val="17"/>
                <w:b w:val="1"/>
                <w:bCs w:val="1"/>
                <w:color w:val="auto"/>
              </w:rPr>
              <w:t>2017</w:t>
            </w:r>
          </w:p>
        </w:tc>
        <w:tc>
          <w:tcPr>
            <w:tcW w:w="136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1.36</w:t>
            </w:r>
          </w:p>
        </w:tc>
        <w:tc>
          <w:tcPr>
            <w:tcW w:w="1180" w:type="dxa"/>
            <w:vAlign w:val="bottom"/>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0.39</w:t>
            </w:r>
          </w:p>
        </w:tc>
        <w:tc>
          <w:tcPr>
            <w:tcW w:w="1160" w:type="dxa"/>
            <w:vAlign w:val="bottom"/>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0.81</w:t>
            </w:r>
          </w:p>
        </w:tc>
        <w:tc>
          <w:tcPr>
            <w:tcW w:w="1380" w:type="dxa"/>
            <w:vAlign w:val="bottom"/>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(0.40)</w:t>
            </w:r>
          </w:p>
        </w:tc>
        <w:tc>
          <w:tcPr>
            <w:tcW w:w="500" w:type="dxa"/>
            <w:vAlign w:val="bottom"/>
            <w:shd w:val="clear" w:color="auto" w:fill="CCEEFF"/>
          </w:tcPr>
          <w:p>
            <w:pPr>
              <w:ind w:left="18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2.22</w:t>
            </w:r>
          </w:p>
        </w:tc>
      </w:tr>
      <w:tr>
        <w:trPr>
          <w:trHeight w:val="230"/>
        </w:trPr>
        <w:tc>
          <w:tcPr>
            <w:tcW w:w="2540" w:type="dxa"/>
            <w:vAlign w:val="bottom"/>
            <w:tcBorders>
              <w:bottom w:val="single" w:sz="8" w:color="auto"/>
            </w:tcBorders>
          </w:tcPr>
          <w:p>
            <w:pPr>
              <w:jc w:val="right"/>
              <w:ind w:right="1855"/>
              <w:spacing w:after="0"/>
              <w:rPr>
                <w:sz w:val="20"/>
                <w:szCs w:val="20"/>
                <w:color w:val="auto"/>
              </w:rPr>
            </w:pPr>
            <w:r>
              <w:rPr>
                <w:rFonts w:ascii="Arial" w:cs="Arial" w:eastAsia="Arial" w:hAnsi="Arial"/>
                <w:sz w:val="17"/>
                <w:szCs w:val="17"/>
                <w:color w:val="auto"/>
              </w:rPr>
              <w:t>2016</w:t>
            </w:r>
          </w:p>
        </w:tc>
        <w:tc>
          <w:tcPr>
            <w:tcW w:w="13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1.39</w:t>
            </w:r>
          </w:p>
        </w:tc>
        <w:tc>
          <w:tcPr>
            <w:tcW w:w="11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0.94</w:t>
            </w:r>
          </w:p>
        </w:tc>
        <w:tc>
          <w:tcPr>
            <w:tcW w:w="11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1.17</w:t>
            </w:r>
          </w:p>
        </w:tc>
        <w:tc>
          <w:tcPr>
            <w:tcW w:w="13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1.42</w:t>
            </w:r>
          </w:p>
        </w:tc>
        <w:tc>
          <w:tcPr>
            <w:tcW w:w="50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4.91</w:t>
            </w:r>
          </w:p>
        </w:tc>
      </w:tr>
    </w:tbl>
    <w:p>
      <w:pPr>
        <w:spacing w:after="0" w:line="135" w:lineRule="exact"/>
        <w:rPr>
          <w:sz w:val="20"/>
          <w:szCs w:val="20"/>
          <w:color w:val="auto"/>
        </w:rPr>
      </w:pPr>
    </w:p>
    <w:p>
      <w:pPr>
        <w:ind w:left="900" w:hanging="484"/>
        <w:spacing w:after="0"/>
        <w:tabs>
          <w:tab w:leader="none" w:pos="900" w:val="left"/>
        </w:tabs>
        <w:numPr>
          <w:ilvl w:val="0"/>
          <w:numId w:val="32"/>
        </w:numPr>
        <w:rPr>
          <w:rFonts w:ascii="Arial" w:cs="Arial" w:eastAsia="Arial" w:hAnsi="Arial"/>
          <w:sz w:val="12"/>
          <w:szCs w:val="12"/>
          <w:color w:val="auto"/>
        </w:rPr>
      </w:pPr>
      <w:r>
        <w:rPr>
          <w:rFonts w:ascii="Arial" w:cs="Arial" w:eastAsia="Arial" w:hAnsi="Arial"/>
          <w:sz w:val="14"/>
          <w:szCs w:val="14"/>
          <w:color w:val="auto"/>
        </w:rPr>
        <w:t>The fourth quarter of 2017 represents the 14 weeks ended February 3, 2018.</w:t>
      </w:r>
    </w:p>
    <w:p>
      <w:pPr>
        <w:jc w:val="both"/>
        <w:ind w:left="900" w:right="239" w:hanging="484"/>
        <w:spacing w:after="0" w:line="228" w:lineRule="auto"/>
        <w:tabs>
          <w:tab w:leader="none" w:pos="900" w:val="left"/>
        </w:tabs>
        <w:numPr>
          <w:ilvl w:val="0"/>
          <w:numId w:val="32"/>
        </w:numPr>
        <w:rPr>
          <w:rFonts w:ascii="Arial" w:cs="Arial" w:eastAsia="Arial" w:hAnsi="Arial"/>
          <w:sz w:val="12"/>
          <w:szCs w:val="12"/>
          <w:color w:val="auto"/>
        </w:rPr>
      </w:pPr>
      <w:r>
        <w:rPr>
          <w:rFonts w:ascii="Arial" w:cs="Arial" w:eastAsia="Arial" w:hAnsi="Arial"/>
          <w:sz w:val="14"/>
          <w:szCs w:val="14"/>
          <w:color w:val="auto"/>
        </w:rPr>
        <w:t>Gross margin represents sales less cost of sales. Cost of sales includes: the cost of merchandise, freight, distribution costs including related depreciation expense, shipping and handling, occupancy and buyers’ compensation. Occupancy costs include rent, common area maintenance charges, real estate taxes, general maintenance, and utilities.</w:t>
      </w:r>
    </w:p>
    <w:p>
      <w:pPr>
        <w:spacing w:after="0" w:line="27" w:lineRule="exact"/>
        <w:rPr>
          <w:rFonts w:ascii="Arial" w:cs="Arial" w:eastAsia="Arial" w:hAnsi="Arial"/>
          <w:sz w:val="12"/>
          <w:szCs w:val="12"/>
          <w:color w:val="auto"/>
        </w:rPr>
      </w:pPr>
    </w:p>
    <w:p>
      <w:pPr>
        <w:ind w:left="900" w:hanging="484"/>
        <w:spacing w:after="0"/>
        <w:tabs>
          <w:tab w:leader="none" w:pos="900" w:val="left"/>
        </w:tabs>
        <w:numPr>
          <w:ilvl w:val="0"/>
          <w:numId w:val="32"/>
        </w:numPr>
        <w:rPr>
          <w:rFonts w:ascii="Arial" w:cs="Arial" w:eastAsia="Arial" w:hAnsi="Arial"/>
          <w:sz w:val="12"/>
          <w:szCs w:val="12"/>
          <w:color w:val="auto"/>
        </w:rPr>
      </w:pPr>
      <w:r>
        <w:rPr>
          <w:rFonts w:ascii="Arial" w:cs="Arial" w:eastAsia="Arial" w:hAnsi="Arial"/>
          <w:sz w:val="14"/>
          <w:szCs w:val="14"/>
          <w:color w:val="auto"/>
        </w:rPr>
        <w:t>Operating profit represents income before income taxes, interest (income)/expense, net, and non-operating income.</w:t>
      </w:r>
    </w:p>
    <w:p>
      <w:pPr>
        <w:spacing w:after="0" w:line="28" w:lineRule="exact"/>
        <w:rPr>
          <w:rFonts w:ascii="Arial" w:cs="Arial" w:eastAsia="Arial" w:hAnsi="Arial"/>
          <w:sz w:val="12"/>
          <w:szCs w:val="12"/>
          <w:color w:val="auto"/>
        </w:rPr>
      </w:pPr>
    </w:p>
    <w:p>
      <w:pPr>
        <w:ind w:left="900" w:right="239" w:hanging="484"/>
        <w:spacing w:after="0" w:line="221" w:lineRule="auto"/>
        <w:tabs>
          <w:tab w:leader="none" w:pos="900" w:val="left"/>
        </w:tabs>
        <w:numPr>
          <w:ilvl w:val="0"/>
          <w:numId w:val="32"/>
        </w:numPr>
        <w:rPr>
          <w:rFonts w:ascii="Arial" w:cs="Arial" w:eastAsia="Arial" w:hAnsi="Arial"/>
          <w:sz w:val="12"/>
          <w:szCs w:val="12"/>
          <w:color w:val="auto"/>
        </w:rPr>
      </w:pPr>
      <w:r>
        <w:rPr>
          <w:rFonts w:ascii="Arial" w:cs="Arial" w:eastAsia="Arial" w:hAnsi="Arial"/>
          <w:sz w:val="14"/>
          <w:szCs w:val="14"/>
          <w:color w:val="auto"/>
        </w:rPr>
        <w:t xml:space="preserve">During the second and fourth quarters of 2017, the Company recorded pre-tax charges of $50 million and $128 million, respectively, related to its U.S. retirement plan litigation. See Note 22, </w:t>
      </w:r>
      <w:r>
        <w:rPr>
          <w:rFonts w:ascii="Arial" w:cs="Arial" w:eastAsia="Arial" w:hAnsi="Arial"/>
          <w:sz w:val="14"/>
          <w:szCs w:val="14"/>
          <w:i w:val="1"/>
          <w:iCs w:val="1"/>
          <w:color w:val="auto"/>
        </w:rPr>
        <w:t>Legal Proceedings</w:t>
      </w:r>
      <w:r>
        <w:rPr>
          <w:rFonts w:ascii="Arial" w:cs="Arial" w:eastAsia="Arial" w:hAnsi="Arial"/>
          <w:sz w:val="14"/>
          <w:szCs w:val="14"/>
          <w:color w:val="auto"/>
        </w:rPr>
        <w:t xml:space="preserve"> for further information.</w:t>
      </w:r>
    </w:p>
    <w:p>
      <w:pPr>
        <w:ind w:left="900" w:right="239" w:hanging="484"/>
        <w:spacing w:after="0" w:line="221" w:lineRule="auto"/>
        <w:tabs>
          <w:tab w:leader="none" w:pos="900" w:val="left"/>
        </w:tabs>
        <w:numPr>
          <w:ilvl w:val="0"/>
          <w:numId w:val="32"/>
        </w:numPr>
        <w:rPr>
          <w:rFonts w:ascii="Arial" w:cs="Arial" w:eastAsia="Arial" w:hAnsi="Arial"/>
          <w:sz w:val="12"/>
          <w:szCs w:val="12"/>
          <w:color w:val="auto"/>
        </w:rPr>
      </w:pPr>
      <w:r>
        <w:rPr>
          <w:rFonts w:ascii="Arial" w:cs="Arial" w:eastAsia="Arial" w:hAnsi="Arial"/>
          <w:sz w:val="14"/>
          <w:szCs w:val="14"/>
          <w:color w:val="auto"/>
        </w:rPr>
        <w:t xml:space="preserve">During the third quarter of 2017, the Company recorded a pre-tax charge of $13 million associated with the reorganization and the reduction in staff taken to improve efficiency. See Note 3, </w:t>
      </w:r>
      <w:r>
        <w:rPr>
          <w:rFonts w:ascii="Arial" w:cs="Arial" w:eastAsia="Arial" w:hAnsi="Arial"/>
          <w:sz w:val="14"/>
          <w:szCs w:val="14"/>
          <w:i w:val="1"/>
          <w:iCs w:val="1"/>
          <w:color w:val="auto"/>
        </w:rPr>
        <w:t>Litigation and Other Charges</w:t>
      </w:r>
      <w:r>
        <w:rPr>
          <w:rFonts w:ascii="Arial" w:cs="Arial" w:eastAsia="Arial" w:hAnsi="Arial"/>
          <w:sz w:val="14"/>
          <w:szCs w:val="14"/>
          <w:color w:val="auto"/>
        </w:rPr>
        <w:t xml:space="preserve"> for further information.</w:t>
      </w:r>
    </w:p>
    <w:p>
      <w:pPr>
        <w:ind w:left="900" w:right="239" w:hanging="484"/>
        <w:spacing w:after="0" w:line="221" w:lineRule="auto"/>
        <w:tabs>
          <w:tab w:leader="none" w:pos="900" w:val="left"/>
        </w:tabs>
        <w:numPr>
          <w:ilvl w:val="0"/>
          <w:numId w:val="32"/>
        </w:numPr>
        <w:rPr>
          <w:rFonts w:ascii="Arial" w:cs="Arial" w:eastAsia="Arial" w:hAnsi="Arial"/>
          <w:sz w:val="12"/>
          <w:szCs w:val="12"/>
          <w:color w:val="auto"/>
        </w:rPr>
      </w:pPr>
      <w:r>
        <w:rPr>
          <w:rFonts w:ascii="Arial" w:cs="Arial" w:eastAsia="Arial" w:hAnsi="Arial"/>
          <w:sz w:val="14"/>
          <w:szCs w:val="14"/>
          <w:color w:val="auto"/>
        </w:rPr>
        <w:t xml:space="preserve">During the fourth quarter of 2017 and the third quarter of 2016, the Company recorded pre-tax non-cash impairment charges totaling $20 million and $6 million, respectively. See Note 3, </w:t>
      </w:r>
      <w:r>
        <w:rPr>
          <w:rFonts w:ascii="Arial" w:cs="Arial" w:eastAsia="Arial" w:hAnsi="Arial"/>
          <w:sz w:val="14"/>
          <w:szCs w:val="14"/>
          <w:i w:val="1"/>
          <w:iCs w:val="1"/>
          <w:color w:val="auto"/>
        </w:rPr>
        <w:t>Litigation and Other Charges</w:t>
      </w:r>
      <w:r>
        <w:rPr>
          <w:rFonts w:ascii="Arial" w:cs="Arial" w:eastAsia="Arial" w:hAnsi="Arial"/>
          <w:sz w:val="14"/>
          <w:szCs w:val="14"/>
          <w:color w:val="auto"/>
        </w:rPr>
        <w:t xml:space="preserve"> for further information.</w:t>
      </w:r>
    </w:p>
    <w:p>
      <w:pPr>
        <w:jc w:val="both"/>
        <w:ind w:left="900" w:right="239" w:hanging="484"/>
        <w:spacing w:after="0" w:line="221" w:lineRule="auto"/>
        <w:tabs>
          <w:tab w:leader="none" w:pos="900" w:val="left"/>
        </w:tabs>
        <w:numPr>
          <w:ilvl w:val="0"/>
          <w:numId w:val="32"/>
        </w:numPr>
        <w:rPr>
          <w:rFonts w:ascii="Arial" w:cs="Arial" w:eastAsia="Arial" w:hAnsi="Arial"/>
          <w:sz w:val="12"/>
          <w:szCs w:val="12"/>
          <w:color w:val="auto"/>
        </w:rPr>
      </w:pPr>
      <w:r>
        <w:rPr>
          <w:rFonts w:ascii="Arial" w:cs="Arial" w:eastAsia="Arial" w:hAnsi="Arial"/>
          <w:sz w:val="14"/>
          <w:szCs w:val="14"/>
          <w:color w:val="auto"/>
        </w:rPr>
        <w:t xml:space="preserve">During the fourth quarter of 2017, the Company recorded a provisional $99 million tax liability for the mandatory deemed repatriation of foreign sourced net earnings and a corresponding change in our permanent reinvestment assertion under ASC 740-30. See Note 17, </w:t>
      </w:r>
      <w:r>
        <w:rPr>
          <w:rFonts w:ascii="Arial" w:cs="Arial" w:eastAsia="Arial" w:hAnsi="Arial"/>
          <w:sz w:val="14"/>
          <w:szCs w:val="14"/>
          <w:i w:val="1"/>
          <w:iCs w:val="1"/>
          <w:color w:val="auto"/>
        </w:rPr>
        <w:t>Income Taxes</w:t>
      </w:r>
      <w:r>
        <w:rPr>
          <w:rFonts w:ascii="Arial" w:cs="Arial" w:eastAsia="Arial" w:hAnsi="Arial"/>
          <w:sz w:val="14"/>
          <w:szCs w:val="14"/>
          <w:color w:val="auto"/>
        </w:rPr>
        <w:t xml:space="preserve"> for further information.</w:t>
      </w:r>
    </w:p>
    <w:p>
      <w:pPr>
        <w:jc w:val="both"/>
        <w:ind w:left="900" w:right="239" w:hanging="484"/>
        <w:spacing w:after="0" w:line="228" w:lineRule="auto"/>
        <w:tabs>
          <w:tab w:leader="none" w:pos="900" w:val="left"/>
        </w:tabs>
        <w:numPr>
          <w:ilvl w:val="0"/>
          <w:numId w:val="32"/>
        </w:numPr>
        <w:rPr>
          <w:rFonts w:ascii="Arial" w:cs="Arial" w:eastAsia="Arial" w:hAnsi="Arial"/>
          <w:sz w:val="12"/>
          <w:szCs w:val="12"/>
          <w:color w:val="auto"/>
        </w:rPr>
      </w:pPr>
      <w:r>
        <w:rPr>
          <w:rFonts w:ascii="Arial" w:cs="Arial" w:eastAsia="Arial" w:hAnsi="Arial"/>
          <w:sz w:val="14"/>
          <w:szCs w:val="14"/>
          <w:color w:val="auto"/>
        </w:rPr>
        <w:t>Quarterly income per share amounts do not total to the annual amount due to changes in weighted-average shares outstanding during the year. Additionally, stock options and other potentially dilutive common shares were excluded from the computation of diluted earnings per common share for the quarter ended February 3, 2018 as the Company reported a net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75" w:name="page76"/>
    <w:bookmarkEnd w:id="75"/>
    <w:p>
      <w:pPr>
        <w:ind w:left="100"/>
        <w:spacing w:after="0"/>
        <w:rPr>
          <w:sz w:val="20"/>
          <w:szCs w:val="20"/>
          <w:color w:val="auto"/>
        </w:rPr>
      </w:pPr>
      <w:r>
        <w:rPr>
          <w:rFonts w:ascii="Arial" w:cs="Arial" w:eastAsia="Arial" w:hAnsi="Arial"/>
          <w:sz w:val="17"/>
          <w:szCs w:val="17"/>
          <w:b w:val="1"/>
          <w:bCs w:val="1"/>
          <w:i w:val="1"/>
          <w:iCs w:val="1"/>
          <w:color w:val="auto"/>
        </w:rPr>
        <w:t>Item 9. Changes in and Disagreements with Accountants on Accounting and Financial Disclosure</w:t>
      </w:r>
    </w:p>
    <w:p>
      <w:pPr>
        <w:spacing w:after="0" w:line="203" w:lineRule="exact"/>
        <w:rPr>
          <w:sz w:val="20"/>
          <w:szCs w:val="20"/>
          <w:color w:val="auto"/>
        </w:rPr>
      </w:pPr>
    </w:p>
    <w:p>
      <w:pPr>
        <w:ind w:left="100" w:right="99"/>
        <w:spacing w:after="0" w:line="243" w:lineRule="auto"/>
        <w:rPr>
          <w:sz w:val="20"/>
          <w:szCs w:val="20"/>
          <w:color w:val="auto"/>
        </w:rPr>
      </w:pPr>
      <w:r>
        <w:rPr>
          <w:rFonts w:ascii="Arial" w:cs="Arial" w:eastAsia="Arial" w:hAnsi="Arial"/>
          <w:sz w:val="17"/>
          <w:szCs w:val="17"/>
          <w:color w:val="auto"/>
        </w:rPr>
        <w:t>There were no disagreements between the Company and its independent registered public accounting firm on matters of accounting principles or practices.</w:t>
      </w:r>
    </w:p>
    <w:p>
      <w:pPr>
        <w:spacing w:after="0" w:line="151" w:lineRule="exact"/>
        <w:rPr>
          <w:sz w:val="20"/>
          <w:szCs w:val="20"/>
          <w:color w:val="auto"/>
        </w:rPr>
      </w:pPr>
    </w:p>
    <w:p>
      <w:pPr>
        <w:ind w:left="100"/>
        <w:spacing w:after="0"/>
        <w:rPr>
          <w:sz w:val="20"/>
          <w:szCs w:val="20"/>
          <w:color w:val="auto"/>
        </w:rPr>
      </w:pPr>
      <w:r>
        <w:rPr>
          <w:rFonts w:ascii="Arial" w:cs="Arial" w:eastAsia="Arial" w:hAnsi="Arial"/>
          <w:sz w:val="17"/>
          <w:szCs w:val="17"/>
          <w:b w:val="1"/>
          <w:bCs w:val="1"/>
          <w:i w:val="1"/>
          <w:iCs w:val="1"/>
          <w:color w:val="auto"/>
        </w:rPr>
        <w:t>Item 9A. Controls and Procedures</w:t>
      </w:r>
    </w:p>
    <w:p>
      <w:pPr>
        <w:spacing w:after="0" w:line="216" w:lineRule="exact"/>
        <w:rPr>
          <w:sz w:val="20"/>
          <w:szCs w:val="20"/>
          <w:color w:val="auto"/>
        </w:rPr>
      </w:pPr>
    </w:p>
    <w:p>
      <w:pPr>
        <w:ind w:left="800" w:hanging="439"/>
        <w:spacing w:after="0"/>
        <w:tabs>
          <w:tab w:leader="none" w:pos="800" w:val="left"/>
        </w:tabs>
        <w:numPr>
          <w:ilvl w:val="1"/>
          <w:numId w:val="33"/>
        </w:numPr>
        <w:rPr>
          <w:rFonts w:ascii="Arial" w:cs="Arial" w:eastAsia="Arial" w:hAnsi="Arial"/>
          <w:sz w:val="17"/>
          <w:szCs w:val="17"/>
          <w:color w:val="auto"/>
        </w:rPr>
      </w:pPr>
      <w:r>
        <w:rPr>
          <w:rFonts w:ascii="Arial" w:cs="Arial" w:eastAsia="Arial" w:hAnsi="Arial"/>
          <w:sz w:val="17"/>
          <w:szCs w:val="17"/>
          <w:color w:val="auto"/>
        </w:rPr>
        <w:t>Evaluation of Disclosure Controls and Procedures.</w:t>
      </w:r>
    </w:p>
    <w:p>
      <w:pPr>
        <w:spacing w:after="0" w:line="182" w:lineRule="exact"/>
        <w:rPr>
          <w:rFonts w:ascii="Arial" w:cs="Arial" w:eastAsia="Arial" w:hAnsi="Arial"/>
          <w:sz w:val="17"/>
          <w:szCs w:val="17"/>
          <w:color w:val="auto"/>
        </w:rPr>
      </w:pPr>
    </w:p>
    <w:p>
      <w:pPr>
        <w:jc w:val="both"/>
        <w:ind w:left="800" w:right="99"/>
        <w:spacing w:after="0" w:line="234" w:lineRule="auto"/>
        <w:rPr>
          <w:rFonts w:ascii="Arial" w:cs="Arial" w:eastAsia="Arial" w:hAnsi="Arial"/>
          <w:sz w:val="17"/>
          <w:szCs w:val="17"/>
          <w:color w:val="auto"/>
        </w:rPr>
      </w:pPr>
      <w:r>
        <w:rPr>
          <w:rFonts w:ascii="Arial" w:cs="Arial" w:eastAsia="Arial" w:hAnsi="Arial"/>
          <w:sz w:val="17"/>
          <w:szCs w:val="17"/>
          <w:color w:val="auto"/>
        </w:rPr>
        <w:t>The Company’s management performed an evaluation, under the supervision and with the participation of the Company’s Chief Executive Officer (“CEO”) and Chief Financial Officer (“CFO”), of the effectiveness of the design and operation of the Company’s disclosure controls and procedures (as that term is defined in Rules 13a-15(e) and 15d-15(e) under the Securities Exchange Act of 1934, as amended (the “Exchange Act”)) as of February 3, 2018. Based on that evaluation, the Company’s CEO and CFO concluded that the Company’s disclosure controls and procedures were effective to ensure that information relating to the Company that is required to be disclosed in the reports that we file or submit under the Exchange Act is recorded, processed, summarized, and reported within the time periods specified in the SEC rules and forms, and is accumulated and communicated to management, including the CEO and CFO, as appropriate to allow timely decisions regarding required disclosure.</w:t>
      </w:r>
    </w:p>
    <w:p>
      <w:pPr>
        <w:spacing w:after="0" w:line="119" w:lineRule="exact"/>
        <w:rPr>
          <w:rFonts w:ascii="Arial" w:cs="Arial" w:eastAsia="Arial" w:hAnsi="Arial"/>
          <w:sz w:val="17"/>
          <w:szCs w:val="17"/>
          <w:color w:val="auto"/>
        </w:rPr>
      </w:pPr>
    </w:p>
    <w:p>
      <w:pPr>
        <w:ind w:left="800" w:hanging="439"/>
        <w:spacing w:after="0"/>
        <w:tabs>
          <w:tab w:leader="none" w:pos="800" w:val="left"/>
        </w:tabs>
        <w:numPr>
          <w:ilvl w:val="1"/>
          <w:numId w:val="33"/>
        </w:numPr>
        <w:rPr>
          <w:rFonts w:ascii="Arial" w:cs="Arial" w:eastAsia="Arial" w:hAnsi="Arial"/>
          <w:sz w:val="17"/>
          <w:szCs w:val="17"/>
          <w:color w:val="auto"/>
        </w:rPr>
      </w:pPr>
      <w:r>
        <w:rPr>
          <w:rFonts w:ascii="Arial" w:cs="Arial" w:eastAsia="Arial" w:hAnsi="Arial"/>
          <w:sz w:val="17"/>
          <w:szCs w:val="17"/>
          <w:color w:val="auto"/>
        </w:rPr>
        <w:t>Management’s Annual Report on Internal Control over Financial Reporting.</w:t>
      </w:r>
    </w:p>
    <w:p>
      <w:pPr>
        <w:spacing w:after="0" w:line="88" w:lineRule="exact"/>
        <w:rPr>
          <w:rFonts w:ascii="Arial" w:cs="Arial" w:eastAsia="Arial" w:hAnsi="Arial"/>
          <w:sz w:val="17"/>
          <w:szCs w:val="17"/>
          <w:color w:val="auto"/>
        </w:rPr>
      </w:pPr>
    </w:p>
    <w:p>
      <w:pPr>
        <w:jc w:val="both"/>
        <w:ind w:left="800" w:right="99"/>
        <w:spacing w:after="0"/>
        <w:rPr>
          <w:rFonts w:ascii="Arial" w:cs="Arial" w:eastAsia="Arial" w:hAnsi="Arial"/>
          <w:sz w:val="17"/>
          <w:szCs w:val="17"/>
          <w:color w:val="auto"/>
        </w:rPr>
      </w:pPr>
      <w:r>
        <w:rPr>
          <w:rFonts w:ascii="Arial" w:cs="Arial" w:eastAsia="Arial" w:hAnsi="Arial"/>
          <w:sz w:val="17"/>
          <w:szCs w:val="17"/>
          <w:color w:val="auto"/>
        </w:rPr>
        <w:t>The Company’s management is responsible for establishing and maintaining adequate internal control over financial reporting (as that term is defined in Exchange Act Rules 13a-15(f) and 15d-15(f)). To evaluate the effectiveness of the Company’s internal control over financial reporting, the Company uses the framework in Internal Control-Integrated Framework (2013) issued by the Committee of Sponsoring Organizations of the Treadway Commission (the “2013 COSO Framework”). Using the 2013 COSO Framework, the Company’s management, including the CEO and CFO, evaluated the Company’s internal control over financial reporting and concluded that the Company’s internal control over financial reporting was effective as of February 3, 2018. KPMG LLP, the independent registered public accounting firm that audits the Company’s consolidated financial statements included in this annual report, has issued an attestation report on the Company’s effectiveness of internal control over financial reporting, which is included in Item 9A(d).</w:t>
      </w:r>
    </w:p>
    <w:p>
      <w:pPr>
        <w:spacing w:after="0" w:line="327" w:lineRule="exact"/>
        <w:rPr>
          <w:rFonts w:ascii="Arial" w:cs="Arial" w:eastAsia="Arial" w:hAnsi="Arial"/>
          <w:sz w:val="17"/>
          <w:szCs w:val="17"/>
          <w:color w:val="auto"/>
        </w:rPr>
      </w:pPr>
    </w:p>
    <w:p>
      <w:pPr>
        <w:ind w:left="840" w:hanging="492"/>
        <w:spacing w:after="0"/>
        <w:tabs>
          <w:tab w:leader="none" w:pos="8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Changes in Internal Control over Financial Reporting.</w:t>
      </w:r>
    </w:p>
    <w:p>
      <w:pPr>
        <w:spacing w:after="0" w:line="263" w:lineRule="exact"/>
        <w:rPr>
          <w:rFonts w:ascii="Arial" w:cs="Arial" w:eastAsia="Arial" w:hAnsi="Arial"/>
          <w:sz w:val="17"/>
          <w:szCs w:val="17"/>
          <w:color w:val="auto"/>
        </w:rPr>
      </w:pPr>
    </w:p>
    <w:p>
      <w:pPr>
        <w:jc w:val="both"/>
        <w:ind w:left="840" w:right="99"/>
        <w:spacing w:after="0" w:line="238" w:lineRule="auto"/>
        <w:rPr>
          <w:rFonts w:ascii="Arial" w:cs="Arial" w:eastAsia="Arial" w:hAnsi="Arial"/>
          <w:sz w:val="17"/>
          <w:szCs w:val="17"/>
          <w:color w:val="auto"/>
        </w:rPr>
      </w:pPr>
      <w:r>
        <w:rPr>
          <w:rFonts w:ascii="Arial" w:cs="Arial" w:eastAsia="Arial" w:hAnsi="Arial"/>
          <w:sz w:val="17"/>
          <w:szCs w:val="17"/>
          <w:color w:val="auto"/>
        </w:rPr>
        <w:t>During the Company’s last fiscal quarter there were no changes in internal control over financial reporting that materially affected, or are reasonably likely to materially affect, the Company’s internal control over financial reporting.</w:t>
      </w:r>
    </w:p>
    <w:p>
      <w:pPr>
        <w:spacing w:after="0" w:line="215" w:lineRule="exact"/>
        <w:rPr>
          <w:rFonts w:ascii="Arial" w:cs="Arial" w:eastAsia="Arial" w:hAnsi="Arial"/>
          <w:sz w:val="17"/>
          <w:szCs w:val="17"/>
          <w:color w:val="auto"/>
        </w:rPr>
      </w:pPr>
    </w:p>
    <w:p>
      <w:pPr>
        <w:ind w:left="840" w:right="99" w:hanging="492"/>
        <w:spacing w:after="0" w:line="243" w:lineRule="auto"/>
        <w:tabs>
          <w:tab w:leader="none" w:pos="8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Report of Independent Registered Public Accounting Firm on Internal Control Over Financial Reporting-the report appears on the following page.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56" w:right="1440" w:bottom="1440" w:gutter="0" w:footer="0" w:header="0"/>
        </w:sectPr>
      </w:pPr>
    </w:p>
    <w:bookmarkStart w:id="76" w:name="page77"/>
    <w:bookmarkEnd w:id="76"/>
    <w:p>
      <w:pPr>
        <w:ind w:left="1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8"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Board of Directors and Shareholders of</w:t>
      </w:r>
    </w:p>
    <w:p>
      <w:pPr>
        <w:ind w:left="100"/>
        <w:spacing w:after="0"/>
        <w:rPr>
          <w:sz w:val="20"/>
          <w:szCs w:val="20"/>
          <w:color w:val="auto"/>
        </w:rPr>
      </w:pPr>
      <w:r>
        <w:rPr>
          <w:rFonts w:ascii="Arial" w:cs="Arial" w:eastAsia="Arial" w:hAnsi="Arial"/>
          <w:sz w:val="17"/>
          <w:szCs w:val="17"/>
          <w:color w:val="auto"/>
        </w:rPr>
        <w:t>Foot Locker, Inc.:</w:t>
      </w:r>
    </w:p>
    <w:p>
      <w:pPr>
        <w:spacing w:after="0" w:line="169" w:lineRule="exact"/>
        <w:rPr>
          <w:sz w:val="20"/>
          <w:szCs w:val="20"/>
          <w:color w:val="auto"/>
        </w:rPr>
      </w:pPr>
    </w:p>
    <w:p>
      <w:pPr>
        <w:ind w:left="100"/>
        <w:spacing w:after="0"/>
        <w:rPr>
          <w:sz w:val="20"/>
          <w:szCs w:val="20"/>
          <w:color w:val="auto"/>
        </w:rPr>
      </w:pPr>
      <w:r>
        <w:rPr>
          <w:rFonts w:ascii="Arial" w:cs="Arial" w:eastAsia="Arial" w:hAnsi="Arial"/>
          <w:sz w:val="17"/>
          <w:szCs w:val="17"/>
          <w:color w:val="auto"/>
        </w:rPr>
        <w:t>Opinion on Internal Control Over Financial Reporting</w:t>
      </w:r>
    </w:p>
    <w:p>
      <w:pPr>
        <w:spacing w:after="0" w:line="88"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 xml:space="preserve">We have audited Foot Locker, Inc.’s and subsidiaries (the “Company”) internal control over financial reporting as of February 3, 2018,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In our opinion, the Company maintained, in all material respects, effective internal control over financial reporting as of February 3, 2018,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w:t>
      </w:r>
    </w:p>
    <w:p>
      <w:pPr>
        <w:spacing w:after="0" w:line="162"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February 3, 2018 and January 28, 2017, the related consolidated statements of operations, comprehensive income, stockholders’ equity, and cash flows for each of the years in the three-year period ended February 3, 2018, and the related notes (collectively, the “consolidated financial statements”), and our report dated March 29, 2018 expressed an unqualified opinion on those consolidated financial statements.</w:t>
      </w:r>
    </w:p>
    <w:p>
      <w:pPr>
        <w:spacing w:after="0" w:line="175" w:lineRule="exact"/>
        <w:rPr>
          <w:sz w:val="20"/>
          <w:szCs w:val="20"/>
          <w:color w:val="auto"/>
        </w:rPr>
      </w:pPr>
    </w:p>
    <w:p>
      <w:pPr>
        <w:ind w:left="100"/>
        <w:spacing w:after="0"/>
        <w:rPr>
          <w:sz w:val="20"/>
          <w:szCs w:val="20"/>
          <w:color w:val="auto"/>
        </w:rPr>
      </w:pPr>
      <w:r>
        <w:rPr>
          <w:rFonts w:ascii="Arial" w:cs="Arial" w:eastAsia="Arial" w:hAnsi="Arial"/>
          <w:sz w:val="17"/>
          <w:szCs w:val="17"/>
          <w:color w:val="auto"/>
        </w:rPr>
        <w:t>Basis for Opinion</w:t>
      </w:r>
    </w:p>
    <w:p>
      <w:pPr>
        <w:spacing w:after="0" w:line="75"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65" w:lineRule="exact"/>
        <w:rPr>
          <w:sz w:val="20"/>
          <w:szCs w:val="20"/>
          <w:color w:val="auto"/>
        </w:rPr>
      </w:pPr>
    </w:p>
    <w:p>
      <w:pPr>
        <w:ind w:left="100"/>
        <w:spacing w:after="0"/>
        <w:rPr>
          <w:sz w:val="20"/>
          <w:szCs w:val="20"/>
          <w:color w:val="auto"/>
        </w:rPr>
      </w:pPr>
      <w:r>
        <w:rPr>
          <w:rFonts w:ascii="Arial" w:cs="Arial" w:eastAsia="Arial" w:hAnsi="Arial"/>
          <w:sz w:val="17"/>
          <w:szCs w:val="17"/>
          <w:color w:val="auto"/>
        </w:rPr>
        <w:t>Definition and Limitations of Internal Control Over Financial Reporting</w:t>
      </w:r>
    </w:p>
    <w:p>
      <w:pPr>
        <w:spacing w:after="0" w:line="88"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0"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 KPMG LLP</w:t>
      </w:r>
    </w:p>
    <w:p>
      <w:pPr>
        <w:spacing w:after="0" w:line="17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New York, New York</w:t>
      </w:r>
    </w:p>
    <w:p>
      <w:pPr>
        <w:ind w:left="100"/>
        <w:spacing w:after="0"/>
        <w:rPr>
          <w:sz w:val="20"/>
          <w:szCs w:val="20"/>
          <w:color w:val="auto"/>
        </w:rPr>
      </w:pPr>
      <w:r>
        <w:rPr>
          <w:rFonts w:ascii="Arial" w:cs="Arial" w:eastAsia="Arial" w:hAnsi="Arial"/>
          <w:sz w:val="17"/>
          <w:szCs w:val="17"/>
          <w:color w:val="auto"/>
        </w:rPr>
        <w:t>March 29, 2018</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77" w:name="page78"/>
    <w:bookmarkEnd w:id="77"/>
    <w:p>
      <w:pPr>
        <w:ind w:left="100"/>
        <w:spacing w:after="0"/>
        <w:rPr>
          <w:sz w:val="20"/>
          <w:szCs w:val="20"/>
          <w:color w:val="auto"/>
        </w:rPr>
      </w:pPr>
      <w:r>
        <w:rPr>
          <w:rFonts w:ascii="Arial" w:cs="Arial" w:eastAsia="Arial" w:hAnsi="Arial"/>
          <w:sz w:val="17"/>
          <w:szCs w:val="17"/>
          <w:b w:val="1"/>
          <w:bCs w:val="1"/>
          <w:i w:val="1"/>
          <w:iCs w:val="1"/>
          <w:color w:val="auto"/>
        </w:rPr>
        <w:t>Item 9B. Other Information</w:t>
      </w:r>
    </w:p>
    <w:p>
      <w:pPr>
        <w:spacing w:after="0" w:line="20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None.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370" w:lineRule="exact"/>
        <w:rPr>
          <w:sz w:val="20"/>
          <w:szCs w:val="20"/>
          <w:color w:val="auto"/>
        </w:rPr>
      </w:pPr>
    </w:p>
    <w:p>
      <w:pPr>
        <w:ind w:left="100"/>
        <w:spacing w:after="0"/>
        <w:rPr>
          <w:sz w:val="20"/>
          <w:szCs w:val="20"/>
          <w:color w:val="auto"/>
        </w:rPr>
      </w:pPr>
      <w:r>
        <w:rPr>
          <w:rFonts w:ascii="Arial" w:cs="Arial" w:eastAsia="Arial" w:hAnsi="Arial"/>
          <w:sz w:val="17"/>
          <w:szCs w:val="17"/>
          <w:b w:val="1"/>
          <w:bCs w:val="1"/>
          <w:i w:val="1"/>
          <w:iCs w:val="1"/>
          <w:color w:val="auto"/>
        </w:rPr>
        <w:t>Item 10. Directors, Executive Officers and Corporate Governance</w:t>
      </w:r>
    </w:p>
    <w:p>
      <w:pPr>
        <w:spacing w:after="0" w:line="230" w:lineRule="exact"/>
        <w:rPr>
          <w:sz w:val="20"/>
          <w:szCs w:val="20"/>
          <w:color w:val="auto"/>
        </w:rPr>
      </w:pPr>
    </w:p>
    <w:p>
      <w:pPr>
        <w:ind w:left="780" w:hanging="432"/>
        <w:spacing w:after="0"/>
        <w:tabs>
          <w:tab w:leader="none" w:pos="7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Directors of the Company</w:t>
      </w:r>
    </w:p>
    <w:p>
      <w:pPr>
        <w:spacing w:after="0" w:line="244"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Information relative to directors of the Company will be set forth under the section captioned “Proposal</w:t>
      </w:r>
    </w:p>
    <w:p>
      <w:pPr>
        <w:ind w:left="1260" w:hanging="183"/>
        <w:spacing w:after="0"/>
        <w:tabs>
          <w:tab w:leader="none" w:pos="1260" w:val="left"/>
        </w:tabs>
        <w:numPr>
          <w:ilvl w:val="1"/>
          <w:numId w:val="36"/>
        </w:numPr>
        <w:rPr>
          <w:rFonts w:ascii="Arial" w:cs="Arial" w:eastAsia="Arial" w:hAnsi="Arial"/>
          <w:sz w:val="17"/>
          <w:szCs w:val="17"/>
          <w:color w:val="auto"/>
        </w:rPr>
      </w:pPr>
      <w:r>
        <w:rPr>
          <w:rFonts w:ascii="Arial" w:cs="Arial" w:eastAsia="Arial" w:hAnsi="Arial"/>
          <w:sz w:val="17"/>
          <w:szCs w:val="17"/>
          <w:color w:val="auto"/>
        </w:rPr>
        <w:t>Election of Directors” in the Proxy Statement and is incorporated herein by reference.</w:t>
      </w:r>
    </w:p>
    <w:p>
      <w:pPr>
        <w:spacing w:after="0" w:line="223" w:lineRule="exact"/>
        <w:rPr>
          <w:rFonts w:ascii="Arial" w:cs="Arial" w:eastAsia="Arial" w:hAnsi="Arial"/>
          <w:sz w:val="17"/>
          <w:szCs w:val="17"/>
          <w:color w:val="auto"/>
        </w:rPr>
      </w:pPr>
    </w:p>
    <w:p>
      <w:pPr>
        <w:ind w:left="780" w:hanging="432"/>
        <w:spacing w:after="0"/>
        <w:tabs>
          <w:tab w:leader="none" w:pos="7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Executive Officers of the Company</w:t>
      </w:r>
    </w:p>
    <w:p>
      <w:pPr>
        <w:spacing w:after="0" w:line="237"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Information with respect to executive officers of the Company will be set forth in Item 4A in Part I.</w:t>
      </w:r>
    </w:p>
    <w:p>
      <w:pPr>
        <w:spacing w:after="0" w:line="250" w:lineRule="exact"/>
        <w:rPr>
          <w:sz w:val="20"/>
          <w:szCs w:val="20"/>
          <w:color w:val="auto"/>
        </w:rPr>
      </w:pPr>
    </w:p>
    <w:p>
      <w:pPr>
        <w:jc w:val="both"/>
        <w:ind w:left="780" w:right="99" w:hanging="432"/>
        <w:spacing w:after="0" w:line="238" w:lineRule="auto"/>
        <w:tabs>
          <w:tab w:leader="none" w:pos="7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Information with respect to compliance with Section 16(a) of the Securities Exchange Act of 1934 will be set forth under the section captioned “Section 16(a) Beneficial Ownership Reporting Compliance” in the Proxy Statement and is incorporated herein by reference.</w:t>
      </w:r>
    </w:p>
    <w:p>
      <w:pPr>
        <w:spacing w:after="0" w:line="215" w:lineRule="exact"/>
        <w:rPr>
          <w:rFonts w:ascii="Arial" w:cs="Arial" w:eastAsia="Arial" w:hAnsi="Arial"/>
          <w:sz w:val="17"/>
          <w:szCs w:val="17"/>
          <w:color w:val="auto"/>
        </w:rPr>
      </w:pPr>
    </w:p>
    <w:p>
      <w:pPr>
        <w:ind w:left="780" w:right="99" w:hanging="432"/>
        <w:spacing w:after="0" w:line="243" w:lineRule="auto"/>
        <w:tabs>
          <w:tab w:leader="none" w:pos="7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Information on our audit committee and the audit committee financial expert will be contained in the Proxy Statement under the section captioned “Committees of the Board” and is incorporated herein by reference.</w:t>
      </w:r>
    </w:p>
    <w:p>
      <w:pPr>
        <w:spacing w:after="0" w:line="211" w:lineRule="exact"/>
        <w:rPr>
          <w:rFonts w:ascii="Arial" w:cs="Arial" w:eastAsia="Arial" w:hAnsi="Arial"/>
          <w:sz w:val="17"/>
          <w:szCs w:val="17"/>
          <w:color w:val="auto"/>
        </w:rPr>
      </w:pPr>
    </w:p>
    <w:p>
      <w:pPr>
        <w:jc w:val="both"/>
        <w:ind w:left="780" w:right="99" w:hanging="432"/>
        <w:spacing w:after="0" w:line="236" w:lineRule="auto"/>
        <w:tabs>
          <w:tab w:leader="none" w:pos="7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Information about the Code of Business Conduct governing our employees, including our Chief Executive Officer, Chief Financial Officer, Chief Accounting Officer, and the Board of Directors, will be set forth under the heading “Code of Business Conduct” under the Corporate Governance section of the Proxy Statement and is incorporated herein by reference.</w:t>
      </w:r>
    </w:p>
    <w:p>
      <w:pPr>
        <w:spacing w:after="0" w:line="157" w:lineRule="exact"/>
        <w:rPr>
          <w:sz w:val="20"/>
          <w:szCs w:val="20"/>
          <w:color w:val="auto"/>
        </w:rPr>
      </w:pPr>
    </w:p>
    <w:p>
      <w:pPr>
        <w:ind w:left="100"/>
        <w:spacing w:after="0"/>
        <w:rPr>
          <w:sz w:val="20"/>
          <w:szCs w:val="20"/>
          <w:color w:val="auto"/>
        </w:rPr>
      </w:pPr>
      <w:r>
        <w:rPr>
          <w:rFonts w:ascii="Arial" w:cs="Arial" w:eastAsia="Arial" w:hAnsi="Arial"/>
          <w:sz w:val="17"/>
          <w:szCs w:val="17"/>
          <w:b w:val="1"/>
          <w:bCs w:val="1"/>
          <w:i w:val="1"/>
          <w:iCs w:val="1"/>
          <w:color w:val="auto"/>
        </w:rPr>
        <w:t>Item 11. Executive Compensation</w:t>
      </w:r>
    </w:p>
    <w:p>
      <w:pPr>
        <w:spacing w:after="0" w:line="203"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Information set forth in the Proxy Statement beginning with the section captioned “Directors’ Compensation and Benefits” through and including the section captioned “Pension Benefits” is incorporated herein by reference, and information set forth in the Proxy Statement under the heading “Compensation and Management Resources Committee Interlocks and Insider Participation” is incorporated herein by reference.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Item 12. Security Ownership of Certain Beneficial Owners and Management and Related Stockholder Matters</w:t>
      </w:r>
    </w:p>
    <w:p>
      <w:pPr>
        <w:spacing w:after="0" w:line="203"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Information set forth in the Proxy Statement under the sections captioned “Equity Compensation Plan Information” and “Beneficial Ownership of the Company’s Stock” is incorporated herein by reference.</w:t>
      </w:r>
    </w:p>
    <w:p>
      <w:pPr>
        <w:spacing w:after="0" w:line="151" w:lineRule="exact"/>
        <w:rPr>
          <w:sz w:val="20"/>
          <w:szCs w:val="20"/>
          <w:color w:val="auto"/>
        </w:rPr>
      </w:pPr>
    </w:p>
    <w:p>
      <w:pPr>
        <w:ind w:left="100"/>
        <w:spacing w:after="0"/>
        <w:rPr>
          <w:sz w:val="20"/>
          <w:szCs w:val="20"/>
          <w:color w:val="auto"/>
        </w:rPr>
      </w:pPr>
      <w:r>
        <w:rPr>
          <w:rFonts w:ascii="Arial" w:cs="Arial" w:eastAsia="Arial" w:hAnsi="Arial"/>
          <w:sz w:val="17"/>
          <w:szCs w:val="17"/>
          <w:b w:val="1"/>
          <w:bCs w:val="1"/>
          <w:i w:val="1"/>
          <w:iCs w:val="1"/>
          <w:color w:val="auto"/>
        </w:rPr>
        <w:t>Item 13. Certain Relationships and Related Transactions, and Director Independence</w:t>
      </w:r>
    </w:p>
    <w:p>
      <w:pPr>
        <w:spacing w:after="0" w:line="203"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Information set forth in the Proxy Statement under the section captioned “Related Person Transactions” and under the section captioned “Directors’ Independence” is incorporated herein by reference.</w:t>
      </w:r>
    </w:p>
    <w:p>
      <w:pPr>
        <w:spacing w:after="0" w:line="151" w:lineRule="exact"/>
        <w:rPr>
          <w:sz w:val="20"/>
          <w:szCs w:val="20"/>
          <w:color w:val="auto"/>
        </w:rPr>
      </w:pPr>
    </w:p>
    <w:p>
      <w:pPr>
        <w:ind w:left="100"/>
        <w:spacing w:after="0"/>
        <w:rPr>
          <w:sz w:val="20"/>
          <w:szCs w:val="20"/>
          <w:color w:val="auto"/>
        </w:rPr>
      </w:pPr>
      <w:r>
        <w:rPr>
          <w:rFonts w:ascii="Arial" w:cs="Arial" w:eastAsia="Arial" w:hAnsi="Arial"/>
          <w:sz w:val="17"/>
          <w:szCs w:val="17"/>
          <w:b w:val="1"/>
          <w:bCs w:val="1"/>
          <w:i w:val="1"/>
          <w:iCs w:val="1"/>
          <w:color w:val="auto"/>
        </w:rPr>
        <w:t>Item 14. Principal Accounting Fees and Services</w:t>
      </w:r>
    </w:p>
    <w:p>
      <w:pPr>
        <w:spacing w:after="0" w:line="203"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Information about the principal accounting fees and services is set forth under the section captioned “Proposal 3: Ratification of the Appointment of Independent Registered Public Accounting Firm — Audit and Non-Audit Fees” in the Proxy Statement and is incorporated herein by reference. Information about the Audit Committee’s pre-approval policies and procedures is set forth in the section captioned “Proposal 3: Ratification of the Appointment of Independent Registered Public Accounting Firm — Audit Committee Pre-Approval Policies and Procedures” in the Proxy Statement and is incorporated herein by reference.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56" w:right="1440" w:bottom="1440" w:gutter="0" w:footer="0" w:header="0"/>
        </w:sectPr>
      </w:pPr>
    </w:p>
    <w:bookmarkStart w:id="78" w:name="page79"/>
    <w:bookmarkEnd w:id="78"/>
    <w:p>
      <w:pPr>
        <w:ind w:left="4160"/>
        <w:spacing w:after="0"/>
        <w:rPr>
          <w:sz w:val="20"/>
          <w:szCs w:val="20"/>
          <w:color w:val="auto"/>
        </w:rPr>
      </w:pPr>
      <w:r>
        <w:rPr>
          <w:rFonts w:ascii="Arial" w:cs="Arial" w:eastAsia="Arial" w:hAnsi="Arial"/>
          <w:sz w:val="18"/>
          <w:szCs w:val="18"/>
          <w:b w:val="1"/>
          <w:bCs w:val="1"/>
          <w:color w:val="auto"/>
        </w:rPr>
        <w:t>PART IV</w:t>
      </w:r>
    </w:p>
    <w:p>
      <w:pPr>
        <w:spacing w:after="0" w:line="181" w:lineRule="exact"/>
        <w:rPr>
          <w:sz w:val="20"/>
          <w:szCs w:val="20"/>
          <w:color w:val="auto"/>
        </w:rPr>
      </w:pPr>
    </w:p>
    <w:p>
      <w:pPr>
        <w:ind w:left="100"/>
        <w:spacing w:after="0"/>
        <w:rPr>
          <w:sz w:val="20"/>
          <w:szCs w:val="20"/>
          <w:color w:val="auto"/>
        </w:rPr>
      </w:pPr>
      <w:r>
        <w:rPr>
          <w:rFonts w:ascii="Arial" w:cs="Arial" w:eastAsia="Arial" w:hAnsi="Arial"/>
          <w:sz w:val="17"/>
          <w:szCs w:val="17"/>
          <w:b w:val="1"/>
          <w:bCs w:val="1"/>
          <w:i w:val="1"/>
          <w:iCs w:val="1"/>
          <w:color w:val="auto"/>
        </w:rPr>
        <w:t>Item 15. Exhibits and Financial Statement Schedules</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(a)(1) and (2) Financial Statements</w:t>
      </w:r>
    </w:p>
    <w:p>
      <w:pPr>
        <w:spacing w:after="0" w:line="183" w:lineRule="exact"/>
        <w:rPr>
          <w:sz w:val="20"/>
          <w:szCs w:val="20"/>
          <w:color w:val="auto"/>
        </w:rPr>
      </w:pPr>
    </w:p>
    <w:p>
      <w:pPr>
        <w:jc w:val="both"/>
        <w:ind w:left="700" w:right="99"/>
        <w:spacing w:after="0" w:line="236" w:lineRule="auto"/>
        <w:rPr>
          <w:sz w:val="20"/>
          <w:szCs w:val="20"/>
          <w:color w:val="auto"/>
        </w:rPr>
      </w:pPr>
      <w:r>
        <w:rPr>
          <w:rFonts w:ascii="Arial" w:cs="Arial" w:eastAsia="Arial" w:hAnsi="Arial"/>
          <w:sz w:val="17"/>
          <w:szCs w:val="17"/>
          <w:color w:val="auto"/>
        </w:rPr>
        <w:t>The list of financial statements required by this item is set forth in Item 8. “Consolidated Financial Statements and Supplementary Data.” All other schedules specified under Regulation S-X have been omitted because they are not applicable, because they are not required, or because the information required is included in the financial statements or notes thereto.</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(a)(3) and (c) Exhibits</w:t>
      </w:r>
    </w:p>
    <w:p>
      <w:pPr>
        <w:spacing w:after="0" w:line="183" w:lineRule="exact"/>
        <w:rPr>
          <w:sz w:val="20"/>
          <w:szCs w:val="20"/>
          <w:color w:val="auto"/>
        </w:rPr>
      </w:pPr>
    </w:p>
    <w:p>
      <w:pPr>
        <w:jc w:val="both"/>
        <w:ind w:left="700" w:right="99"/>
        <w:spacing w:after="0" w:line="243" w:lineRule="auto"/>
        <w:rPr>
          <w:sz w:val="20"/>
          <w:szCs w:val="20"/>
          <w:color w:val="auto"/>
        </w:rPr>
      </w:pPr>
      <w:r>
        <w:rPr>
          <w:rFonts w:ascii="Arial" w:cs="Arial" w:eastAsia="Arial" w:hAnsi="Arial"/>
          <w:sz w:val="17"/>
          <w:szCs w:val="17"/>
          <w:color w:val="auto"/>
        </w:rPr>
        <w:t>An index of the exhibits which are required by this item and which are included or incorporated herein by reference in this report appears on pages 79 through 81.</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79" w:name="page80"/>
    <w:bookmarkEnd w:id="79"/>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01" w:lineRule="exact"/>
        <w:rPr>
          <w:sz w:val="20"/>
          <w:szCs w:val="20"/>
          <w:color w:val="auto"/>
        </w:rPr>
      </w:pPr>
    </w:p>
    <w:p>
      <w:pPr>
        <w:ind w:left="100" w:right="99"/>
        <w:spacing w:after="0" w:line="243" w:lineRule="auto"/>
        <w:rPr>
          <w:sz w:val="20"/>
          <w:szCs w:val="20"/>
          <w:color w:val="auto"/>
        </w:rPr>
      </w:pPr>
      <w:r>
        <w:rPr>
          <w:rFonts w:ascii="Arial" w:cs="Arial" w:eastAsia="Arial" w:hAnsi="Arial"/>
          <w:sz w:val="17"/>
          <w:szCs w:val="17"/>
          <w:color w:val="auto"/>
        </w:rPr>
        <w:t>Pursuant to the requirements of Section 13 or 15(d) of the Securities Exchange Act of 1934, the Company has duly caused this report to be signed on its behalf by the undersigned, thereunto duly authorized.</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FOOT LOCKER, INC.</w:t>
      </w:r>
    </w:p>
    <w:p>
      <w:pPr>
        <w:spacing w:after="0" w:line="200" w:lineRule="exact"/>
        <w:rPr>
          <w:sz w:val="20"/>
          <w:szCs w:val="20"/>
          <w:color w:val="auto"/>
        </w:rPr>
      </w:pPr>
    </w:p>
    <w:p>
      <w:pPr>
        <w:spacing w:after="0" w:line="314"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By: /s/ RICHARD A.</w:t>
      </w:r>
    </w:p>
    <w:p>
      <w:pPr>
        <w:ind w:left="3600"/>
        <w:spacing w:after="0"/>
        <w:rPr>
          <w:sz w:val="20"/>
          <w:szCs w:val="20"/>
          <w:color w:val="auto"/>
        </w:rPr>
      </w:pPr>
      <w:r>
        <w:rPr>
          <w:rFonts w:ascii="Arial" w:cs="Arial" w:eastAsia="Arial" w:hAnsi="Arial"/>
          <w:sz w:val="17"/>
          <w:szCs w:val="17"/>
          <w:color w:val="auto"/>
        </w:rPr>
        <w:t>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2287270</wp:posOffset>
            </wp:positionH>
            <wp:positionV relativeFrom="paragraph">
              <wp:posOffset>0</wp:posOffset>
            </wp:positionV>
            <wp:extent cx="33788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102"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Richard A. Johnson</w:t>
      </w:r>
    </w:p>
    <w:p>
      <w:pPr>
        <w:ind w:left="3600"/>
        <w:spacing w:after="0"/>
        <w:rPr>
          <w:sz w:val="20"/>
          <w:szCs w:val="20"/>
          <w:color w:val="auto"/>
        </w:rPr>
      </w:pPr>
      <w:r>
        <w:rPr>
          <w:rFonts w:ascii="Arial" w:cs="Arial" w:eastAsia="Arial" w:hAnsi="Arial"/>
          <w:sz w:val="17"/>
          <w:szCs w:val="17"/>
          <w:i w:val="1"/>
          <w:iCs w:val="1"/>
          <w:color w:val="auto"/>
        </w:rPr>
        <w:t>Chairman of the Board, President and Chief Executive Officer</w:t>
      </w:r>
    </w:p>
    <w:p>
      <w:pPr>
        <w:spacing w:after="0" w:line="304"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Date: March 29, 2018</w:t>
      </w:r>
    </w:p>
    <w:p>
      <w:pPr>
        <w:spacing w:after="0" w:line="183" w:lineRule="exact"/>
        <w:rPr>
          <w:sz w:val="20"/>
          <w:szCs w:val="20"/>
          <w:color w:val="auto"/>
        </w:rPr>
      </w:pPr>
    </w:p>
    <w:p>
      <w:pPr>
        <w:ind w:left="100" w:right="99"/>
        <w:spacing w:after="0" w:line="243"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on March 29, 2018, by the following persons on behalf of the Company and in the capacities indicated.</w:t>
      </w:r>
    </w:p>
    <w:p>
      <w:pPr>
        <w:sectPr>
          <w:pgSz w:w="11900" w:h="16838" w:orient="portrait"/>
          <w:cols w:equalWidth="0" w:num="1">
            <w:col w:w="9019"/>
          </w:cols>
          <w:pgMar w:left="1440" w:top="54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left="260" w:right="700"/>
        <w:spacing w:after="0" w:line="291" w:lineRule="auto"/>
        <w:rPr>
          <w:sz w:val="20"/>
          <w:szCs w:val="20"/>
          <w:color w:val="auto"/>
        </w:rPr>
      </w:pPr>
      <w:r>
        <w:rPr>
          <w:rFonts w:ascii="Arial" w:cs="Arial" w:eastAsia="Arial" w:hAnsi="Arial"/>
          <w:sz w:val="17"/>
          <w:szCs w:val="17"/>
          <w:color w:val="auto"/>
        </w:rPr>
        <w:t>/s/ RICHARD A. JOHNSON Richard A. Johnson Chairman of the Board,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-327025</wp:posOffset>
            </wp:positionV>
            <wp:extent cx="268414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00"/>
        <w:spacing w:after="0"/>
        <w:rPr>
          <w:sz w:val="20"/>
          <w:szCs w:val="20"/>
          <w:color w:val="auto"/>
        </w:rPr>
      </w:pPr>
      <w:r>
        <w:rPr>
          <w:rFonts w:ascii="Arial" w:cs="Arial" w:eastAsia="Arial" w:hAnsi="Arial"/>
          <w:sz w:val="17"/>
          <w:szCs w:val="17"/>
          <w:color w:val="auto"/>
        </w:rPr>
        <w:t>/s/ GIOVANNA CIPRIANO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0</wp:posOffset>
            </wp:positionV>
            <wp:extent cx="268414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4" w:lineRule="exact"/>
        <w:rPr>
          <w:sz w:val="20"/>
          <w:szCs w:val="20"/>
          <w:color w:val="auto"/>
        </w:rPr>
      </w:pPr>
    </w:p>
    <w:p>
      <w:pPr>
        <w:jc w:val="center"/>
        <w:ind w:right="500"/>
        <w:spacing w:after="0"/>
        <w:rPr>
          <w:sz w:val="20"/>
          <w:szCs w:val="20"/>
          <w:color w:val="auto"/>
        </w:rPr>
      </w:pPr>
      <w:r>
        <w:rPr>
          <w:rFonts w:ascii="Arial" w:cs="Arial" w:eastAsia="Arial" w:hAnsi="Arial"/>
          <w:sz w:val="17"/>
          <w:szCs w:val="17"/>
          <w:color w:val="auto"/>
        </w:rPr>
        <w:t>Giovanna Cipriano</w:t>
      </w:r>
    </w:p>
    <w:p>
      <w:pPr>
        <w:spacing w:after="0" w:line="34" w:lineRule="exact"/>
        <w:rPr>
          <w:sz w:val="20"/>
          <w:szCs w:val="20"/>
          <w:color w:val="auto"/>
        </w:rPr>
      </w:pPr>
    </w:p>
    <w:p>
      <w:pPr>
        <w:jc w:val="center"/>
        <w:ind w:right="500"/>
        <w:spacing w:after="0"/>
        <w:rPr>
          <w:sz w:val="20"/>
          <w:szCs w:val="20"/>
          <w:color w:val="auto"/>
        </w:rPr>
      </w:pPr>
      <w:r>
        <w:rPr>
          <w:rFonts w:ascii="Arial" w:cs="Arial" w:eastAsia="Arial" w:hAnsi="Arial"/>
          <w:sz w:val="17"/>
          <w:szCs w:val="17"/>
          <w:color w:val="auto"/>
        </w:rPr>
        <w:t>Senior Vice President and Chief Accounting Officer</w:t>
      </w:r>
    </w:p>
    <w:p>
      <w:pPr>
        <w:spacing w:after="0" w:line="264"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/s/ MAXINE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0</wp:posOffset>
            </wp:positionV>
            <wp:extent cx="268414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4"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Maxine Clark</w:t>
      </w:r>
    </w:p>
    <w:p>
      <w:pPr>
        <w:spacing w:after="0" w:line="34"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Director</w:t>
      </w:r>
    </w:p>
    <w:p>
      <w:pPr>
        <w:spacing w:after="0" w:line="264"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/s/ ALAN D. FELDMAN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0</wp:posOffset>
            </wp:positionV>
            <wp:extent cx="268414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4" w:lineRule="exact"/>
        <w:rPr>
          <w:sz w:val="20"/>
          <w:szCs w:val="20"/>
          <w:color w:val="auto"/>
        </w:rPr>
      </w:pPr>
    </w:p>
    <w:p>
      <w:pPr>
        <w:jc w:val="center"/>
        <w:ind w:right="500"/>
        <w:spacing w:after="0"/>
        <w:rPr>
          <w:sz w:val="20"/>
          <w:szCs w:val="20"/>
          <w:color w:val="auto"/>
        </w:rPr>
      </w:pPr>
      <w:r>
        <w:rPr>
          <w:rFonts w:ascii="Arial" w:cs="Arial" w:eastAsia="Arial" w:hAnsi="Arial"/>
          <w:sz w:val="17"/>
          <w:szCs w:val="17"/>
          <w:color w:val="auto"/>
        </w:rPr>
        <w:t>Alan D. Feldman</w:t>
      </w:r>
    </w:p>
    <w:p>
      <w:pPr>
        <w:spacing w:after="0" w:line="34" w:lineRule="exact"/>
        <w:rPr>
          <w:sz w:val="20"/>
          <w:szCs w:val="20"/>
          <w:color w:val="auto"/>
        </w:rPr>
      </w:pPr>
    </w:p>
    <w:p>
      <w:pPr>
        <w:jc w:val="center"/>
        <w:ind w:right="500"/>
        <w:spacing w:after="0"/>
        <w:rPr>
          <w:sz w:val="20"/>
          <w:szCs w:val="20"/>
          <w:color w:val="auto"/>
        </w:rPr>
      </w:pPr>
      <w:r>
        <w:rPr>
          <w:rFonts w:ascii="Arial" w:cs="Arial" w:eastAsia="Arial" w:hAnsi="Arial"/>
          <w:sz w:val="17"/>
          <w:szCs w:val="17"/>
          <w:color w:val="auto"/>
        </w:rPr>
        <w:t>Director</w:t>
      </w:r>
    </w:p>
    <w:p>
      <w:pPr>
        <w:spacing w:after="0" w:line="264"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/s/ JAROBIN GILBERT,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0</wp:posOffset>
            </wp:positionV>
            <wp:extent cx="268414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4"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Jarobin Gilbert, Jr.</w:t>
      </w:r>
    </w:p>
    <w:p>
      <w:pPr>
        <w:spacing w:after="0" w:line="3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Director</w:t>
      </w:r>
    </w:p>
    <w:p>
      <w:pPr>
        <w:spacing w:after="0" w:line="264"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auto"/>
        </w:rPr>
        <w:t>/s/ GUILLERMO G. MARMOL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0</wp:posOffset>
            </wp:positionV>
            <wp:extent cx="268414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4" w:lineRule="exact"/>
        <w:rPr>
          <w:sz w:val="20"/>
          <w:szCs w:val="20"/>
          <w:color w:val="auto"/>
        </w:rPr>
      </w:pPr>
    </w:p>
    <w:p>
      <w:pPr>
        <w:jc w:val="center"/>
        <w:ind w:right="500"/>
        <w:spacing w:after="0"/>
        <w:rPr>
          <w:sz w:val="20"/>
          <w:szCs w:val="20"/>
          <w:color w:val="auto"/>
        </w:rPr>
      </w:pPr>
      <w:r>
        <w:rPr>
          <w:rFonts w:ascii="Arial" w:cs="Arial" w:eastAsia="Arial" w:hAnsi="Arial"/>
          <w:sz w:val="17"/>
          <w:szCs w:val="17"/>
          <w:color w:val="auto"/>
        </w:rPr>
        <w:t>Guillermo G. Marmol</w:t>
      </w:r>
    </w:p>
    <w:p>
      <w:pPr>
        <w:spacing w:after="0" w:line="34" w:lineRule="exact"/>
        <w:rPr>
          <w:sz w:val="20"/>
          <w:szCs w:val="20"/>
          <w:color w:val="auto"/>
        </w:rPr>
      </w:pPr>
    </w:p>
    <w:p>
      <w:pPr>
        <w:jc w:val="center"/>
        <w:ind w:right="500"/>
        <w:spacing w:after="0"/>
        <w:rPr>
          <w:sz w:val="20"/>
          <w:szCs w:val="20"/>
          <w:color w:val="auto"/>
        </w:rPr>
      </w:pPr>
      <w:r>
        <w:rPr>
          <w:rFonts w:ascii="Arial" w:cs="Arial" w:eastAsia="Arial" w:hAnsi="Arial"/>
          <w:sz w:val="17"/>
          <w:szCs w:val="17"/>
          <w:color w:val="auto"/>
        </w:rPr>
        <w:t>Director</w:t>
      </w:r>
    </w:p>
    <w:p>
      <w:pPr>
        <w:spacing w:after="0" w:line="264"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auto"/>
        </w:rPr>
        <w:t>/s/ MATTHEW M. MCKENNA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0</wp:posOffset>
            </wp:positionV>
            <wp:extent cx="268414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4" w:lineRule="exact"/>
        <w:rPr>
          <w:sz w:val="20"/>
          <w:szCs w:val="20"/>
          <w:color w:val="auto"/>
        </w:rPr>
      </w:pPr>
    </w:p>
    <w:p>
      <w:pPr>
        <w:jc w:val="center"/>
        <w:ind w:right="500"/>
        <w:spacing w:after="0"/>
        <w:rPr>
          <w:sz w:val="20"/>
          <w:szCs w:val="20"/>
          <w:color w:val="auto"/>
        </w:rPr>
      </w:pPr>
      <w:r>
        <w:rPr>
          <w:rFonts w:ascii="Arial" w:cs="Arial" w:eastAsia="Arial" w:hAnsi="Arial"/>
          <w:sz w:val="17"/>
          <w:szCs w:val="17"/>
          <w:color w:val="auto"/>
        </w:rPr>
        <w:t>Matthew M. McKenna</w:t>
      </w:r>
    </w:p>
    <w:p>
      <w:pPr>
        <w:spacing w:after="0" w:line="34" w:lineRule="exact"/>
        <w:rPr>
          <w:sz w:val="20"/>
          <w:szCs w:val="20"/>
          <w:color w:val="auto"/>
        </w:rPr>
      </w:pPr>
    </w:p>
    <w:p>
      <w:pPr>
        <w:jc w:val="center"/>
        <w:ind w:right="500"/>
        <w:spacing w:after="0"/>
        <w:rPr>
          <w:sz w:val="20"/>
          <w:szCs w:val="20"/>
          <w:color w:val="auto"/>
        </w:rPr>
      </w:pP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7"/>
          <w:szCs w:val="17"/>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wp:posOffset>
            </wp:positionH>
            <wp:positionV relativeFrom="paragraph">
              <wp:posOffset>0</wp:posOffset>
            </wp:positionV>
            <wp:extent cx="27012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14" w:lineRule="exact"/>
        <w:rPr>
          <w:sz w:val="20"/>
          <w:szCs w:val="20"/>
          <w:color w:val="auto"/>
        </w:rPr>
      </w:pPr>
    </w:p>
    <w:p>
      <w:pPr>
        <w:jc w:val="center"/>
        <w:ind w:right="1079"/>
        <w:spacing w:after="0"/>
        <w:rPr>
          <w:sz w:val="20"/>
          <w:szCs w:val="20"/>
          <w:color w:val="auto"/>
        </w:rPr>
      </w:pPr>
      <w:r>
        <w:rPr>
          <w:rFonts w:ascii="Arial" w:cs="Arial" w:eastAsia="Arial" w:hAnsi="Arial"/>
          <w:sz w:val="17"/>
          <w:szCs w:val="17"/>
          <w:color w:val="auto"/>
        </w:rPr>
        <w:t>Lauren B. Peters</w:t>
      </w:r>
    </w:p>
    <w:p>
      <w:pPr>
        <w:spacing w:after="0" w:line="34" w:lineRule="exact"/>
        <w:rPr>
          <w:sz w:val="20"/>
          <w:szCs w:val="20"/>
          <w:color w:val="auto"/>
        </w:rPr>
      </w:pPr>
    </w:p>
    <w:p>
      <w:pPr>
        <w:jc w:val="center"/>
        <w:ind w:right="1079"/>
        <w:spacing w:after="0"/>
        <w:rPr>
          <w:sz w:val="20"/>
          <w:szCs w:val="20"/>
          <w:color w:val="auto"/>
        </w:rPr>
      </w:pPr>
      <w:r>
        <w:rPr>
          <w:rFonts w:ascii="Arial" w:cs="Arial" w:eastAsia="Arial" w:hAnsi="Arial"/>
          <w:sz w:val="17"/>
          <w:szCs w:val="17"/>
          <w:color w:val="auto"/>
        </w:rPr>
        <w:t>Executive Vice President and</w:t>
      </w:r>
    </w:p>
    <w:p>
      <w:pPr>
        <w:spacing w:after="0" w:line="34" w:lineRule="exact"/>
        <w:rPr>
          <w:sz w:val="20"/>
          <w:szCs w:val="20"/>
          <w:color w:val="auto"/>
        </w:rPr>
      </w:pPr>
    </w:p>
    <w:p>
      <w:pPr>
        <w:jc w:val="center"/>
        <w:ind w:right="1079"/>
        <w:spacing w:after="0"/>
        <w:rPr>
          <w:sz w:val="20"/>
          <w:szCs w:val="20"/>
          <w:color w:val="auto"/>
        </w:rPr>
      </w:pP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93" w:lineRule="exact"/>
        <w:rPr>
          <w:sz w:val="20"/>
          <w:szCs w:val="20"/>
          <w:color w:val="auto"/>
        </w:rPr>
      </w:pPr>
    </w:p>
    <w:p>
      <w:pPr>
        <w:jc w:val="center"/>
        <w:ind w:right="1079"/>
        <w:spacing w:after="0"/>
        <w:rPr>
          <w:sz w:val="20"/>
          <w:szCs w:val="20"/>
          <w:color w:val="auto"/>
        </w:rPr>
      </w:pPr>
      <w:r>
        <w:rPr>
          <w:rFonts w:ascii="Arial" w:cs="Arial" w:eastAsia="Arial" w:hAnsi="Arial"/>
          <w:sz w:val="17"/>
          <w:szCs w:val="17"/>
          <w:color w:val="auto"/>
        </w:rPr>
        <w:t>/s/ STEVEN OAKLAND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wp:posOffset>
            </wp:positionH>
            <wp:positionV relativeFrom="paragraph">
              <wp:posOffset>0</wp:posOffset>
            </wp:positionV>
            <wp:extent cx="27012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14" w:lineRule="exact"/>
        <w:rPr>
          <w:sz w:val="20"/>
          <w:szCs w:val="20"/>
          <w:color w:val="auto"/>
        </w:rPr>
      </w:pPr>
    </w:p>
    <w:p>
      <w:pPr>
        <w:jc w:val="center"/>
        <w:ind w:right="1079"/>
        <w:spacing w:after="0"/>
        <w:rPr>
          <w:sz w:val="20"/>
          <w:szCs w:val="20"/>
          <w:color w:val="auto"/>
        </w:rPr>
      </w:pPr>
      <w:r>
        <w:rPr>
          <w:rFonts w:ascii="Arial" w:cs="Arial" w:eastAsia="Arial" w:hAnsi="Arial"/>
          <w:sz w:val="17"/>
          <w:szCs w:val="17"/>
          <w:color w:val="auto"/>
        </w:rPr>
        <w:t>Steven Oakland</w:t>
      </w:r>
    </w:p>
    <w:p>
      <w:pPr>
        <w:spacing w:after="0" w:line="34" w:lineRule="exact"/>
        <w:rPr>
          <w:sz w:val="20"/>
          <w:szCs w:val="20"/>
          <w:color w:val="auto"/>
        </w:rPr>
      </w:pPr>
    </w:p>
    <w:p>
      <w:pPr>
        <w:jc w:val="center"/>
        <w:ind w:right="1079"/>
        <w:spacing w:after="0"/>
        <w:rPr>
          <w:sz w:val="20"/>
          <w:szCs w:val="20"/>
          <w:color w:val="auto"/>
        </w:rPr>
      </w:pPr>
      <w:r>
        <w:rPr>
          <w:rFonts w:ascii="Arial" w:cs="Arial" w:eastAsia="Arial" w:hAnsi="Arial"/>
          <w:sz w:val="17"/>
          <w:szCs w:val="17"/>
          <w:color w:val="auto"/>
        </w:rPr>
        <w:t>Director</w:t>
      </w:r>
    </w:p>
    <w:p>
      <w:pPr>
        <w:spacing w:after="0" w:line="264" w:lineRule="exact"/>
        <w:rPr>
          <w:sz w:val="20"/>
          <w:szCs w:val="20"/>
          <w:color w:val="auto"/>
        </w:rPr>
      </w:pPr>
    </w:p>
    <w:p>
      <w:pPr>
        <w:jc w:val="center"/>
        <w:ind w:right="1039"/>
        <w:spacing w:after="0"/>
        <w:rPr>
          <w:sz w:val="20"/>
          <w:szCs w:val="20"/>
          <w:color w:val="auto"/>
        </w:rPr>
      </w:pPr>
      <w:r>
        <w:rPr>
          <w:rFonts w:ascii="Arial" w:cs="Arial" w:eastAsia="Arial" w:hAnsi="Arial"/>
          <w:sz w:val="17"/>
          <w:szCs w:val="17"/>
          <w:color w:val="auto"/>
        </w:rPr>
        <w:t>/s/ ULICE PAYNE,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wp:posOffset>
            </wp:positionH>
            <wp:positionV relativeFrom="paragraph">
              <wp:posOffset>0</wp:posOffset>
            </wp:positionV>
            <wp:extent cx="27012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14" w:lineRule="exact"/>
        <w:rPr>
          <w:sz w:val="20"/>
          <w:szCs w:val="20"/>
          <w:color w:val="auto"/>
        </w:rPr>
      </w:pPr>
    </w:p>
    <w:p>
      <w:pPr>
        <w:jc w:val="center"/>
        <w:ind w:right="1039"/>
        <w:spacing w:after="0"/>
        <w:rPr>
          <w:sz w:val="20"/>
          <w:szCs w:val="20"/>
          <w:color w:val="auto"/>
        </w:rPr>
      </w:pPr>
      <w:r>
        <w:rPr>
          <w:rFonts w:ascii="Arial" w:cs="Arial" w:eastAsia="Arial" w:hAnsi="Arial"/>
          <w:sz w:val="17"/>
          <w:szCs w:val="17"/>
          <w:color w:val="auto"/>
        </w:rPr>
        <w:t>Ulice Payne, Jr.</w:t>
      </w:r>
    </w:p>
    <w:p>
      <w:pPr>
        <w:spacing w:after="0" w:line="34" w:lineRule="exact"/>
        <w:rPr>
          <w:sz w:val="20"/>
          <w:szCs w:val="20"/>
          <w:color w:val="auto"/>
        </w:rPr>
      </w:pPr>
    </w:p>
    <w:p>
      <w:pPr>
        <w:jc w:val="center"/>
        <w:ind w:right="1039"/>
        <w:spacing w:after="0"/>
        <w:rPr>
          <w:sz w:val="20"/>
          <w:szCs w:val="20"/>
          <w:color w:val="auto"/>
        </w:rPr>
      </w:pPr>
      <w:r>
        <w:rPr>
          <w:rFonts w:ascii="Arial" w:cs="Arial" w:eastAsia="Arial" w:hAnsi="Arial"/>
          <w:sz w:val="17"/>
          <w:szCs w:val="17"/>
          <w:color w:val="auto"/>
        </w:rPr>
        <w:t>Director</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 CHERYL NIDO TURPIN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wp:posOffset>
            </wp:positionH>
            <wp:positionV relativeFrom="paragraph">
              <wp:posOffset>0</wp:posOffset>
            </wp:positionV>
            <wp:extent cx="27012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Cheryl Nido Turpin</w:t>
      </w:r>
    </w:p>
    <w:p>
      <w:pPr>
        <w:spacing w:after="0" w:line="3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Director</w:t>
      </w:r>
    </w:p>
    <w:p>
      <w:pPr>
        <w:spacing w:after="0" w:line="264" w:lineRule="exact"/>
        <w:rPr>
          <w:sz w:val="20"/>
          <w:szCs w:val="20"/>
          <w:color w:val="auto"/>
        </w:rPr>
      </w:pPr>
    </w:p>
    <w:p>
      <w:pPr>
        <w:jc w:val="center"/>
        <w:ind w:right="1119"/>
        <w:spacing w:after="0"/>
        <w:rPr>
          <w:sz w:val="20"/>
          <w:szCs w:val="20"/>
          <w:color w:val="auto"/>
        </w:rPr>
      </w:pPr>
      <w:r>
        <w:rPr>
          <w:rFonts w:ascii="Arial" w:cs="Arial" w:eastAsia="Arial" w:hAnsi="Arial"/>
          <w:sz w:val="16"/>
          <w:szCs w:val="16"/>
          <w:color w:val="auto"/>
        </w:rPr>
        <w:t>/s/ KIMBERLY K. UNDERHILL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wp:posOffset>
            </wp:positionH>
            <wp:positionV relativeFrom="paragraph">
              <wp:posOffset>6985</wp:posOffset>
            </wp:positionV>
            <wp:extent cx="27012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26" w:lineRule="exact"/>
        <w:rPr>
          <w:sz w:val="20"/>
          <w:szCs w:val="20"/>
          <w:color w:val="auto"/>
        </w:rPr>
      </w:pPr>
    </w:p>
    <w:p>
      <w:pPr>
        <w:jc w:val="center"/>
        <w:ind w:right="1079"/>
        <w:spacing w:after="0"/>
        <w:rPr>
          <w:sz w:val="20"/>
          <w:szCs w:val="20"/>
          <w:color w:val="auto"/>
        </w:rPr>
      </w:pPr>
      <w:r>
        <w:rPr>
          <w:rFonts w:ascii="Arial" w:cs="Arial" w:eastAsia="Arial" w:hAnsi="Arial"/>
          <w:sz w:val="17"/>
          <w:szCs w:val="17"/>
          <w:color w:val="auto"/>
        </w:rPr>
        <w:t>Kimberly K. Underhill</w:t>
      </w:r>
    </w:p>
    <w:p>
      <w:pPr>
        <w:spacing w:after="0" w:line="34" w:lineRule="exact"/>
        <w:rPr>
          <w:sz w:val="20"/>
          <w:szCs w:val="20"/>
          <w:color w:val="auto"/>
        </w:rPr>
      </w:pPr>
    </w:p>
    <w:p>
      <w:pPr>
        <w:jc w:val="center"/>
        <w:ind w:right="1079"/>
        <w:spacing w:after="0"/>
        <w:rPr>
          <w:sz w:val="20"/>
          <w:szCs w:val="20"/>
          <w:color w:val="auto"/>
        </w:rPr>
      </w:pPr>
      <w:r>
        <w:rPr>
          <w:rFonts w:ascii="Arial" w:cs="Arial" w:eastAsia="Arial" w:hAnsi="Arial"/>
          <w:sz w:val="17"/>
          <w:szCs w:val="17"/>
          <w:color w:val="auto"/>
        </w:rPr>
        <w:t>Director</w:t>
      </w:r>
    </w:p>
    <w:p>
      <w:pPr>
        <w:spacing w:after="0" w:line="26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 DONA D.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wp:posOffset>
            </wp:positionH>
            <wp:positionV relativeFrom="paragraph">
              <wp:posOffset>0</wp:posOffset>
            </wp:positionV>
            <wp:extent cx="27012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1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Dona D. Young</w:t>
      </w:r>
    </w:p>
    <w:p>
      <w:pPr>
        <w:spacing w:after="0" w:line="3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Lead Director</w:t>
      </w:r>
    </w:p>
    <w:p>
      <w:pPr>
        <w:spacing w:after="0" w:line="1118" w:lineRule="exact"/>
        <w:rPr>
          <w:sz w:val="20"/>
          <w:szCs w:val="20"/>
          <w:color w:val="auto"/>
        </w:rPr>
      </w:pPr>
    </w:p>
    <w:p>
      <w:pPr>
        <w:sectPr>
          <w:pgSz w:w="11900" w:h="16838" w:orient="portrait"/>
          <w:cols w:equalWidth="0" w:num="2">
            <w:col w:w="4880" w:space="720"/>
            <w:col w:w="3419"/>
          </w:cols>
          <w:pgMar w:left="1440" w:top="54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217170</wp:posOffset>
            </wp:positionV>
            <wp:extent cx="5642610" cy="514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type w:val="continuous"/>
        </w:sectPr>
      </w:pPr>
    </w:p>
    <w:bookmarkStart w:id="80" w:name="page81"/>
    <w:bookmarkEnd w:id="80"/>
    <w:p>
      <w:pPr>
        <w:ind w:left="3620"/>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INDEX OF EXHIBITS</w:t>
      </w:r>
    </w:p>
    <w:p>
      <w:pPr>
        <w:spacing w:after="0" w:line="240" w:lineRule="exact"/>
        <w:rPr>
          <w:sz w:val="20"/>
          <w:szCs w:val="20"/>
          <w:color w:val="auto"/>
        </w:rPr>
      </w:pPr>
    </w:p>
    <w:p>
      <w:pPr>
        <w:ind w:left="140"/>
        <w:spacing w:after="0"/>
        <w:tabs>
          <w:tab w:leader="none" w:pos="4540" w:val="left"/>
        </w:tabs>
        <w:rPr>
          <w:sz w:val="20"/>
          <w:szCs w:val="20"/>
          <w:color w:val="auto"/>
        </w:rPr>
      </w:pPr>
      <w:r>
        <w:rPr>
          <w:rFonts w:ascii="Arial" w:cs="Arial" w:eastAsia="Arial" w:hAnsi="Arial"/>
          <w:sz w:val="17"/>
          <w:szCs w:val="17"/>
          <w:b w:val="1"/>
          <w:bCs w:val="1"/>
          <w:u w:val="single" w:color="auto"/>
          <w:color w:val="auto"/>
        </w:rPr>
        <w:t>Exhibit No.</w:t>
      </w:r>
      <w:r>
        <w:rPr>
          <w:sz w:val="20"/>
          <w:szCs w:val="20"/>
          <w:color w:val="auto"/>
        </w:rPr>
        <w:tab/>
      </w:r>
      <w:r>
        <w:rPr>
          <w:rFonts w:ascii="Arial" w:cs="Arial" w:eastAsia="Arial" w:hAnsi="Arial"/>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12700</wp:posOffset>
            </wp:positionV>
            <wp:extent cx="5600065" cy="5403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00065" cy="540385"/>
                    </a:xfrm>
                    <a:prstGeom prst="rect">
                      <a:avLst/>
                    </a:prstGeom>
                    <a:noFill/>
                  </pic:spPr>
                </pic:pic>
              </a:graphicData>
            </a:graphic>
          </wp:anchor>
        </w:drawing>
      </w:r>
    </w:p>
    <w:p>
      <w:pPr>
        <w:spacing w:after="0" w:line="7" w:lineRule="exact"/>
        <w:rPr>
          <w:sz w:val="20"/>
          <w:szCs w:val="20"/>
          <w:color w:val="auto"/>
        </w:rPr>
      </w:pPr>
    </w:p>
    <w:p>
      <w:pPr>
        <w:jc w:val="both"/>
        <w:ind w:left="1140" w:right="99" w:hanging="774"/>
        <w:spacing w:after="0" w:line="236" w:lineRule="auto"/>
        <w:tabs>
          <w:tab w:leader="none" w:pos="1120" w:val="left"/>
        </w:tabs>
        <w:rPr>
          <w:sz w:val="20"/>
          <w:szCs w:val="20"/>
          <w:color w:val="auto"/>
        </w:rPr>
      </w:pPr>
      <w:r>
        <w:rPr>
          <w:rFonts w:ascii="Arial" w:cs="Arial" w:eastAsia="Arial" w:hAnsi="Arial"/>
          <w:sz w:val="17"/>
          <w:szCs w:val="17"/>
          <w:color w:val="auto"/>
        </w:rPr>
        <w:t>3(i)(a)</w:t>
      </w:r>
      <w:r>
        <w:rPr>
          <w:sz w:val="20"/>
          <w:szCs w:val="20"/>
          <w:color w:val="auto"/>
        </w:rPr>
        <w:tab/>
      </w:r>
      <w:r>
        <w:rPr>
          <w:rFonts w:ascii="Arial" w:cs="Arial" w:eastAsia="Arial" w:hAnsi="Arial"/>
          <w:sz w:val="17"/>
          <w:szCs w:val="17"/>
          <w:color w:val="auto"/>
        </w:rPr>
        <w:t>Certificate of Incorporation of the Registrant, as filed by the Department of State of the State of New York on April 7, 1989 (incorporated herein by reference to Exhibit 3(i)(a) to the Quarterly Report on Form 10-Q for the quarterly period ended July 26, 1997 filed on September 4, 1997 (the “July 26, 1997 Form 10-Q”)).</w:t>
      </w:r>
    </w:p>
    <w:p>
      <w:pPr>
        <w:spacing w:after="0" w:line="62" w:lineRule="exact"/>
        <w:rPr>
          <w:sz w:val="20"/>
          <w:szCs w:val="20"/>
          <w:color w:val="auto"/>
        </w:rPr>
      </w:pPr>
    </w:p>
    <w:tbl>
      <w:tblPr>
        <w:tblLayout w:type="fixed"/>
        <w:tblInd w:w="100" w:type="dxa"/>
        <w:tblCellMar>
          <w:top w:w="0" w:type="dxa"/>
          <w:left w:w="0" w:type="dxa"/>
          <w:bottom w:w="0" w:type="dxa"/>
          <w:right w:w="0" w:type="dxa"/>
        </w:tblCellMar>
      </w:tblPr>
      <w:tr>
        <w:trPr>
          <w:trHeight w:val="195"/>
        </w:trPr>
        <w:tc>
          <w:tcPr>
            <w:tcW w:w="1040" w:type="dxa"/>
            <w:vAlign w:val="bottom"/>
          </w:tcPr>
          <w:p>
            <w:pPr>
              <w:ind w:left="260"/>
              <w:spacing w:after="0"/>
              <w:rPr>
                <w:sz w:val="20"/>
                <w:szCs w:val="20"/>
                <w:color w:val="auto"/>
              </w:rPr>
            </w:pPr>
            <w:r>
              <w:rPr>
                <w:rFonts w:ascii="Arial" w:cs="Arial" w:eastAsia="Arial" w:hAnsi="Arial"/>
                <w:sz w:val="17"/>
                <w:szCs w:val="17"/>
                <w:color w:val="auto"/>
              </w:rPr>
              <w:t>3(i)(b)</w:t>
            </w:r>
          </w:p>
        </w:tc>
        <w:tc>
          <w:tcPr>
            <w:tcW w:w="7780" w:type="dxa"/>
            <w:vAlign w:val="bottom"/>
            <w:gridSpan w:val="18"/>
          </w:tcPr>
          <w:p>
            <w:pPr>
              <w:spacing w:after="0"/>
              <w:rPr>
                <w:sz w:val="20"/>
                <w:szCs w:val="20"/>
                <w:color w:val="auto"/>
              </w:rPr>
            </w:pPr>
            <w:r>
              <w:rPr>
                <w:rFonts w:ascii="Arial" w:cs="Arial" w:eastAsia="Arial" w:hAnsi="Arial"/>
                <w:sz w:val="17"/>
                <w:szCs w:val="17"/>
                <w:color w:val="auto"/>
              </w:rPr>
              <w:t>Certificates of Amendment of the Certificate of Incorporation of the Registrant, as filed by the</w:t>
            </w:r>
          </w:p>
        </w:tc>
        <w:tc>
          <w:tcPr>
            <w:tcW w:w="40" w:type="dxa"/>
            <w:vAlign w:val="bottom"/>
          </w:tcPr>
          <w:p>
            <w:pPr>
              <w:spacing w:after="0"/>
              <w:rPr>
                <w:sz w:val="16"/>
                <w:szCs w:val="16"/>
                <w:color w:val="auto"/>
              </w:rPr>
            </w:pPr>
          </w:p>
        </w:tc>
      </w:tr>
      <w:tr>
        <w:trPr>
          <w:trHeight w:val="189"/>
        </w:trPr>
        <w:tc>
          <w:tcPr>
            <w:tcW w:w="1040" w:type="dxa"/>
            <w:vAlign w:val="bottom"/>
          </w:tcPr>
          <w:p>
            <w:pPr>
              <w:spacing w:after="0"/>
              <w:rPr>
                <w:sz w:val="16"/>
                <w:szCs w:val="16"/>
                <w:color w:val="auto"/>
              </w:rPr>
            </w:pPr>
          </w:p>
        </w:tc>
        <w:tc>
          <w:tcPr>
            <w:tcW w:w="7780" w:type="dxa"/>
            <w:vAlign w:val="bottom"/>
            <w:gridSpan w:val="18"/>
          </w:tcPr>
          <w:p>
            <w:pPr>
              <w:spacing w:after="0" w:line="189" w:lineRule="exact"/>
              <w:rPr>
                <w:sz w:val="20"/>
                <w:szCs w:val="20"/>
                <w:color w:val="auto"/>
              </w:rPr>
            </w:pPr>
            <w:r>
              <w:rPr>
                <w:rFonts w:ascii="Arial" w:cs="Arial" w:eastAsia="Arial" w:hAnsi="Arial"/>
                <w:sz w:val="17"/>
                <w:szCs w:val="17"/>
                <w:color w:val="auto"/>
              </w:rPr>
              <w:t>Department of State of the State of New York on (a) July 20, 1989, (b) July 24, 1990, (c) July 9, 1997</w:t>
            </w:r>
          </w:p>
        </w:tc>
        <w:tc>
          <w:tcPr>
            <w:tcW w:w="40" w:type="dxa"/>
            <w:vAlign w:val="bottom"/>
          </w:tcPr>
          <w:p>
            <w:pPr>
              <w:spacing w:after="0"/>
              <w:rPr>
                <w:sz w:val="16"/>
                <w:szCs w:val="16"/>
                <w:color w:val="auto"/>
              </w:rPr>
            </w:pPr>
          </w:p>
        </w:tc>
      </w:tr>
      <w:tr>
        <w:trPr>
          <w:trHeight w:val="189"/>
        </w:trPr>
        <w:tc>
          <w:tcPr>
            <w:tcW w:w="1040" w:type="dxa"/>
            <w:vAlign w:val="bottom"/>
          </w:tcPr>
          <w:p>
            <w:pPr>
              <w:spacing w:after="0"/>
              <w:rPr>
                <w:sz w:val="16"/>
                <w:szCs w:val="16"/>
                <w:color w:val="auto"/>
              </w:rPr>
            </w:pPr>
          </w:p>
        </w:tc>
        <w:tc>
          <w:tcPr>
            <w:tcW w:w="7780" w:type="dxa"/>
            <w:vAlign w:val="bottom"/>
            <w:gridSpan w:val="18"/>
          </w:tcPr>
          <w:p>
            <w:pPr>
              <w:spacing w:after="0" w:line="189" w:lineRule="exact"/>
              <w:rPr>
                <w:sz w:val="20"/>
                <w:szCs w:val="20"/>
                <w:color w:val="auto"/>
              </w:rPr>
            </w:pPr>
            <w:r>
              <w:rPr>
                <w:rFonts w:ascii="Arial" w:cs="Arial" w:eastAsia="Arial" w:hAnsi="Arial"/>
                <w:sz w:val="17"/>
                <w:szCs w:val="17"/>
                <w:color w:val="auto"/>
              </w:rPr>
              <w:t>(incorporated herein by reference to Exhibit 3(i)(b) to the July 26, 1997 Form 10-Q), (d) June 11, 1998</w:t>
            </w:r>
          </w:p>
        </w:tc>
        <w:tc>
          <w:tcPr>
            <w:tcW w:w="40" w:type="dxa"/>
            <w:vAlign w:val="bottom"/>
          </w:tcPr>
          <w:p>
            <w:pPr>
              <w:spacing w:after="0"/>
              <w:rPr>
                <w:sz w:val="16"/>
                <w:szCs w:val="16"/>
                <w:color w:val="auto"/>
              </w:rPr>
            </w:pPr>
          </w:p>
        </w:tc>
      </w:tr>
      <w:tr>
        <w:trPr>
          <w:trHeight w:val="189"/>
        </w:trPr>
        <w:tc>
          <w:tcPr>
            <w:tcW w:w="1040" w:type="dxa"/>
            <w:vAlign w:val="bottom"/>
          </w:tcPr>
          <w:p>
            <w:pPr>
              <w:spacing w:after="0"/>
              <w:rPr>
                <w:sz w:val="16"/>
                <w:szCs w:val="16"/>
                <w:color w:val="auto"/>
              </w:rPr>
            </w:pPr>
          </w:p>
        </w:tc>
        <w:tc>
          <w:tcPr>
            <w:tcW w:w="7780" w:type="dxa"/>
            <w:vAlign w:val="bottom"/>
            <w:gridSpan w:val="18"/>
          </w:tcPr>
          <w:p>
            <w:pPr>
              <w:spacing w:after="0" w:line="189" w:lineRule="exact"/>
              <w:rPr>
                <w:sz w:val="20"/>
                <w:szCs w:val="20"/>
                <w:color w:val="auto"/>
              </w:rPr>
            </w:pPr>
            <w:r>
              <w:rPr>
                <w:rFonts w:ascii="Arial" w:cs="Arial" w:eastAsia="Arial" w:hAnsi="Arial"/>
                <w:sz w:val="17"/>
                <w:szCs w:val="17"/>
                <w:color w:val="auto"/>
              </w:rPr>
              <w:t>(incorporated herein by reference to Exhibit 4.2(a) to the Registration Statement on Form S-8</w:t>
            </w:r>
          </w:p>
        </w:tc>
        <w:tc>
          <w:tcPr>
            <w:tcW w:w="40" w:type="dxa"/>
            <w:vAlign w:val="bottom"/>
          </w:tcPr>
          <w:p>
            <w:pPr>
              <w:spacing w:after="0"/>
              <w:rPr>
                <w:sz w:val="16"/>
                <w:szCs w:val="16"/>
                <w:color w:val="auto"/>
              </w:rPr>
            </w:pPr>
          </w:p>
        </w:tc>
      </w:tr>
      <w:tr>
        <w:trPr>
          <w:trHeight w:val="168"/>
        </w:trPr>
        <w:tc>
          <w:tcPr>
            <w:tcW w:w="1040" w:type="dxa"/>
            <w:vAlign w:val="bottom"/>
          </w:tcPr>
          <w:p>
            <w:pPr>
              <w:spacing w:after="0"/>
              <w:rPr>
                <w:sz w:val="14"/>
                <w:szCs w:val="14"/>
                <w:color w:val="auto"/>
              </w:rPr>
            </w:pPr>
          </w:p>
        </w:tc>
        <w:tc>
          <w:tcPr>
            <w:tcW w:w="7780" w:type="dxa"/>
            <w:vAlign w:val="bottom"/>
            <w:gridSpan w:val="18"/>
          </w:tcPr>
          <w:p>
            <w:pPr>
              <w:spacing w:after="0" w:line="168" w:lineRule="exact"/>
              <w:rPr>
                <w:rFonts w:ascii="Arial" w:cs="Arial" w:eastAsia="Arial" w:hAnsi="Arial"/>
                <w:sz w:val="17"/>
                <w:szCs w:val="17"/>
                <w:color w:val="auto"/>
              </w:rPr>
            </w:pPr>
            <w:hyperlink r:id="rId126">
              <w:r>
                <w:rPr>
                  <w:rFonts w:ascii="Arial" w:cs="Arial" w:eastAsia="Arial" w:hAnsi="Arial"/>
                  <w:sz w:val="17"/>
                  <w:szCs w:val="17"/>
                  <w:color w:val="auto"/>
                </w:rPr>
                <w:t xml:space="preserve">(Registration No. 333-62425) (the “1998 Form S-8”)), </w:t>
              </w:r>
              <w:r>
                <w:rPr>
                  <w:rFonts w:ascii="Arial" w:cs="Arial" w:eastAsia="Arial" w:hAnsi="Arial"/>
                  <w:sz w:val="17"/>
                  <w:szCs w:val="17"/>
                  <w:color w:val="0000EE"/>
                </w:rPr>
                <w:t>(e) November 1, 2001 (incorporated herein by</w:t>
              </w:r>
            </w:hyperlink>
          </w:p>
        </w:tc>
        <w:tc>
          <w:tcPr>
            <w:tcW w:w="40" w:type="dxa"/>
            <w:vAlign w:val="bottom"/>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1040" w:type="dxa"/>
            <w:vAlign w:val="bottom"/>
          </w:tcPr>
          <w:p>
            <w:pPr>
              <w:spacing w:after="0"/>
              <w:rPr>
                <w:sz w:val="14"/>
                <w:szCs w:val="14"/>
                <w:color w:val="auto"/>
              </w:rPr>
            </w:pPr>
          </w:p>
        </w:tc>
        <w:tc>
          <w:tcPr>
            <w:tcW w:w="7780" w:type="dxa"/>
            <w:vAlign w:val="bottom"/>
            <w:tcBorders>
              <w:bottom w:val="single" w:sz="8" w:color="0000EE"/>
            </w:tcBorders>
            <w:gridSpan w:val="18"/>
          </w:tcPr>
          <w:p>
            <w:pPr>
              <w:spacing w:after="0" w:line="169" w:lineRule="exact"/>
              <w:rPr>
                <w:rFonts w:ascii="Arial" w:cs="Arial" w:eastAsia="Arial" w:hAnsi="Arial"/>
                <w:sz w:val="17"/>
                <w:szCs w:val="17"/>
                <w:color w:val="0000EE"/>
              </w:rPr>
            </w:pPr>
            <w:hyperlink r:id="rId126">
              <w:r>
                <w:rPr>
                  <w:rFonts w:ascii="Arial" w:cs="Arial" w:eastAsia="Arial" w:hAnsi="Arial"/>
                  <w:sz w:val="17"/>
                  <w:szCs w:val="17"/>
                  <w:color w:val="0000EE"/>
                </w:rPr>
                <w:t>reference to Exhibit 4.2 to the Registration Statement on Form S-8 (Registration No. 333-74688) (the</w:t>
              </w:r>
            </w:hyperlink>
          </w:p>
        </w:tc>
        <w:tc>
          <w:tcPr>
            <w:tcW w:w="4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7780" w:type="dxa"/>
            <w:vAlign w:val="bottom"/>
            <w:gridSpan w:val="18"/>
          </w:tcPr>
          <w:p>
            <w:pPr>
              <w:spacing w:after="0" w:line="169" w:lineRule="exact"/>
              <w:rPr>
                <w:rFonts w:ascii="Arial" w:cs="Arial" w:eastAsia="Arial" w:hAnsi="Arial"/>
                <w:sz w:val="17"/>
                <w:szCs w:val="17"/>
                <w:color w:val="0000EE"/>
              </w:rPr>
            </w:pPr>
            <w:hyperlink r:id="rId127">
              <w:r>
                <w:rPr>
                  <w:rFonts w:ascii="Arial" w:cs="Arial" w:eastAsia="Arial" w:hAnsi="Arial"/>
                  <w:sz w:val="17"/>
                  <w:szCs w:val="17"/>
                  <w:color w:val="0000EE"/>
                </w:rPr>
                <w:t>“2001 Form S-8”))</w:t>
              </w:r>
              <w:r>
                <w:rPr>
                  <w:rFonts w:ascii="Arial" w:cs="Arial" w:eastAsia="Arial" w:hAnsi="Arial"/>
                  <w:sz w:val="17"/>
                  <w:szCs w:val="17"/>
                  <w:color w:val="000000"/>
                </w:rPr>
                <w:t>, and</w:t>
              </w:r>
              <w:r>
                <w:rPr>
                  <w:rFonts w:ascii="Arial" w:cs="Arial" w:eastAsia="Arial" w:hAnsi="Arial"/>
                  <w:sz w:val="17"/>
                  <w:szCs w:val="17"/>
                  <w:color w:val="0000EE"/>
                </w:rPr>
                <w:t xml:space="preserve"> (f) May 28, 2014 (incorporated herein by reference to Exhibit 3.1 to the Current</w:t>
              </w:r>
            </w:hyperlink>
          </w:p>
        </w:tc>
        <w:tc>
          <w:tcPr>
            <w:tcW w:w="40" w:type="dxa"/>
            <w:vAlign w:val="bottom"/>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1040" w:type="dxa"/>
            <w:vAlign w:val="bottom"/>
          </w:tcPr>
          <w:p>
            <w:pPr>
              <w:spacing w:after="0"/>
              <w:rPr>
                <w:sz w:val="14"/>
                <w:szCs w:val="14"/>
                <w:color w:val="auto"/>
              </w:rPr>
            </w:pPr>
          </w:p>
        </w:tc>
        <w:tc>
          <w:tcPr>
            <w:tcW w:w="7780" w:type="dxa"/>
            <w:vAlign w:val="bottom"/>
            <w:gridSpan w:val="18"/>
          </w:tcPr>
          <w:p>
            <w:pPr>
              <w:spacing w:after="0" w:line="169" w:lineRule="exact"/>
              <w:rPr>
                <w:rFonts w:ascii="Arial" w:cs="Arial" w:eastAsia="Arial" w:hAnsi="Arial"/>
                <w:sz w:val="17"/>
                <w:szCs w:val="17"/>
                <w:color w:val="0000EE"/>
              </w:rPr>
            </w:pPr>
            <w:hyperlink r:id="rId127">
              <w:r>
                <w:rPr>
                  <w:rFonts w:ascii="Arial" w:cs="Arial" w:eastAsia="Arial" w:hAnsi="Arial"/>
                  <w:sz w:val="17"/>
                  <w:szCs w:val="17"/>
                  <w:color w:val="0000EE"/>
                </w:rPr>
                <w:t>Report on Form 8-K dated May 21, 2014 filed on May 28, 2014)</w:t>
              </w:r>
              <w:r>
                <w:rPr>
                  <w:rFonts w:ascii="Arial" w:cs="Arial" w:eastAsia="Arial" w:hAnsi="Arial"/>
                  <w:sz w:val="17"/>
                  <w:szCs w:val="17"/>
                  <w:color w:val="000000"/>
                </w:rPr>
                <w:t>.</w:t>
              </w:r>
            </w:hyperlink>
          </w:p>
        </w:tc>
        <w:tc>
          <w:tcPr>
            <w:tcW w:w="40" w:type="dxa"/>
            <w:vAlign w:val="bottom"/>
          </w:tcPr>
          <w:p>
            <w:pPr>
              <w:spacing w:after="0"/>
              <w:rPr>
                <w:sz w:val="14"/>
                <w:szCs w:val="14"/>
                <w:color w:val="auto"/>
              </w:rPr>
            </w:pPr>
          </w:p>
        </w:tc>
      </w:tr>
      <w:tr>
        <w:trPr>
          <w:trHeight w:val="115"/>
        </w:trPr>
        <w:tc>
          <w:tcPr>
            <w:tcW w:w="1040" w:type="dxa"/>
            <w:vAlign w:val="bottom"/>
          </w:tcPr>
          <w:p>
            <w:pPr>
              <w:spacing w:after="0"/>
              <w:rPr>
                <w:sz w:val="10"/>
                <w:szCs w:val="10"/>
                <w:color w:val="auto"/>
              </w:rPr>
            </w:pPr>
          </w:p>
        </w:tc>
        <w:tc>
          <w:tcPr>
            <w:tcW w:w="480" w:type="dxa"/>
            <w:vAlign w:val="bottom"/>
            <w:tcBorders>
              <w:top w:val="single" w:sz="8" w:color="0000EE"/>
            </w:tcBorders>
          </w:tcPr>
          <w:p>
            <w:pPr>
              <w:spacing w:after="0"/>
              <w:rPr>
                <w:sz w:val="10"/>
                <w:szCs w:val="10"/>
                <w:color w:val="auto"/>
              </w:rPr>
            </w:pPr>
          </w:p>
        </w:tc>
        <w:tc>
          <w:tcPr>
            <w:tcW w:w="880" w:type="dxa"/>
            <w:vAlign w:val="bottom"/>
            <w:tcBorders>
              <w:top w:val="single" w:sz="8" w:color="0000EE"/>
            </w:tcBorders>
          </w:tcPr>
          <w:p>
            <w:pPr>
              <w:spacing w:after="0"/>
              <w:rPr>
                <w:sz w:val="10"/>
                <w:szCs w:val="10"/>
                <w:color w:val="auto"/>
              </w:rPr>
            </w:pPr>
          </w:p>
        </w:tc>
        <w:tc>
          <w:tcPr>
            <w:tcW w:w="420" w:type="dxa"/>
            <w:vAlign w:val="bottom"/>
            <w:tcBorders>
              <w:top w:val="single" w:sz="8" w:color="0000EE"/>
            </w:tcBorders>
          </w:tcPr>
          <w:p>
            <w:pPr>
              <w:spacing w:after="0"/>
              <w:rPr>
                <w:sz w:val="10"/>
                <w:szCs w:val="10"/>
                <w:color w:val="auto"/>
              </w:rPr>
            </w:pPr>
          </w:p>
        </w:tc>
        <w:tc>
          <w:tcPr>
            <w:tcW w:w="1480" w:type="dxa"/>
            <w:vAlign w:val="bottom"/>
            <w:tcBorders>
              <w:top w:val="single" w:sz="8" w:color="0000EE"/>
            </w:tcBorders>
          </w:tcPr>
          <w:p>
            <w:pPr>
              <w:spacing w:after="0"/>
              <w:rPr>
                <w:sz w:val="10"/>
                <w:szCs w:val="10"/>
                <w:color w:val="auto"/>
              </w:rPr>
            </w:pPr>
          </w:p>
        </w:tc>
        <w:tc>
          <w:tcPr>
            <w:tcW w:w="920" w:type="dxa"/>
            <w:vAlign w:val="bottom"/>
            <w:tcBorders>
              <w:top w:val="single" w:sz="8" w:color="0000EE"/>
            </w:tcBorders>
          </w:tcPr>
          <w:p>
            <w:pPr>
              <w:spacing w:after="0"/>
              <w:rPr>
                <w:sz w:val="10"/>
                <w:szCs w:val="10"/>
                <w:color w:val="auto"/>
              </w:rPr>
            </w:pPr>
          </w:p>
        </w:tc>
        <w:tc>
          <w:tcPr>
            <w:tcW w:w="620" w:type="dxa"/>
            <w:vAlign w:val="bottom"/>
            <w:tcBorders>
              <w:top w:val="single" w:sz="8" w:color="0000EE"/>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62"/>
        </w:trPr>
        <w:tc>
          <w:tcPr>
            <w:tcW w:w="1040" w:type="dxa"/>
            <w:vAlign w:val="bottom"/>
            <w:tcBorders>
              <w:bottom w:val="single" w:sz="8" w:color="CCEEFF"/>
            </w:tcBorders>
            <w:shd w:val="clear" w:color="auto" w:fill="CCEEFF"/>
          </w:tcPr>
          <w:p>
            <w:pPr>
              <w:jc w:val="center"/>
              <w:spacing w:after="0" w:line="162" w:lineRule="exact"/>
              <w:rPr>
                <w:sz w:val="20"/>
                <w:szCs w:val="20"/>
                <w:color w:val="auto"/>
              </w:rPr>
            </w:pPr>
            <w:r>
              <w:rPr>
                <w:rFonts w:ascii="Arial" w:cs="Arial" w:eastAsia="Arial" w:hAnsi="Arial"/>
                <w:sz w:val="17"/>
                <w:szCs w:val="17"/>
                <w:color w:val="auto"/>
                <w:w w:val="98"/>
              </w:rPr>
              <w:t>3(ii)</w:t>
            </w:r>
          </w:p>
        </w:tc>
        <w:tc>
          <w:tcPr>
            <w:tcW w:w="7780" w:type="dxa"/>
            <w:vAlign w:val="bottom"/>
            <w:tcBorders>
              <w:bottom w:val="single" w:sz="8" w:color="0000EE"/>
            </w:tcBorders>
            <w:gridSpan w:val="18"/>
            <w:shd w:val="clear" w:color="auto" w:fill="CCEEFF"/>
          </w:tcPr>
          <w:p>
            <w:pPr>
              <w:spacing w:after="0" w:line="162" w:lineRule="exact"/>
              <w:rPr>
                <w:rFonts w:ascii="Arial" w:cs="Arial" w:eastAsia="Arial" w:hAnsi="Arial"/>
                <w:sz w:val="17"/>
                <w:szCs w:val="17"/>
                <w:color w:val="0000EE"/>
              </w:rPr>
            </w:pPr>
            <w:hyperlink r:id="rId128">
              <w:r>
                <w:rPr>
                  <w:rFonts w:ascii="Arial" w:cs="Arial" w:eastAsia="Arial" w:hAnsi="Arial"/>
                  <w:sz w:val="17"/>
                  <w:szCs w:val="17"/>
                  <w:color w:val="0000EE"/>
                </w:rPr>
                <w:t>By-Laws of the Registrant, as amended (incorporated herein by reference to Exhibit 3.1 to the Current</w:t>
              </w:r>
            </w:hyperlink>
          </w:p>
        </w:tc>
        <w:tc>
          <w:tcPr>
            <w:tcW w:w="40" w:type="dxa"/>
            <w:vAlign w:val="bottom"/>
          </w:tcPr>
          <w:p>
            <w:pPr>
              <w:spacing w:after="0"/>
              <w:rPr>
                <w:sz w:val="14"/>
                <w:szCs w:val="14"/>
                <w:color w:val="auto"/>
              </w:rPr>
            </w:pPr>
          </w:p>
        </w:tc>
      </w:tr>
      <w:tr>
        <w:trPr>
          <w:trHeight w:val="169"/>
        </w:trPr>
        <w:tc>
          <w:tcPr>
            <w:tcW w:w="1040" w:type="dxa"/>
            <w:vAlign w:val="bottom"/>
            <w:shd w:val="clear" w:color="auto" w:fill="CCEEFF"/>
          </w:tcPr>
          <w:p>
            <w:pPr>
              <w:spacing w:after="0"/>
              <w:rPr>
                <w:sz w:val="14"/>
                <w:szCs w:val="14"/>
                <w:color w:val="auto"/>
              </w:rPr>
            </w:pPr>
          </w:p>
        </w:tc>
        <w:tc>
          <w:tcPr>
            <w:tcW w:w="7780" w:type="dxa"/>
            <w:vAlign w:val="bottom"/>
            <w:gridSpan w:val="18"/>
            <w:shd w:val="clear" w:color="auto" w:fill="CCEEFF"/>
          </w:tcPr>
          <w:p>
            <w:pPr>
              <w:spacing w:after="0" w:line="169" w:lineRule="exact"/>
              <w:rPr>
                <w:rFonts w:ascii="Arial" w:cs="Arial" w:eastAsia="Arial" w:hAnsi="Arial"/>
                <w:sz w:val="17"/>
                <w:szCs w:val="17"/>
                <w:color w:val="0000EE"/>
              </w:rPr>
            </w:pPr>
            <w:hyperlink r:id="rId128">
              <w:r>
                <w:rPr>
                  <w:rFonts w:ascii="Arial" w:cs="Arial" w:eastAsia="Arial" w:hAnsi="Arial"/>
                  <w:sz w:val="17"/>
                  <w:szCs w:val="17"/>
                  <w:color w:val="0000EE"/>
                </w:rPr>
                <w:t>Report on Form 8-K dated February 20, 2018 filed on February 22, 2018).</w:t>
              </w:r>
            </w:hyperlink>
          </w:p>
        </w:tc>
        <w:tc>
          <w:tcPr>
            <w:tcW w:w="40" w:type="dxa"/>
            <w:vAlign w:val="bottom"/>
          </w:tcPr>
          <w:p>
            <w:pPr>
              <w:spacing w:after="0"/>
              <w:rPr>
                <w:sz w:val="14"/>
                <w:szCs w:val="14"/>
                <w:color w:val="auto"/>
              </w:rPr>
            </w:pPr>
          </w:p>
        </w:tc>
      </w:tr>
      <w:tr>
        <w:trPr>
          <w:trHeight w:val="88"/>
        </w:trPr>
        <w:tc>
          <w:tcPr>
            <w:tcW w:w="104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0000EE"/>
            </w:tcBorders>
            <w:shd w:val="clear" w:color="auto" w:fill="CCEEFF"/>
          </w:tcPr>
          <w:p>
            <w:pPr>
              <w:spacing w:after="0"/>
              <w:rPr>
                <w:sz w:val="7"/>
                <w:szCs w:val="7"/>
                <w:color w:val="auto"/>
              </w:rPr>
            </w:pPr>
          </w:p>
        </w:tc>
        <w:tc>
          <w:tcPr>
            <w:tcW w:w="880" w:type="dxa"/>
            <w:vAlign w:val="bottom"/>
            <w:tcBorders>
              <w:top w:val="single" w:sz="8" w:color="0000EE"/>
            </w:tcBorders>
            <w:shd w:val="clear" w:color="auto" w:fill="CCEEFF"/>
          </w:tcPr>
          <w:p>
            <w:pPr>
              <w:spacing w:after="0"/>
              <w:rPr>
                <w:sz w:val="7"/>
                <w:szCs w:val="7"/>
                <w:color w:val="auto"/>
              </w:rPr>
            </w:pPr>
          </w:p>
        </w:tc>
        <w:tc>
          <w:tcPr>
            <w:tcW w:w="420" w:type="dxa"/>
            <w:vAlign w:val="bottom"/>
            <w:tcBorders>
              <w:top w:val="single" w:sz="8" w:color="0000EE"/>
            </w:tcBorders>
            <w:shd w:val="clear" w:color="auto" w:fill="CCEEFF"/>
          </w:tcPr>
          <w:p>
            <w:pPr>
              <w:spacing w:after="0"/>
              <w:rPr>
                <w:sz w:val="7"/>
                <w:szCs w:val="7"/>
                <w:color w:val="auto"/>
              </w:rPr>
            </w:pPr>
          </w:p>
        </w:tc>
        <w:tc>
          <w:tcPr>
            <w:tcW w:w="1480" w:type="dxa"/>
            <w:vAlign w:val="bottom"/>
            <w:tcBorders>
              <w:top w:val="single" w:sz="8" w:color="0000EE"/>
            </w:tcBorders>
            <w:shd w:val="clear" w:color="auto" w:fill="CCEEFF"/>
          </w:tcPr>
          <w:p>
            <w:pPr>
              <w:spacing w:after="0"/>
              <w:rPr>
                <w:sz w:val="7"/>
                <w:szCs w:val="7"/>
                <w:color w:val="auto"/>
              </w:rPr>
            </w:pPr>
          </w:p>
        </w:tc>
        <w:tc>
          <w:tcPr>
            <w:tcW w:w="920" w:type="dxa"/>
            <w:vAlign w:val="bottom"/>
            <w:tcBorders>
              <w:top w:val="single" w:sz="8" w:color="0000EE"/>
            </w:tcBorders>
            <w:shd w:val="clear" w:color="auto" w:fill="CCEEFF"/>
          </w:tcPr>
          <w:p>
            <w:pPr>
              <w:spacing w:after="0"/>
              <w:rPr>
                <w:sz w:val="7"/>
                <w:szCs w:val="7"/>
                <w:color w:val="auto"/>
              </w:rPr>
            </w:pPr>
          </w:p>
        </w:tc>
        <w:tc>
          <w:tcPr>
            <w:tcW w:w="620" w:type="dxa"/>
            <w:vAlign w:val="bottom"/>
            <w:tcBorders>
              <w:top w:val="single" w:sz="8" w:color="0000EE"/>
            </w:tcBorders>
            <w:shd w:val="clear" w:color="auto" w:fill="CCEEFF"/>
          </w:tcPr>
          <w:p>
            <w:pPr>
              <w:spacing w:after="0"/>
              <w:rPr>
                <w:sz w:val="7"/>
                <w:szCs w:val="7"/>
                <w:color w:val="auto"/>
              </w:rPr>
            </w:pPr>
          </w:p>
        </w:tc>
        <w:tc>
          <w:tcPr>
            <w:tcW w:w="80" w:type="dxa"/>
            <w:vAlign w:val="bottom"/>
            <w:tcBorders>
              <w:top w:val="single" w:sz="8" w:color="0000EE"/>
            </w:tcBorders>
            <w:shd w:val="clear" w:color="auto" w:fill="CCEEFF"/>
          </w:tcPr>
          <w:p>
            <w:pPr>
              <w:spacing w:after="0"/>
              <w:rPr>
                <w:sz w:val="7"/>
                <w:szCs w:val="7"/>
                <w:color w:val="auto"/>
              </w:rPr>
            </w:pPr>
          </w:p>
        </w:tc>
        <w:tc>
          <w:tcPr>
            <w:tcW w:w="200" w:type="dxa"/>
            <w:vAlign w:val="bottom"/>
            <w:tcBorders>
              <w:top w:val="single" w:sz="8" w:color="0000EE"/>
            </w:tcBorders>
            <w:shd w:val="clear" w:color="auto" w:fill="CCEEFF"/>
          </w:tcPr>
          <w:p>
            <w:pPr>
              <w:spacing w:after="0"/>
              <w:rPr>
                <w:sz w:val="7"/>
                <w:szCs w:val="7"/>
                <w:color w:val="auto"/>
              </w:rPr>
            </w:pPr>
          </w:p>
        </w:tc>
        <w:tc>
          <w:tcPr>
            <w:tcW w:w="380" w:type="dxa"/>
            <w:vAlign w:val="bottom"/>
            <w:tcBorders>
              <w:top w:val="single" w:sz="8" w:color="0000EE"/>
            </w:tcBorders>
            <w:shd w:val="clear" w:color="auto" w:fill="CCEEFF"/>
          </w:tcPr>
          <w:p>
            <w:pPr>
              <w:spacing w:after="0"/>
              <w:rPr>
                <w:sz w:val="7"/>
                <w:szCs w:val="7"/>
                <w:color w:val="auto"/>
              </w:rPr>
            </w:pPr>
          </w:p>
        </w:tc>
        <w:tc>
          <w:tcPr>
            <w:tcW w:w="100" w:type="dxa"/>
            <w:vAlign w:val="bottom"/>
            <w:tcBorders>
              <w:top w:val="single" w:sz="8" w:color="0000EE"/>
            </w:tcBorders>
            <w:shd w:val="clear" w:color="auto" w:fill="CCEEFF"/>
          </w:tcPr>
          <w:p>
            <w:pPr>
              <w:spacing w:after="0"/>
              <w:rPr>
                <w:sz w:val="7"/>
                <w:szCs w:val="7"/>
                <w:color w:val="auto"/>
              </w:rPr>
            </w:pPr>
          </w:p>
        </w:tc>
        <w:tc>
          <w:tcPr>
            <w:tcW w:w="17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right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40" w:type="dxa"/>
            <w:vAlign w:val="bottom"/>
          </w:tcPr>
          <w:p>
            <w:pPr>
              <w:spacing w:after="0"/>
              <w:rPr>
                <w:sz w:val="7"/>
                <w:szCs w:val="7"/>
                <w:color w:val="auto"/>
              </w:rPr>
            </w:pPr>
          </w:p>
        </w:tc>
      </w:tr>
      <w:tr>
        <w:trPr>
          <w:trHeight w:val="183"/>
        </w:trPr>
        <w:tc>
          <w:tcPr>
            <w:tcW w:w="1040" w:type="dxa"/>
            <w:vAlign w:val="bottom"/>
          </w:tcPr>
          <w:p>
            <w:pPr>
              <w:jc w:val="center"/>
              <w:spacing w:after="0" w:line="183" w:lineRule="exact"/>
              <w:rPr>
                <w:sz w:val="20"/>
                <w:szCs w:val="20"/>
                <w:color w:val="auto"/>
              </w:rPr>
            </w:pPr>
            <w:r>
              <w:rPr>
                <w:rFonts w:ascii="Arial" w:cs="Arial" w:eastAsia="Arial" w:hAnsi="Arial"/>
                <w:sz w:val="17"/>
                <w:szCs w:val="17"/>
                <w:color w:val="auto"/>
              </w:rPr>
              <w:t>4.1</w:t>
            </w:r>
          </w:p>
        </w:tc>
        <w:tc>
          <w:tcPr>
            <w:tcW w:w="7780" w:type="dxa"/>
            <w:vAlign w:val="bottom"/>
            <w:gridSpan w:val="18"/>
          </w:tcPr>
          <w:p>
            <w:pPr>
              <w:spacing w:after="0" w:line="183" w:lineRule="exact"/>
              <w:rPr>
                <w:sz w:val="20"/>
                <w:szCs w:val="20"/>
                <w:color w:val="auto"/>
              </w:rPr>
            </w:pPr>
            <w:r>
              <w:rPr>
                <w:rFonts w:ascii="Arial" w:cs="Arial" w:eastAsia="Arial" w:hAnsi="Arial"/>
                <w:sz w:val="17"/>
                <w:szCs w:val="17"/>
                <w:color w:val="auto"/>
              </w:rPr>
              <w:t>The rights of holders of the Registrant’s equity securities are defined in the Registrant’s Certificate of</w:t>
            </w:r>
          </w:p>
        </w:tc>
        <w:tc>
          <w:tcPr>
            <w:tcW w:w="40" w:type="dxa"/>
            <w:vAlign w:val="bottom"/>
          </w:tcPr>
          <w:p>
            <w:pPr>
              <w:spacing w:after="0"/>
              <w:rPr>
                <w:sz w:val="15"/>
                <w:szCs w:val="15"/>
                <w:color w:val="auto"/>
              </w:rPr>
            </w:pPr>
          </w:p>
        </w:tc>
      </w:tr>
      <w:tr>
        <w:trPr>
          <w:trHeight w:val="189"/>
        </w:trPr>
        <w:tc>
          <w:tcPr>
            <w:tcW w:w="1040" w:type="dxa"/>
            <w:vAlign w:val="bottom"/>
          </w:tcPr>
          <w:p>
            <w:pPr>
              <w:spacing w:after="0"/>
              <w:rPr>
                <w:sz w:val="16"/>
                <w:szCs w:val="16"/>
                <w:color w:val="auto"/>
              </w:rPr>
            </w:pPr>
          </w:p>
        </w:tc>
        <w:tc>
          <w:tcPr>
            <w:tcW w:w="7780" w:type="dxa"/>
            <w:vAlign w:val="bottom"/>
            <w:gridSpan w:val="18"/>
          </w:tcPr>
          <w:p>
            <w:pPr>
              <w:spacing w:after="0" w:line="189" w:lineRule="exact"/>
              <w:rPr>
                <w:sz w:val="20"/>
                <w:szCs w:val="20"/>
                <w:color w:val="auto"/>
              </w:rPr>
            </w:pPr>
            <w:r>
              <w:rPr>
                <w:rFonts w:ascii="Arial" w:cs="Arial" w:eastAsia="Arial" w:hAnsi="Arial"/>
                <w:sz w:val="17"/>
                <w:szCs w:val="17"/>
                <w:color w:val="auto"/>
              </w:rPr>
              <w:t>Incorporation, as amended (incorporated herein by reference to (a) Exhibits 3(i)(a) and 3(i)(b) to the</w:t>
            </w:r>
          </w:p>
        </w:tc>
        <w:tc>
          <w:tcPr>
            <w:tcW w:w="40" w:type="dxa"/>
            <w:vAlign w:val="bottom"/>
          </w:tcPr>
          <w:p>
            <w:pPr>
              <w:spacing w:after="0"/>
              <w:rPr>
                <w:sz w:val="16"/>
                <w:szCs w:val="16"/>
                <w:color w:val="auto"/>
              </w:rPr>
            </w:pPr>
          </w:p>
        </w:tc>
      </w:tr>
      <w:tr>
        <w:trPr>
          <w:trHeight w:val="168"/>
        </w:trPr>
        <w:tc>
          <w:tcPr>
            <w:tcW w:w="1040" w:type="dxa"/>
            <w:vAlign w:val="bottom"/>
          </w:tcPr>
          <w:p>
            <w:pPr>
              <w:spacing w:after="0"/>
              <w:rPr>
                <w:sz w:val="14"/>
                <w:szCs w:val="14"/>
                <w:color w:val="auto"/>
              </w:rPr>
            </w:pPr>
          </w:p>
        </w:tc>
        <w:tc>
          <w:tcPr>
            <w:tcW w:w="7780" w:type="dxa"/>
            <w:vAlign w:val="bottom"/>
            <w:gridSpan w:val="18"/>
          </w:tcPr>
          <w:p>
            <w:pPr>
              <w:spacing w:after="0" w:line="168" w:lineRule="exact"/>
              <w:rPr>
                <w:rFonts w:ascii="Arial" w:cs="Arial" w:eastAsia="Arial" w:hAnsi="Arial"/>
                <w:sz w:val="17"/>
                <w:szCs w:val="17"/>
                <w:color w:val="auto"/>
              </w:rPr>
            </w:pPr>
            <w:r>
              <w:rPr>
                <w:rFonts w:ascii="Arial" w:cs="Arial" w:eastAsia="Arial" w:hAnsi="Arial"/>
                <w:sz w:val="17"/>
                <w:szCs w:val="17"/>
                <w:color w:val="auto"/>
              </w:rPr>
              <w:t xml:space="preserve">July 26, 1997 Form 10-Q, Exhibit 4.2(a) to the 1998 Form S-8, and </w:t>
            </w:r>
            <w:hyperlink r:id="rId126">
              <w:r>
                <w:rPr>
                  <w:rFonts w:ascii="Arial" w:cs="Arial" w:eastAsia="Arial" w:hAnsi="Arial"/>
                  <w:sz w:val="17"/>
                  <w:szCs w:val="17"/>
                  <w:color w:val="0000EE"/>
                </w:rPr>
                <w:t>Exhibit 4.2 to the 2001 Form S-8</w:t>
              </w:r>
            </w:hyperlink>
            <w:r>
              <w:rPr>
                <w:rFonts w:ascii="Arial" w:cs="Arial" w:eastAsia="Arial" w:hAnsi="Arial"/>
                <w:sz w:val="17"/>
                <w:szCs w:val="17"/>
                <w:color w:val="auto"/>
              </w:rPr>
              <w:t>.</w:t>
            </w:r>
          </w:p>
        </w:tc>
        <w:tc>
          <w:tcPr>
            <w:tcW w:w="40" w:type="dxa"/>
            <w:vAlign w:val="bottom"/>
          </w:tcPr>
          <w:p>
            <w:pPr>
              <w:spacing w:after="0"/>
              <w:rPr>
                <w:sz w:val="14"/>
                <w:szCs w:val="14"/>
                <w:color w:val="auto"/>
              </w:rPr>
            </w:pPr>
          </w:p>
        </w:tc>
      </w:tr>
      <w:tr>
        <w:trPr>
          <w:trHeight w:val="88"/>
        </w:trPr>
        <w:tc>
          <w:tcPr>
            <w:tcW w:w="1040" w:type="dxa"/>
            <w:vAlign w:val="bottom"/>
          </w:tcPr>
          <w:p>
            <w:pPr>
              <w:spacing w:after="0"/>
              <w:rPr>
                <w:sz w:val="7"/>
                <w:szCs w:val="7"/>
                <w:color w:val="auto"/>
              </w:rPr>
            </w:pPr>
          </w:p>
        </w:tc>
        <w:tc>
          <w:tcPr>
            <w:tcW w:w="480" w:type="dxa"/>
            <w:vAlign w:val="bottom"/>
          </w:tcPr>
          <w:p>
            <w:pPr>
              <w:spacing w:after="0"/>
              <w:rPr>
                <w:sz w:val="7"/>
                <w:szCs w:val="7"/>
                <w:color w:val="auto"/>
              </w:rPr>
            </w:pPr>
          </w:p>
        </w:tc>
        <w:tc>
          <w:tcPr>
            <w:tcW w:w="8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174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14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183"/>
        </w:trPr>
        <w:tc>
          <w:tcPr>
            <w:tcW w:w="1040" w:type="dxa"/>
            <w:vAlign w:val="bottom"/>
            <w:shd w:val="clear" w:color="auto" w:fill="CCEEFF"/>
          </w:tcPr>
          <w:p>
            <w:pPr>
              <w:jc w:val="center"/>
              <w:spacing w:after="0" w:line="183" w:lineRule="exact"/>
              <w:rPr>
                <w:sz w:val="20"/>
                <w:szCs w:val="20"/>
                <w:color w:val="auto"/>
              </w:rPr>
            </w:pPr>
            <w:r>
              <w:rPr>
                <w:rFonts w:ascii="Arial" w:cs="Arial" w:eastAsia="Arial" w:hAnsi="Arial"/>
                <w:sz w:val="17"/>
                <w:szCs w:val="17"/>
                <w:color w:val="auto"/>
              </w:rPr>
              <w:t>4.2</w:t>
            </w:r>
          </w:p>
        </w:tc>
        <w:tc>
          <w:tcPr>
            <w:tcW w:w="7780" w:type="dxa"/>
            <w:vAlign w:val="bottom"/>
            <w:gridSpan w:val="18"/>
            <w:shd w:val="clear" w:color="auto" w:fill="CCEEFF"/>
          </w:tcPr>
          <w:p>
            <w:pPr>
              <w:spacing w:after="0" w:line="183" w:lineRule="exact"/>
              <w:rPr>
                <w:sz w:val="20"/>
                <w:szCs w:val="20"/>
                <w:color w:val="auto"/>
              </w:rPr>
            </w:pPr>
            <w:r>
              <w:rPr>
                <w:rFonts w:ascii="Arial" w:cs="Arial" w:eastAsia="Arial" w:hAnsi="Arial"/>
                <w:sz w:val="17"/>
                <w:szCs w:val="17"/>
                <w:color w:val="auto"/>
              </w:rPr>
              <w:t>Indenture, dated as of October 10, 1991 (incorporated herein by reference to Exhibit 4.1 to the</w:t>
            </w:r>
          </w:p>
        </w:tc>
        <w:tc>
          <w:tcPr>
            <w:tcW w:w="40" w:type="dxa"/>
            <w:vAlign w:val="bottom"/>
          </w:tcPr>
          <w:p>
            <w:pPr>
              <w:spacing w:after="0"/>
              <w:rPr>
                <w:sz w:val="15"/>
                <w:szCs w:val="15"/>
                <w:color w:val="auto"/>
              </w:rPr>
            </w:pPr>
          </w:p>
        </w:tc>
      </w:tr>
      <w:tr>
        <w:trPr>
          <w:trHeight w:val="205"/>
        </w:trPr>
        <w:tc>
          <w:tcPr>
            <w:tcW w:w="1040" w:type="dxa"/>
            <w:vAlign w:val="bottom"/>
            <w:shd w:val="clear" w:color="auto" w:fill="CCEEFF"/>
          </w:tcPr>
          <w:p>
            <w:pPr>
              <w:spacing w:after="0"/>
              <w:rPr>
                <w:sz w:val="17"/>
                <w:szCs w:val="17"/>
                <w:color w:val="auto"/>
              </w:rPr>
            </w:pPr>
          </w:p>
        </w:tc>
        <w:tc>
          <w:tcPr>
            <w:tcW w:w="7780" w:type="dxa"/>
            <w:vAlign w:val="bottom"/>
            <w:gridSpan w:val="18"/>
            <w:shd w:val="clear" w:color="auto" w:fill="CCEEFF"/>
          </w:tcPr>
          <w:p>
            <w:pPr>
              <w:spacing w:after="0"/>
              <w:rPr>
                <w:sz w:val="20"/>
                <w:szCs w:val="20"/>
                <w:color w:val="auto"/>
              </w:rPr>
            </w:pPr>
            <w:r>
              <w:rPr>
                <w:rFonts w:ascii="Arial" w:cs="Arial" w:eastAsia="Arial" w:hAnsi="Arial"/>
                <w:sz w:val="17"/>
                <w:szCs w:val="17"/>
                <w:color w:val="auto"/>
              </w:rPr>
              <w:t>Registration Statement on Form S-3 (Registration No. 33-43334)).</w:t>
            </w:r>
          </w:p>
        </w:tc>
        <w:tc>
          <w:tcPr>
            <w:tcW w:w="40" w:type="dxa"/>
            <w:vAlign w:val="bottom"/>
          </w:tcPr>
          <w:p>
            <w:pPr>
              <w:spacing w:after="0"/>
              <w:rPr>
                <w:sz w:val="17"/>
                <w:szCs w:val="17"/>
                <w:color w:val="auto"/>
              </w:rPr>
            </w:pPr>
          </w:p>
        </w:tc>
      </w:tr>
      <w:tr>
        <w:trPr>
          <w:trHeight w:val="72"/>
        </w:trPr>
        <w:tc>
          <w:tcPr>
            <w:tcW w:w="104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40" w:type="dxa"/>
            <w:vAlign w:val="bottom"/>
            <w:tcBorders>
              <w:right w:val="single" w:sz="8" w:color="CCEEFF"/>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40" w:type="dxa"/>
            <w:vAlign w:val="bottom"/>
          </w:tcPr>
          <w:p>
            <w:pPr>
              <w:spacing w:after="0"/>
              <w:rPr>
                <w:sz w:val="6"/>
                <w:szCs w:val="6"/>
                <w:color w:val="auto"/>
              </w:rPr>
            </w:pPr>
          </w:p>
        </w:tc>
      </w:tr>
      <w:tr>
        <w:trPr>
          <w:trHeight w:val="183"/>
        </w:trPr>
        <w:tc>
          <w:tcPr>
            <w:tcW w:w="1040" w:type="dxa"/>
            <w:vAlign w:val="bottom"/>
          </w:tcPr>
          <w:p>
            <w:pPr>
              <w:jc w:val="center"/>
              <w:spacing w:after="0" w:line="183" w:lineRule="exact"/>
              <w:rPr>
                <w:sz w:val="20"/>
                <w:szCs w:val="20"/>
                <w:color w:val="auto"/>
              </w:rPr>
            </w:pPr>
            <w:r>
              <w:rPr>
                <w:rFonts w:ascii="Arial" w:cs="Arial" w:eastAsia="Arial" w:hAnsi="Arial"/>
                <w:sz w:val="17"/>
                <w:szCs w:val="17"/>
                <w:color w:val="auto"/>
              </w:rPr>
              <w:t>4.3</w:t>
            </w:r>
          </w:p>
        </w:tc>
        <w:tc>
          <w:tcPr>
            <w:tcW w:w="7780" w:type="dxa"/>
            <w:vAlign w:val="bottom"/>
            <w:gridSpan w:val="18"/>
          </w:tcPr>
          <w:p>
            <w:pPr>
              <w:spacing w:after="0" w:line="183" w:lineRule="exact"/>
              <w:rPr>
                <w:sz w:val="20"/>
                <w:szCs w:val="20"/>
                <w:color w:val="auto"/>
              </w:rPr>
            </w:pPr>
            <w:r>
              <w:rPr>
                <w:rFonts w:ascii="Arial" w:cs="Arial" w:eastAsia="Arial" w:hAnsi="Arial"/>
                <w:sz w:val="17"/>
                <w:szCs w:val="17"/>
                <w:color w:val="auto"/>
              </w:rPr>
              <w:t>Form of 8-1/2% Debentures due 2022 (incorporated herein by reference to Exhibit 4 to the Current</w:t>
            </w:r>
          </w:p>
        </w:tc>
        <w:tc>
          <w:tcPr>
            <w:tcW w:w="40" w:type="dxa"/>
            <w:vAlign w:val="bottom"/>
          </w:tcPr>
          <w:p>
            <w:pPr>
              <w:spacing w:after="0"/>
              <w:rPr>
                <w:sz w:val="15"/>
                <w:szCs w:val="15"/>
                <w:color w:val="auto"/>
              </w:rPr>
            </w:pPr>
          </w:p>
        </w:tc>
      </w:tr>
      <w:tr>
        <w:trPr>
          <w:trHeight w:val="213"/>
        </w:trPr>
        <w:tc>
          <w:tcPr>
            <w:tcW w:w="1040" w:type="dxa"/>
            <w:vAlign w:val="bottom"/>
          </w:tcPr>
          <w:p>
            <w:pPr>
              <w:spacing w:after="0"/>
              <w:rPr>
                <w:sz w:val="18"/>
                <w:szCs w:val="18"/>
                <w:color w:val="auto"/>
              </w:rPr>
            </w:pPr>
          </w:p>
        </w:tc>
        <w:tc>
          <w:tcPr>
            <w:tcW w:w="7780" w:type="dxa"/>
            <w:vAlign w:val="bottom"/>
            <w:gridSpan w:val="18"/>
          </w:tcPr>
          <w:p>
            <w:pPr>
              <w:spacing w:after="0"/>
              <w:rPr>
                <w:sz w:val="20"/>
                <w:szCs w:val="20"/>
                <w:color w:val="auto"/>
              </w:rPr>
            </w:pPr>
            <w:r>
              <w:rPr>
                <w:rFonts w:ascii="Arial" w:cs="Arial" w:eastAsia="Arial" w:hAnsi="Arial"/>
                <w:sz w:val="17"/>
                <w:szCs w:val="17"/>
                <w:color w:val="auto"/>
              </w:rPr>
              <w:t>Report on Form 8-K dated January 16, 1992).</w:t>
            </w:r>
          </w:p>
        </w:tc>
        <w:tc>
          <w:tcPr>
            <w:tcW w:w="40" w:type="dxa"/>
            <w:vAlign w:val="bottom"/>
          </w:tcPr>
          <w:p>
            <w:pPr>
              <w:spacing w:after="0"/>
              <w:rPr>
                <w:sz w:val="18"/>
                <w:szCs w:val="18"/>
                <w:color w:val="auto"/>
              </w:rPr>
            </w:pPr>
          </w:p>
        </w:tc>
      </w:tr>
      <w:tr>
        <w:trPr>
          <w:trHeight w:val="171"/>
        </w:trPr>
        <w:tc>
          <w:tcPr>
            <w:tcW w:w="1040" w:type="dxa"/>
            <w:vAlign w:val="bottom"/>
            <w:shd w:val="clear" w:color="auto" w:fill="CCEEFF"/>
          </w:tcPr>
          <w:p>
            <w:pPr>
              <w:jc w:val="center"/>
              <w:spacing w:after="0" w:line="171" w:lineRule="exact"/>
              <w:rPr>
                <w:sz w:val="20"/>
                <w:szCs w:val="20"/>
                <w:color w:val="auto"/>
              </w:rPr>
            </w:pPr>
            <w:r>
              <w:rPr>
                <w:rFonts w:ascii="Arial" w:cs="Arial" w:eastAsia="Arial" w:hAnsi="Arial"/>
                <w:sz w:val="17"/>
                <w:szCs w:val="17"/>
                <w:color w:val="auto"/>
              </w:rPr>
              <w:t>10.1</w:t>
            </w:r>
          </w:p>
        </w:tc>
        <w:tc>
          <w:tcPr>
            <w:tcW w:w="7780" w:type="dxa"/>
            <w:vAlign w:val="bottom"/>
            <w:gridSpan w:val="18"/>
            <w:shd w:val="clear" w:color="auto" w:fill="CCEEFF"/>
          </w:tcPr>
          <w:p>
            <w:pPr>
              <w:spacing w:after="0" w:line="171" w:lineRule="exact"/>
              <w:rPr>
                <w:rFonts w:ascii="Arial" w:cs="Arial" w:eastAsia="Arial" w:hAnsi="Arial"/>
                <w:sz w:val="17"/>
                <w:szCs w:val="17"/>
                <w:color w:val="0000EE"/>
              </w:rPr>
            </w:pPr>
            <w:hyperlink r:id="rId129">
              <w:r>
                <w:rPr>
                  <w:rFonts w:ascii="Arial" w:cs="Arial" w:eastAsia="Arial" w:hAnsi="Arial"/>
                  <w:sz w:val="17"/>
                  <w:szCs w:val="17"/>
                  <w:color w:val="0000EE"/>
                </w:rPr>
                <w:t>Credit Agreement, dated as of May 19, 2016, among Foot Locker, Inc., a New York corporation, the</w:t>
              </w:r>
            </w:hyperlink>
          </w:p>
        </w:tc>
        <w:tc>
          <w:tcPr>
            <w:tcW w:w="40" w:type="dxa"/>
            <w:vAlign w:val="bottom"/>
          </w:tcPr>
          <w:p>
            <w:pPr>
              <w:spacing w:after="0"/>
              <w:rPr>
                <w:sz w:val="14"/>
                <w:szCs w:val="14"/>
                <w:color w:val="auto"/>
              </w:rPr>
            </w:pPr>
          </w:p>
        </w:tc>
      </w:tr>
      <w:tr>
        <w:trPr>
          <w:trHeight w:val="20"/>
        </w:trPr>
        <w:tc>
          <w:tcPr>
            <w:tcW w:w="1040" w:type="dxa"/>
            <w:vAlign w:val="bottom"/>
            <w:shd w:val="clear" w:color="auto" w:fill="CCEEFF"/>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right w:val="single" w:sz="8" w:color="CCEEFF"/>
            </w:tcBorders>
            <w:shd w:val="clear" w:color="auto" w:fill="0000EE"/>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1040" w:type="dxa"/>
            <w:vAlign w:val="bottom"/>
            <w:tcBorders>
              <w:bottom w:val="single" w:sz="8" w:color="CCEEFF"/>
            </w:tcBorders>
            <w:shd w:val="clear" w:color="auto" w:fill="CCEEFF"/>
          </w:tcPr>
          <w:p>
            <w:pPr>
              <w:spacing w:after="0"/>
              <w:rPr>
                <w:sz w:val="14"/>
                <w:szCs w:val="14"/>
                <w:color w:val="auto"/>
              </w:rPr>
            </w:pPr>
          </w:p>
        </w:tc>
        <w:tc>
          <w:tcPr>
            <w:tcW w:w="7500" w:type="dxa"/>
            <w:vAlign w:val="bottom"/>
            <w:tcBorders>
              <w:bottom w:val="single" w:sz="8" w:color="0000EE"/>
              <w:right w:val="single" w:sz="8" w:color="CCEEFF"/>
            </w:tcBorders>
            <w:gridSpan w:val="13"/>
            <w:shd w:val="clear" w:color="auto" w:fill="CCEEFF"/>
          </w:tcPr>
          <w:p>
            <w:pPr>
              <w:spacing w:after="0" w:line="169" w:lineRule="exact"/>
              <w:rPr>
                <w:rFonts w:ascii="Arial" w:cs="Arial" w:eastAsia="Arial" w:hAnsi="Arial"/>
                <w:sz w:val="17"/>
                <w:szCs w:val="17"/>
                <w:color w:val="0000EE"/>
                <w:w w:val="99"/>
              </w:rPr>
            </w:pPr>
            <w:hyperlink r:id="rId129">
              <w:r>
                <w:rPr>
                  <w:rFonts w:ascii="Arial" w:cs="Arial" w:eastAsia="Arial" w:hAnsi="Arial"/>
                  <w:sz w:val="17"/>
                  <w:szCs w:val="17"/>
                  <w:color w:val="0000EE"/>
                  <w:w w:val="99"/>
                </w:rPr>
                <w:t>guarantors party thereto, the lenders party thereto and Wells Fargo, National Association, as agent,</w:t>
              </w:r>
            </w:hyperlink>
          </w:p>
        </w:tc>
        <w:tc>
          <w:tcPr>
            <w:tcW w:w="280" w:type="dxa"/>
            <w:vAlign w:val="bottom"/>
            <w:tcBorders>
              <w:bottom w:val="single" w:sz="8" w:color="CCEEFF"/>
            </w:tcBorders>
            <w:gridSpan w:val="5"/>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69"/>
        </w:trPr>
        <w:tc>
          <w:tcPr>
            <w:tcW w:w="1040" w:type="dxa"/>
            <w:vAlign w:val="bottom"/>
            <w:shd w:val="clear" w:color="auto" w:fill="CCEEFF"/>
          </w:tcPr>
          <w:p>
            <w:pPr>
              <w:spacing w:after="0"/>
              <w:rPr>
                <w:sz w:val="14"/>
                <w:szCs w:val="14"/>
                <w:color w:val="auto"/>
              </w:rPr>
            </w:pPr>
          </w:p>
        </w:tc>
        <w:tc>
          <w:tcPr>
            <w:tcW w:w="7780" w:type="dxa"/>
            <w:vAlign w:val="bottom"/>
            <w:gridSpan w:val="18"/>
            <w:shd w:val="clear" w:color="auto" w:fill="CCEEFF"/>
          </w:tcPr>
          <w:p>
            <w:pPr>
              <w:spacing w:after="0" w:line="169" w:lineRule="exact"/>
              <w:rPr>
                <w:rFonts w:ascii="Arial" w:cs="Arial" w:eastAsia="Arial" w:hAnsi="Arial"/>
                <w:sz w:val="17"/>
                <w:szCs w:val="17"/>
                <w:color w:val="0000EE"/>
              </w:rPr>
            </w:pPr>
            <w:hyperlink r:id="rId129">
              <w:r>
                <w:rPr>
                  <w:rFonts w:ascii="Arial" w:cs="Arial" w:eastAsia="Arial" w:hAnsi="Arial"/>
                  <w:sz w:val="17"/>
                  <w:szCs w:val="17"/>
                  <w:color w:val="0000EE"/>
                </w:rPr>
                <w:t>letter of credit issuer and swing line lender (incorporated herein by reference to Exhibit 10.1 to the</w:t>
              </w:r>
            </w:hyperlink>
          </w:p>
        </w:tc>
        <w:tc>
          <w:tcPr>
            <w:tcW w:w="40" w:type="dxa"/>
            <w:vAlign w:val="bottom"/>
          </w:tcPr>
          <w:p>
            <w:pPr>
              <w:spacing w:after="0"/>
              <w:rPr>
                <w:sz w:val="14"/>
                <w:szCs w:val="14"/>
                <w:color w:val="auto"/>
              </w:rPr>
            </w:pPr>
          </w:p>
        </w:tc>
      </w:tr>
      <w:tr>
        <w:trPr>
          <w:trHeight w:val="169"/>
        </w:trPr>
        <w:tc>
          <w:tcPr>
            <w:tcW w:w="1040" w:type="dxa"/>
            <w:vAlign w:val="bottom"/>
            <w:tcBorders>
              <w:top w:val="single" w:sz="8" w:color="CCEEFF"/>
            </w:tcBorders>
            <w:shd w:val="clear" w:color="auto" w:fill="CCEEFF"/>
          </w:tcPr>
          <w:p>
            <w:pPr>
              <w:spacing w:after="0"/>
              <w:rPr>
                <w:sz w:val="14"/>
                <w:szCs w:val="14"/>
                <w:color w:val="auto"/>
              </w:rPr>
            </w:pPr>
          </w:p>
        </w:tc>
        <w:tc>
          <w:tcPr>
            <w:tcW w:w="7360" w:type="dxa"/>
            <w:vAlign w:val="bottom"/>
            <w:tcBorders>
              <w:top w:val="single" w:sz="8" w:color="0000EE"/>
            </w:tcBorders>
            <w:gridSpan w:val="12"/>
            <w:shd w:val="clear" w:color="auto" w:fill="CCEEFF"/>
          </w:tcPr>
          <w:p>
            <w:pPr>
              <w:spacing w:after="0" w:line="169" w:lineRule="exact"/>
              <w:rPr>
                <w:rFonts w:ascii="Arial" w:cs="Arial" w:eastAsia="Arial" w:hAnsi="Arial"/>
                <w:sz w:val="17"/>
                <w:szCs w:val="17"/>
                <w:color w:val="0000EE"/>
              </w:rPr>
            </w:pPr>
            <w:hyperlink r:id="rId129">
              <w:r>
                <w:rPr>
                  <w:rFonts w:ascii="Arial" w:cs="Arial" w:eastAsia="Arial" w:hAnsi="Arial"/>
                  <w:sz w:val="17"/>
                  <w:szCs w:val="17"/>
                  <w:color w:val="0000EE"/>
                </w:rPr>
                <w:t>Current Report on Form 8-K dated May 19, 2016 filed on May 19, 2016).</w:t>
              </w:r>
            </w:hyperlink>
          </w:p>
        </w:tc>
        <w:tc>
          <w:tcPr>
            <w:tcW w:w="420" w:type="dxa"/>
            <w:vAlign w:val="bottom"/>
            <w:tcBorders>
              <w:top w:val="single" w:sz="8" w:color="CCEEFF"/>
            </w:tcBorders>
            <w:gridSpan w:val="6"/>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88"/>
        </w:trPr>
        <w:tc>
          <w:tcPr>
            <w:tcW w:w="104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0000EE"/>
            </w:tcBorders>
            <w:shd w:val="clear" w:color="auto" w:fill="CCEEFF"/>
          </w:tcPr>
          <w:p>
            <w:pPr>
              <w:spacing w:after="0"/>
              <w:rPr>
                <w:sz w:val="7"/>
                <w:szCs w:val="7"/>
                <w:color w:val="auto"/>
              </w:rPr>
            </w:pPr>
          </w:p>
        </w:tc>
        <w:tc>
          <w:tcPr>
            <w:tcW w:w="880" w:type="dxa"/>
            <w:vAlign w:val="bottom"/>
            <w:tcBorders>
              <w:top w:val="single" w:sz="8" w:color="0000EE"/>
            </w:tcBorders>
            <w:shd w:val="clear" w:color="auto" w:fill="CCEEFF"/>
          </w:tcPr>
          <w:p>
            <w:pPr>
              <w:spacing w:after="0"/>
              <w:rPr>
                <w:sz w:val="7"/>
                <w:szCs w:val="7"/>
                <w:color w:val="auto"/>
              </w:rPr>
            </w:pPr>
          </w:p>
        </w:tc>
        <w:tc>
          <w:tcPr>
            <w:tcW w:w="420" w:type="dxa"/>
            <w:vAlign w:val="bottom"/>
            <w:tcBorders>
              <w:top w:val="single" w:sz="8" w:color="0000EE"/>
            </w:tcBorders>
            <w:shd w:val="clear" w:color="auto" w:fill="CCEEFF"/>
          </w:tcPr>
          <w:p>
            <w:pPr>
              <w:spacing w:after="0"/>
              <w:rPr>
                <w:sz w:val="7"/>
                <w:szCs w:val="7"/>
                <w:color w:val="auto"/>
              </w:rPr>
            </w:pPr>
          </w:p>
        </w:tc>
        <w:tc>
          <w:tcPr>
            <w:tcW w:w="1480" w:type="dxa"/>
            <w:vAlign w:val="bottom"/>
            <w:tcBorders>
              <w:top w:val="single" w:sz="8" w:color="0000EE"/>
            </w:tcBorders>
            <w:shd w:val="clear" w:color="auto" w:fill="CCEEFF"/>
          </w:tcPr>
          <w:p>
            <w:pPr>
              <w:spacing w:after="0"/>
              <w:rPr>
                <w:sz w:val="7"/>
                <w:szCs w:val="7"/>
                <w:color w:val="auto"/>
              </w:rPr>
            </w:pPr>
          </w:p>
        </w:tc>
        <w:tc>
          <w:tcPr>
            <w:tcW w:w="920" w:type="dxa"/>
            <w:vAlign w:val="bottom"/>
            <w:tcBorders>
              <w:top w:val="single" w:sz="8" w:color="0000EE"/>
            </w:tcBorders>
            <w:shd w:val="clear" w:color="auto" w:fill="CCEEFF"/>
          </w:tcPr>
          <w:p>
            <w:pPr>
              <w:spacing w:after="0"/>
              <w:rPr>
                <w:sz w:val="7"/>
                <w:szCs w:val="7"/>
                <w:color w:val="auto"/>
              </w:rPr>
            </w:pPr>
          </w:p>
        </w:tc>
        <w:tc>
          <w:tcPr>
            <w:tcW w:w="620" w:type="dxa"/>
            <w:vAlign w:val="bottom"/>
            <w:tcBorders>
              <w:top w:val="single" w:sz="8" w:color="0000EE"/>
            </w:tcBorders>
            <w:shd w:val="clear" w:color="auto" w:fill="CCEEFF"/>
          </w:tcPr>
          <w:p>
            <w:pPr>
              <w:spacing w:after="0"/>
              <w:rPr>
                <w:sz w:val="7"/>
                <w:szCs w:val="7"/>
                <w:color w:val="auto"/>
              </w:rPr>
            </w:pPr>
          </w:p>
        </w:tc>
        <w:tc>
          <w:tcPr>
            <w:tcW w:w="80" w:type="dxa"/>
            <w:vAlign w:val="bottom"/>
            <w:tcBorders>
              <w:top w:val="single" w:sz="8" w:color="0000EE"/>
            </w:tcBorders>
            <w:shd w:val="clear" w:color="auto" w:fill="CCEEFF"/>
          </w:tcPr>
          <w:p>
            <w:pPr>
              <w:spacing w:after="0"/>
              <w:rPr>
                <w:sz w:val="7"/>
                <w:szCs w:val="7"/>
                <w:color w:val="auto"/>
              </w:rPr>
            </w:pPr>
          </w:p>
        </w:tc>
        <w:tc>
          <w:tcPr>
            <w:tcW w:w="200" w:type="dxa"/>
            <w:vAlign w:val="bottom"/>
            <w:tcBorders>
              <w:top w:val="single" w:sz="8" w:color="0000EE"/>
            </w:tcBorders>
            <w:shd w:val="clear" w:color="auto" w:fill="CCEEFF"/>
          </w:tcPr>
          <w:p>
            <w:pPr>
              <w:spacing w:after="0"/>
              <w:rPr>
                <w:sz w:val="7"/>
                <w:szCs w:val="7"/>
                <w:color w:val="auto"/>
              </w:rPr>
            </w:pPr>
          </w:p>
        </w:tc>
        <w:tc>
          <w:tcPr>
            <w:tcW w:w="380" w:type="dxa"/>
            <w:vAlign w:val="bottom"/>
            <w:tcBorders>
              <w:top w:val="single" w:sz="8" w:color="0000EE"/>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7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right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40" w:type="dxa"/>
            <w:vAlign w:val="bottom"/>
          </w:tcPr>
          <w:p>
            <w:pPr>
              <w:spacing w:after="0"/>
              <w:rPr>
                <w:sz w:val="7"/>
                <w:szCs w:val="7"/>
                <w:color w:val="auto"/>
              </w:rPr>
            </w:pPr>
          </w:p>
        </w:tc>
      </w:tr>
      <w:tr>
        <w:trPr>
          <w:trHeight w:val="162"/>
        </w:trPr>
        <w:tc>
          <w:tcPr>
            <w:tcW w:w="1040" w:type="dxa"/>
            <w:vAlign w:val="bottom"/>
          </w:tcPr>
          <w:p>
            <w:pPr>
              <w:jc w:val="center"/>
              <w:spacing w:after="0" w:line="162" w:lineRule="exact"/>
              <w:rPr>
                <w:sz w:val="20"/>
                <w:szCs w:val="20"/>
                <w:color w:val="auto"/>
              </w:rPr>
            </w:pPr>
            <w:r>
              <w:rPr>
                <w:rFonts w:ascii="Arial" w:cs="Arial" w:eastAsia="Arial" w:hAnsi="Arial"/>
                <w:sz w:val="17"/>
                <w:szCs w:val="17"/>
                <w:color w:val="auto"/>
                <w:w w:val="98"/>
              </w:rPr>
              <w:t>10.2†</w:t>
            </w:r>
          </w:p>
        </w:tc>
        <w:tc>
          <w:tcPr>
            <w:tcW w:w="7780" w:type="dxa"/>
            <w:vAlign w:val="bottom"/>
            <w:tcBorders>
              <w:bottom w:val="single" w:sz="8" w:color="0000EE"/>
            </w:tcBorders>
            <w:gridSpan w:val="18"/>
          </w:tcPr>
          <w:p>
            <w:pPr>
              <w:spacing w:after="0" w:line="162" w:lineRule="exact"/>
              <w:rPr>
                <w:rFonts w:ascii="Arial" w:cs="Arial" w:eastAsia="Arial" w:hAnsi="Arial"/>
                <w:sz w:val="17"/>
                <w:szCs w:val="17"/>
                <w:color w:val="0000EE"/>
              </w:rPr>
            </w:pPr>
            <w:hyperlink r:id="rId130">
              <w:r>
                <w:rPr>
                  <w:rFonts w:ascii="Arial" w:cs="Arial" w:eastAsia="Arial" w:hAnsi="Arial"/>
                  <w:sz w:val="17"/>
                  <w:szCs w:val="17"/>
                  <w:color w:val="0000EE"/>
                </w:rPr>
                <w:t>Foot Locker 2007 Stock Incentive Plan, amended and restated as of May 21, 2014 (incorporated</w:t>
              </w:r>
            </w:hyperlink>
          </w:p>
        </w:tc>
        <w:tc>
          <w:tcPr>
            <w:tcW w:w="4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7780" w:type="dxa"/>
            <w:vAlign w:val="bottom"/>
            <w:tcBorders>
              <w:bottom w:val="single" w:sz="8" w:color="0000EE"/>
            </w:tcBorders>
            <w:gridSpan w:val="18"/>
          </w:tcPr>
          <w:p>
            <w:pPr>
              <w:spacing w:after="0" w:line="169" w:lineRule="exact"/>
              <w:rPr>
                <w:rFonts w:ascii="Arial" w:cs="Arial" w:eastAsia="Arial" w:hAnsi="Arial"/>
                <w:sz w:val="17"/>
                <w:szCs w:val="17"/>
                <w:color w:val="0000EE"/>
              </w:rPr>
            </w:pPr>
            <w:hyperlink r:id="rId130">
              <w:r>
                <w:rPr>
                  <w:rFonts w:ascii="Arial" w:cs="Arial" w:eastAsia="Arial" w:hAnsi="Arial"/>
                  <w:sz w:val="17"/>
                  <w:szCs w:val="17"/>
                  <w:color w:val="0000EE"/>
                </w:rPr>
                <w:t>herein by reference to Exhibit 10.1 to the Current Report on Form 8-K dated December 23, 2014 filed</w:t>
              </w:r>
            </w:hyperlink>
          </w:p>
        </w:tc>
        <w:tc>
          <w:tcPr>
            <w:tcW w:w="4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7780" w:type="dxa"/>
            <w:vAlign w:val="bottom"/>
            <w:gridSpan w:val="18"/>
          </w:tcPr>
          <w:p>
            <w:pPr>
              <w:spacing w:after="0" w:line="169" w:lineRule="exact"/>
              <w:rPr>
                <w:rFonts w:ascii="Arial" w:cs="Arial" w:eastAsia="Arial" w:hAnsi="Arial"/>
                <w:sz w:val="17"/>
                <w:szCs w:val="17"/>
                <w:color w:val="0000EE"/>
              </w:rPr>
            </w:pPr>
            <w:hyperlink r:id="rId130">
              <w:r>
                <w:rPr>
                  <w:rFonts w:ascii="Arial" w:cs="Arial" w:eastAsia="Arial" w:hAnsi="Arial"/>
                  <w:sz w:val="17"/>
                  <w:szCs w:val="17"/>
                  <w:color w:val="0000EE"/>
                </w:rPr>
                <w:t>on December 30, 2014.</w:t>
              </w:r>
            </w:hyperlink>
          </w:p>
        </w:tc>
        <w:tc>
          <w:tcPr>
            <w:tcW w:w="40" w:type="dxa"/>
            <w:vAlign w:val="bottom"/>
          </w:tcPr>
          <w:p>
            <w:pPr>
              <w:spacing w:after="0"/>
              <w:rPr>
                <w:sz w:val="14"/>
                <w:szCs w:val="14"/>
                <w:color w:val="auto"/>
              </w:rPr>
            </w:pPr>
          </w:p>
        </w:tc>
      </w:tr>
      <w:tr>
        <w:trPr>
          <w:trHeight w:val="34"/>
        </w:trPr>
        <w:tc>
          <w:tcPr>
            <w:tcW w:w="1040" w:type="dxa"/>
            <w:vAlign w:val="bottom"/>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8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62"/>
        </w:trPr>
        <w:tc>
          <w:tcPr>
            <w:tcW w:w="1040" w:type="dxa"/>
            <w:vAlign w:val="bottom"/>
            <w:tcBorders>
              <w:bottom w:val="single" w:sz="8" w:color="CCEEFF"/>
            </w:tcBorders>
            <w:shd w:val="clear" w:color="auto" w:fill="CCEEFF"/>
          </w:tcPr>
          <w:p>
            <w:pPr>
              <w:jc w:val="center"/>
              <w:spacing w:after="0" w:line="162" w:lineRule="exact"/>
              <w:rPr>
                <w:sz w:val="20"/>
                <w:szCs w:val="20"/>
                <w:color w:val="auto"/>
              </w:rPr>
            </w:pPr>
            <w:r>
              <w:rPr>
                <w:rFonts w:ascii="Arial" w:cs="Arial" w:eastAsia="Arial" w:hAnsi="Arial"/>
                <w:sz w:val="17"/>
                <w:szCs w:val="17"/>
                <w:color w:val="auto"/>
                <w:w w:val="98"/>
              </w:rPr>
              <w:t>10.3†</w:t>
            </w:r>
          </w:p>
        </w:tc>
        <w:tc>
          <w:tcPr>
            <w:tcW w:w="7780" w:type="dxa"/>
            <w:vAlign w:val="bottom"/>
            <w:tcBorders>
              <w:bottom w:val="single" w:sz="8" w:color="0000EE"/>
            </w:tcBorders>
            <w:gridSpan w:val="18"/>
            <w:shd w:val="clear" w:color="auto" w:fill="CCEEFF"/>
          </w:tcPr>
          <w:p>
            <w:pPr>
              <w:spacing w:after="0" w:line="162" w:lineRule="exact"/>
              <w:rPr>
                <w:rFonts w:ascii="Arial" w:cs="Arial" w:eastAsia="Arial" w:hAnsi="Arial"/>
                <w:sz w:val="17"/>
                <w:szCs w:val="17"/>
                <w:color w:val="0000EE"/>
              </w:rPr>
            </w:pPr>
            <w:hyperlink r:id="rId131">
              <w:r>
                <w:rPr>
                  <w:rFonts w:ascii="Arial" w:cs="Arial" w:eastAsia="Arial" w:hAnsi="Arial"/>
                  <w:sz w:val="17"/>
                  <w:szCs w:val="17"/>
                  <w:color w:val="0000EE"/>
                </w:rPr>
                <w:t>Amendment Number One to the Foot Locker 2007 Stock Incentive Plan, amended and restated as of</w:t>
              </w:r>
            </w:hyperlink>
          </w:p>
        </w:tc>
        <w:tc>
          <w:tcPr>
            <w:tcW w:w="40" w:type="dxa"/>
            <w:vAlign w:val="bottom"/>
          </w:tcPr>
          <w:p>
            <w:pPr>
              <w:spacing w:after="0"/>
              <w:rPr>
                <w:sz w:val="14"/>
                <w:szCs w:val="14"/>
                <w:color w:val="auto"/>
              </w:rPr>
            </w:pPr>
          </w:p>
        </w:tc>
      </w:tr>
      <w:tr>
        <w:trPr>
          <w:trHeight w:val="169"/>
        </w:trPr>
        <w:tc>
          <w:tcPr>
            <w:tcW w:w="1040" w:type="dxa"/>
            <w:vAlign w:val="bottom"/>
            <w:tcBorders>
              <w:bottom w:val="single" w:sz="8" w:color="CCEEFF"/>
            </w:tcBorders>
            <w:shd w:val="clear" w:color="auto" w:fill="CCEEFF"/>
          </w:tcPr>
          <w:p>
            <w:pPr>
              <w:spacing w:after="0"/>
              <w:rPr>
                <w:sz w:val="14"/>
                <w:szCs w:val="14"/>
                <w:color w:val="auto"/>
              </w:rPr>
            </w:pPr>
          </w:p>
        </w:tc>
        <w:tc>
          <w:tcPr>
            <w:tcW w:w="7780" w:type="dxa"/>
            <w:vAlign w:val="bottom"/>
            <w:tcBorders>
              <w:bottom w:val="single" w:sz="8" w:color="0000EE"/>
            </w:tcBorders>
            <w:gridSpan w:val="18"/>
            <w:shd w:val="clear" w:color="auto" w:fill="CCEEFF"/>
          </w:tcPr>
          <w:p>
            <w:pPr>
              <w:spacing w:after="0" w:line="169" w:lineRule="exact"/>
              <w:rPr>
                <w:rFonts w:ascii="Arial" w:cs="Arial" w:eastAsia="Arial" w:hAnsi="Arial"/>
                <w:sz w:val="17"/>
                <w:szCs w:val="17"/>
                <w:color w:val="0000EE"/>
              </w:rPr>
            </w:pPr>
            <w:hyperlink r:id="rId131">
              <w:r>
                <w:rPr>
                  <w:rFonts w:ascii="Arial" w:cs="Arial" w:eastAsia="Arial" w:hAnsi="Arial"/>
                  <w:sz w:val="17"/>
                  <w:szCs w:val="17"/>
                  <w:color w:val="0000EE"/>
                </w:rPr>
                <w:t>May 21, 2014 (incorporated herein by reference to Exhibit 10.5 to the Annual Report on Form 10-K for</w:t>
              </w:r>
            </w:hyperlink>
          </w:p>
        </w:tc>
        <w:tc>
          <w:tcPr>
            <w:tcW w:w="40" w:type="dxa"/>
            <w:vAlign w:val="bottom"/>
          </w:tcPr>
          <w:p>
            <w:pPr>
              <w:spacing w:after="0"/>
              <w:rPr>
                <w:sz w:val="14"/>
                <w:szCs w:val="14"/>
                <w:color w:val="auto"/>
              </w:rPr>
            </w:pPr>
          </w:p>
        </w:tc>
      </w:tr>
      <w:tr>
        <w:trPr>
          <w:trHeight w:val="217"/>
        </w:trPr>
        <w:tc>
          <w:tcPr>
            <w:tcW w:w="1040" w:type="dxa"/>
            <w:vAlign w:val="bottom"/>
            <w:tcBorders>
              <w:bottom w:val="single" w:sz="8" w:color="CCEEFF"/>
            </w:tcBorders>
            <w:shd w:val="clear" w:color="auto" w:fill="CCEEFF"/>
          </w:tcPr>
          <w:p>
            <w:pPr>
              <w:spacing w:after="0"/>
              <w:rPr>
                <w:sz w:val="18"/>
                <w:szCs w:val="18"/>
                <w:color w:val="auto"/>
              </w:rPr>
            </w:pPr>
          </w:p>
        </w:tc>
        <w:tc>
          <w:tcPr>
            <w:tcW w:w="4880" w:type="dxa"/>
            <w:vAlign w:val="bottom"/>
            <w:tcBorders>
              <w:bottom w:val="single" w:sz="8" w:color="0000EE"/>
            </w:tcBorders>
            <w:gridSpan w:val="7"/>
            <w:shd w:val="clear" w:color="auto" w:fill="CCEEFF"/>
          </w:tcPr>
          <w:p>
            <w:pPr>
              <w:spacing w:after="0" w:line="169" w:lineRule="exact"/>
              <w:rPr>
                <w:rFonts w:ascii="Arial" w:cs="Arial" w:eastAsia="Arial" w:hAnsi="Arial"/>
                <w:sz w:val="17"/>
                <w:szCs w:val="17"/>
                <w:color w:val="0000EE"/>
              </w:rPr>
            </w:pPr>
            <w:hyperlink r:id="rId131">
              <w:r>
                <w:rPr>
                  <w:rFonts w:ascii="Arial" w:cs="Arial" w:eastAsia="Arial" w:hAnsi="Arial"/>
                  <w:sz w:val="17"/>
                  <w:szCs w:val="17"/>
                  <w:color w:val="0000EE"/>
                </w:rPr>
                <w:t>the fiscal year ended January 28, 2017 filed on March 23, 2017).</w:t>
              </w:r>
            </w:hyperlink>
          </w:p>
        </w:tc>
        <w:tc>
          <w:tcPr>
            <w:tcW w:w="2900" w:type="dxa"/>
            <w:vAlign w:val="bottom"/>
            <w:tcBorders>
              <w:bottom w:val="single" w:sz="8" w:color="CCEEFF"/>
            </w:tcBorders>
            <w:gridSpan w:val="11"/>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162"/>
        </w:trPr>
        <w:tc>
          <w:tcPr>
            <w:tcW w:w="1040" w:type="dxa"/>
            <w:vAlign w:val="bottom"/>
          </w:tcPr>
          <w:p>
            <w:pPr>
              <w:jc w:val="center"/>
              <w:spacing w:after="0" w:line="162" w:lineRule="exact"/>
              <w:rPr>
                <w:sz w:val="20"/>
                <w:szCs w:val="20"/>
                <w:color w:val="auto"/>
              </w:rPr>
            </w:pPr>
            <w:r>
              <w:rPr>
                <w:rFonts w:ascii="Arial" w:cs="Arial" w:eastAsia="Arial" w:hAnsi="Arial"/>
                <w:sz w:val="17"/>
                <w:szCs w:val="17"/>
                <w:color w:val="auto"/>
                <w:w w:val="98"/>
              </w:rPr>
              <w:t>10.4†</w:t>
            </w:r>
          </w:p>
        </w:tc>
        <w:tc>
          <w:tcPr>
            <w:tcW w:w="7640" w:type="dxa"/>
            <w:vAlign w:val="bottom"/>
            <w:tcBorders>
              <w:bottom w:val="single" w:sz="8" w:color="0000EE"/>
            </w:tcBorders>
            <w:gridSpan w:val="17"/>
          </w:tcPr>
          <w:p>
            <w:pPr>
              <w:spacing w:after="0" w:line="162" w:lineRule="exact"/>
              <w:rPr>
                <w:rFonts w:ascii="Arial" w:cs="Arial" w:eastAsia="Arial" w:hAnsi="Arial"/>
                <w:sz w:val="17"/>
                <w:szCs w:val="17"/>
                <w:color w:val="0000EE"/>
                <w:w w:val="99"/>
              </w:rPr>
            </w:pPr>
            <w:hyperlink r:id="rId132">
              <w:r>
                <w:rPr>
                  <w:rFonts w:ascii="Arial" w:cs="Arial" w:eastAsia="Arial" w:hAnsi="Arial"/>
                  <w:sz w:val="17"/>
                  <w:szCs w:val="17"/>
                  <w:color w:val="0000EE"/>
                  <w:w w:val="99"/>
                </w:rPr>
                <w:t>Foot Locker Long-Term Incentive Compensation Plan, as amended and restated (incorporated herein</w:t>
              </w:r>
            </w:hyperlink>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7560" w:type="dxa"/>
            <w:vAlign w:val="bottom"/>
            <w:tcBorders>
              <w:bottom w:val="single" w:sz="8" w:color="0000EE"/>
            </w:tcBorders>
            <w:gridSpan w:val="15"/>
          </w:tcPr>
          <w:p>
            <w:pPr>
              <w:spacing w:after="0" w:line="169" w:lineRule="exact"/>
              <w:rPr>
                <w:rFonts w:ascii="Arial" w:cs="Arial" w:eastAsia="Arial" w:hAnsi="Arial"/>
                <w:sz w:val="17"/>
                <w:szCs w:val="17"/>
                <w:color w:val="0000EE"/>
              </w:rPr>
            </w:pPr>
            <w:hyperlink r:id="rId132">
              <w:r>
                <w:rPr>
                  <w:rFonts w:ascii="Arial" w:cs="Arial" w:eastAsia="Arial" w:hAnsi="Arial"/>
                  <w:sz w:val="17"/>
                  <w:szCs w:val="17"/>
                  <w:color w:val="0000EE"/>
                </w:rPr>
                <w:t>by reference to Exhibit 10.3 to the Current Report on Form 8-K dated March 23, 2016 filed on March</w:t>
              </w:r>
            </w:hyperlink>
          </w:p>
        </w:tc>
        <w:tc>
          <w:tcPr>
            <w:tcW w:w="22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7780" w:type="dxa"/>
            <w:vAlign w:val="bottom"/>
            <w:gridSpan w:val="18"/>
          </w:tcPr>
          <w:p>
            <w:pPr>
              <w:spacing w:after="0" w:line="169" w:lineRule="exact"/>
              <w:rPr>
                <w:rFonts w:ascii="Arial" w:cs="Arial" w:eastAsia="Arial" w:hAnsi="Arial"/>
                <w:sz w:val="17"/>
                <w:szCs w:val="17"/>
                <w:color w:val="0000EE"/>
              </w:rPr>
            </w:pPr>
            <w:hyperlink r:id="rId132">
              <w:r>
                <w:rPr>
                  <w:rFonts w:ascii="Arial" w:cs="Arial" w:eastAsia="Arial" w:hAnsi="Arial"/>
                  <w:sz w:val="17"/>
                  <w:szCs w:val="17"/>
                  <w:color w:val="0000EE"/>
                </w:rPr>
                <w:t>29, 2016) (the “March 23, 2016 Form 8-K”).</w:t>
              </w:r>
            </w:hyperlink>
          </w:p>
        </w:tc>
        <w:tc>
          <w:tcPr>
            <w:tcW w:w="40" w:type="dxa"/>
            <w:vAlign w:val="bottom"/>
          </w:tcPr>
          <w:p>
            <w:pPr>
              <w:spacing w:after="0"/>
              <w:rPr>
                <w:sz w:val="14"/>
                <w:szCs w:val="14"/>
                <w:color w:val="auto"/>
              </w:rPr>
            </w:pPr>
          </w:p>
        </w:tc>
      </w:tr>
      <w:tr>
        <w:trPr>
          <w:trHeight w:val="61"/>
        </w:trPr>
        <w:tc>
          <w:tcPr>
            <w:tcW w:w="1040" w:type="dxa"/>
            <w:vAlign w:val="bottom"/>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1480" w:type="dxa"/>
            <w:vAlign w:val="bottom"/>
            <w:tcBorders>
              <w:top w:val="single" w:sz="8" w:color="0000EE"/>
            </w:tcBorders>
          </w:tcPr>
          <w:p>
            <w:pPr>
              <w:spacing w:after="0"/>
              <w:rPr>
                <w:sz w:val="5"/>
                <w:szCs w:val="5"/>
                <w:color w:val="auto"/>
              </w:rPr>
            </w:pPr>
          </w:p>
        </w:tc>
        <w:tc>
          <w:tcPr>
            <w:tcW w:w="9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r>
      <w:tr>
        <w:trPr>
          <w:trHeight w:val="162"/>
        </w:trPr>
        <w:tc>
          <w:tcPr>
            <w:tcW w:w="1040" w:type="dxa"/>
            <w:vAlign w:val="bottom"/>
            <w:shd w:val="clear" w:color="auto" w:fill="CCEEFF"/>
          </w:tcPr>
          <w:p>
            <w:pPr>
              <w:jc w:val="center"/>
              <w:spacing w:after="0" w:line="162" w:lineRule="exact"/>
              <w:rPr>
                <w:sz w:val="20"/>
                <w:szCs w:val="20"/>
                <w:color w:val="auto"/>
              </w:rPr>
            </w:pPr>
            <w:r>
              <w:rPr>
                <w:rFonts w:ascii="Arial" w:cs="Arial" w:eastAsia="Arial" w:hAnsi="Arial"/>
                <w:sz w:val="17"/>
                <w:szCs w:val="17"/>
                <w:color w:val="auto"/>
                <w:w w:val="98"/>
              </w:rPr>
              <w:t>10.5†</w:t>
            </w:r>
          </w:p>
        </w:tc>
        <w:tc>
          <w:tcPr>
            <w:tcW w:w="7780" w:type="dxa"/>
            <w:vAlign w:val="bottom"/>
            <w:gridSpan w:val="18"/>
            <w:shd w:val="clear" w:color="auto" w:fill="CCEEFF"/>
          </w:tcPr>
          <w:p>
            <w:pPr>
              <w:spacing w:after="0" w:line="162" w:lineRule="exact"/>
              <w:rPr>
                <w:rFonts w:ascii="Arial" w:cs="Arial" w:eastAsia="Arial" w:hAnsi="Arial"/>
                <w:sz w:val="17"/>
                <w:szCs w:val="17"/>
                <w:color w:val="0000EE"/>
              </w:rPr>
            </w:pPr>
            <w:hyperlink r:id="rId133">
              <w:r>
                <w:rPr>
                  <w:rFonts w:ascii="Arial" w:cs="Arial" w:eastAsia="Arial" w:hAnsi="Arial"/>
                  <w:sz w:val="17"/>
                  <w:szCs w:val="17"/>
                  <w:color w:val="0000EE"/>
                </w:rPr>
                <w:t>Foot Locker Annual Incentive Compensation Plan, as amended and restated (incorporated herein by</w:t>
              </w:r>
            </w:hyperlink>
          </w:p>
        </w:tc>
        <w:tc>
          <w:tcPr>
            <w:tcW w:w="40" w:type="dxa"/>
            <w:vAlign w:val="bottom"/>
          </w:tcPr>
          <w:p>
            <w:pPr>
              <w:spacing w:after="0"/>
              <w:rPr>
                <w:sz w:val="14"/>
                <w:szCs w:val="14"/>
                <w:color w:val="auto"/>
              </w:rPr>
            </w:pPr>
          </w:p>
        </w:tc>
      </w:tr>
      <w:tr>
        <w:trPr>
          <w:trHeight w:val="169"/>
        </w:trPr>
        <w:tc>
          <w:tcPr>
            <w:tcW w:w="1040" w:type="dxa"/>
            <w:vAlign w:val="bottom"/>
            <w:tcBorders>
              <w:top w:val="single" w:sz="8" w:color="CCEEFF"/>
            </w:tcBorders>
            <w:shd w:val="clear" w:color="auto" w:fill="CCEEFF"/>
          </w:tcPr>
          <w:p>
            <w:pPr>
              <w:spacing w:after="0"/>
              <w:rPr>
                <w:sz w:val="14"/>
                <w:szCs w:val="14"/>
                <w:color w:val="auto"/>
              </w:rPr>
            </w:pPr>
          </w:p>
        </w:tc>
        <w:tc>
          <w:tcPr>
            <w:tcW w:w="7580" w:type="dxa"/>
            <w:vAlign w:val="bottom"/>
            <w:tcBorders>
              <w:top w:val="single" w:sz="8" w:color="0000EE"/>
            </w:tcBorders>
            <w:gridSpan w:val="16"/>
            <w:shd w:val="clear" w:color="auto" w:fill="CCEEFF"/>
          </w:tcPr>
          <w:p>
            <w:pPr>
              <w:spacing w:after="0" w:line="169" w:lineRule="exact"/>
              <w:rPr>
                <w:rFonts w:ascii="Arial" w:cs="Arial" w:eastAsia="Arial" w:hAnsi="Arial"/>
                <w:sz w:val="17"/>
                <w:szCs w:val="17"/>
                <w:color w:val="0000EE"/>
              </w:rPr>
            </w:pPr>
            <w:hyperlink r:id="rId133">
              <w:r>
                <w:rPr>
                  <w:rFonts w:ascii="Arial" w:cs="Arial" w:eastAsia="Arial" w:hAnsi="Arial"/>
                  <w:sz w:val="17"/>
                  <w:szCs w:val="17"/>
                  <w:color w:val="0000EE"/>
                </w:rPr>
                <w:t>reference to Exhibit 10.1 to the Current Report on Form 8-K dated May 17, 2017 filed on May 19,</w:t>
              </w:r>
            </w:hyperlink>
          </w:p>
        </w:tc>
        <w:tc>
          <w:tcPr>
            <w:tcW w:w="20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69"/>
        </w:trPr>
        <w:tc>
          <w:tcPr>
            <w:tcW w:w="104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0000EE"/>
            </w:tcBorders>
            <w:gridSpan w:val="2"/>
            <w:shd w:val="clear" w:color="auto" w:fill="CCEEFF"/>
          </w:tcPr>
          <w:p>
            <w:pPr>
              <w:spacing w:after="0" w:line="169" w:lineRule="exact"/>
              <w:rPr>
                <w:rFonts w:ascii="Arial" w:cs="Arial" w:eastAsia="Arial" w:hAnsi="Arial"/>
                <w:sz w:val="17"/>
                <w:szCs w:val="17"/>
                <w:color w:val="0000EE"/>
              </w:rPr>
            </w:pPr>
            <w:hyperlink r:id="rId133">
              <w:r>
                <w:rPr>
                  <w:rFonts w:ascii="Arial" w:cs="Arial" w:eastAsia="Arial" w:hAnsi="Arial"/>
                  <w:sz w:val="17"/>
                  <w:szCs w:val="17"/>
                  <w:color w:val="0000EE"/>
                </w:rPr>
                <w:t>2017).</w:t>
              </w:r>
            </w:hyperlink>
          </w:p>
        </w:tc>
        <w:tc>
          <w:tcPr>
            <w:tcW w:w="420" w:type="dxa"/>
            <w:vAlign w:val="bottom"/>
            <w:tcBorders>
              <w:top w:val="single" w:sz="8" w:color="0000EE"/>
            </w:tcBorders>
            <w:shd w:val="clear" w:color="auto" w:fill="CCEEFF"/>
          </w:tcPr>
          <w:p>
            <w:pPr>
              <w:spacing w:after="0"/>
              <w:rPr>
                <w:sz w:val="14"/>
                <w:szCs w:val="14"/>
                <w:color w:val="auto"/>
              </w:rPr>
            </w:pPr>
          </w:p>
        </w:tc>
        <w:tc>
          <w:tcPr>
            <w:tcW w:w="1480" w:type="dxa"/>
            <w:vAlign w:val="bottom"/>
            <w:tcBorders>
              <w:top w:val="single" w:sz="8" w:color="0000EE"/>
            </w:tcBorders>
            <w:shd w:val="clear" w:color="auto" w:fill="CCEEFF"/>
          </w:tcPr>
          <w:p>
            <w:pPr>
              <w:spacing w:after="0"/>
              <w:rPr>
                <w:sz w:val="14"/>
                <w:szCs w:val="14"/>
                <w:color w:val="auto"/>
              </w:rPr>
            </w:pPr>
          </w:p>
        </w:tc>
        <w:tc>
          <w:tcPr>
            <w:tcW w:w="920" w:type="dxa"/>
            <w:vAlign w:val="bottom"/>
            <w:tcBorders>
              <w:top w:val="single" w:sz="8" w:color="0000EE"/>
            </w:tcBorders>
            <w:shd w:val="clear" w:color="auto" w:fill="CCEEFF"/>
          </w:tcPr>
          <w:p>
            <w:pPr>
              <w:spacing w:after="0"/>
              <w:rPr>
                <w:sz w:val="14"/>
                <w:szCs w:val="14"/>
                <w:color w:val="auto"/>
              </w:rPr>
            </w:pPr>
          </w:p>
        </w:tc>
        <w:tc>
          <w:tcPr>
            <w:tcW w:w="620" w:type="dxa"/>
            <w:vAlign w:val="bottom"/>
            <w:tcBorders>
              <w:top w:val="single" w:sz="8" w:color="0000EE"/>
            </w:tcBorders>
            <w:shd w:val="clear" w:color="auto" w:fill="CCEEFF"/>
          </w:tcPr>
          <w:p>
            <w:pPr>
              <w:spacing w:after="0"/>
              <w:rPr>
                <w:sz w:val="14"/>
                <w:szCs w:val="14"/>
                <w:color w:val="auto"/>
              </w:rPr>
            </w:pPr>
          </w:p>
        </w:tc>
        <w:tc>
          <w:tcPr>
            <w:tcW w:w="80" w:type="dxa"/>
            <w:vAlign w:val="bottom"/>
            <w:tcBorders>
              <w:top w:val="single" w:sz="8" w:color="0000EE"/>
            </w:tcBorders>
            <w:shd w:val="clear" w:color="auto" w:fill="CCEEFF"/>
          </w:tcPr>
          <w:p>
            <w:pPr>
              <w:spacing w:after="0"/>
              <w:rPr>
                <w:sz w:val="14"/>
                <w:szCs w:val="14"/>
                <w:color w:val="auto"/>
              </w:rPr>
            </w:pPr>
          </w:p>
        </w:tc>
        <w:tc>
          <w:tcPr>
            <w:tcW w:w="200" w:type="dxa"/>
            <w:vAlign w:val="bottom"/>
            <w:tcBorders>
              <w:top w:val="single" w:sz="8" w:color="0000EE"/>
            </w:tcBorders>
            <w:shd w:val="clear" w:color="auto" w:fill="CCEEFF"/>
          </w:tcPr>
          <w:p>
            <w:pPr>
              <w:spacing w:after="0"/>
              <w:rPr>
                <w:sz w:val="14"/>
                <w:szCs w:val="14"/>
                <w:color w:val="auto"/>
              </w:rPr>
            </w:pPr>
          </w:p>
        </w:tc>
        <w:tc>
          <w:tcPr>
            <w:tcW w:w="380" w:type="dxa"/>
            <w:vAlign w:val="bottom"/>
            <w:tcBorders>
              <w:top w:val="single" w:sz="8" w:color="0000EE"/>
            </w:tcBorders>
            <w:shd w:val="clear" w:color="auto" w:fill="CCEEFF"/>
          </w:tcPr>
          <w:p>
            <w:pPr>
              <w:spacing w:after="0"/>
              <w:rPr>
                <w:sz w:val="14"/>
                <w:szCs w:val="14"/>
                <w:color w:val="auto"/>
              </w:rPr>
            </w:pPr>
          </w:p>
        </w:tc>
        <w:tc>
          <w:tcPr>
            <w:tcW w:w="100" w:type="dxa"/>
            <w:vAlign w:val="bottom"/>
            <w:tcBorders>
              <w:top w:val="single" w:sz="8" w:color="0000EE"/>
            </w:tcBorders>
            <w:shd w:val="clear" w:color="auto" w:fill="CCEEFF"/>
          </w:tcPr>
          <w:p>
            <w:pPr>
              <w:spacing w:after="0"/>
              <w:rPr>
                <w:sz w:val="14"/>
                <w:szCs w:val="14"/>
                <w:color w:val="auto"/>
              </w:rPr>
            </w:pPr>
          </w:p>
        </w:tc>
        <w:tc>
          <w:tcPr>
            <w:tcW w:w="1740" w:type="dxa"/>
            <w:vAlign w:val="bottom"/>
            <w:tcBorders>
              <w:top w:val="single" w:sz="8" w:color="0000EE"/>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right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75"/>
        </w:trPr>
        <w:tc>
          <w:tcPr>
            <w:tcW w:w="104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4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right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0" w:type="dxa"/>
            <w:vAlign w:val="bottom"/>
          </w:tcPr>
          <w:p>
            <w:pPr>
              <w:spacing w:after="0"/>
              <w:rPr>
                <w:sz w:val="6"/>
                <w:szCs w:val="6"/>
                <w:color w:val="auto"/>
              </w:rPr>
            </w:pPr>
          </w:p>
        </w:tc>
      </w:tr>
      <w:tr>
        <w:trPr>
          <w:trHeight w:val="183"/>
        </w:trPr>
        <w:tc>
          <w:tcPr>
            <w:tcW w:w="1040" w:type="dxa"/>
            <w:vAlign w:val="bottom"/>
          </w:tcPr>
          <w:p>
            <w:pPr>
              <w:jc w:val="center"/>
              <w:spacing w:after="0" w:line="183" w:lineRule="exact"/>
              <w:rPr>
                <w:sz w:val="20"/>
                <w:szCs w:val="20"/>
                <w:color w:val="auto"/>
              </w:rPr>
            </w:pPr>
            <w:r>
              <w:rPr>
                <w:rFonts w:ascii="Arial" w:cs="Arial" w:eastAsia="Arial" w:hAnsi="Arial"/>
                <w:sz w:val="17"/>
                <w:szCs w:val="17"/>
                <w:color w:val="auto"/>
                <w:w w:val="98"/>
              </w:rPr>
              <w:t>10.6†</w:t>
            </w:r>
          </w:p>
        </w:tc>
        <w:tc>
          <w:tcPr>
            <w:tcW w:w="7780" w:type="dxa"/>
            <w:vAlign w:val="bottom"/>
            <w:gridSpan w:val="18"/>
          </w:tcPr>
          <w:p>
            <w:pPr>
              <w:spacing w:after="0" w:line="183" w:lineRule="exact"/>
              <w:rPr>
                <w:sz w:val="20"/>
                <w:szCs w:val="20"/>
                <w:color w:val="auto"/>
              </w:rPr>
            </w:pPr>
            <w:r>
              <w:rPr>
                <w:rFonts w:ascii="Arial" w:cs="Arial" w:eastAsia="Arial" w:hAnsi="Arial"/>
                <w:sz w:val="17"/>
                <w:szCs w:val="17"/>
                <w:color w:val="auto"/>
              </w:rPr>
              <w:t>Executive Supplemental Retirement Plan (incorporated herein by reference to Exhibit 10(d) to the</w:t>
            </w:r>
          </w:p>
        </w:tc>
        <w:tc>
          <w:tcPr>
            <w:tcW w:w="40" w:type="dxa"/>
            <w:vAlign w:val="bottom"/>
          </w:tcPr>
          <w:p>
            <w:pPr>
              <w:spacing w:after="0"/>
              <w:rPr>
                <w:sz w:val="15"/>
                <w:szCs w:val="15"/>
                <w:color w:val="auto"/>
              </w:rPr>
            </w:pPr>
          </w:p>
        </w:tc>
      </w:tr>
      <w:tr>
        <w:trPr>
          <w:trHeight w:val="189"/>
        </w:trPr>
        <w:tc>
          <w:tcPr>
            <w:tcW w:w="1040" w:type="dxa"/>
            <w:vAlign w:val="bottom"/>
          </w:tcPr>
          <w:p>
            <w:pPr>
              <w:spacing w:after="0"/>
              <w:rPr>
                <w:sz w:val="16"/>
                <w:szCs w:val="16"/>
                <w:color w:val="auto"/>
              </w:rPr>
            </w:pPr>
          </w:p>
        </w:tc>
        <w:tc>
          <w:tcPr>
            <w:tcW w:w="7780" w:type="dxa"/>
            <w:vAlign w:val="bottom"/>
            <w:gridSpan w:val="18"/>
          </w:tcPr>
          <w:p>
            <w:pPr>
              <w:spacing w:after="0" w:line="189" w:lineRule="exact"/>
              <w:rPr>
                <w:sz w:val="20"/>
                <w:szCs w:val="20"/>
                <w:color w:val="auto"/>
              </w:rPr>
            </w:pPr>
            <w:r>
              <w:rPr>
                <w:rFonts w:ascii="Arial" w:cs="Arial" w:eastAsia="Arial" w:hAnsi="Arial"/>
                <w:sz w:val="17"/>
                <w:szCs w:val="17"/>
                <w:color w:val="auto"/>
              </w:rPr>
              <w:t>Registration Statement on Form 8-B filed on August 7, 1989 (Registration No. 1-10299) (the “8-B</w:t>
            </w:r>
          </w:p>
        </w:tc>
        <w:tc>
          <w:tcPr>
            <w:tcW w:w="40" w:type="dxa"/>
            <w:vAlign w:val="bottom"/>
          </w:tcPr>
          <w:p>
            <w:pPr>
              <w:spacing w:after="0"/>
              <w:rPr>
                <w:sz w:val="16"/>
                <w:szCs w:val="16"/>
                <w:color w:val="auto"/>
              </w:rPr>
            </w:pPr>
          </w:p>
        </w:tc>
      </w:tr>
      <w:tr>
        <w:trPr>
          <w:trHeight w:val="205"/>
        </w:trPr>
        <w:tc>
          <w:tcPr>
            <w:tcW w:w="1040" w:type="dxa"/>
            <w:vAlign w:val="bottom"/>
          </w:tcPr>
          <w:p>
            <w:pPr>
              <w:spacing w:after="0"/>
              <w:rPr>
                <w:sz w:val="17"/>
                <w:szCs w:val="17"/>
                <w:color w:val="auto"/>
              </w:rPr>
            </w:pPr>
          </w:p>
        </w:tc>
        <w:tc>
          <w:tcPr>
            <w:tcW w:w="7780" w:type="dxa"/>
            <w:vAlign w:val="bottom"/>
            <w:gridSpan w:val="18"/>
          </w:tcPr>
          <w:p>
            <w:pPr>
              <w:spacing w:after="0"/>
              <w:rPr>
                <w:sz w:val="20"/>
                <w:szCs w:val="20"/>
                <w:color w:val="auto"/>
              </w:rPr>
            </w:pPr>
            <w:r>
              <w:rPr>
                <w:rFonts w:ascii="Arial" w:cs="Arial" w:eastAsia="Arial" w:hAnsi="Arial"/>
                <w:sz w:val="17"/>
                <w:szCs w:val="17"/>
                <w:color w:val="auto"/>
              </w:rPr>
              <w:t>Registration Statement”)).</w:t>
            </w:r>
          </w:p>
        </w:tc>
        <w:tc>
          <w:tcPr>
            <w:tcW w:w="40" w:type="dxa"/>
            <w:vAlign w:val="bottom"/>
          </w:tcPr>
          <w:p>
            <w:pPr>
              <w:spacing w:after="0"/>
              <w:rPr>
                <w:sz w:val="17"/>
                <w:szCs w:val="17"/>
                <w:color w:val="auto"/>
              </w:rPr>
            </w:pPr>
          </w:p>
        </w:tc>
      </w:tr>
      <w:tr>
        <w:trPr>
          <w:trHeight w:val="85"/>
        </w:trPr>
        <w:tc>
          <w:tcPr>
            <w:tcW w:w="1040" w:type="dxa"/>
            <w:vAlign w:val="bottom"/>
          </w:tcPr>
          <w:p>
            <w:pPr>
              <w:spacing w:after="0"/>
              <w:rPr>
                <w:sz w:val="7"/>
                <w:szCs w:val="7"/>
                <w:color w:val="auto"/>
              </w:rPr>
            </w:pPr>
          </w:p>
        </w:tc>
        <w:tc>
          <w:tcPr>
            <w:tcW w:w="480" w:type="dxa"/>
            <w:vAlign w:val="bottom"/>
          </w:tcPr>
          <w:p>
            <w:pPr>
              <w:spacing w:after="0"/>
              <w:rPr>
                <w:sz w:val="7"/>
                <w:szCs w:val="7"/>
                <w:color w:val="auto"/>
              </w:rPr>
            </w:pPr>
          </w:p>
        </w:tc>
        <w:tc>
          <w:tcPr>
            <w:tcW w:w="8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183"/>
        </w:trPr>
        <w:tc>
          <w:tcPr>
            <w:tcW w:w="1040" w:type="dxa"/>
            <w:vAlign w:val="bottom"/>
            <w:shd w:val="clear" w:color="auto" w:fill="CCEEFF"/>
          </w:tcPr>
          <w:p>
            <w:pPr>
              <w:jc w:val="center"/>
              <w:spacing w:after="0" w:line="183" w:lineRule="exact"/>
              <w:rPr>
                <w:sz w:val="20"/>
                <w:szCs w:val="20"/>
                <w:color w:val="auto"/>
              </w:rPr>
            </w:pPr>
            <w:r>
              <w:rPr>
                <w:rFonts w:ascii="Arial" w:cs="Arial" w:eastAsia="Arial" w:hAnsi="Arial"/>
                <w:sz w:val="17"/>
                <w:szCs w:val="17"/>
                <w:color w:val="auto"/>
                <w:w w:val="98"/>
              </w:rPr>
              <w:t>10.7†</w:t>
            </w:r>
          </w:p>
        </w:tc>
        <w:tc>
          <w:tcPr>
            <w:tcW w:w="7780" w:type="dxa"/>
            <w:vAlign w:val="bottom"/>
            <w:gridSpan w:val="18"/>
            <w:shd w:val="clear" w:color="auto" w:fill="CCEEFF"/>
          </w:tcPr>
          <w:p>
            <w:pPr>
              <w:spacing w:after="0" w:line="183" w:lineRule="exact"/>
              <w:rPr>
                <w:sz w:val="20"/>
                <w:szCs w:val="20"/>
                <w:color w:val="auto"/>
              </w:rPr>
            </w:pPr>
            <w:r>
              <w:rPr>
                <w:rFonts w:ascii="Arial" w:cs="Arial" w:eastAsia="Arial" w:hAnsi="Arial"/>
                <w:sz w:val="17"/>
                <w:szCs w:val="17"/>
                <w:color w:val="auto"/>
              </w:rPr>
              <w:t>Amendment to the Executive Supplemental Retirement Plan (incorporated herein by reference to</w:t>
            </w:r>
          </w:p>
        </w:tc>
        <w:tc>
          <w:tcPr>
            <w:tcW w:w="40" w:type="dxa"/>
            <w:vAlign w:val="bottom"/>
          </w:tcPr>
          <w:p>
            <w:pPr>
              <w:spacing w:after="0"/>
              <w:rPr>
                <w:sz w:val="15"/>
                <w:szCs w:val="15"/>
                <w:color w:val="auto"/>
              </w:rPr>
            </w:pPr>
          </w:p>
        </w:tc>
      </w:tr>
      <w:tr>
        <w:trPr>
          <w:trHeight w:val="189"/>
        </w:trPr>
        <w:tc>
          <w:tcPr>
            <w:tcW w:w="1040" w:type="dxa"/>
            <w:vAlign w:val="bottom"/>
            <w:shd w:val="clear" w:color="auto" w:fill="CCEEFF"/>
          </w:tcPr>
          <w:p>
            <w:pPr>
              <w:spacing w:after="0"/>
              <w:rPr>
                <w:sz w:val="16"/>
                <w:szCs w:val="16"/>
                <w:color w:val="auto"/>
              </w:rPr>
            </w:pPr>
          </w:p>
        </w:tc>
        <w:tc>
          <w:tcPr>
            <w:tcW w:w="7780" w:type="dxa"/>
            <w:vAlign w:val="bottom"/>
            <w:gridSpan w:val="18"/>
            <w:shd w:val="clear" w:color="auto" w:fill="CCEEFF"/>
          </w:tcPr>
          <w:p>
            <w:pPr>
              <w:spacing w:after="0" w:line="189" w:lineRule="exact"/>
              <w:rPr>
                <w:sz w:val="20"/>
                <w:szCs w:val="20"/>
                <w:color w:val="auto"/>
              </w:rPr>
            </w:pPr>
            <w:r>
              <w:rPr>
                <w:rFonts w:ascii="Arial" w:cs="Arial" w:eastAsia="Arial" w:hAnsi="Arial"/>
                <w:sz w:val="17"/>
                <w:szCs w:val="17"/>
                <w:color w:val="auto"/>
              </w:rPr>
              <w:t>Exhibit 10(c)(i) to the Annual Report on Form 10-K for the fiscal year ended January 28, 1995 filed on</w:t>
            </w:r>
          </w:p>
        </w:tc>
        <w:tc>
          <w:tcPr>
            <w:tcW w:w="40" w:type="dxa"/>
            <w:vAlign w:val="bottom"/>
          </w:tcPr>
          <w:p>
            <w:pPr>
              <w:spacing w:after="0"/>
              <w:rPr>
                <w:sz w:val="16"/>
                <w:szCs w:val="16"/>
                <w:color w:val="auto"/>
              </w:rPr>
            </w:pPr>
          </w:p>
        </w:tc>
      </w:tr>
      <w:tr>
        <w:trPr>
          <w:trHeight w:val="216"/>
        </w:trPr>
        <w:tc>
          <w:tcPr>
            <w:tcW w:w="1040" w:type="dxa"/>
            <w:vAlign w:val="bottom"/>
            <w:tcBorders>
              <w:bottom w:val="single" w:sz="8" w:color="CCEEFF"/>
            </w:tcBorders>
            <w:shd w:val="clear" w:color="auto" w:fill="CCEEFF"/>
          </w:tcPr>
          <w:p>
            <w:pPr>
              <w:spacing w:after="0"/>
              <w:rPr>
                <w:sz w:val="18"/>
                <w:szCs w:val="18"/>
                <w:color w:val="auto"/>
              </w:rPr>
            </w:pPr>
          </w:p>
        </w:tc>
        <w:tc>
          <w:tcPr>
            <w:tcW w:w="7780" w:type="dxa"/>
            <w:vAlign w:val="bottom"/>
            <w:tcBorders>
              <w:bottom w:val="single" w:sz="8" w:color="CCEEFF"/>
            </w:tcBorders>
            <w:gridSpan w:val="18"/>
            <w:shd w:val="clear" w:color="auto" w:fill="CCEEFF"/>
          </w:tcPr>
          <w:p>
            <w:pPr>
              <w:spacing w:after="0"/>
              <w:rPr>
                <w:sz w:val="20"/>
                <w:szCs w:val="20"/>
                <w:color w:val="auto"/>
              </w:rPr>
            </w:pPr>
            <w:r>
              <w:rPr>
                <w:rFonts w:ascii="Arial" w:cs="Arial" w:eastAsia="Arial" w:hAnsi="Arial"/>
                <w:sz w:val="17"/>
                <w:szCs w:val="17"/>
                <w:color w:val="auto"/>
              </w:rPr>
              <w:t>April 24, 1995).</w:t>
            </w:r>
          </w:p>
        </w:tc>
        <w:tc>
          <w:tcPr>
            <w:tcW w:w="40" w:type="dxa"/>
            <w:vAlign w:val="bottom"/>
          </w:tcPr>
          <w:p>
            <w:pPr>
              <w:spacing w:after="0"/>
              <w:rPr>
                <w:sz w:val="18"/>
                <w:szCs w:val="18"/>
                <w:color w:val="auto"/>
              </w:rPr>
            </w:pPr>
          </w:p>
        </w:tc>
      </w:tr>
      <w:tr>
        <w:trPr>
          <w:trHeight w:val="183"/>
        </w:trPr>
        <w:tc>
          <w:tcPr>
            <w:tcW w:w="1040" w:type="dxa"/>
            <w:vAlign w:val="bottom"/>
          </w:tcPr>
          <w:p>
            <w:pPr>
              <w:jc w:val="center"/>
              <w:spacing w:after="0" w:line="183" w:lineRule="exact"/>
              <w:rPr>
                <w:sz w:val="20"/>
                <w:szCs w:val="20"/>
                <w:color w:val="auto"/>
              </w:rPr>
            </w:pPr>
            <w:r>
              <w:rPr>
                <w:rFonts w:ascii="Arial" w:cs="Arial" w:eastAsia="Arial" w:hAnsi="Arial"/>
                <w:sz w:val="17"/>
                <w:szCs w:val="17"/>
                <w:color w:val="auto"/>
                <w:w w:val="98"/>
              </w:rPr>
              <w:t>10.8†</w:t>
            </w:r>
          </w:p>
        </w:tc>
        <w:tc>
          <w:tcPr>
            <w:tcW w:w="7780" w:type="dxa"/>
            <w:vAlign w:val="bottom"/>
            <w:gridSpan w:val="18"/>
          </w:tcPr>
          <w:p>
            <w:pPr>
              <w:spacing w:after="0" w:line="183" w:lineRule="exact"/>
              <w:rPr>
                <w:sz w:val="20"/>
                <w:szCs w:val="20"/>
                <w:color w:val="auto"/>
              </w:rPr>
            </w:pPr>
            <w:r>
              <w:rPr>
                <w:rFonts w:ascii="Arial" w:cs="Arial" w:eastAsia="Arial" w:hAnsi="Arial"/>
                <w:sz w:val="17"/>
                <w:szCs w:val="17"/>
                <w:color w:val="auto"/>
              </w:rPr>
              <w:t>Amendment to the Executive Supplemental Retirement Plan (incorporated herein by reference to</w:t>
            </w:r>
          </w:p>
        </w:tc>
        <w:tc>
          <w:tcPr>
            <w:tcW w:w="40" w:type="dxa"/>
            <w:vAlign w:val="bottom"/>
          </w:tcPr>
          <w:p>
            <w:pPr>
              <w:spacing w:after="0"/>
              <w:rPr>
                <w:sz w:val="15"/>
                <w:szCs w:val="15"/>
                <w:color w:val="auto"/>
              </w:rPr>
            </w:pPr>
          </w:p>
        </w:tc>
      </w:tr>
      <w:tr>
        <w:trPr>
          <w:trHeight w:val="189"/>
        </w:trPr>
        <w:tc>
          <w:tcPr>
            <w:tcW w:w="1040" w:type="dxa"/>
            <w:vAlign w:val="bottom"/>
          </w:tcPr>
          <w:p>
            <w:pPr>
              <w:spacing w:after="0"/>
              <w:rPr>
                <w:sz w:val="16"/>
                <w:szCs w:val="16"/>
                <w:color w:val="auto"/>
              </w:rPr>
            </w:pPr>
          </w:p>
        </w:tc>
        <w:tc>
          <w:tcPr>
            <w:tcW w:w="7780" w:type="dxa"/>
            <w:vAlign w:val="bottom"/>
            <w:gridSpan w:val="18"/>
          </w:tcPr>
          <w:p>
            <w:pPr>
              <w:spacing w:after="0" w:line="189" w:lineRule="exact"/>
              <w:rPr>
                <w:sz w:val="20"/>
                <w:szCs w:val="20"/>
                <w:color w:val="auto"/>
              </w:rPr>
            </w:pPr>
            <w:r>
              <w:rPr>
                <w:rFonts w:ascii="Arial" w:cs="Arial" w:eastAsia="Arial" w:hAnsi="Arial"/>
                <w:sz w:val="17"/>
                <w:szCs w:val="17"/>
                <w:color w:val="auto"/>
              </w:rPr>
              <w:t>Exhibit 10(d)(ii) to the Annual Report on Form 10-K for the fiscal year ended January 27, 1996 filed on</w:t>
            </w:r>
          </w:p>
        </w:tc>
        <w:tc>
          <w:tcPr>
            <w:tcW w:w="40" w:type="dxa"/>
            <w:vAlign w:val="bottom"/>
          </w:tcPr>
          <w:p>
            <w:pPr>
              <w:spacing w:after="0"/>
              <w:rPr>
                <w:sz w:val="16"/>
                <w:szCs w:val="16"/>
                <w:color w:val="auto"/>
              </w:rPr>
            </w:pPr>
          </w:p>
        </w:tc>
      </w:tr>
      <w:tr>
        <w:trPr>
          <w:trHeight w:val="205"/>
        </w:trPr>
        <w:tc>
          <w:tcPr>
            <w:tcW w:w="1040" w:type="dxa"/>
            <w:vAlign w:val="bottom"/>
          </w:tcPr>
          <w:p>
            <w:pPr>
              <w:spacing w:after="0"/>
              <w:rPr>
                <w:sz w:val="17"/>
                <w:szCs w:val="17"/>
                <w:color w:val="auto"/>
              </w:rPr>
            </w:pPr>
          </w:p>
        </w:tc>
        <w:tc>
          <w:tcPr>
            <w:tcW w:w="7780" w:type="dxa"/>
            <w:vAlign w:val="bottom"/>
            <w:gridSpan w:val="18"/>
          </w:tcPr>
          <w:p>
            <w:pPr>
              <w:spacing w:after="0"/>
              <w:rPr>
                <w:sz w:val="20"/>
                <w:szCs w:val="20"/>
                <w:color w:val="auto"/>
              </w:rPr>
            </w:pPr>
            <w:r>
              <w:rPr>
                <w:rFonts w:ascii="Arial" w:cs="Arial" w:eastAsia="Arial" w:hAnsi="Arial"/>
                <w:sz w:val="17"/>
                <w:szCs w:val="17"/>
                <w:color w:val="auto"/>
              </w:rPr>
              <w:t>April 26, 1996).</w:t>
            </w:r>
          </w:p>
        </w:tc>
        <w:tc>
          <w:tcPr>
            <w:tcW w:w="40" w:type="dxa"/>
            <w:vAlign w:val="bottom"/>
          </w:tcPr>
          <w:p>
            <w:pPr>
              <w:spacing w:after="0"/>
              <w:rPr>
                <w:sz w:val="17"/>
                <w:szCs w:val="17"/>
                <w:color w:val="auto"/>
              </w:rPr>
            </w:pPr>
          </w:p>
        </w:tc>
      </w:tr>
      <w:tr>
        <w:trPr>
          <w:trHeight w:val="31"/>
        </w:trPr>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62"/>
        </w:trPr>
        <w:tc>
          <w:tcPr>
            <w:tcW w:w="1040" w:type="dxa"/>
            <w:vAlign w:val="bottom"/>
            <w:tcBorders>
              <w:bottom w:val="single" w:sz="8" w:color="CCEEFF"/>
            </w:tcBorders>
            <w:shd w:val="clear" w:color="auto" w:fill="CCEEFF"/>
          </w:tcPr>
          <w:p>
            <w:pPr>
              <w:jc w:val="center"/>
              <w:spacing w:after="0" w:line="162" w:lineRule="exact"/>
              <w:rPr>
                <w:sz w:val="20"/>
                <w:szCs w:val="20"/>
                <w:color w:val="auto"/>
              </w:rPr>
            </w:pPr>
            <w:r>
              <w:rPr>
                <w:rFonts w:ascii="Arial" w:cs="Arial" w:eastAsia="Arial" w:hAnsi="Arial"/>
                <w:sz w:val="17"/>
                <w:szCs w:val="17"/>
                <w:color w:val="auto"/>
                <w:w w:val="98"/>
              </w:rPr>
              <w:t>10.9†</w:t>
            </w:r>
          </w:p>
        </w:tc>
        <w:tc>
          <w:tcPr>
            <w:tcW w:w="7780" w:type="dxa"/>
            <w:vAlign w:val="bottom"/>
            <w:tcBorders>
              <w:bottom w:val="single" w:sz="8" w:color="0000EE"/>
            </w:tcBorders>
            <w:gridSpan w:val="18"/>
            <w:shd w:val="clear" w:color="auto" w:fill="CCEEFF"/>
          </w:tcPr>
          <w:p>
            <w:pPr>
              <w:spacing w:after="0" w:line="162" w:lineRule="exact"/>
              <w:rPr>
                <w:rFonts w:ascii="Arial" w:cs="Arial" w:eastAsia="Arial" w:hAnsi="Arial"/>
                <w:sz w:val="17"/>
                <w:szCs w:val="17"/>
                <w:color w:val="0000EE"/>
              </w:rPr>
            </w:pPr>
            <w:hyperlink r:id="rId134">
              <w:r>
                <w:rPr>
                  <w:rFonts w:ascii="Arial" w:cs="Arial" w:eastAsia="Arial" w:hAnsi="Arial"/>
                  <w:sz w:val="17"/>
                  <w:szCs w:val="17"/>
                  <w:color w:val="0000EE"/>
                </w:rPr>
                <w:t>Supplemental Executive Retirement Plan, as amended and restated (incorporated herein by reference</w:t>
              </w:r>
            </w:hyperlink>
          </w:p>
        </w:tc>
        <w:tc>
          <w:tcPr>
            <w:tcW w:w="40" w:type="dxa"/>
            <w:vAlign w:val="bottom"/>
          </w:tcPr>
          <w:p>
            <w:pPr>
              <w:spacing w:after="0"/>
              <w:rPr>
                <w:sz w:val="14"/>
                <w:szCs w:val="14"/>
                <w:color w:val="auto"/>
              </w:rPr>
            </w:pPr>
          </w:p>
        </w:tc>
      </w:tr>
      <w:tr>
        <w:trPr>
          <w:trHeight w:val="169"/>
        </w:trPr>
        <w:tc>
          <w:tcPr>
            <w:tcW w:w="1040" w:type="dxa"/>
            <w:vAlign w:val="bottom"/>
            <w:shd w:val="clear" w:color="auto" w:fill="CCEEFF"/>
          </w:tcPr>
          <w:p>
            <w:pPr>
              <w:spacing w:after="0"/>
              <w:rPr>
                <w:sz w:val="14"/>
                <w:szCs w:val="14"/>
                <w:color w:val="auto"/>
              </w:rPr>
            </w:pPr>
          </w:p>
        </w:tc>
        <w:tc>
          <w:tcPr>
            <w:tcW w:w="7780" w:type="dxa"/>
            <w:vAlign w:val="bottom"/>
            <w:gridSpan w:val="18"/>
            <w:shd w:val="clear" w:color="auto" w:fill="CCEEFF"/>
          </w:tcPr>
          <w:p>
            <w:pPr>
              <w:spacing w:after="0" w:line="169" w:lineRule="exact"/>
              <w:rPr>
                <w:rFonts w:ascii="Arial" w:cs="Arial" w:eastAsia="Arial" w:hAnsi="Arial"/>
                <w:sz w:val="17"/>
                <w:szCs w:val="17"/>
                <w:color w:val="0000EE"/>
              </w:rPr>
            </w:pPr>
            <w:hyperlink r:id="rId134">
              <w:r>
                <w:rPr>
                  <w:rFonts w:ascii="Arial" w:cs="Arial" w:eastAsia="Arial" w:hAnsi="Arial"/>
                  <w:sz w:val="17"/>
                  <w:szCs w:val="17"/>
                  <w:color w:val="0000EE"/>
                </w:rPr>
                <w:t>to Exhibit 10.1 to the Current Report on Form 8-K dated August 13, 2007 filed on August 17, 2007).</w:t>
              </w:r>
            </w:hyperlink>
          </w:p>
        </w:tc>
        <w:tc>
          <w:tcPr>
            <w:tcW w:w="40" w:type="dxa"/>
            <w:vAlign w:val="bottom"/>
          </w:tcPr>
          <w:p>
            <w:pPr>
              <w:spacing w:after="0"/>
              <w:rPr>
                <w:sz w:val="14"/>
                <w:szCs w:val="14"/>
                <w:color w:val="auto"/>
              </w:rPr>
            </w:pPr>
          </w:p>
        </w:tc>
      </w:tr>
      <w:tr>
        <w:trPr>
          <w:trHeight w:val="237"/>
        </w:trPr>
        <w:tc>
          <w:tcPr>
            <w:tcW w:w="104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0000EE"/>
            </w:tcBorders>
            <w:shd w:val="clear" w:color="auto" w:fill="CCEEFF"/>
          </w:tcPr>
          <w:p>
            <w:pPr>
              <w:spacing w:after="0"/>
              <w:rPr>
                <w:sz w:val="20"/>
                <w:szCs w:val="20"/>
                <w:color w:val="auto"/>
              </w:rPr>
            </w:pPr>
          </w:p>
        </w:tc>
        <w:tc>
          <w:tcPr>
            <w:tcW w:w="880" w:type="dxa"/>
            <w:vAlign w:val="bottom"/>
            <w:tcBorders>
              <w:top w:val="single" w:sz="8" w:color="0000EE"/>
            </w:tcBorders>
            <w:shd w:val="clear" w:color="auto" w:fill="CCEEFF"/>
          </w:tcPr>
          <w:p>
            <w:pPr>
              <w:spacing w:after="0"/>
              <w:rPr>
                <w:sz w:val="20"/>
                <w:szCs w:val="20"/>
                <w:color w:val="auto"/>
              </w:rPr>
            </w:pPr>
          </w:p>
        </w:tc>
        <w:tc>
          <w:tcPr>
            <w:tcW w:w="420" w:type="dxa"/>
            <w:vAlign w:val="bottom"/>
            <w:tcBorders>
              <w:top w:val="single" w:sz="8" w:color="0000EE"/>
            </w:tcBorders>
            <w:shd w:val="clear" w:color="auto" w:fill="CCEEFF"/>
          </w:tcPr>
          <w:p>
            <w:pPr>
              <w:spacing w:after="0"/>
              <w:rPr>
                <w:sz w:val="20"/>
                <w:szCs w:val="20"/>
                <w:color w:val="auto"/>
              </w:rPr>
            </w:pPr>
          </w:p>
        </w:tc>
        <w:tc>
          <w:tcPr>
            <w:tcW w:w="1480" w:type="dxa"/>
            <w:vAlign w:val="bottom"/>
            <w:tcBorders>
              <w:top w:val="single" w:sz="8" w:color="0000EE"/>
            </w:tcBorders>
            <w:shd w:val="clear" w:color="auto" w:fill="CCEEFF"/>
          </w:tcPr>
          <w:p>
            <w:pPr>
              <w:spacing w:after="0"/>
              <w:rPr>
                <w:sz w:val="20"/>
                <w:szCs w:val="20"/>
                <w:color w:val="auto"/>
              </w:rPr>
            </w:pPr>
          </w:p>
        </w:tc>
        <w:tc>
          <w:tcPr>
            <w:tcW w:w="920" w:type="dxa"/>
            <w:vAlign w:val="bottom"/>
            <w:tcBorders>
              <w:top w:val="single" w:sz="8" w:color="0000EE"/>
            </w:tcBorders>
            <w:shd w:val="clear" w:color="auto" w:fill="CCEEFF"/>
          </w:tcPr>
          <w:p>
            <w:pPr>
              <w:spacing w:after="0"/>
              <w:rPr>
                <w:sz w:val="20"/>
                <w:szCs w:val="20"/>
                <w:color w:val="auto"/>
              </w:rPr>
            </w:pPr>
          </w:p>
        </w:tc>
        <w:tc>
          <w:tcPr>
            <w:tcW w:w="6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3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174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right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162"/>
        </w:trPr>
        <w:tc>
          <w:tcPr>
            <w:tcW w:w="1040" w:type="dxa"/>
            <w:vAlign w:val="bottom"/>
          </w:tcPr>
          <w:p>
            <w:pPr>
              <w:jc w:val="center"/>
              <w:spacing w:after="0" w:line="162" w:lineRule="exact"/>
              <w:rPr>
                <w:sz w:val="20"/>
                <w:szCs w:val="20"/>
                <w:color w:val="auto"/>
              </w:rPr>
            </w:pPr>
            <w:r>
              <w:rPr>
                <w:rFonts w:ascii="Arial" w:cs="Arial" w:eastAsia="Arial" w:hAnsi="Arial"/>
                <w:sz w:val="17"/>
                <w:szCs w:val="17"/>
                <w:color w:val="auto"/>
                <w:w w:val="99"/>
              </w:rPr>
              <w:t>10.10†</w:t>
            </w:r>
          </w:p>
        </w:tc>
        <w:tc>
          <w:tcPr>
            <w:tcW w:w="7780" w:type="dxa"/>
            <w:vAlign w:val="bottom"/>
            <w:tcBorders>
              <w:bottom w:val="single" w:sz="8" w:color="0000EE"/>
            </w:tcBorders>
            <w:gridSpan w:val="18"/>
          </w:tcPr>
          <w:p>
            <w:pPr>
              <w:spacing w:after="0" w:line="162" w:lineRule="exact"/>
              <w:rPr>
                <w:rFonts w:ascii="Arial" w:cs="Arial" w:eastAsia="Arial" w:hAnsi="Arial"/>
                <w:sz w:val="17"/>
                <w:szCs w:val="17"/>
                <w:color w:val="0000EE"/>
              </w:rPr>
            </w:pPr>
            <w:hyperlink r:id="rId135">
              <w:r>
                <w:rPr>
                  <w:rFonts w:ascii="Arial" w:cs="Arial" w:eastAsia="Arial" w:hAnsi="Arial"/>
                  <w:sz w:val="17"/>
                  <w:szCs w:val="17"/>
                  <w:color w:val="0000EE"/>
                </w:rPr>
                <w:t>Amendment to the Foot Locker Supplemental Executive Retirement Plan (incorporated herein by</w:t>
              </w:r>
            </w:hyperlink>
          </w:p>
        </w:tc>
        <w:tc>
          <w:tcPr>
            <w:tcW w:w="4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7780" w:type="dxa"/>
            <w:vAlign w:val="bottom"/>
            <w:tcBorders>
              <w:bottom w:val="single" w:sz="8" w:color="0000EE"/>
            </w:tcBorders>
            <w:gridSpan w:val="18"/>
          </w:tcPr>
          <w:p>
            <w:pPr>
              <w:spacing w:after="0" w:line="169" w:lineRule="exact"/>
              <w:rPr>
                <w:rFonts w:ascii="Arial" w:cs="Arial" w:eastAsia="Arial" w:hAnsi="Arial"/>
                <w:sz w:val="17"/>
                <w:szCs w:val="17"/>
                <w:color w:val="0000EE"/>
              </w:rPr>
            </w:pPr>
            <w:hyperlink r:id="rId135">
              <w:r>
                <w:rPr>
                  <w:rFonts w:ascii="Arial" w:cs="Arial" w:eastAsia="Arial" w:hAnsi="Arial"/>
                  <w:sz w:val="17"/>
                  <w:szCs w:val="17"/>
                  <w:color w:val="0000EE"/>
                </w:rPr>
                <w:t>reference to Exhibit 10.1 to the Current Report on Form 8-K dated May 25, 2011 filed on May 27,</w:t>
              </w:r>
            </w:hyperlink>
          </w:p>
        </w:tc>
        <w:tc>
          <w:tcPr>
            <w:tcW w:w="4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480" w:type="dxa"/>
            <w:vAlign w:val="bottom"/>
            <w:tcBorders>
              <w:bottom w:val="single" w:sz="8" w:color="0000EE"/>
            </w:tcBorders>
          </w:tcPr>
          <w:p>
            <w:pPr>
              <w:spacing w:after="0" w:line="169" w:lineRule="exact"/>
              <w:rPr>
                <w:rFonts w:ascii="Arial" w:cs="Arial" w:eastAsia="Arial" w:hAnsi="Arial"/>
                <w:sz w:val="17"/>
                <w:szCs w:val="17"/>
                <w:color w:val="0000EE"/>
                <w:w w:val="95"/>
              </w:rPr>
            </w:pPr>
            <w:hyperlink r:id="rId135">
              <w:r>
                <w:rPr>
                  <w:rFonts w:ascii="Arial" w:cs="Arial" w:eastAsia="Arial" w:hAnsi="Arial"/>
                  <w:sz w:val="17"/>
                  <w:szCs w:val="17"/>
                  <w:color w:val="0000EE"/>
                  <w:w w:val="95"/>
                </w:rPr>
                <w:t>2011).</w:t>
              </w:r>
            </w:hyperlink>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462"/>
        </w:trPr>
        <w:tc>
          <w:tcPr>
            <w:tcW w:w="1040" w:type="dxa"/>
            <w:vAlign w:val="bottom"/>
          </w:tcPr>
          <w:p>
            <w:pPr>
              <w:spacing w:after="0"/>
              <w:rPr>
                <w:sz w:val="24"/>
                <w:szCs w:val="24"/>
                <w:color w:val="auto"/>
              </w:rPr>
            </w:pPr>
          </w:p>
        </w:tc>
        <w:tc>
          <w:tcPr>
            <w:tcW w:w="4180" w:type="dxa"/>
            <w:vAlign w:val="bottom"/>
            <w:gridSpan w:val="5"/>
          </w:tcPr>
          <w:p>
            <w:pPr>
              <w:ind w:left="3280"/>
              <w:spacing w:after="0"/>
              <w:rPr>
                <w:sz w:val="20"/>
                <w:szCs w:val="20"/>
                <w:color w:val="auto"/>
              </w:rPr>
            </w:pPr>
            <w:r>
              <w:rPr>
                <w:rFonts w:ascii="Arial" w:cs="Arial" w:eastAsia="Arial" w:hAnsi="Arial"/>
                <w:sz w:val="17"/>
                <w:szCs w:val="17"/>
                <w:color w:val="auto"/>
              </w:rPr>
              <w:t>79</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2"/>
        </w:trPr>
        <w:tc>
          <w:tcPr>
            <w:tcW w:w="10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r>
        <w:trPr>
          <w:trHeight w:val="20"/>
        </w:trPr>
        <w:tc>
          <w:tcPr>
            <w:tcW w:w="104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148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7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6">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7">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81" w:name="page82"/>
    <w:bookmarkEnd w:id="81"/>
    <w:p>
      <w:pPr>
        <w:ind w:left="140"/>
        <w:spacing w:after="0"/>
        <w:tabs>
          <w:tab w:leader="none" w:pos="4540" w:val="left"/>
        </w:tabs>
        <w:rPr>
          <w:sz w:val="20"/>
          <w:szCs w:val="20"/>
          <w:color w:val="auto"/>
        </w:rPr>
      </w:pPr>
      <w:r>
        <w:rPr>
          <w:rFonts w:ascii="Arial" w:cs="Arial" w:eastAsia="Arial" w:hAnsi="Arial"/>
          <w:sz w:val="17"/>
          <w:szCs w:val="17"/>
          <w:b w:val="1"/>
          <w:bCs w:val="1"/>
          <w:u w:val="single" w:color="auto"/>
          <w:color w:val="auto"/>
        </w:rPr>
        <w:t>Exhibit No.</w:t>
      </w:r>
      <w:r>
        <w:rPr>
          <w:sz w:val="20"/>
          <w:szCs w:val="20"/>
          <w:color w:val="auto"/>
        </w:rPr>
        <w:tab/>
      </w:r>
      <w:r>
        <w:rPr>
          <w:rFonts w:ascii="Arial" w:cs="Arial" w:eastAsia="Arial" w:hAnsi="Arial"/>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12700</wp:posOffset>
            </wp:positionV>
            <wp:extent cx="5600065" cy="4203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8">
                      <a:extLst>
                        <a:ext uri="{28A0092B-C50C-407E-A947-70E740481C1C}"/>
                      </a:extLst>
                    </a:blip>
                    <a:srcRect/>
                    <a:stretch>
                      <a:fillRect/>
                    </a:stretch>
                  </pic:blipFill>
                  <pic:spPr bwMode="auto">
                    <a:xfrm>
                      <a:off x="0" y="0"/>
                      <a:ext cx="5600065" cy="420370"/>
                    </a:xfrm>
                    <a:prstGeom prst="rect">
                      <a:avLst/>
                    </a:prstGeom>
                    <a:noFill/>
                  </pic:spPr>
                </pic:pic>
              </a:graphicData>
            </a:graphic>
          </wp:anchor>
        </w:drawing>
      </w:r>
    </w:p>
    <w:p>
      <w:pPr>
        <w:spacing w:after="0" w:line="7" w:lineRule="exact"/>
        <w:rPr>
          <w:sz w:val="20"/>
          <w:szCs w:val="20"/>
          <w:color w:val="auto"/>
        </w:rPr>
      </w:pPr>
    </w:p>
    <w:p>
      <w:pPr>
        <w:jc w:val="both"/>
        <w:ind w:left="1140" w:right="99" w:hanging="807"/>
        <w:spacing w:after="0" w:line="238" w:lineRule="auto"/>
        <w:tabs>
          <w:tab w:leader="none" w:pos="1120" w:val="left"/>
        </w:tabs>
        <w:rPr>
          <w:rFonts w:ascii="Arial" w:cs="Arial" w:eastAsia="Arial" w:hAnsi="Arial"/>
          <w:sz w:val="17"/>
          <w:szCs w:val="17"/>
          <w:u w:val="single" w:color="auto"/>
          <w:color w:val="0000EE"/>
        </w:rPr>
      </w:pPr>
      <w:r>
        <w:rPr>
          <w:rFonts w:ascii="Arial" w:cs="Arial" w:eastAsia="Arial" w:hAnsi="Arial"/>
          <w:sz w:val="17"/>
          <w:szCs w:val="17"/>
          <w:color w:val="auto"/>
        </w:rPr>
        <w:t>10.11†</w:t>
      </w:r>
      <w:r>
        <w:rPr>
          <w:sz w:val="20"/>
          <w:szCs w:val="20"/>
          <w:color w:val="auto"/>
        </w:rPr>
        <w:tab/>
      </w:r>
      <w:hyperlink r:id="rId139">
        <w:r>
          <w:rPr>
            <w:rFonts w:ascii="Arial" w:cs="Arial" w:eastAsia="Arial" w:hAnsi="Arial"/>
            <w:sz w:val="17"/>
            <w:szCs w:val="17"/>
            <w:u w:val="single" w:color="auto"/>
            <w:color w:val="0000EE"/>
          </w:rPr>
          <w:t>Amendment Number Two to the Foot Locker Supplemental Executive Retirement Plan (incorporated</w:t>
        </w:r>
      </w:hyperlink>
      <w:r>
        <w:rPr>
          <w:rFonts w:ascii="Arial" w:cs="Arial" w:eastAsia="Arial" w:hAnsi="Arial"/>
          <w:sz w:val="17"/>
          <w:szCs w:val="17"/>
          <w:u w:val="single" w:color="auto"/>
          <w:color w:val="0000EE"/>
        </w:rPr>
        <w:t xml:space="preserve"> </w:t>
      </w:r>
      <w:hyperlink r:id="rId139">
        <w:r>
          <w:rPr>
            <w:rFonts w:ascii="Arial" w:cs="Arial" w:eastAsia="Arial" w:hAnsi="Arial"/>
            <w:sz w:val="17"/>
            <w:szCs w:val="17"/>
            <w:u w:val="single" w:color="auto"/>
            <w:color w:val="0000EE"/>
          </w:rPr>
          <w:t>herein by reference to Exhibit 10.3 to the Current Report on Form 8-K dated March 26, 2014 filed on</w:t>
        </w:r>
      </w:hyperlink>
      <w:r>
        <w:rPr>
          <w:rFonts w:ascii="Arial" w:cs="Arial" w:eastAsia="Arial" w:hAnsi="Arial"/>
          <w:sz w:val="17"/>
          <w:szCs w:val="17"/>
          <w:u w:val="single" w:color="auto"/>
          <w:color w:val="0000EE"/>
        </w:rPr>
        <w:t xml:space="preserve"> </w:t>
      </w:r>
      <w:hyperlink r:id="rId139">
        <w:r>
          <w:rPr>
            <w:rFonts w:ascii="Arial" w:cs="Arial" w:eastAsia="Arial" w:hAnsi="Arial"/>
            <w:sz w:val="17"/>
            <w:szCs w:val="17"/>
            <w:u w:val="single" w:color="auto"/>
            <w:color w:val="0000EE"/>
          </w:rPr>
          <w:t>April 1, 2014 (the “March 26, 2014 Form 8-K”)).</w:t>
        </w:r>
      </w:hyperlink>
    </w:p>
    <w:p>
      <w:pPr>
        <w:spacing w:after="0" w:line="67" w:lineRule="exact"/>
        <w:rPr>
          <w:rFonts w:ascii="Arial" w:cs="Arial" w:eastAsia="Arial" w:hAnsi="Arial"/>
          <w:sz w:val="17"/>
          <w:szCs w:val="17"/>
          <w:u w:val="single" w:color="auto"/>
          <w:color w:val="0000EE"/>
        </w:rPr>
      </w:pPr>
    </w:p>
    <w:p>
      <w:pPr>
        <w:jc w:val="both"/>
        <w:ind w:left="1140" w:right="99" w:hanging="807"/>
        <w:spacing w:after="0" w:line="243" w:lineRule="auto"/>
        <w:tabs>
          <w:tab w:leader="none" w:pos="1120" w:val="left"/>
        </w:tabs>
        <w:rPr>
          <w:sz w:val="20"/>
          <w:szCs w:val="20"/>
          <w:color w:val="auto"/>
        </w:rPr>
      </w:pPr>
      <w:r>
        <w:rPr>
          <w:rFonts w:ascii="Arial" w:cs="Arial" w:eastAsia="Arial" w:hAnsi="Arial"/>
          <w:sz w:val="17"/>
          <w:szCs w:val="17"/>
          <w:color w:val="auto"/>
        </w:rPr>
        <w:t>10.12†</w:t>
      </w:r>
      <w:r>
        <w:rPr>
          <w:sz w:val="20"/>
          <w:szCs w:val="20"/>
          <w:color w:val="auto"/>
        </w:rPr>
        <w:tab/>
      </w:r>
      <w:r>
        <w:rPr>
          <w:rFonts w:ascii="Arial" w:cs="Arial" w:eastAsia="Arial" w:hAnsi="Arial"/>
          <w:sz w:val="17"/>
          <w:szCs w:val="17"/>
          <w:color w:val="auto"/>
        </w:rPr>
        <w:t>Foot Locker Directors’ Retirement Plan, as amended (incorporated herein by reference to Exhibit 10(k) to the 8-B Registration Statement).</w:t>
      </w:r>
    </w:p>
    <w:p>
      <w:pPr>
        <w:spacing w:after="0" w:line="50" w:lineRule="exact"/>
        <w:rPr>
          <w:rFonts w:ascii="Arial" w:cs="Arial" w:eastAsia="Arial" w:hAnsi="Arial"/>
          <w:sz w:val="17"/>
          <w:szCs w:val="17"/>
          <w:u w:val="single" w:color="auto"/>
          <w:color w:val="0000EE"/>
        </w:rPr>
      </w:pPr>
    </w:p>
    <w:p>
      <w:pPr>
        <w:jc w:val="both"/>
        <w:ind w:left="1140" w:right="99" w:hanging="807"/>
        <w:spacing w:after="0" w:line="238" w:lineRule="auto"/>
        <w:tabs>
          <w:tab w:leader="none" w:pos="1120" w:val="left"/>
        </w:tabs>
        <w:rPr>
          <w:sz w:val="20"/>
          <w:szCs w:val="20"/>
          <w:color w:val="auto"/>
        </w:rPr>
      </w:pPr>
      <w:r>
        <w:rPr>
          <w:rFonts w:ascii="Arial" w:cs="Arial" w:eastAsia="Arial" w:hAnsi="Arial"/>
          <w:sz w:val="17"/>
          <w:szCs w:val="17"/>
          <w:color w:val="auto"/>
        </w:rPr>
        <w:t>10.13†</w:t>
      </w:r>
      <w:r>
        <w:rPr>
          <w:sz w:val="20"/>
          <w:szCs w:val="20"/>
          <w:color w:val="auto"/>
        </w:rPr>
        <w:tab/>
      </w:r>
      <w:r>
        <w:rPr>
          <w:rFonts w:ascii="Arial" w:cs="Arial" w:eastAsia="Arial" w:hAnsi="Arial"/>
          <w:sz w:val="17"/>
          <w:szCs w:val="17"/>
          <w:color w:val="auto"/>
        </w:rPr>
        <w:t>Amendments to the Foot Locker Directors’ Retirement Plan (incorporated herein by reference to Exhibit 10(c) to the Quarterly Report on Form 10-Q for the quarterly period ended October 28, 1995 filed on December 11, 1995).</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66675</wp:posOffset>
            </wp:positionH>
            <wp:positionV relativeFrom="paragraph">
              <wp:posOffset>-364490</wp:posOffset>
            </wp:positionV>
            <wp:extent cx="5600065" cy="4203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0">
                      <a:extLst>
                        <a:ext uri="{28A0092B-C50C-407E-A947-70E740481C1C}"/>
                      </a:extLst>
                    </a:blip>
                    <a:srcRect/>
                    <a:stretch>
                      <a:fillRect/>
                    </a:stretch>
                  </pic:blipFill>
                  <pic:spPr bwMode="auto">
                    <a:xfrm>
                      <a:off x="0" y="0"/>
                      <a:ext cx="5600065" cy="420370"/>
                    </a:xfrm>
                    <a:prstGeom prst="rect">
                      <a:avLst/>
                    </a:prstGeom>
                    <a:noFill/>
                  </pic:spPr>
                </pic:pic>
              </a:graphicData>
            </a:graphic>
          </wp:anchor>
        </w:drawing>
      </w:r>
    </w:p>
    <w:p>
      <w:pPr>
        <w:spacing w:after="0" w:line="60" w:lineRule="exact"/>
        <w:rPr>
          <w:rFonts w:ascii="Arial" w:cs="Arial" w:eastAsia="Arial" w:hAnsi="Arial"/>
          <w:sz w:val="17"/>
          <w:szCs w:val="17"/>
          <w:u w:val="single" w:color="auto"/>
          <w:color w:val="0000EE"/>
        </w:rPr>
      </w:pPr>
    </w:p>
    <w:p>
      <w:pPr>
        <w:jc w:val="both"/>
        <w:ind w:left="1140" w:right="99" w:hanging="807"/>
        <w:spacing w:after="0" w:line="238" w:lineRule="auto"/>
        <w:tabs>
          <w:tab w:leader="none" w:pos="1120" w:val="left"/>
        </w:tabs>
        <w:rPr>
          <w:rFonts w:ascii="Arial" w:cs="Arial" w:eastAsia="Arial" w:hAnsi="Arial"/>
          <w:sz w:val="17"/>
          <w:szCs w:val="17"/>
          <w:u w:val="single" w:color="auto"/>
          <w:color w:val="0000EE"/>
        </w:rPr>
      </w:pPr>
      <w:r>
        <w:rPr>
          <w:rFonts w:ascii="Arial" w:cs="Arial" w:eastAsia="Arial" w:hAnsi="Arial"/>
          <w:sz w:val="17"/>
          <w:szCs w:val="17"/>
          <w:color w:val="auto"/>
        </w:rPr>
        <w:t>10.14†</w:t>
      </w:r>
      <w:r>
        <w:rPr>
          <w:sz w:val="20"/>
          <w:szCs w:val="20"/>
          <w:color w:val="auto"/>
        </w:rPr>
        <w:tab/>
      </w:r>
      <w:hyperlink r:id="rId141">
        <w:r>
          <w:rPr>
            <w:rFonts w:ascii="Arial" w:cs="Arial" w:eastAsia="Arial" w:hAnsi="Arial"/>
            <w:sz w:val="17"/>
            <w:szCs w:val="17"/>
            <w:u w:val="single" w:color="auto"/>
            <w:color w:val="0000EE"/>
          </w:rPr>
          <w:t>Foot Locker, Inc. Excess Cash Balance Plan (incorporated herein by reference to Exhibit 10.22 to the</w:t>
        </w:r>
      </w:hyperlink>
      <w:r>
        <w:rPr>
          <w:rFonts w:ascii="Arial" w:cs="Arial" w:eastAsia="Arial" w:hAnsi="Arial"/>
          <w:sz w:val="17"/>
          <w:szCs w:val="17"/>
          <w:u w:val="single" w:color="auto"/>
          <w:color w:val="0000EE"/>
        </w:rPr>
        <w:t xml:space="preserve"> </w:t>
      </w:r>
      <w:hyperlink r:id="rId141">
        <w:r>
          <w:rPr>
            <w:rFonts w:ascii="Arial" w:cs="Arial" w:eastAsia="Arial" w:hAnsi="Arial"/>
            <w:sz w:val="17"/>
            <w:szCs w:val="17"/>
            <w:u w:val="single" w:color="auto"/>
            <w:color w:val="0000EE"/>
          </w:rPr>
          <w:t>Annual Report on Form 10-K for the fiscal year ended January 31, 2009 filed on March 30, 2009 (the</w:t>
        </w:r>
      </w:hyperlink>
      <w:r>
        <w:rPr>
          <w:rFonts w:ascii="Arial" w:cs="Arial" w:eastAsia="Arial" w:hAnsi="Arial"/>
          <w:sz w:val="17"/>
          <w:szCs w:val="17"/>
          <w:u w:val="single" w:color="auto"/>
          <w:color w:val="0000EE"/>
        </w:rPr>
        <w:t xml:space="preserve"> </w:t>
      </w:r>
      <w:hyperlink r:id="rId141">
        <w:r>
          <w:rPr>
            <w:rFonts w:ascii="Arial" w:cs="Arial" w:eastAsia="Arial" w:hAnsi="Arial"/>
            <w:sz w:val="17"/>
            <w:szCs w:val="17"/>
            <w:u w:val="single" w:color="auto"/>
            <w:color w:val="0000EE"/>
          </w:rPr>
          <w:t>“2008 Form 10-K”)).</w:t>
        </w:r>
      </w:hyperlink>
    </w:p>
    <w:p>
      <w:pPr>
        <w:spacing w:after="0" w:line="53" w:lineRule="exact"/>
        <w:rPr>
          <w:rFonts w:ascii="Arial" w:cs="Arial" w:eastAsia="Arial" w:hAnsi="Arial"/>
          <w:sz w:val="17"/>
          <w:szCs w:val="17"/>
          <w:u w:val="single" w:color="auto"/>
          <w:color w:val="0000EE"/>
        </w:rPr>
      </w:pPr>
    </w:p>
    <w:p>
      <w:pPr>
        <w:jc w:val="both"/>
        <w:ind w:left="1140" w:right="99" w:hanging="807"/>
        <w:spacing w:after="0" w:line="243" w:lineRule="auto"/>
        <w:tabs>
          <w:tab w:leader="none" w:pos="1120" w:val="left"/>
        </w:tabs>
        <w:rPr>
          <w:rFonts w:ascii="Arial" w:cs="Arial" w:eastAsia="Arial" w:hAnsi="Arial"/>
          <w:sz w:val="17"/>
          <w:szCs w:val="17"/>
          <w:u w:val="single" w:color="auto"/>
          <w:color w:val="0000EE"/>
        </w:rPr>
      </w:pPr>
      <w:r>
        <w:rPr>
          <w:rFonts w:ascii="Arial" w:cs="Arial" w:eastAsia="Arial" w:hAnsi="Arial"/>
          <w:sz w:val="17"/>
          <w:szCs w:val="17"/>
          <w:color w:val="auto"/>
        </w:rPr>
        <w:t>10.15†</w:t>
      </w:r>
      <w:r>
        <w:rPr>
          <w:sz w:val="20"/>
          <w:szCs w:val="20"/>
          <w:color w:val="auto"/>
        </w:rPr>
        <w:tab/>
      </w:r>
      <w:hyperlink r:id="rId142">
        <w:r>
          <w:rPr>
            <w:rFonts w:ascii="Arial" w:cs="Arial" w:eastAsia="Arial" w:hAnsi="Arial"/>
            <w:sz w:val="17"/>
            <w:szCs w:val="17"/>
            <w:u w:val="single" w:color="auto"/>
            <w:color w:val="0000EE"/>
          </w:rPr>
          <w:t>Automobile Expense Reimbursement Program for Senior Executives (incorporated herein by reference</w:t>
        </w:r>
      </w:hyperlink>
      <w:r>
        <w:rPr>
          <w:rFonts w:ascii="Arial" w:cs="Arial" w:eastAsia="Arial" w:hAnsi="Arial"/>
          <w:sz w:val="17"/>
          <w:szCs w:val="17"/>
          <w:u w:val="single" w:color="auto"/>
          <w:color w:val="0000EE"/>
        </w:rPr>
        <w:t xml:space="preserve"> </w:t>
      </w:r>
      <w:hyperlink r:id="rId142">
        <w:r>
          <w:rPr>
            <w:rFonts w:ascii="Arial" w:cs="Arial" w:eastAsia="Arial" w:hAnsi="Arial"/>
            <w:sz w:val="17"/>
            <w:szCs w:val="17"/>
            <w:u w:val="single" w:color="auto"/>
            <w:color w:val="0000EE"/>
          </w:rPr>
          <w:t>to Exhibit 10.26 to the 2008 Form 10-K).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-247015</wp:posOffset>
            </wp:positionV>
            <wp:extent cx="5600065" cy="2914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3">
                      <a:extLst>
                        <a:ext uri="{28A0092B-C50C-407E-A947-70E740481C1C}"/>
                      </a:extLst>
                    </a:blip>
                    <a:srcRect/>
                    <a:stretch>
                      <a:fillRect/>
                    </a:stretch>
                  </pic:blipFill>
                  <pic:spPr bwMode="auto">
                    <a:xfrm>
                      <a:off x="0" y="0"/>
                      <a:ext cx="5600065" cy="291465"/>
                    </a:xfrm>
                    <a:prstGeom prst="rect">
                      <a:avLst/>
                    </a:prstGeom>
                    <a:noFill/>
                  </pic:spPr>
                </pic:pic>
              </a:graphicData>
            </a:graphic>
          </wp:anchor>
        </w:drawing>
      </w:r>
    </w:p>
    <w:p>
      <w:pPr>
        <w:spacing w:after="0" w:line="43" w:lineRule="exact"/>
        <w:rPr>
          <w:sz w:val="20"/>
          <w:szCs w:val="20"/>
          <w:color w:val="auto"/>
        </w:rPr>
      </w:pPr>
    </w:p>
    <w:p>
      <w:pPr>
        <w:jc w:val="both"/>
        <w:ind w:left="1140" w:right="99" w:hanging="807"/>
        <w:spacing w:after="0" w:line="243" w:lineRule="auto"/>
        <w:tabs>
          <w:tab w:leader="none" w:pos="1120" w:val="left"/>
        </w:tabs>
        <w:rPr>
          <w:rFonts w:ascii="Arial" w:cs="Arial" w:eastAsia="Arial" w:hAnsi="Arial"/>
          <w:sz w:val="17"/>
          <w:szCs w:val="17"/>
          <w:u w:val="single" w:color="auto"/>
          <w:color w:val="0000EE"/>
        </w:rPr>
      </w:pPr>
      <w:r>
        <w:rPr>
          <w:rFonts w:ascii="Arial" w:cs="Arial" w:eastAsia="Arial" w:hAnsi="Arial"/>
          <w:sz w:val="17"/>
          <w:szCs w:val="17"/>
          <w:color w:val="auto"/>
        </w:rPr>
        <w:t>10.16†</w:t>
      </w:r>
      <w:r>
        <w:rPr>
          <w:sz w:val="20"/>
          <w:szCs w:val="20"/>
          <w:color w:val="auto"/>
        </w:rPr>
        <w:tab/>
      </w:r>
      <w:hyperlink r:id="rId144">
        <w:r>
          <w:rPr>
            <w:rFonts w:ascii="Arial" w:cs="Arial" w:eastAsia="Arial" w:hAnsi="Arial"/>
            <w:sz w:val="17"/>
            <w:szCs w:val="17"/>
            <w:u w:val="single" w:color="auto"/>
            <w:color w:val="0000EE"/>
          </w:rPr>
          <w:t>Executive Medical Expense Allowance Program for Senior Executives (incorporated herein by</w:t>
        </w:r>
      </w:hyperlink>
      <w:r>
        <w:rPr>
          <w:rFonts w:ascii="Arial" w:cs="Arial" w:eastAsia="Arial" w:hAnsi="Arial"/>
          <w:sz w:val="17"/>
          <w:szCs w:val="17"/>
          <w:u w:val="single" w:color="auto"/>
          <w:color w:val="0000EE"/>
        </w:rPr>
        <w:t xml:space="preserve"> </w:t>
      </w:r>
      <w:hyperlink r:id="rId144">
        <w:r>
          <w:rPr>
            <w:rFonts w:ascii="Arial" w:cs="Arial" w:eastAsia="Arial" w:hAnsi="Arial"/>
            <w:sz w:val="17"/>
            <w:szCs w:val="17"/>
            <w:u w:val="single" w:color="auto"/>
            <w:color w:val="0000EE"/>
          </w:rPr>
          <w:t>reference to Exhibit 10.27 to the 2008 Form 10-K).</w:t>
        </w:r>
      </w:hyperlink>
    </w:p>
    <w:p>
      <w:pPr>
        <w:spacing w:after="0" w:line="63" w:lineRule="exact"/>
        <w:rPr>
          <w:sz w:val="20"/>
          <w:szCs w:val="20"/>
          <w:color w:val="auto"/>
        </w:rPr>
      </w:pPr>
    </w:p>
    <w:p>
      <w:pPr>
        <w:jc w:val="both"/>
        <w:ind w:left="1140" w:right="99" w:hanging="807"/>
        <w:spacing w:after="0" w:line="243" w:lineRule="auto"/>
        <w:tabs>
          <w:tab w:leader="none" w:pos="1120" w:val="left"/>
        </w:tabs>
        <w:rPr>
          <w:rFonts w:ascii="Arial" w:cs="Arial" w:eastAsia="Arial" w:hAnsi="Arial"/>
          <w:sz w:val="17"/>
          <w:szCs w:val="17"/>
          <w:u w:val="single" w:color="auto"/>
          <w:color w:val="0000EE"/>
        </w:rPr>
      </w:pPr>
      <w:r>
        <w:rPr>
          <w:rFonts w:ascii="Arial" w:cs="Arial" w:eastAsia="Arial" w:hAnsi="Arial"/>
          <w:sz w:val="17"/>
          <w:szCs w:val="17"/>
          <w:color w:val="auto"/>
        </w:rPr>
        <w:t>10.17†</w:t>
      </w:r>
      <w:r>
        <w:rPr>
          <w:sz w:val="20"/>
          <w:szCs w:val="20"/>
          <w:color w:val="auto"/>
        </w:rPr>
        <w:tab/>
      </w:r>
      <w:hyperlink r:id="rId145">
        <w:r>
          <w:rPr>
            <w:rFonts w:ascii="Arial" w:cs="Arial" w:eastAsia="Arial" w:hAnsi="Arial"/>
            <w:sz w:val="17"/>
            <w:szCs w:val="17"/>
            <w:u w:val="single" w:color="auto"/>
            <w:color w:val="0000EE"/>
          </w:rPr>
          <w:t>Financial Planning Allowance Program for Senior Executives (incorporated herein by reference to</w:t>
        </w:r>
      </w:hyperlink>
      <w:r>
        <w:rPr>
          <w:rFonts w:ascii="Arial" w:cs="Arial" w:eastAsia="Arial" w:hAnsi="Arial"/>
          <w:sz w:val="17"/>
          <w:szCs w:val="17"/>
          <w:u w:val="single" w:color="auto"/>
          <w:color w:val="0000EE"/>
        </w:rPr>
        <w:t xml:space="preserve"> </w:t>
      </w:r>
      <w:hyperlink r:id="rId145">
        <w:r>
          <w:rPr>
            <w:rFonts w:ascii="Arial" w:cs="Arial" w:eastAsia="Arial" w:hAnsi="Arial"/>
            <w:sz w:val="17"/>
            <w:szCs w:val="17"/>
            <w:u w:val="single" w:color="auto"/>
            <w:color w:val="0000EE"/>
          </w:rPr>
          <w:t>Exhibit 10.28 to the 2008 Form 10-K).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-247015</wp:posOffset>
            </wp:positionV>
            <wp:extent cx="5600065" cy="2660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6">
                      <a:extLst>
                        <a:ext uri="{28A0092B-C50C-407E-A947-70E740481C1C}"/>
                      </a:extLst>
                    </a:blip>
                    <a:srcRect/>
                    <a:stretch>
                      <a:fillRect/>
                    </a:stretch>
                  </pic:blipFill>
                  <pic:spPr bwMode="auto">
                    <a:xfrm>
                      <a:off x="0" y="0"/>
                      <a:ext cx="5600065" cy="266065"/>
                    </a:xfrm>
                    <a:prstGeom prst="rect">
                      <a:avLst/>
                    </a:prstGeom>
                    <a:noFill/>
                  </pic:spPr>
                </pic:pic>
              </a:graphicData>
            </a:graphic>
          </wp:anchor>
        </w:drawing>
      </w:r>
    </w:p>
    <w:p>
      <w:pPr>
        <w:spacing w:after="0" w:line="3" w:lineRule="exact"/>
        <w:rPr>
          <w:sz w:val="20"/>
          <w:szCs w:val="20"/>
          <w:color w:val="auto"/>
        </w:rPr>
      </w:pPr>
    </w:p>
    <w:p>
      <w:pPr>
        <w:jc w:val="both"/>
        <w:ind w:left="1140" w:right="99" w:hanging="807"/>
        <w:spacing w:after="0" w:line="243" w:lineRule="auto"/>
        <w:tabs>
          <w:tab w:leader="none" w:pos="1120" w:val="left"/>
        </w:tabs>
        <w:rPr>
          <w:rFonts w:ascii="Arial" w:cs="Arial" w:eastAsia="Arial" w:hAnsi="Arial"/>
          <w:sz w:val="17"/>
          <w:szCs w:val="17"/>
          <w:u w:val="single" w:color="auto"/>
          <w:color w:val="0000EE"/>
        </w:rPr>
      </w:pPr>
      <w:r>
        <w:rPr>
          <w:rFonts w:ascii="Arial" w:cs="Arial" w:eastAsia="Arial" w:hAnsi="Arial"/>
          <w:sz w:val="17"/>
          <w:szCs w:val="17"/>
          <w:color w:val="auto"/>
        </w:rPr>
        <w:t>10.18†</w:t>
      </w:r>
      <w:r>
        <w:rPr>
          <w:sz w:val="20"/>
          <w:szCs w:val="20"/>
          <w:color w:val="auto"/>
        </w:rPr>
        <w:tab/>
      </w:r>
      <w:hyperlink r:id="rId147">
        <w:r>
          <w:rPr>
            <w:rFonts w:ascii="Arial" w:cs="Arial" w:eastAsia="Arial" w:hAnsi="Arial"/>
            <w:sz w:val="17"/>
            <w:szCs w:val="17"/>
            <w:u w:val="single" w:color="auto"/>
            <w:color w:val="0000EE"/>
          </w:rPr>
          <w:t>Long-Term Disability Program for Senior Executives (incorporated herein by reference to Exhibit 10.32</w:t>
        </w:r>
      </w:hyperlink>
      <w:r>
        <w:rPr>
          <w:rFonts w:ascii="Arial" w:cs="Arial" w:eastAsia="Arial" w:hAnsi="Arial"/>
          <w:sz w:val="17"/>
          <w:szCs w:val="17"/>
          <w:u w:val="single" w:color="auto"/>
          <w:color w:val="0000EE"/>
        </w:rPr>
        <w:t xml:space="preserve"> </w:t>
      </w:r>
      <w:hyperlink r:id="rId147">
        <w:r>
          <w:rPr>
            <w:rFonts w:ascii="Arial" w:cs="Arial" w:eastAsia="Arial" w:hAnsi="Arial"/>
            <w:sz w:val="17"/>
            <w:szCs w:val="17"/>
            <w:u w:val="single" w:color="auto"/>
            <w:color w:val="0000EE"/>
          </w:rPr>
          <w:t>to the 2008 Form 10-K).</w:t>
        </w:r>
      </w:hyperlink>
    </w:p>
    <w:p>
      <w:pPr>
        <w:spacing w:after="0" w:line="23" w:lineRule="exact"/>
        <w:rPr>
          <w:sz w:val="20"/>
          <w:szCs w:val="20"/>
          <w:color w:val="auto"/>
        </w:rPr>
      </w:pPr>
    </w:p>
    <w:p>
      <w:pPr>
        <w:jc w:val="both"/>
        <w:ind w:left="1140" w:right="99" w:hanging="807"/>
        <w:spacing w:after="0" w:line="238" w:lineRule="auto"/>
        <w:tabs>
          <w:tab w:leader="none" w:pos="1120" w:val="left"/>
        </w:tabs>
        <w:rPr>
          <w:rFonts w:ascii="Arial" w:cs="Arial" w:eastAsia="Arial" w:hAnsi="Arial"/>
          <w:sz w:val="17"/>
          <w:szCs w:val="17"/>
          <w:u w:val="single" w:color="auto"/>
          <w:color w:val="0000EE"/>
        </w:rPr>
      </w:pPr>
      <w:r>
        <w:rPr>
          <w:rFonts w:ascii="Arial" w:cs="Arial" w:eastAsia="Arial" w:hAnsi="Arial"/>
          <w:sz w:val="17"/>
          <w:szCs w:val="17"/>
          <w:color w:val="auto"/>
        </w:rPr>
        <w:t>10.19†</w:t>
      </w:r>
      <w:r>
        <w:rPr>
          <w:sz w:val="20"/>
          <w:szCs w:val="20"/>
          <w:color w:val="auto"/>
        </w:rPr>
        <w:tab/>
      </w:r>
      <w:hyperlink r:id="rId148">
        <w:r>
          <w:rPr>
            <w:rFonts w:ascii="Arial" w:cs="Arial" w:eastAsia="Arial" w:hAnsi="Arial"/>
            <w:sz w:val="17"/>
            <w:szCs w:val="17"/>
            <w:u w:val="single" w:color="auto"/>
            <w:color w:val="0000EE"/>
          </w:rPr>
          <w:t>Form of Nonstatutory Stock Option Award Agreement for Executive Officers (incorporated herein by</w:t>
        </w:r>
      </w:hyperlink>
      <w:r>
        <w:rPr>
          <w:rFonts w:ascii="Arial" w:cs="Arial" w:eastAsia="Arial" w:hAnsi="Arial"/>
          <w:sz w:val="17"/>
          <w:szCs w:val="17"/>
          <w:u w:val="single" w:color="auto"/>
          <w:color w:val="0000EE"/>
        </w:rPr>
        <w:t xml:space="preserve"> </w:t>
      </w:r>
      <w:hyperlink r:id="rId148">
        <w:r>
          <w:rPr>
            <w:rFonts w:ascii="Arial" w:cs="Arial" w:eastAsia="Arial" w:hAnsi="Arial"/>
            <w:sz w:val="17"/>
            <w:szCs w:val="17"/>
            <w:u w:val="single" w:color="auto"/>
            <w:color w:val="0000EE"/>
          </w:rPr>
          <w:t>reference to Exhibit 10.40 to the Annual Report on Form 10-K for the fiscal year ended January 28,</w:t>
        </w:r>
      </w:hyperlink>
      <w:r>
        <w:rPr>
          <w:rFonts w:ascii="Arial" w:cs="Arial" w:eastAsia="Arial" w:hAnsi="Arial"/>
          <w:sz w:val="17"/>
          <w:szCs w:val="17"/>
          <w:u w:val="single" w:color="auto"/>
          <w:color w:val="0000EE"/>
        </w:rPr>
        <w:t xml:space="preserve"> </w:t>
      </w:r>
      <w:hyperlink r:id="rId148">
        <w:r>
          <w:rPr>
            <w:rFonts w:ascii="Arial" w:cs="Arial" w:eastAsia="Arial" w:hAnsi="Arial"/>
            <w:sz w:val="17"/>
            <w:szCs w:val="17"/>
            <w:u w:val="single" w:color="auto"/>
            <w:color w:val="0000EE"/>
          </w:rPr>
          <w:t>2006 filed on March 27, 2006).</w:t>
        </w:r>
      </w:hyperlink>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66675</wp:posOffset>
            </wp:positionH>
            <wp:positionV relativeFrom="paragraph">
              <wp:posOffset>-364490</wp:posOffset>
            </wp:positionV>
            <wp:extent cx="5600065" cy="3943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9">
                      <a:extLst>
                        <a:ext uri="{28A0092B-C50C-407E-A947-70E740481C1C}"/>
                      </a:extLst>
                    </a:blip>
                    <a:srcRect/>
                    <a:stretch>
                      <a:fillRect/>
                    </a:stretch>
                  </pic:blipFill>
                  <pic:spPr bwMode="auto">
                    <a:xfrm>
                      <a:off x="0" y="0"/>
                      <a:ext cx="5600065" cy="394335"/>
                    </a:xfrm>
                    <a:prstGeom prst="rect">
                      <a:avLst/>
                    </a:prstGeom>
                    <a:noFill/>
                  </pic:spPr>
                </pic:pic>
              </a:graphicData>
            </a:graphic>
          </wp:anchor>
        </w:drawing>
      </w:r>
    </w:p>
    <w:p>
      <w:pPr>
        <w:spacing w:after="0" w:line="20" w:lineRule="exact"/>
        <w:rPr>
          <w:rFonts w:ascii="Arial" w:cs="Arial" w:eastAsia="Arial" w:hAnsi="Arial"/>
          <w:sz w:val="17"/>
          <w:szCs w:val="17"/>
          <w:u w:val="single" w:color="auto"/>
          <w:color w:val="0000EE"/>
        </w:rPr>
      </w:pPr>
    </w:p>
    <w:p>
      <w:pPr>
        <w:jc w:val="both"/>
        <w:ind w:left="1140" w:right="99" w:hanging="807"/>
        <w:spacing w:after="0" w:line="243" w:lineRule="auto"/>
        <w:tabs>
          <w:tab w:leader="none" w:pos="1120" w:val="left"/>
        </w:tabs>
        <w:rPr>
          <w:rFonts w:ascii="Arial" w:cs="Arial" w:eastAsia="Arial" w:hAnsi="Arial"/>
          <w:sz w:val="17"/>
          <w:szCs w:val="17"/>
          <w:u w:val="single" w:color="auto"/>
          <w:color w:val="0000EE"/>
        </w:rPr>
      </w:pPr>
      <w:r>
        <w:rPr>
          <w:rFonts w:ascii="Arial" w:cs="Arial" w:eastAsia="Arial" w:hAnsi="Arial"/>
          <w:sz w:val="17"/>
          <w:szCs w:val="17"/>
          <w:color w:val="auto"/>
        </w:rPr>
        <w:t>10.20†</w:t>
      </w:r>
      <w:r>
        <w:rPr>
          <w:sz w:val="20"/>
          <w:szCs w:val="20"/>
          <w:color w:val="auto"/>
        </w:rPr>
        <w:tab/>
      </w:r>
      <w:hyperlink r:id="rId150">
        <w:r>
          <w:rPr>
            <w:rFonts w:ascii="Arial" w:cs="Arial" w:eastAsia="Arial" w:hAnsi="Arial"/>
            <w:sz w:val="17"/>
            <w:szCs w:val="17"/>
            <w:u w:val="single" w:color="auto"/>
            <w:color w:val="0000EE"/>
          </w:rPr>
          <w:t>Form of Nonstatutory Stock Option Award Agreement for Executive Officers (incorporated herein by</w:t>
        </w:r>
      </w:hyperlink>
      <w:r>
        <w:rPr>
          <w:rFonts w:ascii="Arial" w:cs="Arial" w:eastAsia="Arial" w:hAnsi="Arial"/>
          <w:sz w:val="17"/>
          <w:szCs w:val="17"/>
          <w:u w:val="single" w:color="auto"/>
          <w:color w:val="0000EE"/>
        </w:rPr>
        <w:t xml:space="preserve"> </w:t>
      </w:r>
      <w:hyperlink r:id="rId150">
        <w:r>
          <w:rPr>
            <w:rFonts w:ascii="Arial" w:cs="Arial" w:eastAsia="Arial" w:hAnsi="Arial"/>
            <w:sz w:val="17"/>
            <w:szCs w:val="17"/>
            <w:u w:val="single" w:color="auto"/>
            <w:color w:val="0000EE"/>
          </w:rPr>
          <w:t>reference to Exhibit 10.1 to the March 26, 2014 Form 8-K).</w:t>
        </w:r>
      </w:hyperlink>
    </w:p>
    <w:p>
      <w:pPr>
        <w:spacing w:after="0" w:line="16" w:lineRule="exact"/>
        <w:rPr>
          <w:sz w:val="20"/>
          <w:szCs w:val="20"/>
          <w:color w:val="auto"/>
        </w:rPr>
      </w:pPr>
    </w:p>
    <w:p>
      <w:pPr>
        <w:ind w:left="320"/>
        <w:spacing w:after="0"/>
        <w:tabs>
          <w:tab w:leader="none" w:pos="1120" w:val="left"/>
        </w:tabs>
        <w:rPr>
          <w:rFonts w:ascii="Arial" w:cs="Arial" w:eastAsia="Arial" w:hAnsi="Arial"/>
          <w:sz w:val="17"/>
          <w:szCs w:val="17"/>
          <w:u w:val="single" w:color="auto"/>
          <w:color w:val="0000EE"/>
        </w:rPr>
      </w:pPr>
      <w:r>
        <w:rPr>
          <w:rFonts w:ascii="Arial" w:cs="Arial" w:eastAsia="Arial" w:hAnsi="Arial"/>
          <w:sz w:val="17"/>
          <w:szCs w:val="17"/>
          <w:color w:val="auto"/>
        </w:rPr>
        <w:t>10.21†</w:t>
      </w:r>
      <w:r>
        <w:rPr>
          <w:sz w:val="20"/>
          <w:szCs w:val="20"/>
          <w:color w:val="auto"/>
        </w:rPr>
        <w:tab/>
      </w:r>
      <w:hyperlink r:id="rId151">
        <w:r>
          <w:rPr>
            <w:rFonts w:ascii="Arial" w:cs="Arial" w:eastAsia="Arial" w:hAnsi="Arial"/>
            <w:sz w:val="17"/>
            <w:szCs w:val="17"/>
            <w:u w:val="single" w:color="auto"/>
            <w:color w:val="0000EE"/>
          </w:rPr>
          <w:t>From of Restricted Stock Agreement (incorporated herein by reference to Exhibit 10.2 to the March 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-115570</wp:posOffset>
            </wp:positionV>
            <wp:extent cx="5600065" cy="2914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2">
                      <a:extLst>
                        <a:ext uri="{28A0092B-C50C-407E-A947-70E740481C1C}"/>
                      </a:extLst>
                    </a:blip>
                    <a:srcRect/>
                    <a:stretch>
                      <a:fillRect/>
                    </a:stretch>
                  </pic:blipFill>
                  <pic:spPr bwMode="auto">
                    <a:xfrm>
                      <a:off x="0" y="0"/>
                      <a:ext cx="5600065" cy="291465"/>
                    </a:xfrm>
                    <a:prstGeom prst="rect">
                      <a:avLst/>
                    </a:prstGeom>
                    <a:noFill/>
                  </pic:spPr>
                </pic:pic>
              </a:graphicData>
            </a:graphic>
          </wp:anchor>
        </w:drawing>
      </w:r>
    </w:p>
    <w:p>
      <w:pPr>
        <w:ind w:left="1140"/>
        <w:spacing w:after="0"/>
        <w:rPr>
          <w:rFonts w:ascii="Arial" w:cs="Arial" w:eastAsia="Arial" w:hAnsi="Arial"/>
          <w:sz w:val="17"/>
          <w:szCs w:val="17"/>
          <w:u w:val="single" w:color="auto"/>
          <w:color w:val="0000EE"/>
        </w:rPr>
      </w:pPr>
      <w:hyperlink r:id="rId151">
        <w:r>
          <w:rPr>
            <w:rFonts w:ascii="Arial" w:cs="Arial" w:eastAsia="Arial" w:hAnsi="Arial"/>
            <w:sz w:val="17"/>
            <w:szCs w:val="17"/>
            <w:u w:val="single" w:color="auto"/>
            <w:color w:val="0000EE"/>
          </w:rPr>
          <w:t>2014 Form 8-K).</w:t>
        </w:r>
      </w:hyperlink>
    </w:p>
    <w:p>
      <w:pPr>
        <w:spacing w:after="0" w:line="75" w:lineRule="exact"/>
        <w:rPr>
          <w:sz w:val="20"/>
          <w:szCs w:val="20"/>
          <w:color w:val="auto"/>
        </w:rPr>
      </w:pPr>
    </w:p>
    <w:p>
      <w:pPr>
        <w:ind w:left="1140" w:right="339" w:hanging="807"/>
        <w:spacing w:after="0" w:line="243" w:lineRule="auto"/>
        <w:tabs>
          <w:tab w:leader="none" w:pos="1120" w:val="left"/>
        </w:tabs>
        <w:rPr>
          <w:rFonts w:ascii="Arial" w:cs="Arial" w:eastAsia="Arial" w:hAnsi="Arial"/>
          <w:sz w:val="17"/>
          <w:szCs w:val="17"/>
          <w:u w:val="single" w:color="auto"/>
          <w:color w:val="0000EE"/>
        </w:rPr>
      </w:pPr>
      <w:r>
        <w:rPr>
          <w:rFonts w:ascii="Arial" w:cs="Arial" w:eastAsia="Arial" w:hAnsi="Arial"/>
          <w:sz w:val="17"/>
          <w:szCs w:val="17"/>
          <w:color w:val="auto"/>
        </w:rPr>
        <w:t>10.22†</w:t>
      </w:r>
      <w:r>
        <w:rPr>
          <w:sz w:val="20"/>
          <w:szCs w:val="20"/>
          <w:color w:val="auto"/>
        </w:rPr>
        <w:tab/>
      </w:r>
      <w:hyperlink r:id="rId153">
        <w:r>
          <w:rPr>
            <w:rFonts w:ascii="Arial" w:cs="Arial" w:eastAsia="Arial" w:hAnsi="Arial"/>
            <w:sz w:val="17"/>
            <w:szCs w:val="17"/>
            <w:u w:val="single" w:color="auto"/>
            <w:color w:val="0000EE"/>
          </w:rPr>
          <w:t>Form of Restricted Stock Unit Award Agreement (incorporated herein by reference to Exhibit 10.3 to</w:t>
        </w:r>
      </w:hyperlink>
      <w:r>
        <w:rPr>
          <w:rFonts w:ascii="Arial" w:cs="Arial" w:eastAsia="Arial" w:hAnsi="Arial"/>
          <w:sz w:val="17"/>
          <w:szCs w:val="17"/>
          <w:u w:val="single" w:color="auto"/>
          <w:color w:val="0000EE"/>
        </w:rPr>
        <w:t xml:space="preserve"> </w:t>
      </w:r>
      <w:hyperlink r:id="rId153">
        <w:r>
          <w:rPr>
            <w:rFonts w:ascii="Arial" w:cs="Arial" w:eastAsia="Arial" w:hAnsi="Arial"/>
            <w:sz w:val="17"/>
            <w:szCs w:val="17"/>
            <w:u w:val="single" w:color="auto"/>
            <w:color w:val="0000EE"/>
          </w:rPr>
          <w:t>the March 28, 2013 Form 8-K).</w:t>
        </w:r>
      </w:hyperlink>
    </w:p>
    <w:p>
      <w:pPr>
        <w:spacing w:after="0" w:line="63" w:lineRule="exact"/>
        <w:rPr>
          <w:sz w:val="20"/>
          <w:szCs w:val="20"/>
          <w:color w:val="auto"/>
        </w:rPr>
      </w:pPr>
    </w:p>
    <w:p>
      <w:pPr>
        <w:jc w:val="both"/>
        <w:ind w:left="1140" w:right="99" w:hanging="807"/>
        <w:spacing w:after="0" w:line="243" w:lineRule="auto"/>
        <w:tabs>
          <w:tab w:leader="none" w:pos="1120" w:val="left"/>
        </w:tabs>
        <w:rPr>
          <w:rFonts w:ascii="Arial" w:cs="Arial" w:eastAsia="Arial" w:hAnsi="Arial"/>
          <w:sz w:val="17"/>
          <w:szCs w:val="17"/>
          <w:u w:val="single" w:color="auto"/>
          <w:color w:val="0000EE"/>
        </w:rPr>
      </w:pPr>
      <w:r>
        <w:rPr>
          <w:rFonts w:ascii="Arial" w:cs="Arial" w:eastAsia="Arial" w:hAnsi="Arial"/>
          <w:sz w:val="17"/>
          <w:szCs w:val="17"/>
          <w:color w:val="auto"/>
        </w:rPr>
        <w:t>10.23†</w:t>
      </w:r>
      <w:r>
        <w:rPr>
          <w:sz w:val="20"/>
          <w:szCs w:val="20"/>
          <w:color w:val="auto"/>
        </w:rPr>
        <w:tab/>
      </w:r>
      <w:hyperlink r:id="rId154">
        <w:r>
          <w:rPr>
            <w:rFonts w:ascii="Arial" w:cs="Arial" w:eastAsia="Arial" w:hAnsi="Arial"/>
            <w:sz w:val="17"/>
            <w:szCs w:val="17"/>
            <w:u w:val="single" w:color="auto"/>
            <w:color w:val="0000EE"/>
          </w:rPr>
          <w:t>Form of Restricted Stock Unit Award Agreement for RSU portion of long-term incentive compensation</w:t>
        </w:r>
      </w:hyperlink>
      <w:r>
        <w:rPr>
          <w:rFonts w:ascii="Arial" w:cs="Arial" w:eastAsia="Arial" w:hAnsi="Arial"/>
          <w:sz w:val="17"/>
          <w:szCs w:val="17"/>
          <w:u w:val="single" w:color="auto"/>
          <w:color w:val="0000EE"/>
        </w:rPr>
        <w:t xml:space="preserve"> </w:t>
      </w:r>
      <w:hyperlink r:id="rId154">
        <w:r>
          <w:rPr>
            <w:rFonts w:ascii="Arial" w:cs="Arial" w:eastAsia="Arial" w:hAnsi="Arial"/>
            <w:sz w:val="17"/>
            <w:szCs w:val="17"/>
            <w:u w:val="single" w:color="auto"/>
            <w:color w:val="0000EE"/>
          </w:rPr>
          <w:t>awards (incorporated herein by reference to Exhibit 10.1 to the March 23, 2016 Form 8-K).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-247015</wp:posOffset>
            </wp:positionV>
            <wp:extent cx="5600065" cy="4032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5">
                      <a:extLst>
                        <a:ext uri="{28A0092B-C50C-407E-A947-70E740481C1C}"/>
                      </a:extLst>
                    </a:blip>
                    <a:srcRect/>
                    <a:stretch>
                      <a:fillRect/>
                    </a:stretch>
                  </pic:blipFill>
                  <pic:spPr bwMode="auto">
                    <a:xfrm>
                      <a:off x="0" y="0"/>
                      <a:ext cx="5600065" cy="403225"/>
                    </a:xfrm>
                    <a:prstGeom prst="rect">
                      <a:avLst/>
                    </a:prstGeom>
                    <a:noFill/>
                  </pic:spPr>
                </pic:pic>
              </a:graphicData>
            </a:graphic>
          </wp:anchor>
        </w:drawing>
      </w:r>
    </w:p>
    <w:p>
      <w:pPr>
        <w:spacing w:after="0" w:line="219" w:lineRule="exact"/>
        <w:rPr>
          <w:sz w:val="20"/>
          <w:szCs w:val="20"/>
          <w:color w:val="auto"/>
        </w:rPr>
      </w:pPr>
    </w:p>
    <w:p>
      <w:pPr>
        <w:jc w:val="both"/>
        <w:ind w:left="1140" w:right="99" w:hanging="807"/>
        <w:spacing w:after="0" w:line="243" w:lineRule="auto"/>
        <w:tabs>
          <w:tab w:leader="none" w:pos="1120" w:val="left"/>
        </w:tabs>
        <w:rPr>
          <w:rFonts w:ascii="Arial" w:cs="Arial" w:eastAsia="Arial" w:hAnsi="Arial"/>
          <w:sz w:val="17"/>
          <w:szCs w:val="17"/>
          <w:u w:val="single" w:color="auto"/>
          <w:color w:val="0000EE"/>
        </w:rPr>
      </w:pPr>
      <w:r>
        <w:rPr>
          <w:rFonts w:ascii="Arial" w:cs="Arial" w:eastAsia="Arial" w:hAnsi="Arial"/>
          <w:sz w:val="17"/>
          <w:szCs w:val="17"/>
          <w:color w:val="auto"/>
        </w:rPr>
        <w:t>10.24†</w:t>
      </w:r>
      <w:r>
        <w:rPr>
          <w:sz w:val="20"/>
          <w:szCs w:val="20"/>
          <w:color w:val="auto"/>
        </w:rPr>
        <w:tab/>
      </w:r>
      <w:hyperlink r:id="rId156">
        <w:r>
          <w:rPr>
            <w:rFonts w:ascii="Arial" w:cs="Arial" w:eastAsia="Arial" w:hAnsi="Arial"/>
            <w:sz w:val="17"/>
            <w:szCs w:val="17"/>
            <w:u w:val="single" w:color="auto"/>
            <w:color w:val="0000EE"/>
          </w:rPr>
          <w:t>Form of Restricted Stock Unit Award Agreement for long-term incentive RSU awards (incorporated</w:t>
        </w:r>
      </w:hyperlink>
      <w:r>
        <w:rPr>
          <w:rFonts w:ascii="Arial" w:cs="Arial" w:eastAsia="Arial" w:hAnsi="Arial"/>
          <w:sz w:val="17"/>
          <w:szCs w:val="17"/>
          <w:u w:val="single" w:color="auto"/>
          <w:color w:val="0000EE"/>
        </w:rPr>
        <w:t xml:space="preserve"> </w:t>
      </w:r>
      <w:hyperlink r:id="rId156">
        <w:r>
          <w:rPr>
            <w:rFonts w:ascii="Arial" w:cs="Arial" w:eastAsia="Arial" w:hAnsi="Arial"/>
            <w:sz w:val="17"/>
            <w:szCs w:val="17"/>
            <w:u w:val="single" w:color="auto"/>
            <w:color w:val="0000EE"/>
          </w:rPr>
          <w:t>herein by reference to Exhibit 10.2 to March 23, 2016 Form 8-K).</w:t>
        </w:r>
      </w:hyperlink>
    </w:p>
    <w:p>
      <w:pPr>
        <w:spacing w:after="0" w:line="63" w:lineRule="exact"/>
        <w:rPr>
          <w:sz w:val="20"/>
          <w:szCs w:val="20"/>
          <w:color w:val="auto"/>
        </w:rPr>
      </w:pPr>
    </w:p>
    <w:p>
      <w:pPr>
        <w:jc w:val="both"/>
        <w:ind w:left="1140" w:right="99" w:hanging="807"/>
        <w:spacing w:after="0" w:line="238" w:lineRule="auto"/>
        <w:tabs>
          <w:tab w:leader="none" w:pos="1120" w:val="left"/>
        </w:tabs>
        <w:rPr>
          <w:rFonts w:ascii="Arial" w:cs="Arial" w:eastAsia="Arial" w:hAnsi="Arial"/>
          <w:sz w:val="17"/>
          <w:szCs w:val="17"/>
          <w:u w:val="single" w:color="auto"/>
          <w:color w:val="0000EE"/>
        </w:rPr>
      </w:pPr>
      <w:r>
        <w:rPr>
          <w:rFonts w:ascii="Arial" w:cs="Arial" w:eastAsia="Arial" w:hAnsi="Arial"/>
          <w:sz w:val="17"/>
          <w:szCs w:val="17"/>
          <w:color w:val="auto"/>
        </w:rPr>
        <w:t>10.25†</w:t>
      </w:r>
      <w:r>
        <w:rPr>
          <w:sz w:val="20"/>
          <w:szCs w:val="20"/>
          <w:color w:val="auto"/>
        </w:rPr>
        <w:tab/>
      </w:r>
      <w:hyperlink r:id="rId157">
        <w:r>
          <w:rPr>
            <w:rFonts w:ascii="Arial" w:cs="Arial" w:eastAsia="Arial" w:hAnsi="Arial"/>
            <w:sz w:val="17"/>
            <w:szCs w:val="17"/>
            <w:u w:val="single" w:color="auto"/>
            <w:color w:val="0000EE"/>
          </w:rPr>
          <w:t>Form of Restricted Stock Unit Award Agreement (New Hire) (incorporated herein by reference to</w:t>
        </w:r>
      </w:hyperlink>
      <w:r>
        <w:rPr>
          <w:rFonts w:ascii="Arial" w:cs="Arial" w:eastAsia="Arial" w:hAnsi="Arial"/>
          <w:sz w:val="17"/>
          <w:szCs w:val="17"/>
          <w:u w:val="single" w:color="auto"/>
          <w:color w:val="0000EE"/>
        </w:rPr>
        <w:t xml:space="preserve"> </w:t>
      </w:r>
      <w:hyperlink r:id="rId157">
        <w:r>
          <w:rPr>
            <w:rFonts w:ascii="Arial" w:cs="Arial" w:eastAsia="Arial" w:hAnsi="Arial"/>
            <w:sz w:val="17"/>
            <w:szCs w:val="17"/>
            <w:u w:val="single" w:color="auto"/>
            <w:color w:val="0000EE"/>
          </w:rPr>
          <w:t>Exhibit 10.1 to the Quarterly Report on Form 10-Q for the quarterly period ended July 30, 2016 filed on</w:t>
        </w:r>
      </w:hyperlink>
      <w:r>
        <w:rPr>
          <w:rFonts w:ascii="Arial" w:cs="Arial" w:eastAsia="Arial" w:hAnsi="Arial"/>
          <w:sz w:val="17"/>
          <w:szCs w:val="17"/>
          <w:u w:val="single" w:color="auto"/>
          <w:color w:val="0000EE"/>
        </w:rPr>
        <w:t xml:space="preserve"> </w:t>
      </w:r>
      <w:hyperlink r:id="rId157">
        <w:r>
          <w:rPr>
            <w:rFonts w:ascii="Arial" w:cs="Arial" w:eastAsia="Arial" w:hAnsi="Arial"/>
            <w:sz w:val="17"/>
            <w:szCs w:val="17"/>
            <w:u w:val="single" w:color="auto"/>
            <w:color w:val="0000EE"/>
          </w:rPr>
          <w:t>September 7, 2016).</w:t>
        </w:r>
      </w:hyperlink>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66675</wp:posOffset>
            </wp:positionH>
            <wp:positionV relativeFrom="paragraph">
              <wp:posOffset>-364490</wp:posOffset>
            </wp:positionV>
            <wp:extent cx="5600065" cy="3943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8">
                      <a:extLst>
                        <a:ext uri="{28A0092B-C50C-407E-A947-70E740481C1C}"/>
                      </a:extLst>
                    </a:blip>
                    <a:srcRect/>
                    <a:stretch>
                      <a:fillRect/>
                    </a:stretch>
                  </pic:blipFill>
                  <pic:spPr bwMode="auto">
                    <a:xfrm>
                      <a:off x="0" y="0"/>
                      <a:ext cx="5600065" cy="394335"/>
                    </a:xfrm>
                    <a:prstGeom prst="rect">
                      <a:avLst/>
                    </a:prstGeom>
                    <a:noFill/>
                  </pic:spPr>
                </pic:pic>
              </a:graphicData>
            </a:graphic>
          </wp:anchor>
        </w:drawing>
      </w:r>
    </w:p>
    <w:p>
      <w:pPr>
        <w:spacing w:after="0" w:line="20" w:lineRule="exact"/>
        <w:rPr>
          <w:rFonts w:ascii="Arial" w:cs="Arial" w:eastAsia="Arial" w:hAnsi="Arial"/>
          <w:sz w:val="17"/>
          <w:szCs w:val="17"/>
          <w:u w:val="single" w:color="auto"/>
          <w:color w:val="0000EE"/>
        </w:rPr>
      </w:pPr>
    </w:p>
    <w:p>
      <w:pPr>
        <w:jc w:val="both"/>
        <w:ind w:left="1140" w:right="99" w:hanging="760"/>
        <w:spacing w:after="0" w:line="243" w:lineRule="auto"/>
        <w:tabs>
          <w:tab w:leader="none" w:pos="1120" w:val="left"/>
        </w:tabs>
        <w:rPr>
          <w:sz w:val="20"/>
          <w:szCs w:val="20"/>
          <w:color w:val="auto"/>
        </w:rPr>
      </w:pPr>
      <w:r>
        <w:rPr>
          <w:rFonts w:ascii="Arial" w:cs="Arial" w:eastAsia="Arial" w:hAnsi="Arial"/>
          <w:sz w:val="17"/>
          <w:szCs w:val="17"/>
          <w:color w:val="auto"/>
        </w:rPr>
        <w:t>10.26</w:t>
      </w:r>
      <w:r>
        <w:rPr>
          <w:sz w:val="20"/>
          <w:szCs w:val="20"/>
          <w:color w:val="auto"/>
        </w:rPr>
        <w:tab/>
      </w:r>
      <w:r>
        <w:rPr>
          <w:rFonts w:ascii="Arial" w:cs="Arial" w:eastAsia="Arial" w:hAnsi="Arial"/>
          <w:sz w:val="17"/>
          <w:szCs w:val="17"/>
          <w:color w:val="auto"/>
        </w:rPr>
        <w:t>Form of indemnification agreement, as amended (incorporated herein by reference to Exhibit 10(g) to the 8-B Registration Statement).</w:t>
      </w:r>
    </w:p>
    <w:p>
      <w:pPr>
        <w:spacing w:after="0" w:line="63" w:lineRule="exact"/>
        <w:rPr>
          <w:rFonts w:ascii="Arial" w:cs="Arial" w:eastAsia="Arial" w:hAnsi="Arial"/>
          <w:sz w:val="17"/>
          <w:szCs w:val="17"/>
          <w:u w:val="single" w:color="auto"/>
          <w:color w:val="0000EE"/>
        </w:rPr>
      </w:pPr>
    </w:p>
    <w:p>
      <w:pPr>
        <w:jc w:val="both"/>
        <w:ind w:left="1140" w:right="99" w:hanging="760"/>
        <w:spacing w:after="0" w:line="238" w:lineRule="auto"/>
        <w:tabs>
          <w:tab w:leader="none" w:pos="1120" w:val="left"/>
        </w:tabs>
        <w:rPr>
          <w:rFonts w:ascii="Arial" w:cs="Arial" w:eastAsia="Arial" w:hAnsi="Arial"/>
          <w:sz w:val="17"/>
          <w:szCs w:val="17"/>
          <w:u w:val="single" w:color="auto"/>
          <w:color w:val="0000EE"/>
        </w:rPr>
      </w:pPr>
      <w:r>
        <w:rPr>
          <w:rFonts w:ascii="Arial" w:cs="Arial" w:eastAsia="Arial" w:hAnsi="Arial"/>
          <w:sz w:val="17"/>
          <w:szCs w:val="17"/>
          <w:color w:val="auto"/>
        </w:rPr>
        <w:t>10.27</w:t>
      </w:r>
      <w:r>
        <w:rPr>
          <w:sz w:val="20"/>
          <w:szCs w:val="20"/>
          <w:color w:val="auto"/>
        </w:rPr>
        <w:tab/>
      </w:r>
      <w:hyperlink r:id="rId159">
        <w:r>
          <w:rPr>
            <w:rFonts w:ascii="Arial" w:cs="Arial" w:eastAsia="Arial" w:hAnsi="Arial"/>
            <w:sz w:val="17"/>
            <w:szCs w:val="17"/>
            <w:u w:val="single" w:color="auto"/>
            <w:color w:val="0000EE"/>
          </w:rPr>
          <w:t>Amendment to form of indemnification agreement (incorporated herein by reference to Exhibit 10.5 to</w:t>
        </w:r>
      </w:hyperlink>
      <w:r>
        <w:rPr>
          <w:rFonts w:ascii="Arial" w:cs="Arial" w:eastAsia="Arial" w:hAnsi="Arial"/>
          <w:sz w:val="17"/>
          <w:szCs w:val="17"/>
          <w:u w:val="single" w:color="auto"/>
          <w:color w:val="0000EE"/>
        </w:rPr>
        <w:t xml:space="preserve"> </w:t>
      </w:r>
      <w:hyperlink r:id="rId159">
        <w:r>
          <w:rPr>
            <w:rFonts w:ascii="Arial" w:cs="Arial" w:eastAsia="Arial" w:hAnsi="Arial"/>
            <w:sz w:val="17"/>
            <w:szCs w:val="17"/>
            <w:u w:val="single" w:color="auto"/>
            <w:color w:val="0000EE"/>
          </w:rPr>
          <w:t>the Quarterly Report on Form 10-Q for the quarterly period ended May 5, 2001 filed on June 13, 2001</w:t>
        </w:r>
      </w:hyperlink>
      <w:r>
        <w:rPr>
          <w:rFonts w:ascii="Arial" w:cs="Arial" w:eastAsia="Arial" w:hAnsi="Arial"/>
          <w:sz w:val="17"/>
          <w:szCs w:val="17"/>
          <w:u w:val="single" w:color="auto"/>
          <w:color w:val="0000EE"/>
        </w:rPr>
        <w:t xml:space="preserve"> </w:t>
      </w:r>
      <w:hyperlink r:id="rId159">
        <w:r>
          <w:rPr>
            <w:rFonts w:ascii="Arial" w:cs="Arial" w:eastAsia="Arial" w:hAnsi="Arial"/>
            <w:sz w:val="17"/>
            <w:szCs w:val="17"/>
            <w:u w:val="single" w:color="auto"/>
            <w:color w:val="0000EE"/>
          </w:rPr>
          <w:t>(the “May 5, 2001 Form 10-Q”)).</w:t>
        </w:r>
      </w:hyperlink>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66675</wp:posOffset>
            </wp:positionH>
            <wp:positionV relativeFrom="paragraph">
              <wp:posOffset>-364490</wp:posOffset>
            </wp:positionV>
            <wp:extent cx="5600065" cy="4114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0">
                      <a:extLst>
                        <a:ext uri="{28A0092B-C50C-407E-A947-70E740481C1C}"/>
                      </a:extLst>
                    </a:blip>
                    <a:srcRect/>
                    <a:stretch>
                      <a:fillRect/>
                    </a:stretch>
                  </pic:blipFill>
                  <pic:spPr bwMode="auto">
                    <a:xfrm>
                      <a:off x="0" y="0"/>
                      <a:ext cx="5600065" cy="411480"/>
                    </a:xfrm>
                    <a:prstGeom prst="rect">
                      <a:avLst/>
                    </a:prstGeom>
                    <a:noFill/>
                  </pic:spPr>
                </pic:pic>
              </a:graphicData>
            </a:graphic>
          </wp:anchor>
        </w:drawing>
      </w:r>
    </w:p>
    <w:p>
      <w:pPr>
        <w:spacing w:after="0" w:line="47" w:lineRule="exact"/>
        <w:rPr>
          <w:rFonts w:ascii="Arial" w:cs="Arial" w:eastAsia="Arial" w:hAnsi="Arial"/>
          <w:sz w:val="17"/>
          <w:szCs w:val="17"/>
          <w:u w:val="single" w:color="auto"/>
          <w:color w:val="0000EE"/>
        </w:rPr>
      </w:pPr>
    </w:p>
    <w:p>
      <w:pPr>
        <w:jc w:val="both"/>
        <w:ind w:left="1140" w:right="99" w:hanging="760"/>
        <w:spacing w:after="0" w:line="238" w:lineRule="auto"/>
        <w:tabs>
          <w:tab w:leader="none" w:pos="1120" w:val="left"/>
        </w:tabs>
        <w:rPr>
          <w:sz w:val="20"/>
          <w:szCs w:val="20"/>
          <w:color w:val="auto"/>
        </w:rPr>
      </w:pPr>
      <w:r>
        <w:rPr>
          <w:rFonts w:ascii="Arial" w:cs="Arial" w:eastAsia="Arial" w:hAnsi="Arial"/>
          <w:sz w:val="17"/>
          <w:szCs w:val="17"/>
          <w:color w:val="auto"/>
        </w:rPr>
        <w:t>10.28</w:t>
      </w:r>
      <w:r>
        <w:rPr>
          <w:sz w:val="20"/>
          <w:szCs w:val="20"/>
          <w:color w:val="auto"/>
        </w:rPr>
        <w:tab/>
      </w:r>
      <w:r>
        <w:rPr>
          <w:rFonts w:ascii="Arial" w:cs="Arial" w:eastAsia="Arial" w:hAnsi="Arial"/>
          <w:sz w:val="17"/>
          <w:szCs w:val="17"/>
          <w:color w:val="auto"/>
        </w:rPr>
        <w:t>Trust Agreement dated as of November 12, 1987 (“Trust Agreement”), between F.W. Woolworth Co. and The Bank of New York, as amended and assumed by the Registrant (incorporated herein by reference to Exhibit 10(j) to the 8-B Registration Statement).</w:t>
      </w:r>
    </w:p>
    <w:p>
      <w:pPr>
        <w:spacing w:after="0" w:line="60" w:lineRule="exact"/>
        <w:rPr>
          <w:rFonts w:ascii="Arial" w:cs="Arial" w:eastAsia="Arial" w:hAnsi="Arial"/>
          <w:sz w:val="17"/>
          <w:szCs w:val="17"/>
          <w:u w:val="single" w:color="auto"/>
          <w:color w:val="0000EE"/>
        </w:rPr>
      </w:pPr>
    </w:p>
    <w:p>
      <w:pPr>
        <w:ind w:left="380"/>
        <w:spacing w:after="0"/>
        <w:tabs>
          <w:tab w:leader="none" w:pos="1120" w:val="left"/>
        </w:tabs>
        <w:rPr>
          <w:rFonts w:ascii="Arial" w:cs="Arial" w:eastAsia="Arial" w:hAnsi="Arial"/>
          <w:sz w:val="17"/>
          <w:szCs w:val="17"/>
          <w:u w:val="single" w:color="auto"/>
          <w:color w:val="0000EE"/>
        </w:rPr>
      </w:pPr>
      <w:r>
        <w:rPr>
          <w:rFonts w:ascii="Arial" w:cs="Arial" w:eastAsia="Arial" w:hAnsi="Arial"/>
          <w:sz w:val="17"/>
          <w:szCs w:val="17"/>
          <w:color w:val="auto"/>
        </w:rPr>
        <w:t>10.29</w:t>
      </w:r>
      <w:r>
        <w:rPr>
          <w:sz w:val="20"/>
          <w:szCs w:val="20"/>
          <w:color w:val="auto"/>
        </w:rPr>
        <w:tab/>
      </w:r>
      <w:hyperlink r:id="rId161">
        <w:r>
          <w:rPr>
            <w:rFonts w:ascii="Arial" w:cs="Arial" w:eastAsia="Arial" w:hAnsi="Arial"/>
            <w:sz w:val="17"/>
            <w:szCs w:val="17"/>
            <w:u w:val="single" w:color="auto"/>
            <w:color w:val="0000EE"/>
          </w:rPr>
          <w:t>Amendment to Trust Agreement made as of April 11, 2001 (incorporated herein by reference to Exhibit</w:t>
        </w:r>
      </w:hyperlink>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66675</wp:posOffset>
            </wp:positionH>
            <wp:positionV relativeFrom="paragraph">
              <wp:posOffset>-115570</wp:posOffset>
            </wp:positionV>
            <wp:extent cx="5600065" cy="2832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2">
                      <a:extLst>
                        <a:ext uri="{28A0092B-C50C-407E-A947-70E740481C1C}"/>
                      </a:extLst>
                    </a:blip>
                    <a:srcRect/>
                    <a:stretch>
                      <a:fillRect/>
                    </a:stretch>
                  </pic:blipFill>
                  <pic:spPr bwMode="auto">
                    <a:xfrm>
                      <a:off x="0" y="0"/>
                      <a:ext cx="5600065" cy="283210"/>
                    </a:xfrm>
                    <a:prstGeom prst="rect">
                      <a:avLst/>
                    </a:prstGeom>
                    <a:noFill/>
                  </pic:spPr>
                </pic:pic>
              </a:graphicData>
            </a:graphic>
          </wp:anchor>
        </w:drawing>
      </w:r>
    </w:p>
    <w:p>
      <w:pPr>
        <w:ind w:left="1140"/>
        <w:spacing w:after="0"/>
        <w:rPr>
          <w:rFonts w:ascii="Arial" w:cs="Arial" w:eastAsia="Arial" w:hAnsi="Arial"/>
          <w:sz w:val="17"/>
          <w:szCs w:val="17"/>
          <w:u w:val="single" w:color="auto"/>
          <w:color w:val="0000EE"/>
        </w:rPr>
      </w:pPr>
      <w:hyperlink r:id="rId161">
        <w:r>
          <w:rPr>
            <w:rFonts w:ascii="Arial" w:cs="Arial" w:eastAsia="Arial" w:hAnsi="Arial"/>
            <w:sz w:val="17"/>
            <w:szCs w:val="17"/>
            <w:u w:val="single" w:color="auto"/>
            <w:color w:val="0000EE"/>
          </w:rPr>
          <w:t>10.4 to the May 5, 2001 Form 10-Q).</w:t>
        </w:r>
      </w:hyperlink>
    </w:p>
    <w:p>
      <w:pPr>
        <w:spacing w:after="0" w:line="61" w:lineRule="exact"/>
        <w:rPr>
          <w:rFonts w:ascii="Arial" w:cs="Arial" w:eastAsia="Arial" w:hAnsi="Arial"/>
          <w:sz w:val="17"/>
          <w:szCs w:val="17"/>
          <w:u w:val="single" w:color="auto"/>
          <w:color w:val="0000EE"/>
        </w:rPr>
      </w:pPr>
    </w:p>
    <w:p>
      <w:pPr>
        <w:jc w:val="both"/>
        <w:ind w:left="1140" w:right="99" w:hanging="807"/>
        <w:spacing w:after="0" w:line="238" w:lineRule="auto"/>
        <w:tabs>
          <w:tab w:leader="none" w:pos="1120" w:val="left"/>
        </w:tabs>
        <w:rPr>
          <w:rFonts w:ascii="Arial" w:cs="Arial" w:eastAsia="Arial" w:hAnsi="Arial"/>
          <w:sz w:val="17"/>
          <w:szCs w:val="17"/>
          <w:u w:val="single" w:color="auto"/>
          <w:color w:val="0000EE"/>
        </w:rPr>
      </w:pPr>
      <w:r>
        <w:rPr>
          <w:rFonts w:ascii="Arial" w:cs="Arial" w:eastAsia="Arial" w:hAnsi="Arial"/>
          <w:sz w:val="17"/>
          <w:szCs w:val="17"/>
          <w:color w:val="auto"/>
        </w:rPr>
        <w:t>10.30†</w:t>
      </w:r>
      <w:r>
        <w:rPr>
          <w:sz w:val="20"/>
          <w:szCs w:val="20"/>
          <w:color w:val="auto"/>
        </w:rPr>
        <w:tab/>
      </w:r>
      <w:hyperlink r:id="rId163">
        <w:r>
          <w:rPr>
            <w:rFonts w:ascii="Arial" w:cs="Arial" w:eastAsia="Arial" w:hAnsi="Arial"/>
            <w:sz w:val="17"/>
            <w:szCs w:val="17"/>
            <w:u w:val="single" w:color="auto"/>
            <w:color w:val="0000EE"/>
          </w:rPr>
          <w:t>Employment Agreement, dated November 6, 2014, by and between Richard A. Johnson and the</w:t>
        </w:r>
      </w:hyperlink>
      <w:r>
        <w:rPr>
          <w:rFonts w:ascii="Arial" w:cs="Arial" w:eastAsia="Arial" w:hAnsi="Arial"/>
          <w:sz w:val="17"/>
          <w:szCs w:val="17"/>
          <w:u w:val="single" w:color="auto"/>
          <w:color w:val="0000EE"/>
        </w:rPr>
        <w:t xml:space="preserve"> </w:t>
      </w:r>
      <w:hyperlink r:id="rId163">
        <w:r>
          <w:rPr>
            <w:rFonts w:ascii="Arial" w:cs="Arial" w:eastAsia="Arial" w:hAnsi="Arial"/>
            <w:sz w:val="17"/>
            <w:szCs w:val="17"/>
            <w:u w:val="single" w:color="auto"/>
            <w:color w:val="0000EE"/>
          </w:rPr>
          <w:t>Company (incorporated herein by reference to Exhibit 10.2 to the Current Report on Form 8-K dated</w:t>
        </w:r>
      </w:hyperlink>
      <w:r>
        <w:rPr>
          <w:rFonts w:ascii="Arial" w:cs="Arial" w:eastAsia="Arial" w:hAnsi="Arial"/>
          <w:sz w:val="17"/>
          <w:szCs w:val="17"/>
          <w:u w:val="single" w:color="auto"/>
          <w:color w:val="0000EE"/>
        </w:rPr>
        <w:t xml:space="preserve"> </w:t>
      </w:r>
      <w:hyperlink r:id="rId163">
        <w:r>
          <w:rPr>
            <w:rFonts w:ascii="Arial" w:cs="Arial" w:eastAsia="Arial" w:hAnsi="Arial"/>
            <w:sz w:val="17"/>
            <w:szCs w:val="17"/>
            <w:u w:val="single" w:color="auto"/>
            <w:color w:val="0000EE"/>
          </w:rPr>
          <w:t>November 3, 2014 filed on November 7, 2014).</w:t>
        </w:r>
      </w:hyperlink>
    </w:p>
    <w:p>
      <w:pPr>
        <w:spacing w:after="0" w:line="26" w:lineRule="exact"/>
        <w:rPr>
          <w:rFonts w:ascii="Arial" w:cs="Arial" w:eastAsia="Arial" w:hAnsi="Arial"/>
          <w:sz w:val="17"/>
          <w:szCs w:val="17"/>
          <w:u w:val="single" w:color="auto"/>
          <w:color w:val="0000EE"/>
        </w:rPr>
      </w:pPr>
    </w:p>
    <w:p>
      <w:pPr>
        <w:jc w:val="both"/>
        <w:ind w:left="1140" w:right="99" w:hanging="807"/>
        <w:spacing w:after="0" w:line="243" w:lineRule="auto"/>
        <w:tabs>
          <w:tab w:leader="none" w:pos="1120" w:val="left"/>
        </w:tabs>
        <w:rPr>
          <w:rFonts w:ascii="Arial" w:cs="Arial" w:eastAsia="Arial" w:hAnsi="Arial"/>
          <w:sz w:val="17"/>
          <w:szCs w:val="17"/>
          <w:u w:val="single" w:color="auto"/>
          <w:color w:val="0000EE"/>
        </w:rPr>
      </w:pPr>
      <w:r>
        <w:rPr>
          <w:rFonts w:ascii="Arial" w:cs="Arial" w:eastAsia="Arial" w:hAnsi="Arial"/>
          <w:sz w:val="17"/>
          <w:szCs w:val="17"/>
          <w:color w:val="auto"/>
        </w:rPr>
        <w:t>10.31†</w:t>
      </w:r>
      <w:r>
        <w:rPr>
          <w:sz w:val="20"/>
          <w:szCs w:val="20"/>
          <w:color w:val="auto"/>
        </w:rPr>
        <w:tab/>
      </w:r>
      <w:hyperlink r:id="rId164">
        <w:r>
          <w:rPr>
            <w:rFonts w:ascii="Arial" w:cs="Arial" w:eastAsia="Arial" w:hAnsi="Arial"/>
            <w:sz w:val="17"/>
            <w:szCs w:val="17"/>
            <w:u w:val="single" w:color="auto"/>
            <w:color w:val="0000EE"/>
          </w:rPr>
          <w:t>Form of Senior Executive Employment Agreement (incorporated herein by reference to Exhibit 10.1 to</w:t>
        </w:r>
      </w:hyperlink>
      <w:r>
        <w:rPr>
          <w:rFonts w:ascii="Arial" w:cs="Arial" w:eastAsia="Arial" w:hAnsi="Arial"/>
          <w:sz w:val="17"/>
          <w:szCs w:val="17"/>
          <w:u w:val="single" w:color="auto"/>
          <w:color w:val="0000EE"/>
        </w:rPr>
        <w:t xml:space="preserve"> </w:t>
      </w:r>
      <w:hyperlink r:id="rId164">
        <w:r>
          <w:rPr>
            <w:rFonts w:ascii="Arial" w:cs="Arial" w:eastAsia="Arial" w:hAnsi="Arial"/>
            <w:sz w:val="17"/>
            <w:szCs w:val="17"/>
            <w:u w:val="single" w:color="auto"/>
            <w:color w:val="0000EE"/>
          </w:rPr>
          <w:t>the Current Report on Form 8-K dated April 20, 2015 filed on April 20,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-247015</wp:posOffset>
            </wp:positionV>
            <wp:extent cx="5600065" cy="3257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5">
                      <a:extLst>
                        <a:ext uri="{28A0092B-C50C-407E-A947-70E740481C1C}"/>
                      </a:extLst>
                    </a:blip>
                    <a:srcRect/>
                    <a:stretch>
                      <a:fillRect/>
                    </a:stretch>
                  </pic:blipFill>
                  <pic:spPr bwMode="auto">
                    <a:xfrm>
                      <a:off x="0" y="0"/>
                      <a:ext cx="5600065" cy="3257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559" w:right="1440" w:bottom="1440" w:gutter="0" w:footer="0" w:header="0"/>
        </w:sectPr>
      </w:pPr>
    </w:p>
    <w:bookmarkStart w:id="82" w:name="page83"/>
    <w:bookmarkEnd w:id="82"/>
    <w:tbl>
      <w:tblPr>
        <w:tblLayout w:type="fixed"/>
        <w:tblInd w:w="100" w:type="dxa"/>
        <w:tblCellMar>
          <w:top w:w="0" w:type="dxa"/>
          <w:left w:w="0" w:type="dxa"/>
          <w:bottom w:w="0" w:type="dxa"/>
          <w:right w:w="0" w:type="dxa"/>
        </w:tblCellMar>
      </w:tblPr>
      <w:tr>
        <w:trPr>
          <w:trHeight w:val="215"/>
        </w:trPr>
        <w:tc>
          <w:tcPr>
            <w:tcW w:w="1040" w:type="dxa"/>
            <w:vAlign w:val="bottom"/>
            <w:gridSpan w:val="2"/>
          </w:tcPr>
          <w:p>
            <w:pPr>
              <w:jc w:val="center"/>
              <w:ind w:right="60"/>
              <w:spacing w:after="0"/>
              <w:rPr>
                <w:sz w:val="20"/>
                <w:szCs w:val="20"/>
                <w:color w:val="auto"/>
              </w:rPr>
            </w:pPr>
            <w:r>
              <w:rPr>
                <w:rFonts w:ascii="Arial" w:cs="Arial" w:eastAsia="Arial" w:hAnsi="Arial"/>
                <w:sz w:val="17"/>
                <w:szCs w:val="17"/>
                <w:b w:val="1"/>
                <w:bCs w:val="1"/>
                <w:color w:val="auto"/>
              </w:rPr>
              <w:t>Exhibit No.</w:t>
            </w:r>
          </w:p>
        </w:tc>
        <w:tc>
          <w:tcPr>
            <w:tcW w:w="2280" w:type="dxa"/>
            <w:vAlign w:val="bottom"/>
          </w:tcPr>
          <w:p>
            <w:pPr>
              <w:spacing w:after="0"/>
              <w:rPr>
                <w:sz w:val="18"/>
                <w:szCs w:val="18"/>
                <w:color w:val="auto"/>
              </w:rPr>
            </w:pPr>
          </w:p>
        </w:tc>
        <w:tc>
          <w:tcPr>
            <w:tcW w:w="5500" w:type="dxa"/>
            <w:vAlign w:val="bottom"/>
            <w:gridSpan w:val="8"/>
          </w:tcPr>
          <w:p>
            <w:pPr>
              <w:ind w:left="1140"/>
              <w:spacing w:after="0"/>
              <w:rPr>
                <w:sz w:val="20"/>
                <w:szCs w:val="20"/>
                <w:color w:val="auto"/>
              </w:rPr>
            </w:pPr>
            <w:r>
              <w:rPr>
                <w:rFonts w:ascii="Arial" w:cs="Arial" w:eastAsia="Arial" w:hAnsi="Arial"/>
                <w:sz w:val="17"/>
                <w:szCs w:val="17"/>
                <w:b w:val="1"/>
                <w:bCs w:val="1"/>
                <w:color w:val="auto"/>
              </w:rPr>
              <w:t>Description</w:t>
            </w:r>
          </w:p>
        </w:tc>
      </w:tr>
      <w:tr>
        <w:trPr>
          <w:trHeight w:val="156"/>
        </w:trPr>
        <w:tc>
          <w:tcPr>
            <w:tcW w:w="960" w:type="dxa"/>
            <w:vAlign w:val="bottom"/>
            <w:tcBorders>
              <w:top w:val="single" w:sz="8" w:color="auto"/>
              <w:bottom w:val="single" w:sz="8" w:color="CCEEFF"/>
            </w:tcBorders>
            <w:shd w:val="clear" w:color="auto" w:fill="CCEEFF"/>
          </w:tcPr>
          <w:p>
            <w:pPr>
              <w:jc w:val="center"/>
              <w:spacing w:after="0" w:line="156" w:lineRule="exact"/>
              <w:rPr>
                <w:sz w:val="20"/>
                <w:szCs w:val="20"/>
                <w:color w:val="auto"/>
              </w:rPr>
            </w:pPr>
            <w:r>
              <w:rPr>
                <w:rFonts w:ascii="Arial" w:cs="Arial" w:eastAsia="Arial" w:hAnsi="Arial"/>
                <w:sz w:val="17"/>
                <w:szCs w:val="17"/>
                <w:color w:val="auto"/>
                <w:w w:val="99"/>
              </w:rPr>
              <w:t>10.32†</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7780" w:type="dxa"/>
            <w:vAlign w:val="bottom"/>
            <w:tcBorders>
              <w:top w:val="single" w:sz="8" w:color="auto"/>
              <w:bottom w:val="single" w:sz="8" w:color="0000EE"/>
            </w:tcBorders>
            <w:gridSpan w:val="9"/>
            <w:shd w:val="clear" w:color="auto" w:fill="CCEEFF"/>
          </w:tcPr>
          <w:p>
            <w:pPr>
              <w:spacing w:after="0" w:line="156" w:lineRule="exact"/>
              <w:rPr>
                <w:rFonts w:ascii="Arial" w:cs="Arial" w:eastAsia="Arial" w:hAnsi="Arial"/>
                <w:sz w:val="17"/>
                <w:szCs w:val="17"/>
                <w:color w:val="0000EE"/>
              </w:rPr>
            </w:pPr>
            <w:hyperlink r:id="rId167">
              <w:r>
                <w:rPr>
                  <w:rFonts w:ascii="Arial" w:cs="Arial" w:eastAsia="Arial" w:hAnsi="Arial"/>
                  <w:sz w:val="17"/>
                  <w:szCs w:val="17"/>
                  <w:color w:val="0000EE"/>
                </w:rPr>
                <w:t>Form of Executive Employment Agreement (incorporated herein by reference to Exhibit 10.19 to the</w:t>
              </w:r>
            </w:hyperlink>
          </w:p>
        </w:tc>
      </w:tr>
      <w:tr>
        <w:trPr>
          <w:trHeight w:val="217"/>
        </w:trPr>
        <w:tc>
          <w:tcPr>
            <w:tcW w:w="9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360" w:type="dxa"/>
            <w:vAlign w:val="bottom"/>
            <w:tcBorders>
              <w:bottom w:val="single" w:sz="8" w:color="0000EE"/>
            </w:tcBorders>
            <w:gridSpan w:val="6"/>
            <w:shd w:val="clear" w:color="auto" w:fill="CCEEFF"/>
          </w:tcPr>
          <w:p>
            <w:pPr>
              <w:spacing w:after="0" w:line="169" w:lineRule="exact"/>
              <w:rPr>
                <w:rFonts w:ascii="Arial" w:cs="Arial" w:eastAsia="Arial" w:hAnsi="Arial"/>
                <w:sz w:val="17"/>
                <w:szCs w:val="17"/>
                <w:color w:val="0000EE"/>
              </w:rPr>
            </w:pPr>
            <w:hyperlink r:id="rId167">
              <w:r>
                <w:rPr>
                  <w:rFonts w:ascii="Arial" w:cs="Arial" w:eastAsia="Arial" w:hAnsi="Arial"/>
                  <w:sz w:val="17"/>
                  <w:szCs w:val="17"/>
                  <w:color w:val="0000EE"/>
                </w:rPr>
                <w:t>Annual Report on Form 10-K for the fiscal year ended January 30, 2016 filed on March 24, 2016).</w:t>
              </w:r>
            </w:hyperlink>
          </w:p>
        </w:tc>
        <w:tc>
          <w:tcPr>
            <w:tcW w:w="420" w:type="dxa"/>
            <w:vAlign w:val="bottom"/>
            <w:tcBorders>
              <w:bottom w:val="single" w:sz="8" w:color="CCEEFF"/>
            </w:tcBorders>
            <w:gridSpan w:val="3"/>
            <w:shd w:val="clear" w:color="auto" w:fill="CCEEFF"/>
          </w:tcPr>
          <w:p>
            <w:pPr>
              <w:spacing w:after="0"/>
              <w:rPr>
                <w:sz w:val="18"/>
                <w:szCs w:val="18"/>
                <w:color w:val="auto"/>
              </w:rPr>
            </w:pPr>
          </w:p>
        </w:tc>
      </w:tr>
      <w:tr>
        <w:trPr>
          <w:trHeight w:val="162"/>
        </w:trPr>
        <w:tc>
          <w:tcPr>
            <w:tcW w:w="960" w:type="dxa"/>
            <w:vAlign w:val="bottom"/>
          </w:tcPr>
          <w:p>
            <w:pPr>
              <w:jc w:val="center"/>
              <w:spacing w:after="0" w:line="162" w:lineRule="exact"/>
              <w:rPr>
                <w:sz w:val="20"/>
                <w:szCs w:val="20"/>
                <w:color w:val="auto"/>
              </w:rPr>
            </w:pPr>
            <w:r>
              <w:rPr>
                <w:rFonts w:ascii="Arial" w:cs="Arial" w:eastAsia="Arial" w:hAnsi="Arial"/>
                <w:sz w:val="17"/>
                <w:szCs w:val="17"/>
                <w:color w:val="auto"/>
              </w:rPr>
              <w:t>12*</w:t>
            </w:r>
          </w:p>
        </w:tc>
        <w:tc>
          <w:tcPr>
            <w:tcW w:w="80" w:type="dxa"/>
            <w:vAlign w:val="bottom"/>
          </w:tcPr>
          <w:p>
            <w:pPr>
              <w:spacing w:after="0"/>
              <w:rPr>
                <w:sz w:val="14"/>
                <w:szCs w:val="14"/>
                <w:color w:val="auto"/>
              </w:rPr>
            </w:pPr>
          </w:p>
        </w:tc>
        <w:tc>
          <w:tcPr>
            <w:tcW w:w="7780" w:type="dxa"/>
            <w:vAlign w:val="bottom"/>
            <w:gridSpan w:val="9"/>
          </w:tcPr>
          <w:p>
            <w:pPr>
              <w:spacing w:after="0" w:line="162" w:lineRule="exact"/>
              <w:rPr>
                <w:rFonts w:ascii="Arial" w:cs="Arial" w:eastAsia="Arial" w:hAnsi="Arial"/>
                <w:sz w:val="17"/>
                <w:szCs w:val="17"/>
                <w:color w:val="0000EE"/>
              </w:rPr>
            </w:pPr>
            <w:hyperlink w:anchor="page84">
              <w:r>
                <w:rPr>
                  <w:rFonts w:ascii="Arial" w:cs="Arial" w:eastAsia="Arial" w:hAnsi="Arial"/>
                  <w:sz w:val="17"/>
                  <w:szCs w:val="17"/>
                  <w:color w:val="0000EE"/>
                </w:rPr>
                <w:t>Computation of Ratio of Earnings to Fixed Charges.</w:t>
              </w:r>
            </w:hyperlink>
          </w:p>
        </w:tc>
      </w:tr>
      <w:tr>
        <w:trPr>
          <w:trHeight w:val="48"/>
        </w:trPr>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80" w:type="dxa"/>
            <w:vAlign w:val="bottom"/>
            <w:tcBorders>
              <w:top w:val="single" w:sz="8" w:color="0000EE"/>
            </w:tcBorders>
          </w:tcPr>
          <w:p>
            <w:pPr>
              <w:spacing w:after="0"/>
              <w:rPr>
                <w:sz w:val="4"/>
                <w:szCs w:val="4"/>
                <w:color w:val="auto"/>
              </w:rPr>
            </w:pPr>
          </w:p>
        </w:tc>
        <w:tc>
          <w:tcPr>
            <w:tcW w:w="1620" w:type="dxa"/>
            <w:vAlign w:val="bottom"/>
            <w:tcBorders>
              <w:top w:val="single" w:sz="8" w:color="0000EE"/>
            </w:tcBorders>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10"/>
        </w:trPr>
        <w:tc>
          <w:tcPr>
            <w:tcW w:w="960" w:type="dxa"/>
            <w:vAlign w:val="bottom"/>
            <w:tcBorders>
              <w:bottom w:val="single" w:sz="8" w:color="CCEEFF"/>
            </w:tcBorders>
            <w:shd w:val="clear" w:color="auto" w:fill="CCEEFF"/>
          </w:tcPr>
          <w:p>
            <w:pPr>
              <w:jc w:val="center"/>
              <w:spacing w:after="0" w:line="162" w:lineRule="exact"/>
              <w:rPr>
                <w:sz w:val="20"/>
                <w:szCs w:val="20"/>
                <w:color w:val="auto"/>
              </w:rPr>
            </w:pPr>
            <w:r>
              <w:rPr>
                <w:rFonts w:ascii="Arial" w:cs="Arial" w:eastAsia="Arial" w:hAnsi="Arial"/>
                <w:sz w:val="17"/>
                <w:szCs w:val="17"/>
                <w:color w:val="auto"/>
              </w:rPr>
              <w:t>21*</w:t>
            </w:r>
          </w:p>
        </w:tc>
        <w:tc>
          <w:tcPr>
            <w:tcW w:w="80" w:type="dxa"/>
            <w:vAlign w:val="bottom"/>
            <w:tcBorders>
              <w:bottom w:val="single" w:sz="8" w:color="CCEEFF"/>
            </w:tcBorders>
            <w:shd w:val="clear" w:color="auto" w:fill="CCEEFF"/>
          </w:tcPr>
          <w:p>
            <w:pPr>
              <w:spacing w:after="0"/>
              <w:rPr>
                <w:sz w:val="18"/>
                <w:szCs w:val="18"/>
                <w:color w:val="auto"/>
              </w:rPr>
            </w:pPr>
          </w:p>
        </w:tc>
        <w:tc>
          <w:tcPr>
            <w:tcW w:w="2280" w:type="dxa"/>
            <w:vAlign w:val="bottom"/>
            <w:tcBorders>
              <w:bottom w:val="single" w:sz="8" w:color="0000EE"/>
            </w:tcBorders>
            <w:shd w:val="clear" w:color="auto" w:fill="CCEEFF"/>
          </w:tcPr>
          <w:p>
            <w:pPr>
              <w:spacing w:after="0" w:line="162" w:lineRule="exact"/>
              <w:rPr>
                <w:rFonts w:ascii="Arial" w:cs="Arial" w:eastAsia="Arial" w:hAnsi="Arial"/>
                <w:sz w:val="17"/>
                <w:szCs w:val="17"/>
                <w:color w:val="0000EE"/>
                <w:w w:val="99"/>
              </w:rPr>
            </w:pPr>
            <w:hyperlink w:anchor="page85">
              <w:r>
                <w:rPr>
                  <w:rFonts w:ascii="Arial" w:cs="Arial" w:eastAsia="Arial" w:hAnsi="Arial"/>
                  <w:sz w:val="17"/>
                  <w:szCs w:val="17"/>
                  <w:color w:val="0000EE"/>
                  <w:w w:val="99"/>
                </w:rPr>
                <w:t>Subsidiaries of the Registrant.</w:t>
              </w:r>
            </w:hyperlink>
          </w:p>
        </w:tc>
        <w:tc>
          <w:tcPr>
            <w:tcW w:w="5500" w:type="dxa"/>
            <w:vAlign w:val="bottom"/>
            <w:tcBorders>
              <w:bottom w:val="single" w:sz="8" w:color="CCEEFF"/>
            </w:tcBorders>
            <w:gridSpan w:val="8"/>
            <w:shd w:val="clear" w:color="auto" w:fill="CCEEFF"/>
          </w:tcPr>
          <w:p>
            <w:pPr>
              <w:spacing w:after="0"/>
              <w:rPr>
                <w:sz w:val="18"/>
                <w:szCs w:val="18"/>
                <w:color w:val="auto"/>
              </w:rPr>
            </w:pPr>
          </w:p>
        </w:tc>
      </w:tr>
      <w:tr>
        <w:trPr>
          <w:trHeight w:val="162"/>
        </w:trPr>
        <w:tc>
          <w:tcPr>
            <w:tcW w:w="960" w:type="dxa"/>
            <w:vAlign w:val="bottom"/>
          </w:tcPr>
          <w:p>
            <w:pPr>
              <w:jc w:val="center"/>
              <w:spacing w:after="0" w:line="162" w:lineRule="exact"/>
              <w:rPr>
                <w:sz w:val="20"/>
                <w:szCs w:val="20"/>
                <w:color w:val="auto"/>
              </w:rPr>
            </w:pPr>
            <w:r>
              <w:rPr>
                <w:rFonts w:ascii="Arial" w:cs="Arial" w:eastAsia="Arial" w:hAnsi="Arial"/>
                <w:sz w:val="17"/>
                <w:szCs w:val="17"/>
                <w:color w:val="auto"/>
              </w:rPr>
              <w:t>23*</w:t>
            </w:r>
          </w:p>
        </w:tc>
        <w:tc>
          <w:tcPr>
            <w:tcW w:w="80" w:type="dxa"/>
            <w:vAlign w:val="bottom"/>
          </w:tcPr>
          <w:p>
            <w:pPr>
              <w:spacing w:after="0"/>
              <w:rPr>
                <w:sz w:val="14"/>
                <w:szCs w:val="14"/>
                <w:color w:val="auto"/>
              </w:rPr>
            </w:pPr>
          </w:p>
        </w:tc>
        <w:tc>
          <w:tcPr>
            <w:tcW w:w="7780" w:type="dxa"/>
            <w:vAlign w:val="bottom"/>
            <w:gridSpan w:val="9"/>
          </w:tcPr>
          <w:p>
            <w:pPr>
              <w:spacing w:after="0" w:line="162" w:lineRule="exact"/>
              <w:rPr>
                <w:rFonts w:ascii="Arial" w:cs="Arial" w:eastAsia="Arial" w:hAnsi="Arial"/>
                <w:sz w:val="17"/>
                <w:szCs w:val="17"/>
                <w:color w:val="0000EE"/>
              </w:rPr>
            </w:pPr>
            <w:hyperlink w:anchor="page86">
              <w:r>
                <w:rPr>
                  <w:rFonts w:ascii="Arial" w:cs="Arial" w:eastAsia="Arial" w:hAnsi="Arial"/>
                  <w:sz w:val="17"/>
                  <w:szCs w:val="17"/>
                  <w:color w:val="0000EE"/>
                </w:rPr>
                <w:t>Consent of Independent Registered Public Accounting Firm.</w:t>
              </w:r>
            </w:hyperlink>
          </w:p>
        </w:tc>
      </w:tr>
      <w:tr>
        <w:trPr>
          <w:trHeight w:val="48"/>
        </w:trPr>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80" w:type="dxa"/>
            <w:vAlign w:val="bottom"/>
            <w:tcBorders>
              <w:top w:val="single" w:sz="8" w:color="0000EE"/>
            </w:tcBorders>
          </w:tcPr>
          <w:p>
            <w:pPr>
              <w:spacing w:after="0"/>
              <w:rPr>
                <w:sz w:val="4"/>
                <w:szCs w:val="4"/>
                <w:color w:val="auto"/>
              </w:rPr>
            </w:pPr>
          </w:p>
        </w:tc>
        <w:tc>
          <w:tcPr>
            <w:tcW w:w="162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10"/>
        </w:trPr>
        <w:tc>
          <w:tcPr>
            <w:tcW w:w="960" w:type="dxa"/>
            <w:vAlign w:val="bottom"/>
            <w:shd w:val="clear" w:color="auto" w:fill="CCEEFF"/>
          </w:tcPr>
          <w:p>
            <w:pPr>
              <w:jc w:val="center"/>
              <w:spacing w:after="0" w:line="162" w:lineRule="exact"/>
              <w:rPr>
                <w:sz w:val="20"/>
                <w:szCs w:val="20"/>
                <w:color w:val="auto"/>
              </w:rPr>
            </w:pPr>
            <w:r>
              <w:rPr>
                <w:rFonts w:ascii="Arial" w:cs="Arial" w:eastAsia="Arial" w:hAnsi="Arial"/>
                <w:sz w:val="17"/>
                <w:szCs w:val="17"/>
                <w:color w:val="auto"/>
              </w:rPr>
              <w:t>31.1*</w:t>
            </w:r>
          </w:p>
        </w:tc>
        <w:tc>
          <w:tcPr>
            <w:tcW w:w="80" w:type="dxa"/>
            <w:vAlign w:val="bottom"/>
            <w:shd w:val="clear" w:color="auto" w:fill="CCEEFF"/>
          </w:tcPr>
          <w:p>
            <w:pPr>
              <w:spacing w:after="0"/>
              <w:rPr>
                <w:sz w:val="18"/>
                <w:szCs w:val="18"/>
                <w:color w:val="auto"/>
              </w:rPr>
            </w:pPr>
          </w:p>
        </w:tc>
        <w:tc>
          <w:tcPr>
            <w:tcW w:w="7780" w:type="dxa"/>
            <w:vAlign w:val="bottom"/>
            <w:gridSpan w:val="9"/>
            <w:shd w:val="clear" w:color="auto" w:fill="CCEEFF"/>
          </w:tcPr>
          <w:p>
            <w:pPr>
              <w:spacing w:after="0" w:line="162" w:lineRule="exact"/>
              <w:rPr>
                <w:rFonts w:ascii="Arial" w:cs="Arial" w:eastAsia="Arial" w:hAnsi="Arial"/>
                <w:sz w:val="17"/>
                <w:szCs w:val="17"/>
                <w:color w:val="0000EE"/>
              </w:rPr>
            </w:pPr>
            <w:hyperlink w:anchor="page87">
              <w:r>
                <w:rPr>
                  <w:rFonts w:ascii="Arial" w:cs="Arial" w:eastAsia="Arial" w:hAnsi="Arial"/>
                  <w:sz w:val="17"/>
                  <w:szCs w:val="17"/>
                  <w:color w:val="0000EE"/>
                </w:rPr>
                <w:t>Certification of Chief Executive Officer Pursuant to Section 302 of the Sarbanes-Oxley Act of 2002</w:t>
              </w:r>
            </w:hyperlink>
            <w:r>
              <w:rPr>
                <w:rFonts w:ascii="Arial" w:cs="Arial" w:eastAsia="Arial" w:hAnsi="Arial"/>
                <w:sz w:val="17"/>
                <w:szCs w:val="17"/>
                <w:color w:val="000000"/>
              </w:rPr>
              <w:t>.</w:t>
            </w:r>
          </w:p>
        </w:tc>
      </w:tr>
      <w:tr>
        <w:trPr>
          <w:trHeight w:val="162"/>
        </w:trPr>
        <w:tc>
          <w:tcPr>
            <w:tcW w:w="960" w:type="dxa"/>
            <w:vAlign w:val="bottom"/>
            <w:tcBorders>
              <w:top w:val="single" w:sz="8" w:color="CCEEFF"/>
            </w:tcBorders>
          </w:tcPr>
          <w:p>
            <w:pPr>
              <w:jc w:val="center"/>
              <w:spacing w:after="0" w:line="162" w:lineRule="exact"/>
              <w:rPr>
                <w:sz w:val="20"/>
                <w:szCs w:val="20"/>
                <w:color w:val="auto"/>
              </w:rPr>
            </w:pPr>
            <w:r>
              <w:rPr>
                <w:rFonts w:ascii="Arial" w:cs="Arial" w:eastAsia="Arial" w:hAnsi="Arial"/>
                <w:sz w:val="17"/>
                <w:szCs w:val="17"/>
                <w:color w:val="auto"/>
              </w:rPr>
              <w:t>31.2*</w:t>
            </w:r>
          </w:p>
        </w:tc>
        <w:tc>
          <w:tcPr>
            <w:tcW w:w="80" w:type="dxa"/>
            <w:vAlign w:val="bottom"/>
            <w:tcBorders>
              <w:top w:val="single" w:sz="8" w:color="CCEEFF"/>
            </w:tcBorders>
          </w:tcPr>
          <w:p>
            <w:pPr>
              <w:spacing w:after="0"/>
              <w:rPr>
                <w:sz w:val="14"/>
                <w:szCs w:val="14"/>
                <w:color w:val="auto"/>
              </w:rPr>
            </w:pPr>
          </w:p>
        </w:tc>
        <w:tc>
          <w:tcPr>
            <w:tcW w:w="7400" w:type="dxa"/>
            <w:vAlign w:val="bottom"/>
            <w:tcBorders>
              <w:top w:val="single" w:sz="8" w:color="0000EE"/>
            </w:tcBorders>
            <w:gridSpan w:val="7"/>
          </w:tcPr>
          <w:p>
            <w:pPr>
              <w:spacing w:after="0" w:line="162" w:lineRule="exact"/>
              <w:rPr>
                <w:rFonts w:ascii="Arial" w:cs="Arial" w:eastAsia="Arial" w:hAnsi="Arial"/>
                <w:sz w:val="17"/>
                <w:szCs w:val="17"/>
                <w:color w:val="0000EE"/>
              </w:rPr>
            </w:pPr>
            <w:hyperlink w:anchor="page88">
              <w:r>
                <w:rPr>
                  <w:rFonts w:ascii="Arial" w:cs="Arial" w:eastAsia="Arial" w:hAnsi="Arial"/>
                  <w:sz w:val="17"/>
                  <w:szCs w:val="17"/>
                  <w:color w:val="0000EE"/>
                </w:rPr>
                <w:t>Certification of Chief Financial Officer Pursuant to Section 302 of the Sarbanes-Oxley Act of 2002</w:t>
              </w:r>
            </w:hyperlink>
            <w:r>
              <w:rPr>
                <w:rFonts w:ascii="Arial" w:cs="Arial" w:eastAsia="Arial" w:hAnsi="Arial"/>
                <w:sz w:val="17"/>
                <w:szCs w:val="17"/>
                <w:color w:val="000000"/>
              </w:rPr>
              <w:t>.</w:t>
            </w:r>
          </w:p>
        </w:tc>
        <w:tc>
          <w:tcPr>
            <w:tcW w:w="380" w:type="dxa"/>
            <w:vAlign w:val="bottom"/>
            <w:tcBorders>
              <w:top w:val="single" w:sz="8" w:color="CCEEFF"/>
            </w:tcBorders>
            <w:gridSpan w:val="2"/>
          </w:tcPr>
          <w:p>
            <w:pPr>
              <w:spacing w:after="0"/>
              <w:rPr>
                <w:sz w:val="14"/>
                <w:szCs w:val="14"/>
                <w:color w:val="auto"/>
              </w:rPr>
            </w:pPr>
          </w:p>
        </w:tc>
      </w:tr>
      <w:tr>
        <w:trPr>
          <w:trHeight w:val="48"/>
        </w:trPr>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80" w:type="dxa"/>
            <w:vAlign w:val="bottom"/>
            <w:tcBorders>
              <w:top w:val="single" w:sz="8" w:color="0000EE"/>
            </w:tcBorders>
          </w:tcPr>
          <w:p>
            <w:pPr>
              <w:spacing w:after="0"/>
              <w:rPr>
                <w:sz w:val="4"/>
                <w:szCs w:val="4"/>
                <w:color w:val="auto"/>
              </w:rPr>
            </w:pPr>
          </w:p>
        </w:tc>
        <w:tc>
          <w:tcPr>
            <w:tcW w:w="162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20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162"/>
        </w:trPr>
        <w:tc>
          <w:tcPr>
            <w:tcW w:w="960" w:type="dxa"/>
            <w:vAlign w:val="bottom"/>
            <w:shd w:val="clear" w:color="auto" w:fill="CCEEFF"/>
          </w:tcPr>
          <w:p>
            <w:pPr>
              <w:jc w:val="center"/>
              <w:spacing w:after="0" w:line="162" w:lineRule="exact"/>
              <w:rPr>
                <w:sz w:val="20"/>
                <w:szCs w:val="20"/>
                <w:color w:val="auto"/>
              </w:rPr>
            </w:pPr>
            <w:r>
              <w:rPr>
                <w:rFonts w:ascii="Arial" w:cs="Arial" w:eastAsia="Arial" w:hAnsi="Arial"/>
                <w:sz w:val="17"/>
                <w:szCs w:val="17"/>
                <w:color w:val="auto"/>
                <w:w w:val="99"/>
              </w:rPr>
              <w:t>32**</w:t>
            </w:r>
          </w:p>
        </w:tc>
        <w:tc>
          <w:tcPr>
            <w:tcW w:w="80" w:type="dxa"/>
            <w:vAlign w:val="bottom"/>
            <w:shd w:val="clear" w:color="auto" w:fill="CCEEFF"/>
          </w:tcPr>
          <w:p>
            <w:pPr>
              <w:spacing w:after="0"/>
              <w:rPr>
                <w:sz w:val="14"/>
                <w:szCs w:val="14"/>
                <w:color w:val="auto"/>
              </w:rPr>
            </w:pPr>
          </w:p>
        </w:tc>
        <w:tc>
          <w:tcPr>
            <w:tcW w:w="7780" w:type="dxa"/>
            <w:vAlign w:val="bottom"/>
            <w:gridSpan w:val="9"/>
            <w:shd w:val="clear" w:color="auto" w:fill="CCEEFF"/>
          </w:tcPr>
          <w:p>
            <w:pPr>
              <w:spacing w:after="0" w:line="162" w:lineRule="exact"/>
              <w:rPr>
                <w:rFonts w:ascii="Arial" w:cs="Arial" w:eastAsia="Arial" w:hAnsi="Arial"/>
                <w:sz w:val="17"/>
                <w:szCs w:val="17"/>
                <w:color w:val="0000EE"/>
              </w:rPr>
            </w:pPr>
            <w:hyperlink w:anchor="page89">
              <w:r>
                <w:rPr>
                  <w:rFonts w:ascii="Arial" w:cs="Arial" w:eastAsia="Arial" w:hAnsi="Arial"/>
                  <w:sz w:val="17"/>
                  <w:szCs w:val="17"/>
                  <w:color w:val="0000EE"/>
                </w:rPr>
                <w:t>Certification of Chief Executive Officer and Chief Financial Officer Pursuant to 18 U.S.C. Section 1350,</w:t>
              </w:r>
            </w:hyperlink>
          </w:p>
        </w:tc>
      </w:tr>
      <w:tr>
        <w:trPr>
          <w:trHeight w:val="169"/>
        </w:trPr>
        <w:tc>
          <w:tcPr>
            <w:tcW w:w="9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720" w:type="dxa"/>
            <w:vAlign w:val="bottom"/>
            <w:tcBorders>
              <w:top w:val="single" w:sz="8" w:color="0000EE"/>
            </w:tcBorders>
            <w:gridSpan w:val="8"/>
            <w:shd w:val="clear" w:color="auto" w:fill="CCEEFF"/>
          </w:tcPr>
          <w:p>
            <w:pPr>
              <w:spacing w:after="0" w:line="169" w:lineRule="exact"/>
              <w:rPr>
                <w:rFonts w:ascii="Arial" w:cs="Arial" w:eastAsia="Arial" w:hAnsi="Arial"/>
                <w:sz w:val="17"/>
                <w:szCs w:val="17"/>
                <w:color w:val="0000EE"/>
              </w:rPr>
            </w:pPr>
            <w:hyperlink w:anchor="page89">
              <w:r>
                <w:rPr>
                  <w:rFonts w:ascii="Arial" w:cs="Arial" w:eastAsia="Arial" w:hAnsi="Arial"/>
                  <w:sz w:val="17"/>
                  <w:szCs w:val="17"/>
                  <w:color w:val="0000EE"/>
                </w:rPr>
                <w:t>as adopted pursuant to Section 906 of the Sarbanes-Oxley Act of 2002</w:t>
              </w:r>
              <w:r>
                <w:rPr>
                  <w:rFonts w:ascii="Arial" w:cs="Arial" w:eastAsia="Arial" w:hAnsi="Arial"/>
                  <w:sz w:val="17"/>
                  <w:szCs w:val="17"/>
                  <w:color w:val="000000"/>
                </w:rPr>
                <w:t>.</w:t>
              </w:r>
            </w:hyperlink>
          </w:p>
        </w:tc>
        <w:tc>
          <w:tcPr>
            <w:tcW w:w="60" w:type="dxa"/>
            <w:vAlign w:val="bottom"/>
            <w:tcBorders>
              <w:top w:val="single" w:sz="8" w:color="CCEEFF"/>
            </w:tcBorders>
            <w:shd w:val="clear" w:color="auto" w:fill="CCEEFF"/>
          </w:tcPr>
          <w:p>
            <w:pPr>
              <w:spacing w:after="0"/>
              <w:rPr>
                <w:sz w:val="14"/>
                <w:szCs w:val="14"/>
                <w:color w:val="auto"/>
              </w:rPr>
            </w:pPr>
          </w:p>
        </w:tc>
      </w:tr>
      <w:tr>
        <w:trPr>
          <w:trHeight w:val="88"/>
        </w:trPr>
        <w:tc>
          <w:tcPr>
            <w:tcW w:w="96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2280" w:type="dxa"/>
            <w:vAlign w:val="bottom"/>
            <w:tcBorders>
              <w:top w:val="single" w:sz="8" w:color="0000EE"/>
            </w:tcBorders>
            <w:shd w:val="clear" w:color="auto" w:fill="CCEEFF"/>
          </w:tcPr>
          <w:p>
            <w:pPr>
              <w:spacing w:after="0"/>
              <w:rPr>
                <w:sz w:val="7"/>
                <w:szCs w:val="7"/>
                <w:color w:val="auto"/>
              </w:rPr>
            </w:pPr>
          </w:p>
        </w:tc>
        <w:tc>
          <w:tcPr>
            <w:tcW w:w="1620" w:type="dxa"/>
            <w:vAlign w:val="bottom"/>
            <w:tcBorders>
              <w:top w:val="single" w:sz="8" w:color="0000EE"/>
            </w:tcBorders>
            <w:shd w:val="clear" w:color="auto" w:fill="CCEEFF"/>
          </w:tcPr>
          <w:p>
            <w:pPr>
              <w:spacing w:after="0"/>
              <w:rPr>
                <w:sz w:val="7"/>
                <w:szCs w:val="7"/>
                <w:color w:val="auto"/>
              </w:rPr>
            </w:pPr>
          </w:p>
        </w:tc>
        <w:tc>
          <w:tcPr>
            <w:tcW w:w="640" w:type="dxa"/>
            <w:vAlign w:val="bottom"/>
            <w:tcBorders>
              <w:top w:val="single" w:sz="8" w:color="0000EE"/>
            </w:tcBorders>
            <w:shd w:val="clear" w:color="auto" w:fill="CCEEFF"/>
          </w:tcPr>
          <w:p>
            <w:pPr>
              <w:spacing w:after="0"/>
              <w:rPr>
                <w:sz w:val="7"/>
                <w:szCs w:val="7"/>
                <w:color w:val="auto"/>
              </w:rPr>
            </w:pPr>
          </w:p>
        </w:tc>
        <w:tc>
          <w:tcPr>
            <w:tcW w:w="800" w:type="dxa"/>
            <w:vAlign w:val="bottom"/>
            <w:tcBorders>
              <w:top w:val="single" w:sz="8" w:color="0000EE"/>
            </w:tcBorders>
            <w:shd w:val="clear" w:color="auto" w:fill="CCEEFF"/>
          </w:tcPr>
          <w:p>
            <w:pPr>
              <w:spacing w:after="0"/>
              <w:rPr>
                <w:sz w:val="7"/>
                <w:szCs w:val="7"/>
                <w:color w:val="auto"/>
              </w:rPr>
            </w:pPr>
          </w:p>
        </w:tc>
        <w:tc>
          <w:tcPr>
            <w:tcW w:w="20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r>
      <w:tr>
        <w:trPr>
          <w:trHeight w:val="205"/>
        </w:trPr>
        <w:tc>
          <w:tcPr>
            <w:tcW w:w="1040" w:type="dxa"/>
            <w:vAlign w:val="bottom"/>
            <w:gridSpan w:val="2"/>
          </w:tcPr>
          <w:p>
            <w:pPr>
              <w:jc w:val="center"/>
              <w:ind w:right="80"/>
              <w:spacing w:after="0"/>
              <w:rPr>
                <w:sz w:val="20"/>
                <w:szCs w:val="20"/>
                <w:color w:val="auto"/>
              </w:rPr>
            </w:pPr>
            <w:r>
              <w:rPr>
                <w:rFonts w:ascii="Arial" w:cs="Arial" w:eastAsia="Arial" w:hAnsi="Arial"/>
                <w:sz w:val="17"/>
                <w:szCs w:val="17"/>
                <w:color w:val="auto"/>
                <w:w w:val="99"/>
              </w:rPr>
              <w:t>101.INS*</w:t>
            </w:r>
          </w:p>
        </w:tc>
        <w:tc>
          <w:tcPr>
            <w:tcW w:w="7780" w:type="dxa"/>
            <w:vAlign w:val="bottom"/>
            <w:gridSpan w:val="9"/>
          </w:tcPr>
          <w:p>
            <w:pPr>
              <w:spacing w:after="0"/>
              <w:rPr>
                <w:sz w:val="20"/>
                <w:szCs w:val="20"/>
                <w:color w:val="auto"/>
              </w:rPr>
            </w:pPr>
            <w:r>
              <w:rPr>
                <w:rFonts w:ascii="Arial" w:cs="Arial" w:eastAsia="Arial" w:hAnsi="Arial"/>
                <w:sz w:val="17"/>
                <w:szCs w:val="17"/>
                <w:color w:val="auto"/>
              </w:rPr>
              <w:t>XBRL Instance Document.</w:t>
            </w:r>
          </w:p>
        </w:tc>
      </w:tr>
      <w:tr>
        <w:trPr>
          <w:trHeight w:val="25"/>
        </w:trPr>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0"/>
        </w:trPr>
        <w:tc>
          <w:tcPr>
            <w:tcW w:w="10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7"/>
                <w:szCs w:val="17"/>
                <w:color w:val="auto"/>
              </w:rPr>
              <w:t>101.SCH*</w:t>
            </w:r>
          </w:p>
        </w:tc>
        <w:tc>
          <w:tcPr>
            <w:tcW w:w="778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7"/>
                <w:szCs w:val="17"/>
                <w:color w:val="auto"/>
              </w:rPr>
              <w:t>XBRL Taxonomy Extension Schema.</w:t>
            </w:r>
          </w:p>
        </w:tc>
      </w:tr>
      <w:tr>
        <w:trPr>
          <w:trHeight w:val="205"/>
        </w:trPr>
        <w:tc>
          <w:tcPr>
            <w:tcW w:w="1040" w:type="dxa"/>
            <w:vAlign w:val="bottom"/>
            <w:gridSpan w:val="2"/>
          </w:tcPr>
          <w:p>
            <w:pPr>
              <w:jc w:val="center"/>
              <w:ind w:right="80"/>
              <w:spacing w:after="0"/>
              <w:rPr>
                <w:sz w:val="20"/>
                <w:szCs w:val="20"/>
                <w:color w:val="auto"/>
              </w:rPr>
            </w:pPr>
            <w:r>
              <w:rPr>
                <w:rFonts w:ascii="Arial" w:cs="Arial" w:eastAsia="Arial" w:hAnsi="Arial"/>
                <w:sz w:val="17"/>
                <w:szCs w:val="17"/>
                <w:color w:val="auto"/>
                <w:w w:val="98"/>
              </w:rPr>
              <w:t>101.CAL*</w:t>
            </w:r>
          </w:p>
        </w:tc>
        <w:tc>
          <w:tcPr>
            <w:tcW w:w="7780" w:type="dxa"/>
            <w:vAlign w:val="bottom"/>
            <w:gridSpan w:val="9"/>
          </w:tcPr>
          <w:p>
            <w:pPr>
              <w:spacing w:after="0"/>
              <w:rPr>
                <w:sz w:val="20"/>
                <w:szCs w:val="20"/>
                <w:color w:val="auto"/>
              </w:rPr>
            </w:pPr>
            <w:r>
              <w:rPr>
                <w:rFonts w:ascii="Arial" w:cs="Arial" w:eastAsia="Arial" w:hAnsi="Arial"/>
                <w:sz w:val="17"/>
                <w:szCs w:val="17"/>
                <w:color w:val="auto"/>
              </w:rPr>
              <w:t>XBRL Taxonomy Extension Calculation Linkbase.</w:t>
            </w:r>
          </w:p>
        </w:tc>
      </w:tr>
      <w:tr>
        <w:trPr>
          <w:trHeight w:val="25"/>
        </w:trPr>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0"/>
        </w:trPr>
        <w:tc>
          <w:tcPr>
            <w:tcW w:w="10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7"/>
                <w:szCs w:val="17"/>
                <w:color w:val="auto"/>
              </w:rPr>
              <w:t>101.DEF*</w:t>
            </w:r>
          </w:p>
        </w:tc>
        <w:tc>
          <w:tcPr>
            <w:tcW w:w="778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7"/>
                <w:szCs w:val="17"/>
                <w:color w:val="auto"/>
              </w:rPr>
              <w:t>XBRL Taxonomy Extension Definition Linkbase.</w:t>
            </w:r>
          </w:p>
        </w:tc>
      </w:tr>
      <w:tr>
        <w:trPr>
          <w:trHeight w:val="205"/>
        </w:trPr>
        <w:tc>
          <w:tcPr>
            <w:tcW w:w="1040" w:type="dxa"/>
            <w:vAlign w:val="bottom"/>
            <w:gridSpan w:val="2"/>
          </w:tcPr>
          <w:p>
            <w:pPr>
              <w:jc w:val="center"/>
              <w:ind w:right="80"/>
              <w:spacing w:after="0"/>
              <w:rPr>
                <w:sz w:val="20"/>
                <w:szCs w:val="20"/>
                <w:color w:val="auto"/>
              </w:rPr>
            </w:pPr>
            <w:r>
              <w:rPr>
                <w:rFonts w:ascii="Arial" w:cs="Arial" w:eastAsia="Arial" w:hAnsi="Arial"/>
                <w:sz w:val="17"/>
                <w:szCs w:val="17"/>
                <w:color w:val="auto"/>
              </w:rPr>
              <w:t>101.LAB*</w:t>
            </w:r>
          </w:p>
        </w:tc>
        <w:tc>
          <w:tcPr>
            <w:tcW w:w="7780" w:type="dxa"/>
            <w:vAlign w:val="bottom"/>
            <w:gridSpan w:val="9"/>
          </w:tcPr>
          <w:p>
            <w:pPr>
              <w:spacing w:after="0"/>
              <w:rPr>
                <w:sz w:val="20"/>
                <w:szCs w:val="20"/>
                <w:color w:val="auto"/>
              </w:rPr>
            </w:pPr>
            <w:r>
              <w:rPr>
                <w:rFonts w:ascii="Arial" w:cs="Arial" w:eastAsia="Arial" w:hAnsi="Arial"/>
                <w:sz w:val="17"/>
                <w:szCs w:val="17"/>
                <w:color w:val="auto"/>
              </w:rPr>
              <w:t>XBRL Taxonomy Extension Label Linkbase.</w:t>
            </w:r>
          </w:p>
        </w:tc>
      </w:tr>
      <w:tr>
        <w:trPr>
          <w:trHeight w:val="25"/>
        </w:trPr>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5"/>
        </w:trPr>
        <w:tc>
          <w:tcPr>
            <w:tcW w:w="104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rPr>
              <w:t>101.PRE*</w:t>
            </w:r>
          </w:p>
        </w:tc>
        <w:tc>
          <w:tcPr>
            <w:tcW w:w="7780" w:type="dxa"/>
            <w:vAlign w:val="bottom"/>
            <w:gridSpan w:val="9"/>
            <w:shd w:val="clear" w:color="auto" w:fill="CCEEFF"/>
          </w:tcPr>
          <w:p>
            <w:pPr>
              <w:spacing w:after="0"/>
              <w:rPr>
                <w:sz w:val="20"/>
                <w:szCs w:val="20"/>
                <w:color w:val="auto"/>
              </w:rPr>
            </w:pPr>
            <w:r>
              <w:rPr>
                <w:rFonts w:ascii="Arial" w:cs="Arial" w:eastAsia="Arial" w:hAnsi="Arial"/>
                <w:sz w:val="17"/>
                <w:szCs w:val="17"/>
                <w:color w:val="auto"/>
              </w:rPr>
              <w:t>XBRL Taxonomy Extension Presentation Linkbase.</w:t>
            </w:r>
          </w:p>
        </w:tc>
      </w:tr>
      <w:tr>
        <w:trPr>
          <w:trHeight w:val="25"/>
        </w:trPr>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wp:posOffset>
            </wp:positionH>
            <wp:positionV relativeFrom="paragraph">
              <wp:posOffset>240030</wp:posOffset>
            </wp:positionV>
            <wp:extent cx="53428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8">
                      <a:extLst>
                        <a:ext uri="{28A0092B-C50C-407E-A947-70E740481C1C}"/>
                      </a:extLst>
                    </a:blip>
                    <a:srcRect/>
                    <a:stretch>
                      <a:fillRect/>
                    </a:stretch>
                  </pic:blipFill>
                  <pic:spPr bwMode="auto">
                    <a:xfrm>
                      <a:off x="0" y="0"/>
                      <a:ext cx="5342890" cy="8890"/>
                    </a:xfrm>
                    <a:prstGeom prst="rect">
                      <a:avLst/>
                    </a:prstGeom>
                    <a:noFill/>
                  </pic:spPr>
                </pic:pic>
              </a:graphicData>
            </a:graphic>
          </wp:anchor>
        </w:drawing>
      </w:r>
    </w:p>
    <w:p>
      <w:pPr>
        <w:spacing w:after="0" w:line="365" w:lineRule="exact"/>
        <w:rPr>
          <w:sz w:val="20"/>
          <w:szCs w:val="20"/>
          <w:color w:val="auto"/>
        </w:rPr>
      </w:pPr>
    </w:p>
    <w:p>
      <w:pPr>
        <w:ind w:left="100" w:right="3939" w:firstLine="5"/>
        <w:spacing w:after="0" w:line="298" w:lineRule="auto"/>
        <w:tabs>
          <w:tab w:leader="none" w:pos="465" w:val="left"/>
        </w:tabs>
        <w:numPr>
          <w:ilvl w:val="0"/>
          <w:numId w:val="39"/>
        </w:numPr>
        <w:rPr>
          <w:rFonts w:ascii="Arial" w:cs="Arial" w:eastAsia="Arial" w:hAnsi="Arial"/>
          <w:sz w:val="17"/>
          <w:szCs w:val="17"/>
          <w:color w:val="auto"/>
        </w:rPr>
      </w:pPr>
      <w:r>
        <w:rPr>
          <w:rFonts w:ascii="Arial" w:cs="Arial" w:eastAsia="Arial" w:hAnsi="Arial"/>
          <w:sz w:val="17"/>
          <w:szCs w:val="17"/>
          <w:color w:val="auto"/>
        </w:rPr>
        <w:t>Management contract or compensatory plan or arrangement. * Filed herewith.</w:t>
      </w:r>
    </w:p>
    <w:p>
      <w:pPr>
        <w:ind w:left="100"/>
        <w:spacing w:after="0"/>
        <w:rPr>
          <w:rFonts w:ascii="Arial" w:cs="Arial" w:eastAsia="Arial" w:hAnsi="Arial"/>
          <w:sz w:val="17"/>
          <w:szCs w:val="17"/>
          <w:color w:val="auto"/>
        </w:rPr>
      </w:pPr>
      <w:r>
        <w:rPr>
          <w:rFonts w:ascii="Arial" w:cs="Arial" w:eastAsia="Arial" w:hAnsi="Arial"/>
          <w:sz w:val="17"/>
          <w:szCs w:val="17"/>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94" w:right="1440" w:bottom="1440" w:gutter="0" w:footer="0" w:header="0"/>
        </w:sectPr>
      </w:pPr>
    </w:p>
    <w:bookmarkStart w:id="83" w:name="page84"/>
    <w:bookmarkEnd w:id="83"/>
    <w:p>
      <w:pPr>
        <w:ind w:left="8080"/>
        <w:spacing w:after="0"/>
        <w:rPr>
          <w:sz w:val="20"/>
          <w:szCs w:val="20"/>
          <w:color w:val="auto"/>
        </w:rPr>
      </w:pPr>
      <w:r>
        <w:rPr>
          <w:rFonts w:ascii="Arial" w:cs="Arial" w:eastAsia="Arial" w:hAnsi="Arial"/>
          <w:sz w:val="18"/>
          <w:szCs w:val="18"/>
          <w:b w:val="1"/>
          <w:bCs w:val="1"/>
          <w:color w:val="auto"/>
        </w:rPr>
        <w:t>Exhibit 12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millions)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900"/>
        <w:spacing w:after="0"/>
        <w:rPr>
          <w:sz w:val="20"/>
          <w:szCs w:val="20"/>
          <w:color w:val="auto"/>
        </w:rPr>
      </w:pPr>
      <w:r>
        <w:rPr>
          <w:rFonts w:ascii="Arial" w:cs="Arial" w:eastAsia="Arial" w:hAnsi="Arial"/>
          <w:sz w:val="17"/>
          <w:szCs w:val="17"/>
          <w:b w:val="1"/>
          <w:bCs w:val="1"/>
          <w:color w:val="auto"/>
        </w:rPr>
        <w:t>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12700</wp:posOffset>
            </wp:positionV>
            <wp:extent cx="560006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0">
                      <a:extLst>
                        <a:ext uri="{28A0092B-C50C-407E-A947-70E740481C1C}"/>
                      </a:extLst>
                    </a:blip>
                    <a:srcRect/>
                    <a:stretch>
                      <a:fillRect/>
                    </a:stretch>
                  </pic:blipFill>
                  <pic:spPr bwMode="auto">
                    <a:xfrm>
                      <a:off x="0" y="0"/>
                      <a:ext cx="5600065" cy="8890"/>
                    </a:xfrm>
                    <a:prstGeom prst="rect">
                      <a:avLst/>
                    </a:prstGeom>
                    <a:noFill/>
                  </pic:spPr>
                </pic:pic>
              </a:graphicData>
            </a:graphic>
          </wp:anchor>
        </w:drawing>
      </w:r>
    </w:p>
    <w:p>
      <w:pPr>
        <w:spacing w:after="0" w:line="28" w:lineRule="exact"/>
        <w:rPr>
          <w:sz w:val="20"/>
          <w:szCs w:val="20"/>
          <w:color w:val="auto"/>
        </w:rPr>
      </w:pPr>
    </w:p>
    <w:tbl>
      <w:tblPr>
        <w:tblLayout w:type="fixed"/>
        <w:tblInd w:w="100" w:type="dxa"/>
        <w:tblCellMar>
          <w:top w:w="0" w:type="dxa"/>
          <w:left w:w="0" w:type="dxa"/>
          <w:bottom w:w="0" w:type="dxa"/>
          <w:right w:w="0" w:type="dxa"/>
        </w:tblCellMar>
      </w:tblPr>
      <w:tr>
        <w:trPr>
          <w:trHeight w:val="225"/>
        </w:trPr>
        <w:tc>
          <w:tcPr>
            <w:tcW w:w="3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jc w:val="right"/>
              <w:ind w:right="75"/>
              <w:spacing w:after="0"/>
              <w:rPr>
                <w:sz w:val="20"/>
                <w:szCs w:val="20"/>
                <w:color w:val="auto"/>
              </w:rPr>
            </w:pPr>
            <w:r>
              <w:rPr>
                <w:rFonts w:ascii="Arial" w:cs="Arial" w:eastAsia="Arial" w:hAnsi="Arial"/>
                <w:sz w:val="17"/>
                <w:szCs w:val="17"/>
                <w:b w:val="1"/>
                <w:bCs w:val="1"/>
                <w:color w:val="auto"/>
              </w:rPr>
              <w:t>Feb. 3,</w:t>
            </w:r>
          </w:p>
        </w:tc>
        <w:tc>
          <w:tcPr>
            <w:tcW w:w="200" w:type="dxa"/>
            <w:vAlign w:val="bottom"/>
          </w:tcPr>
          <w:p>
            <w:pPr>
              <w:spacing w:after="0"/>
              <w:rPr>
                <w:sz w:val="19"/>
                <w:szCs w:val="19"/>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b w:val="1"/>
                <w:bCs w:val="1"/>
                <w:color w:val="auto"/>
              </w:rPr>
              <w:t>Jan. 28,</w:t>
            </w:r>
          </w:p>
        </w:tc>
        <w:tc>
          <w:tcPr>
            <w:tcW w:w="200" w:type="dxa"/>
            <w:vAlign w:val="bottom"/>
          </w:tcPr>
          <w:p>
            <w:pPr>
              <w:spacing w:after="0"/>
              <w:rPr>
                <w:sz w:val="19"/>
                <w:szCs w:val="19"/>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b w:val="1"/>
                <w:bCs w:val="1"/>
                <w:color w:val="auto"/>
              </w:rPr>
              <w:t>Jan. 30,</w:t>
            </w:r>
          </w:p>
        </w:tc>
        <w:tc>
          <w:tcPr>
            <w:tcW w:w="200" w:type="dxa"/>
            <w:vAlign w:val="bottom"/>
          </w:tcPr>
          <w:p>
            <w:pPr>
              <w:spacing w:after="0"/>
              <w:rPr>
                <w:sz w:val="19"/>
                <w:szCs w:val="19"/>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b w:val="1"/>
                <w:bCs w:val="1"/>
                <w:color w:val="auto"/>
              </w:rPr>
              <w:t>Jan. 31,</w:t>
            </w:r>
          </w:p>
        </w:tc>
        <w:tc>
          <w:tcPr>
            <w:tcW w:w="220" w:type="dxa"/>
            <w:vAlign w:val="bottom"/>
          </w:tcPr>
          <w:p>
            <w:pPr>
              <w:spacing w:after="0"/>
              <w:rPr>
                <w:sz w:val="19"/>
                <w:szCs w:val="19"/>
                <w:color w:val="auto"/>
              </w:rPr>
            </w:pPr>
          </w:p>
        </w:tc>
        <w:tc>
          <w:tcPr>
            <w:tcW w:w="680" w:type="dxa"/>
            <w:vAlign w:val="bottom"/>
          </w:tcPr>
          <w:p>
            <w:pPr>
              <w:jc w:val="right"/>
              <w:ind w:right="15"/>
              <w:spacing w:after="0"/>
              <w:rPr>
                <w:sz w:val="20"/>
                <w:szCs w:val="20"/>
                <w:color w:val="auto"/>
              </w:rPr>
            </w:pPr>
            <w:r>
              <w:rPr>
                <w:rFonts w:ascii="Arial" w:cs="Arial" w:eastAsia="Arial" w:hAnsi="Arial"/>
                <w:sz w:val="17"/>
                <w:szCs w:val="17"/>
                <w:b w:val="1"/>
                <w:bCs w:val="1"/>
                <w:color w:val="auto"/>
              </w:rPr>
              <w:t>Feb. 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8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2018</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2017</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2016</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2015</w:t>
            </w: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2014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00" w:type="dxa"/>
            <w:vAlign w:val="bottom"/>
          </w:tcPr>
          <w:p>
            <w:pPr>
              <w:spacing w:after="0"/>
              <w:rPr>
                <w:sz w:val="20"/>
                <w:szCs w:val="20"/>
                <w:color w:val="auto"/>
              </w:rPr>
            </w:pPr>
            <w:r>
              <w:rPr>
                <w:rFonts w:ascii="Arial" w:cs="Arial" w:eastAsia="Arial" w:hAnsi="Arial"/>
                <w:sz w:val="17"/>
                <w:szCs w:val="17"/>
                <w:color w:val="auto"/>
              </w:rPr>
              <w:t>NET EARNINGS</w:t>
            </w: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6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284</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664</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541</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7"/>
                <w:szCs w:val="17"/>
                <w:color w:val="auto"/>
              </w:rPr>
              <w:t>Income tax expense</w:t>
            </w:r>
          </w:p>
        </w:tc>
        <w:tc>
          <w:tcPr>
            <w:tcW w:w="480" w:type="dxa"/>
            <w:vAlign w:val="bottom"/>
          </w:tcPr>
          <w:p>
            <w:pPr>
              <w:spacing w:after="0"/>
              <w:rPr>
                <w:sz w:val="19"/>
                <w:szCs w:val="19"/>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b w:val="1"/>
                <w:bCs w:val="1"/>
                <w:color w:val="auto"/>
              </w:rPr>
              <w:t>294</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340</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296</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289</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12</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800" w:type="dxa"/>
            <w:vAlign w:val="bottom"/>
          </w:tcPr>
          <w:p>
            <w:pPr>
              <w:spacing w:after="0"/>
              <w:rPr>
                <w:sz w:val="20"/>
                <w:szCs w:val="20"/>
                <w:color w:val="auto"/>
              </w:rPr>
            </w:pPr>
            <w:r>
              <w:rPr>
                <w:rFonts w:ascii="Arial" w:cs="Arial" w:eastAsia="Arial" w:hAnsi="Arial"/>
                <w:sz w:val="17"/>
                <w:szCs w:val="17"/>
                <w:color w:val="auto"/>
              </w:rPr>
              <w:t>Portion of rents deemed representative of the</w:t>
            </w:r>
          </w:p>
        </w:tc>
        <w:tc>
          <w:tcPr>
            <w:tcW w:w="480" w:type="dxa"/>
            <w:vAlign w:val="bottom"/>
          </w:tcPr>
          <w:p>
            <w:pPr>
              <w:spacing w:after="0"/>
              <w:rPr>
                <w:sz w:val="22"/>
                <w:szCs w:val="22"/>
                <w:color w:val="auto"/>
              </w:rPr>
            </w:pPr>
          </w:p>
        </w:tc>
        <w:tc>
          <w:tcPr>
            <w:tcW w:w="760" w:type="dxa"/>
            <w:vAlign w:val="bottom"/>
            <w:vMerge w:val="restart"/>
          </w:tcPr>
          <w:p>
            <w:pPr>
              <w:jc w:val="right"/>
              <w:ind w:right="15"/>
              <w:spacing w:after="0"/>
              <w:rPr>
                <w:sz w:val="20"/>
                <w:szCs w:val="20"/>
                <w:color w:val="auto"/>
              </w:rPr>
            </w:pPr>
            <w:r>
              <w:rPr>
                <w:rFonts w:ascii="Arial" w:cs="Arial" w:eastAsia="Arial" w:hAnsi="Arial"/>
                <w:sz w:val="17"/>
                <w:szCs w:val="17"/>
                <w:b w:val="1"/>
                <w:bCs w:val="1"/>
                <w:color w:val="auto"/>
              </w:rPr>
              <w:t>287</w:t>
            </w: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3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interest factor (1/3)</w:t>
            </w:r>
          </w:p>
        </w:tc>
        <w:tc>
          <w:tcPr>
            <w:tcW w:w="4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269</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252</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249</w:t>
            </w: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877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FIXED CHARGES</w:t>
            </w: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7"/>
                <w:szCs w:val="17"/>
                <w:color w:val="auto"/>
              </w:rPr>
              <w:t>Gross interest expense</w:t>
            </w:r>
          </w:p>
        </w:tc>
        <w:tc>
          <w:tcPr>
            <w:tcW w:w="4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760" w:type="dxa"/>
            <w:vAlign w:val="bottom"/>
          </w:tcPr>
          <w:p>
            <w:pPr>
              <w:jc w:val="right"/>
              <w:ind w:right="15"/>
              <w:spacing w:after="0"/>
              <w:rPr>
                <w:sz w:val="20"/>
                <w:szCs w:val="20"/>
                <w:color w:val="auto"/>
              </w:rPr>
            </w:pPr>
            <w:r>
              <w:rPr>
                <w:rFonts w:ascii="Arial" w:cs="Arial" w:eastAsia="Arial" w:hAnsi="Arial"/>
                <w:sz w:val="17"/>
                <w:szCs w:val="17"/>
                <w:b w:val="1"/>
                <w:bCs w:val="1"/>
                <w:color w:val="auto"/>
              </w:rPr>
              <w:t>12</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11</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11</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11</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Portion of rents deemed representative of the</w:t>
            </w:r>
          </w:p>
        </w:tc>
        <w:tc>
          <w:tcPr>
            <w:tcW w:w="480" w:type="dxa"/>
            <w:vAlign w:val="bottom"/>
            <w:shd w:val="clear" w:color="auto" w:fill="CCEEFF"/>
          </w:tcPr>
          <w:p>
            <w:pPr>
              <w:spacing w:after="0"/>
              <w:rPr>
                <w:sz w:val="22"/>
                <w:szCs w:val="22"/>
                <w:color w:val="auto"/>
              </w:rPr>
            </w:pPr>
          </w:p>
        </w:tc>
        <w:tc>
          <w:tcPr>
            <w:tcW w:w="76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287</w:t>
            </w: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3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interest factor (1/3)</w:t>
            </w:r>
          </w:p>
        </w:tc>
        <w:tc>
          <w:tcPr>
            <w:tcW w:w="4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269</w:t>
            </w: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252</w:t>
            </w: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w:t>
            </w:r>
          </w:p>
        </w:tc>
        <w:tc>
          <w:tcPr>
            <w:tcW w:w="2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299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RATIO OF EARNINGS TO FIXED CHARGES</w:t>
            </w: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2.9</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38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1">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2">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4" w:name="page85"/>
    <w:bookmarkEnd w:id="84"/>
    <w:p>
      <w:pPr>
        <w:ind w:left="8080"/>
        <w:spacing w:after="0"/>
        <w:rPr>
          <w:sz w:val="20"/>
          <w:szCs w:val="20"/>
          <w:color w:val="auto"/>
        </w:rPr>
      </w:pPr>
      <w:r>
        <w:rPr>
          <w:rFonts w:ascii="Arial" w:cs="Arial" w:eastAsia="Arial" w:hAnsi="Arial"/>
          <w:sz w:val="17"/>
          <w:szCs w:val="17"/>
          <w:b w:val="1"/>
          <w:bCs w:val="1"/>
          <w:color w:val="auto"/>
        </w:rPr>
        <w:t>Exhibit 21</w:t>
      </w:r>
    </w:p>
    <w:p>
      <w:pPr>
        <w:spacing w:after="0" w:line="2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 xml:space="preserve">FOOT LOCKER, INC. SUBSIDIARIES </w:t>
      </w:r>
      <w:r>
        <w:rPr>
          <w:rFonts w:ascii="Arial" w:cs="Arial" w:eastAsia="Arial" w:hAnsi="Arial"/>
          <w:sz w:val="8"/>
          <w:szCs w:val="8"/>
          <w:b w:val="1"/>
          <w:bCs w:val="1"/>
          <w:color w:val="auto"/>
        </w:rPr>
        <w:t>(1)</w:t>
      </w:r>
    </w:p>
    <w:p>
      <w:pPr>
        <w:spacing w:after="0" w:line="152" w:lineRule="exact"/>
        <w:rPr>
          <w:sz w:val="20"/>
          <w:szCs w:val="20"/>
          <w:color w:val="auto"/>
        </w:rPr>
      </w:pPr>
    </w:p>
    <w:p>
      <w:pPr>
        <w:ind w:left="100" w:right="99"/>
        <w:spacing w:after="0" w:line="243" w:lineRule="auto"/>
        <w:rPr>
          <w:sz w:val="20"/>
          <w:szCs w:val="20"/>
          <w:color w:val="auto"/>
        </w:rPr>
      </w:pPr>
      <w:r>
        <w:rPr>
          <w:rFonts w:ascii="Arial" w:cs="Arial" w:eastAsia="Arial" w:hAnsi="Arial"/>
          <w:sz w:val="17"/>
          <w:szCs w:val="17"/>
          <w:color w:val="auto"/>
        </w:rPr>
        <w:t>The following is a list of subsidiaries of Foot Locker, Inc. as of February 3, 2018, omitting some subsidiaries, which, considered in the aggregate, would not constitute a significant subsidiary.</w:t>
      </w:r>
    </w:p>
    <w:p>
      <w:pPr>
        <w:spacing w:after="0" w:line="92"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44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442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State or Other Jurisdiction of Incorporation</w:t>
            </w:r>
          </w:p>
        </w:tc>
      </w:tr>
      <w:tr>
        <w:trPr>
          <w:trHeight w:val="183"/>
        </w:trPr>
        <w:tc>
          <w:tcPr>
            <w:tcW w:w="44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Eastbay, Inc.</w:t>
            </w:r>
          </w:p>
        </w:tc>
        <w:tc>
          <w:tcPr>
            <w:tcW w:w="4420" w:type="dxa"/>
            <w:vAlign w:val="bottom"/>
            <w:shd w:val="clear" w:color="auto" w:fill="CCEEFF"/>
          </w:tcPr>
          <w:p>
            <w:pPr>
              <w:ind w:left="340"/>
              <w:spacing w:after="0" w:line="183" w:lineRule="exact"/>
              <w:rPr>
                <w:sz w:val="20"/>
                <w:szCs w:val="20"/>
                <w:color w:val="auto"/>
              </w:rPr>
            </w:pPr>
            <w:r>
              <w:rPr>
                <w:rFonts w:ascii="Arial" w:cs="Arial" w:eastAsia="Arial" w:hAnsi="Arial"/>
                <w:sz w:val="16"/>
                <w:szCs w:val="16"/>
                <w:color w:val="auto"/>
              </w:rPr>
              <w:t>Wisconsin</w:t>
            </w:r>
          </w:p>
        </w:tc>
      </w:tr>
      <w:tr>
        <w:trPr>
          <w:trHeight w:val="200"/>
        </w:trPr>
        <w:tc>
          <w:tcPr>
            <w:tcW w:w="4400" w:type="dxa"/>
            <w:vAlign w:val="bottom"/>
          </w:tcPr>
          <w:p>
            <w:pPr>
              <w:spacing w:after="0"/>
              <w:rPr>
                <w:sz w:val="20"/>
                <w:szCs w:val="20"/>
                <w:color w:val="auto"/>
              </w:rPr>
            </w:pPr>
            <w:r>
              <w:rPr>
                <w:rFonts w:ascii="Arial" w:cs="Arial" w:eastAsia="Arial" w:hAnsi="Arial"/>
                <w:sz w:val="16"/>
                <w:szCs w:val="16"/>
                <w:color w:val="auto"/>
              </w:rPr>
              <w:t>FL Europe Holdings, Inc.</w:t>
            </w:r>
          </w:p>
        </w:tc>
        <w:tc>
          <w:tcPr>
            <w:tcW w:w="4420" w:type="dxa"/>
            <w:vAlign w:val="bottom"/>
          </w:tcPr>
          <w:p>
            <w:pPr>
              <w:ind w:left="340"/>
              <w:spacing w:after="0"/>
              <w:rPr>
                <w:sz w:val="20"/>
                <w:szCs w:val="20"/>
                <w:color w:val="auto"/>
              </w:rPr>
            </w:pPr>
            <w:r>
              <w:rPr>
                <w:rFonts w:ascii="Arial" w:cs="Arial" w:eastAsia="Arial" w:hAnsi="Arial"/>
                <w:sz w:val="16"/>
                <w:szCs w:val="16"/>
                <w:color w:val="auto"/>
              </w:rPr>
              <w:t>Delaware</w:t>
            </w:r>
          </w:p>
        </w:tc>
      </w:tr>
      <w:tr>
        <w:trPr>
          <w:trHeight w:val="206"/>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FL Finance (Europe) Limited</w:t>
            </w:r>
          </w:p>
        </w:tc>
        <w:tc>
          <w:tcPr>
            <w:tcW w:w="4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Ireland</w:t>
            </w:r>
          </w:p>
        </w:tc>
      </w:tr>
      <w:tr>
        <w:trPr>
          <w:trHeight w:val="200"/>
        </w:trPr>
        <w:tc>
          <w:tcPr>
            <w:tcW w:w="4400" w:type="dxa"/>
            <w:vAlign w:val="bottom"/>
          </w:tcPr>
          <w:p>
            <w:pPr>
              <w:spacing w:after="0"/>
              <w:rPr>
                <w:sz w:val="20"/>
                <w:szCs w:val="20"/>
                <w:color w:val="auto"/>
              </w:rPr>
            </w:pPr>
            <w:r>
              <w:rPr>
                <w:rFonts w:ascii="Arial" w:cs="Arial" w:eastAsia="Arial" w:hAnsi="Arial"/>
                <w:sz w:val="16"/>
                <w:szCs w:val="16"/>
                <w:color w:val="auto"/>
              </w:rPr>
              <w:t>FL Finance Europe (US) Limited</w:t>
            </w:r>
          </w:p>
        </w:tc>
        <w:tc>
          <w:tcPr>
            <w:tcW w:w="4420" w:type="dxa"/>
            <w:vAlign w:val="bottom"/>
          </w:tcPr>
          <w:p>
            <w:pPr>
              <w:ind w:left="340"/>
              <w:spacing w:after="0"/>
              <w:rPr>
                <w:sz w:val="20"/>
                <w:szCs w:val="20"/>
                <w:color w:val="auto"/>
              </w:rPr>
            </w:pPr>
            <w:r>
              <w:rPr>
                <w:rFonts w:ascii="Arial" w:cs="Arial" w:eastAsia="Arial" w:hAnsi="Arial"/>
                <w:sz w:val="16"/>
                <w:szCs w:val="16"/>
                <w:color w:val="auto"/>
              </w:rPr>
              <w:t>Ireland</w:t>
            </w:r>
          </w:p>
        </w:tc>
      </w:tr>
      <w:tr>
        <w:trPr>
          <w:trHeight w:val="206"/>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FLE C.V.</w:t>
            </w:r>
          </w:p>
        </w:tc>
        <w:tc>
          <w:tcPr>
            <w:tcW w:w="4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Netherlands</w:t>
            </w:r>
          </w:p>
        </w:tc>
      </w:tr>
      <w:tr>
        <w:trPr>
          <w:trHeight w:val="200"/>
        </w:trPr>
        <w:tc>
          <w:tcPr>
            <w:tcW w:w="4400" w:type="dxa"/>
            <w:vAlign w:val="bottom"/>
          </w:tcPr>
          <w:p>
            <w:pPr>
              <w:spacing w:after="0"/>
              <w:rPr>
                <w:sz w:val="20"/>
                <w:szCs w:val="20"/>
                <w:color w:val="auto"/>
              </w:rPr>
            </w:pPr>
            <w:r>
              <w:rPr>
                <w:rFonts w:ascii="Arial" w:cs="Arial" w:eastAsia="Arial" w:hAnsi="Arial"/>
                <w:sz w:val="16"/>
                <w:szCs w:val="16"/>
                <w:color w:val="auto"/>
              </w:rPr>
              <w:t>FLE CV Management, Inc.</w:t>
            </w:r>
          </w:p>
        </w:tc>
        <w:tc>
          <w:tcPr>
            <w:tcW w:w="4420" w:type="dxa"/>
            <w:vAlign w:val="bottom"/>
          </w:tcPr>
          <w:p>
            <w:pPr>
              <w:ind w:left="340"/>
              <w:spacing w:after="0"/>
              <w:rPr>
                <w:sz w:val="20"/>
                <w:szCs w:val="20"/>
                <w:color w:val="auto"/>
              </w:rPr>
            </w:pPr>
            <w:r>
              <w:rPr>
                <w:rFonts w:ascii="Arial" w:cs="Arial" w:eastAsia="Arial" w:hAnsi="Arial"/>
                <w:sz w:val="16"/>
                <w:szCs w:val="16"/>
                <w:color w:val="auto"/>
              </w:rPr>
              <w:t>Delaware</w:t>
            </w:r>
          </w:p>
        </w:tc>
      </w:tr>
      <w:tr>
        <w:trPr>
          <w:trHeight w:val="206"/>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FLE Franchising Limited</w:t>
            </w:r>
          </w:p>
        </w:tc>
        <w:tc>
          <w:tcPr>
            <w:tcW w:w="4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Ireland</w:t>
            </w:r>
          </w:p>
        </w:tc>
      </w:tr>
      <w:tr>
        <w:trPr>
          <w:trHeight w:val="200"/>
        </w:trPr>
        <w:tc>
          <w:tcPr>
            <w:tcW w:w="4400" w:type="dxa"/>
            <w:vAlign w:val="bottom"/>
          </w:tcPr>
          <w:p>
            <w:pPr>
              <w:spacing w:after="0"/>
              <w:rPr>
                <w:sz w:val="20"/>
                <w:szCs w:val="20"/>
                <w:color w:val="auto"/>
              </w:rPr>
            </w:pPr>
            <w:r>
              <w:rPr>
                <w:rFonts w:ascii="Arial" w:cs="Arial" w:eastAsia="Arial" w:hAnsi="Arial"/>
                <w:sz w:val="16"/>
                <w:szCs w:val="16"/>
                <w:color w:val="auto"/>
              </w:rPr>
              <w:t>FLE Holdings Cooperatief U.A</w:t>
            </w:r>
          </w:p>
        </w:tc>
        <w:tc>
          <w:tcPr>
            <w:tcW w:w="4420" w:type="dxa"/>
            <w:vAlign w:val="bottom"/>
          </w:tcPr>
          <w:p>
            <w:pPr>
              <w:ind w:left="340"/>
              <w:spacing w:after="0"/>
              <w:rPr>
                <w:sz w:val="20"/>
                <w:szCs w:val="20"/>
                <w:color w:val="auto"/>
              </w:rPr>
            </w:pPr>
            <w:r>
              <w:rPr>
                <w:rFonts w:ascii="Arial" w:cs="Arial" w:eastAsia="Arial" w:hAnsi="Arial"/>
                <w:sz w:val="16"/>
                <w:szCs w:val="16"/>
                <w:color w:val="auto"/>
              </w:rPr>
              <w:t>Netherlands</w:t>
            </w:r>
          </w:p>
        </w:tc>
      </w:tr>
      <w:tr>
        <w:trPr>
          <w:trHeight w:val="206"/>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FLE Logistics B.V.</w:t>
            </w:r>
          </w:p>
        </w:tc>
        <w:tc>
          <w:tcPr>
            <w:tcW w:w="4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Netherlands</w:t>
            </w:r>
          </w:p>
        </w:tc>
      </w:tr>
      <w:tr>
        <w:trPr>
          <w:trHeight w:val="200"/>
        </w:trPr>
        <w:tc>
          <w:tcPr>
            <w:tcW w:w="4400" w:type="dxa"/>
            <w:vAlign w:val="bottom"/>
          </w:tcPr>
          <w:p>
            <w:pPr>
              <w:spacing w:after="0"/>
              <w:rPr>
                <w:sz w:val="20"/>
                <w:szCs w:val="20"/>
                <w:color w:val="auto"/>
              </w:rPr>
            </w:pPr>
            <w:r>
              <w:rPr>
                <w:rFonts w:ascii="Arial" w:cs="Arial" w:eastAsia="Arial" w:hAnsi="Arial"/>
                <w:sz w:val="16"/>
                <w:szCs w:val="16"/>
                <w:color w:val="auto"/>
              </w:rPr>
              <w:t>FLE Partners C.V.</w:t>
            </w:r>
          </w:p>
        </w:tc>
        <w:tc>
          <w:tcPr>
            <w:tcW w:w="4420" w:type="dxa"/>
            <w:vAlign w:val="bottom"/>
          </w:tcPr>
          <w:p>
            <w:pPr>
              <w:ind w:left="340"/>
              <w:spacing w:after="0"/>
              <w:rPr>
                <w:sz w:val="20"/>
                <w:szCs w:val="20"/>
                <w:color w:val="auto"/>
              </w:rPr>
            </w:pPr>
            <w:r>
              <w:rPr>
                <w:rFonts w:ascii="Arial" w:cs="Arial" w:eastAsia="Arial" w:hAnsi="Arial"/>
                <w:sz w:val="16"/>
                <w:szCs w:val="16"/>
                <w:color w:val="auto"/>
              </w:rPr>
              <w:t>Netherlands</w:t>
            </w:r>
          </w:p>
        </w:tc>
      </w:tr>
      <w:tr>
        <w:trPr>
          <w:trHeight w:val="206"/>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FLE Partners LLC</w:t>
            </w:r>
          </w:p>
        </w:tc>
        <w:tc>
          <w:tcPr>
            <w:tcW w:w="4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Delaware</w:t>
            </w:r>
          </w:p>
        </w:tc>
      </w:tr>
      <w:tr>
        <w:trPr>
          <w:trHeight w:val="200"/>
        </w:trPr>
        <w:tc>
          <w:tcPr>
            <w:tcW w:w="4400" w:type="dxa"/>
            <w:vAlign w:val="bottom"/>
          </w:tcPr>
          <w:p>
            <w:pPr>
              <w:spacing w:after="0"/>
              <w:rPr>
                <w:sz w:val="20"/>
                <w:szCs w:val="20"/>
                <w:color w:val="auto"/>
              </w:rPr>
            </w:pPr>
            <w:r>
              <w:rPr>
                <w:rFonts w:ascii="Arial" w:cs="Arial" w:eastAsia="Arial" w:hAnsi="Arial"/>
                <w:sz w:val="16"/>
                <w:szCs w:val="16"/>
                <w:color w:val="auto"/>
              </w:rPr>
              <w:t>Foot Locker Artigos desportivos e de tempos livres, Lda.</w:t>
            </w:r>
          </w:p>
        </w:tc>
        <w:tc>
          <w:tcPr>
            <w:tcW w:w="4420" w:type="dxa"/>
            <w:vAlign w:val="bottom"/>
          </w:tcPr>
          <w:p>
            <w:pPr>
              <w:ind w:left="340"/>
              <w:spacing w:after="0"/>
              <w:rPr>
                <w:sz w:val="20"/>
                <w:szCs w:val="20"/>
                <w:color w:val="auto"/>
              </w:rPr>
            </w:pPr>
            <w:r>
              <w:rPr>
                <w:rFonts w:ascii="Arial" w:cs="Arial" w:eastAsia="Arial" w:hAnsi="Arial"/>
                <w:sz w:val="16"/>
                <w:szCs w:val="16"/>
                <w:color w:val="auto"/>
              </w:rPr>
              <w:t>Portugal</w:t>
            </w:r>
          </w:p>
        </w:tc>
      </w:tr>
      <w:tr>
        <w:trPr>
          <w:trHeight w:val="206"/>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Foot Locker Australia, Inc.</w:t>
            </w:r>
          </w:p>
        </w:tc>
        <w:tc>
          <w:tcPr>
            <w:tcW w:w="4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Delaware</w:t>
            </w:r>
          </w:p>
        </w:tc>
      </w:tr>
      <w:tr>
        <w:trPr>
          <w:trHeight w:val="200"/>
        </w:trPr>
        <w:tc>
          <w:tcPr>
            <w:tcW w:w="4400" w:type="dxa"/>
            <w:vAlign w:val="bottom"/>
          </w:tcPr>
          <w:p>
            <w:pPr>
              <w:spacing w:after="0"/>
              <w:rPr>
                <w:sz w:val="20"/>
                <w:szCs w:val="20"/>
                <w:color w:val="auto"/>
              </w:rPr>
            </w:pPr>
            <w:r>
              <w:rPr>
                <w:rFonts w:ascii="Arial" w:cs="Arial" w:eastAsia="Arial" w:hAnsi="Arial"/>
                <w:sz w:val="16"/>
                <w:szCs w:val="16"/>
                <w:color w:val="auto"/>
              </w:rPr>
              <w:t>Foot Locker Austria GmbH</w:t>
            </w:r>
          </w:p>
        </w:tc>
        <w:tc>
          <w:tcPr>
            <w:tcW w:w="4420" w:type="dxa"/>
            <w:vAlign w:val="bottom"/>
          </w:tcPr>
          <w:p>
            <w:pPr>
              <w:ind w:left="340"/>
              <w:spacing w:after="0"/>
              <w:rPr>
                <w:sz w:val="20"/>
                <w:szCs w:val="20"/>
                <w:color w:val="auto"/>
              </w:rPr>
            </w:pPr>
            <w:r>
              <w:rPr>
                <w:rFonts w:ascii="Arial" w:cs="Arial" w:eastAsia="Arial" w:hAnsi="Arial"/>
                <w:sz w:val="16"/>
                <w:szCs w:val="16"/>
                <w:color w:val="auto"/>
              </w:rPr>
              <w:t>Austria</w:t>
            </w:r>
          </w:p>
        </w:tc>
      </w:tr>
      <w:tr>
        <w:trPr>
          <w:trHeight w:val="206"/>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Foot Locker Belgium B.V.B.A.</w:t>
            </w:r>
          </w:p>
        </w:tc>
        <w:tc>
          <w:tcPr>
            <w:tcW w:w="4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Belgium</w:t>
            </w:r>
          </w:p>
        </w:tc>
      </w:tr>
      <w:tr>
        <w:trPr>
          <w:trHeight w:val="200"/>
        </w:trPr>
        <w:tc>
          <w:tcPr>
            <w:tcW w:w="4400" w:type="dxa"/>
            <w:vAlign w:val="bottom"/>
          </w:tcPr>
          <w:p>
            <w:pPr>
              <w:spacing w:after="0"/>
              <w:rPr>
                <w:sz w:val="20"/>
                <w:szCs w:val="20"/>
                <w:color w:val="auto"/>
              </w:rPr>
            </w:pPr>
            <w:r>
              <w:rPr>
                <w:rFonts w:ascii="Arial" w:cs="Arial" w:eastAsia="Arial" w:hAnsi="Arial"/>
                <w:sz w:val="16"/>
                <w:szCs w:val="16"/>
                <w:color w:val="auto"/>
              </w:rPr>
              <w:t>Foot Locker Canada Co.</w:t>
            </w:r>
          </w:p>
        </w:tc>
        <w:tc>
          <w:tcPr>
            <w:tcW w:w="4420" w:type="dxa"/>
            <w:vAlign w:val="bottom"/>
          </w:tcPr>
          <w:p>
            <w:pPr>
              <w:ind w:left="340"/>
              <w:spacing w:after="0"/>
              <w:rPr>
                <w:sz w:val="20"/>
                <w:szCs w:val="20"/>
                <w:color w:val="auto"/>
              </w:rPr>
            </w:pPr>
            <w:r>
              <w:rPr>
                <w:rFonts w:ascii="Arial" w:cs="Arial" w:eastAsia="Arial" w:hAnsi="Arial"/>
                <w:sz w:val="16"/>
                <w:szCs w:val="16"/>
                <w:color w:val="auto"/>
              </w:rPr>
              <w:t>Canada</w:t>
            </w:r>
          </w:p>
        </w:tc>
      </w:tr>
      <w:tr>
        <w:trPr>
          <w:trHeight w:val="206"/>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Foot Locker Corporate Services, Inc.</w:t>
            </w:r>
          </w:p>
        </w:tc>
        <w:tc>
          <w:tcPr>
            <w:tcW w:w="4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Delaware</w:t>
            </w:r>
          </w:p>
        </w:tc>
      </w:tr>
      <w:tr>
        <w:trPr>
          <w:trHeight w:val="200"/>
        </w:trPr>
        <w:tc>
          <w:tcPr>
            <w:tcW w:w="4400" w:type="dxa"/>
            <w:vAlign w:val="bottom"/>
          </w:tcPr>
          <w:p>
            <w:pPr>
              <w:spacing w:after="0"/>
              <w:rPr>
                <w:sz w:val="20"/>
                <w:szCs w:val="20"/>
                <w:color w:val="auto"/>
              </w:rPr>
            </w:pPr>
            <w:r>
              <w:rPr>
                <w:rFonts w:ascii="Arial" w:cs="Arial" w:eastAsia="Arial" w:hAnsi="Arial"/>
                <w:sz w:val="16"/>
                <w:szCs w:val="16"/>
                <w:color w:val="auto"/>
              </w:rPr>
              <w:t>Foot Locker Czech Republic s.r.o.</w:t>
            </w:r>
          </w:p>
        </w:tc>
        <w:tc>
          <w:tcPr>
            <w:tcW w:w="4420" w:type="dxa"/>
            <w:vAlign w:val="bottom"/>
          </w:tcPr>
          <w:p>
            <w:pPr>
              <w:ind w:left="340"/>
              <w:spacing w:after="0"/>
              <w:rPr>
                <w:sz w:val="20"/>
                <w:szCs w:val="20"/>
                <w:color w:val="auto"/>
              </w:rPr>
            </w:pPr>
            <w:r>
              <w:rPr>
                <w:rFonts w:ascii="Arial" w:cs="Arial" w:eastAsia="Arial" w:hAnsi="Arial"/>
                <w:sz w:val="16"/>
                <w:szCs w:val="16"/>
                <w:color w:val="auto"/>
              </w:rPr>
              <w:t>Czech Republic</w:t>
            </w:r>
          </w:p>
        </w:tc>
      </w:tr>
      <w:tr>
        <w:trPr>
          <w:trHeight w:val="206"/>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Foot Locker Denmark B.V.</w:t>
            </w:r>
          </w:p>
        </w:tc>
        <w:tc>
          <w:tcPr>
            <w:tcW w:w="4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Netherlands</w:t>
            </w:r>
          </w:p>
        </w:tc>
      </w:tr>
      <w:tr>
        <w:trPr>
          <w:trHeight w:val="200"/>
        </w:trPr>
        <w:tc>
          <w:tcPr>
            <w:tcW w:w="4400" w:type="dxa"/>
            <w:vAlign w:val="bottom"/>
          </w:tcPr>
          <w:p>
            <w:pPr>
              <w:spacing w:after="0"/>
              <w:rPr>
                <w:sz w:val="20"/>
                <w:szCs w:val="20"/>
                <w:color w:val="auto"/>
              </w:rPr>
            </w:pPr>
            <w:r>
              <w:rPr>
                <w:rFonts w:ascii="Arial" w:cs="Arial" w:eastAsia="Arial" w:hAnsi="Arial"/>
                <w:sz w:val="16"/>
                <w:szCs w:val="16"/>
                <w:color w:val="auto"/>
              </w:rPr>
              <w:t>Foot Locker ETVE, Inc.</w:t>
            </w:r>
          </w:p>
        </w:tc>
        <w:tc>
          <w:tcPr>
            <w:tcW w:w="4420" w:type="dxa"/>
            <w:vAlign w:val="bottom"/>
          </w:tcPr>
          <w:p>
            <w:pPr>
              <w:ind w:left="340"/>
              <w:spacing w:after="0"/>
              <w:rPr>
                <w:sz w:val="20"/>
                <w:szCs w:val="20"/>
                <w:color w:val="auto"/>
              </w:rPr>
            </w:pPr>
            <w:r>
              <w:rPr>
                <w:rFonts w:ascii="Arial" w:cs="Arial" w:eastAsia="Arial" w:hAnsi="Arial"/>
                <w:sz w:val="16"/>
                <w:szCs w:val="16"/>
                <w:color w:val="auto"/>
              </w:rPr>
              <w:t>Delaware</w:t>
            </w:r>
          </w:p>
        </w:tc>
      </w:tr>
      <w:tr>
        <w:trPr>
          <w:trHeight w:val="206"/>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Foot Locker Europe B.V.</w:t>
            </w:r>
          </w:p>
        </w:tc>
        <w:tc>
          <w:tcPr>
            <w:tcW w:w="4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Netherlands</w:t>
            </w:r>
          </w:p>
        </w:tc>
      </w:tr>
      <w:tr>
        <w:trPr>
          <w:trHeight w:val="200"/>
        </w:trPr>
        <w:tc>
          <w:tcPr>
            <w:tcW w:w="4400" w:type="dxa"/>
            <w:vAlign w:val="bottom"/>
          </w:tcPr>
          <w:p>
            <w:pPr>
              <w:spacing w:after="0"/>
              <w:rPr>
                <w:sz w:val="20"/>
                <w:szCs w:val="20"/>
                <w:color w:val="auto"/>
              </w:rPr>
            </w:pPr>
            <w:r>
              <w:rPr>
                <w:rFonts w:ascii="Arial" w:cs="Arial" w:eastAsia="Arial" w:hAnsi="Arial"/>
                <w:sz w:val="16"/>
                <w:szCs w:val="16"/>
                <w:color w:val="auto"/>
              </w:rPr>
              <w:t>Foot Locker Europe.com B.V.</w:t>
            </w:r>
          </w:p>
        </w:tc>
        <w:tc>
          <w:tcPr>
            <w:tcW w:w="4420" w:type="dxa"/>
            <w:vAlign w:val="bottom"/>
          </w:tcPr>
          <w:p>
            <w:pPr>
              <w:ind w:left="340"/>
              <w:spacing w:after="0"/>
              <w:rPr>
                <w:sz w:val="20"/>
                <w:szCs w:val="20"/>
                <w:color w:val="auto"/>
              </w:rPr>
            </w:pPr>
            <w:r>
              <w:rPr>
                <w:rFonts w:ascii="Arial" w:cs="Arial" w:eastAsia="Arial" w:hAnsi="Arial"/>
                <w:sz w:val="16"/>
                <w:szCs w:val="16"/>
                <w:color w:val="auto"/>
              </w:rPr>
              <w:t>Netherlands</w:t>
            </w:r>
          </w:p>
        </w:tc>
      </w:tr>
      <w:tr>
        <w:trPr>
          <w:trHeight w:val="206"/>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Foot Locker Europe.com GmbH</w:t>
            </w:r>
          </w:p>
        </w:tc>
        <w:tc>
          <w:tcPr>
            <w:tcW w:w="4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Germany</w:t>
            </w:r>
          </w:p>
        </w:tc>
      </w:tr>
      <w:tr>
        <w:trPr>
          <w:trHeight w:val="200"/>
        </w:trPr>
        <w:tc>
          <w:tcPr>
            <w:tcW w:w="4400" w:type="dxa"/>
            <w:vAlign w:val="bottom"/>
          </w:tcPr>
          <w:p>
            <w:pPr>
              <w:spacing w:after="0"/>
              <w:rPr>
                <w:sz w:val="20"/>
                <w:szCs w:val="20"/>
                <w:color w:val="auto"/>
              </w:rPr>
            </w:pPr>
            <w:r>
              <w:rPr>
                <w:rFonts w:ascii="Arial" w:cs="Arial" w:eastAsia="Arial" w:hAnsi="Arial"/>
                <w:sz w:val="16"/>
                <w:szCs w:val="16"/>
                <w:color w:val="auto"/>
              </w:rPr>
              <w:t>Foot Locker France S.A.S.</w:t>
            </w:r>
          </w:p>
        </w:tc>
        <w:tc>
          <w:tcPr>
            <w:tcW w:w="4420" w:type="dxa"/>
            <w:vAlign w:val="bottom"/>
          </w:tcPr>
          <w:p>
            <w:pPr>
              <w:ind w:left="340"/>
              <w:spacing w:after="0"/>
              <w:rPr>
                <w:sz w:val="20"/>
                <w:szCs w:val="20"/>
                <w:color w:val="auto"/>
              </w:rPr>
            </w:pPr>
            <w:r>
              <w:rPr>
                <w:rFonts w:ascii="Arial" w:cs="Arial" w:eastAsia="Arial" w:hAnsi="Arial"/>
                <w:sz w:val="16"/>
                <w:szCs w:val="16"/>
                <w:color w:val="auto"/>
              </w:rPr>
              <w:t>France</w:t>
            </w:r>
          </w:p>
        </w:tc>
      </w:tr>
      <w:tr>
        <w:trPr>
          <w:trHeight w:val="206"/>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Foot Locker Germany GmbH &amp; Co. KG</w:t>
            </w:r>
          </w:p>
        </w:tc>
        <w:tc>
          <w:tcPr>
            <w:tcW w:w="4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Germany</w:t>
            </w:r>
          </w:p>
        </w:tc>
      </w:tr>
      <w:tr>
        <w:trPr>
          <w:trHeight w:val="200"/>
        </w:trPr>
        <w:tc>
          <w:tcPr>
            <w:tcW w:w="4400" w:type="dxa"/>
            <w:vAlign w:val="bottom"/>
          </w:tcPr>
          <w:p>
            <w:pPr>
              <w:spacing w:after="0"/>
              <w:rPr>
                <w:sz w:val="20"/>
                <w:szCs w:val="20"/>
                <w:color w:val="auto"/>
              </w:rPr>
            </w:pPr>
            <w:r>
              <w:rPr>
                <w:rFonts w:ascii="Arial" w:cs="Arial" w:eastAsia="Arial" w:hAnsi="Arial"/>
                <w:sz w:val="16"/>
                <w:szCs w:val="16"/>
                <w:color w:val="auto"/>
              </w:rPr>
              <w:t>Foot Locker Greece Athletic Goods Ltd.</w:t>
            </w:r>
          </w:p>
        </w:tc>
        <w:tc>
          <w:tcPr>
            <w:tcW w:w="4420" w:type="dxa"/>
            <w:vAlign w:val="bottom"/>
          </w:tcPr>
          <w:p>
            <w:pPr>
              <w:ind w:left="340"/>
              <w:spacing w:after="0"/>
              <w:rPr>
                <w:sz w:val="20"/>
                <w:szCs w:val="20"/>
                <w:color w:val="auto"/>
              </w:rPr>
            </w:pPr>
            <w:r>
              <w:rPr>
                <w:rFonts w:ascii="Arial" w:cs="Arial" w:eastAsia="Arial" w:hAnsi="Arial"/>
                <w:sz w:val="16"/>
                <w:szCs w:val="16"/>
                <w:color w:val="auto"/>
              </w:rPr>
              <w:t>Greece</w:t>
            </w:r>
          </w:p>
        </w:tc>
      </w:tr>
      <w:tr>
        <w:trPr>
          <w:trHeight w:val="206"/>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Foot Locker Hungary Kft</w:t>
            </w:r>
          </w:p>
        </w:tc>
        <w:tc>
          <w:tcPr>
            <w:tcW w:w="4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Hungary</w:t>
            </w:r>
          </w:p>
        </w:tc>
      </w:tr>
      <w:tr>
        <w:trPr>
          <w:trHeight w:val="200"/>
        </w:trPr>
        <w:tc>
          <w:tcPr>
            <w:tcW w:w="4400" w:type="dxa"/>
            <w:vAlign w:val="bottom"/>
          </w:tcPr>
          <w:p>
            <w:pPr>
              <w:spacing w:after="0"/>
              <w:rPr>
                <w:sz w:val="20"/>
                <w:szCs w:val="20"/>
                <w:color w:val="auto"/>
              </w:rPr>
            </w:pPr>
            <w:r>
              <w:rPr>
                <w:rFonts w:ascii="Arial" w:cs="Arial" w:eastAsia="Arial" w:hAnsi="Arial"/>
                <w:sz w:val="16"/>
                <w:szCs w:val="16"/>
                <w:color w:val="auto"/>
              </w:rPr>
              <w:t>Foot Locker Istanbul Sport Giyim Sanayi ve Ticaret LS</w:t>
            </w:r>
          </w:p>
        </w:tc>
        <w:tc>
          <w:tcPr>
            <w:tcW w:w="4420" w:type="dxa"/>
            <w:vAlign w:val="bottom"/>
          </w:tcPr>
          <w:p>
            <w:pPr>
              <w:ind w:left="340"/>
              <w:spacing w:after="0"/>
              <w:rPr>
                <w:sz w:val="20"/>
                <w:szCs w:val="20"/>
                <w:color w:val="auto"/>
              </w:rPr>
            </w:pPr>
            <w:r>
              <w:rPr>
                <w:rFonts w:ascii="Arial" w:cs="Arial" w:eastAsia="Arial" w:hAnsi="Arial"/>
                <w:sz w:val="16"/>
                <w:szCs w:val="16"/>
                <w:color w:val="auto"/>
              </w:rPr>
              <w:t>Turkey</w:t>
            </w:r>
          </w:p>
        </w:tc>
      </w:tr>
      <w:tr>
        <w:trPr>
          <w:trHeight w:val="206"/>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Foot Locker Italy S.r.l.</w:t>
            </w:r>
          </w:p>
        </w:tc>
        <w:tc>
          <w:tcPr>
            <w:tcW w:w="4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Italy</w:t>
            </w:r>
          </w:p>
        </w:tc>
      </w:tr>
      <w:tr>
        <w:trPr>
          <w:trHeight w:val="200"/>
        </w:trPr>
        <w:tc>
          <w:tcPr>
            <w:tcW w:w="4400" w:type="dxa"/>
            <w:vAlign w:val="bottom"/>
          </w:tcPr>
          <w:p>
            <w:pPr>
              <w:spacing w:after="0"/>
              <w:rPr>
                <w:sz w:val="20"/>
                <w:szCs w:val="20"/>
                <w:color w:val="auto"/>
              </w:rPr>
            </w:pPr>
            <w:r>
              <w:rPr>
                <w:rFonts w:ascii="Arial" w:cs="Arial" w:eastAsia="Arial" w:hAnsi="Arial"/>
                <w:sz w:val="16"/>
                <w:szCs w:val="16"/>
                <w:color w:val="auto"/>
              </w:rPr>
              <w:t>Foot Locker Netherlands B.V.</w:t>
            </w:r>
          </w:p>
        </w:tc>
        <w:tc>
          <w:tcPr>
            <w:tcW w:w="4420" w:type="dxa"/>
            <w:vAlign w:val="bottom"/>
          </w:tcPr>
          <w:p>
            <w:pPr>
              <w:ind w:left="340"/>
              <w:spacing w:after="0"/>
              <w:rPr>
                <w:sz w:val="20"/>
                <w:szCs w:val="20"/>
                <w:color w:val="auto"/>
              </w:rPr>
            </w:pPr>
            <w:r>
              <w:rPr>
                <w:rFonts w:ascii="Arial" w:cs="Arial" w:eastAsia="Arial" w:hAnsi="Arial"/>
                <w:sz w:val="16"/>
                <w:szCs w:val="16"/>
                <w:color w:val="auto"/>
              </w:rPr>
              <w:t>Netherlands</w:t>
            </w:r>
          </w:p>
        </w:tc>
      </w:tr>
      <w:tr>
        <w:trPr>
          <w:trHeight w:val="206"/>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Foot Locker New Zealand, Inc.</w:t>
            </w:r>
          </w:p>
        </w:tc>
        <w:tc>
          <w:tcPr>
            <w:tcW w:w="4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Delaware</w:t>
            </w:r>
          </w:p>
        </w:tc>
      </w:tr>
      <w:tr>
        <w:trPr>
          <w:trHeight w:val="200"/>
        </w:trPr>
        <w:tc>
          <w:tcPr>
            <w:tcW w:w="4400" w:type="dxa"/>
            <w:vAlign w:val="bottom"/>
          </w:tcPr>
          <w:p>
            <w:pPr>
              <w:spacing w:after="0"/>
              <w:rPr>
                <w:sz w:val="20"/>
                <w:szCs w:val="20"/>
                <w:color w:val="auto"/>
              </w:rPr>
            </w:pPr>
            <w:r>
              <w:rPr>
                <w:rFonts w:ascii="Arial" w:cs="Arial" w:eastAsia="Arial" w:hAnsi="Arial"/>
                <w:sz w:val="16"/>
                <w:szCs w:val="16"/>
                <w:color w:val="auto"/>
              </w:rPr>
              <w:t>Foot Locker Norway B.V.</w:t>
            </w:r>
          </w:p>
        </w:tc>
        <w:tc>
          <w:tcPr>
            <w:tcW w:w="4420" w:type="dxa"/>
            <w:vAlign w:val="bottom"/>
          </w:tcPr>
          <w:p>
            <w:pPr>
              <w:ind w:left="340"/>
              <w:spacing w:after="0"/>
              <w:rPr>
                <w:sz w:val="20"/>
                <w:szCs w:val="20"/>
                <w:color w:val="auto"/>
              </w:rPr>
            </w:pPr>
            <w:r>
              <w:rPr>
                <w:rFonts w:ascii="Arial" w:cs="Arial" w:eastAsia="Arial" w:hAnsi="Arial"/>
                <w:sz w:val="16"/>
                <w:szCs w:val="16"/>
                <w:color w:val="auto"/>
              </w:rPr>
              <w:t>Netherlands</w:t>
            </w:r>
          </w:p>
        </w:tc>
      </w:tr>
      <w:tr>
        <w:trPr>
          <w:trHeight w:val="206"/>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Foot Locker Poland Sp. z o.o.</w:t>
            </w:r>
          </w:p>
        </w:tc>
        <w:tc>
          <w:tcPr>
            <w:tcW w:w="4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Poland</w:t>
            </w:r>
          </w:p>
        </w:tc>
      </w:tr>
      <w:tr>
        <w:trPr>
          <w:trHeight w:val="200"/>
        </w:trPr>
        <w:tc>
          <w:tcPr>
            <w:tcW w:w="4400" w:type="dxa"/>
            <w:vAlign w:val="bottom"/>
          </w:tcPr>
          <w:p>
            <w:pPr>
              <w:spacing w:after="0"/>
              <w:rPr>
                <w:sz w:val="20"/>
                <w:szCs w:val="20"/>
                <w:color w:val="auto"/>
              </w:rPr>
            </w:pPr>
            <w:r>
              <w:rPr>
                <w:rFonts w:ascii="Arial" w:cs="Arial" w:eastAsia="Arial" w:hAnsi="Arial"/>
                <w:sz w:val="16"/>
                <w:szCs w:val="16"/>
                <w:color w:val="auto"/>
              </w:rPr>
              <w:t>Foot Locker Retail Ireland Limited</w:t>
            </w:r>
          </w:p>
        </w:tc>
        <w:tc>
          <w:tcPr>
            <w:tcW w:w="4420" w:type="dxa"/>
            <w:vAlign w:val="bottom"/>
          </w:tcPr>
          <w:p>
            <w:pPr>
              <w:ind w:left="340"/>
              <w:spacing w:after="0"/>
              <w:rPr>
                <w:sz w:val="20"/>
                <w:szCs w:val="20"/>
                <w:color w:val="auto"/>
              </w:rPr>
            </w:pPr>
            <w:r>
              <w:rPr>
                <w:rFonts w:ascii="Arial" w:cs="Arial" w:eastAsia="Arial" w:hAnsi="Arial"/>
                <w:sz w:val="16"/>
                <w:szCs w:val="16"/>
                <w:color w:val="auto"/>
              </w:rPr>
              <w:t>Ireland</w:t>
            </w:r>
          </w:p>
        </w:tc>
      </w:tr>
      <w:tr>
        <w:trPr>
          <w:trHeight w:val="206"/>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Foot Locker Retail, Inc.</w:t>
            </w:r>
          </w:p>
        </w:tc>
        <w:tc>
          <w:tcPr>
            <w:tcW w:w="4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New York</w:t>
            </w:r>
          </w:p>
        </w:tc>
      </w:tr>
      <w:tr>
        <w:trPr>
          <w:trHeight w:val="200"/>
        </w:trPr>
        <w:tc>
          <w:tcPr>
            <w:tcW w:w="4400" w:type="dxa"/>
            <w:vAlign w:val="bottom"/>
          </w:tcPr>
          <w:p>
            <w:pPr>
              <w:spacing w:after="0"/>
              <w:rPr>
                <w:sz w:val="20"/>
                <w:szCs w:val="20"/>
                <w:color w:val="auto"/>
              </w:rPr>
            </w:pPr>
            <w:r>
              <w:rPr>
                <w:rFonts w:ascii="Arial" w:cs="Arial" w:eastAsia="Arial" w:hAnsi="Arial"/>
                <w:sz w:val="16"/>
                <w:szCs w:val="16"/>
                <w:color w:val="auto"/>
              </w:rPr>
              <w:t>Foot Locker Scandinavia B.V.</w:t>
            </w:r>
          </w:p>
        </w:tc>
        <w:tc>
          <w:tcPr>
            <w:tcW w:w="4420" w:type="dxa"/>
            <w:vAlign w:val="bottom"/>
          </w:tcPr>
          <w:p>
            <w:pPr>
              <w:ind w:left="340"/>
              <w:spacing w:after="0"/>
              <w:rPr>
                <w:sz w:val="20"/>
                <w:szCs w:val="20"/>
                <w:color w:val="auto"/>
              </w:rPr>
            </w:pPr>
            <w:r>
              <w:rPr>
                <w:rFonts w:ascii="Arial" w:cs="Arial" w:eastAsia="Arial" w:hAnsi="Arial"/>
                <w:sz w:val="16"/>
                <w:szCs w:val="16"/>
                <w:color w:val="auto"/>
              </w:rPr>
              <w:t>Netherlands</w:t>
            </w:r>
          </w:p>
        </w:tc>
      </w:tr>
      <w:tr>
        <w:trPr>
          <w:trHeight w:val="206"/>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Foot Locker Sourcing, Inc.</w:t>
            </w:r>
          </w:p>
        </w:tc>
        <w:tc>
          <w:tcPr>
            <w:tcW w:w="4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Delaware</w:t>
            </w:r>
          </w:p>
        </w:tc>
      </w:tr>
      <w:tr>
        <w:trPr>
          <w:trHeight w:val="200"/>
        </w:trPr>
        <w:tc>
          <w:tcPr>
            <w:tcW w:w="4400" w:type="dxa"/>
            <w:vAlign w:val="bottom"/>
          </w:tcPr>
          <w:p>
            <w:pPr>
              <w:spacing w:after="0"/>
              <w:rPr>
                <w:sz w:val="20"/>
                <w:szCs w:val="20"/>
                <w:color w:val="auto"/>
              </w:rPr>
            </w:pPr>
            <w:r>
              <w:rPr>
                <w:rFonts w:ascii="Arial" w:cs="Arial" w:eastAsia="Arial" w:hAnsi="Arial"/>
                <w:sz w:val="16"/>
                <w:szCs w:val="16"/>
                <w:color w:val="auto"/>
              </w:rPr>
              <w:t>Foot Locker Spain C.V.</w:t>
            </w:r>
          </w:p>
        </w:tc>
        <w:tc>
          <w:tcPr>
            <w:tcW w:w="4420" w:type="dxa"/>
            <w:vAlign w:val="bottom"/>
          </w:tcPr>
          <w:p>
            <w:pPr>
              <w:ind w:left="340"/>
              <w:spacing w:after="0"/>
              <w:rPr>
                <w:sz w:val="20"/>
                <w:szCs w:val="20"/>
                <w:color w:val="auto"/>
              </w:rPr>
            </w:pPr>
            <w:r>
              <w:rPr>
                <w:rFonts w:ascii="Arial" w:cs="Arial" w:eastAsia="Arial" w:hAnsi="Arial"/>
                <w:sz w:val="16"/>
                <w:szCs w:val="16"/>
                <w:color w:val="auto"/>
              </w:rPr>
              <w:t>Netherlands</w:t>
            </w:r>
          </w:p>
        </w:tc>
      </w:tr>
      <w:tr>
        <w:trPr>
          <w:trHeight w:val="206"/>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Foot Locker Spain S.L.</w:t>
            </w:r>
          </w:p>
        </w:tc>
        <w:tc>
          <w:tcPr>
            <w:tcW w:w="4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Spain</w:t>
            </w:r>
          </w:p>
        </w:tc>
      </w:tr>
      <w:tr>
        <w:trPr>
          <w:trHeight w:val="200"/>
        </w:trPr>
        <w:tc>
          <w:tcPr>
            <w:tcW w:w="4400" w:type="dxa"/>
            <w:vAlign w:val="bottom"/>
          </w:tcPr>
          <w:p>
            <w:pPr>
              <w:spacing w:after="0"/>
              <w:rPr>
                <w:sz w:val="20"/>
                <w:szCs w:val="20"/>
                <w:color w:val="auto"/>
              </w:rPr>
            </w:pPr>
            <w:r>
              <w:rPr>
                <w:rFonts w:ascii="Arial" w:cs="Arial" w:eastAsia="Arial" w:hAnsi="Arial"/>
                <w:sz w:val="16"/>
                <w:szCs w:val="16"/>
                <w:color w:val="auto"/>
              </w:rPr>
              <w:t>Foot Locker Specialty, Inc.</w:t>
            </w:r>
          </w:p>
        </w:tc>
        <w:tc>
          <w:tcPr>
            <w:tcW w:w="4420" w:type="dxa"/>
            <w:vAlign w:val="bottom"/>
          </w:tcPr>
          <w:p>
            <w:pPr>
              <w:ind w:left="340"/>
              <w:spacing w:after="0"/>
              <w:rPr>
                <w:sz w:val="20"/>
                <w:szCs w:val="20"/>
                <w:color w:val="auto"/>
              </w:rPr>
            </w:pPr>
            <w:r>
              <w:rPr>
                <w:rFonts w:ascii="Arial" w:cs="Arial" w:eastAsia="Arial" w:hAnsi="Arial"/>
                <w:sz w:val="16"/>
                <w:szCs w:val="16"/>
                <w:color w:val="auto"/>
              </w:rPr>
              <w:t>New York</w:t>
            </w:r>
          </w:p>
        </w:tc>
      </w:tr>
      <w:tr>
        <w:trPr>
          <w:trHeight w:val="206"/>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Foot Locker Stores, Inc.</w:t>
            </w:r>
          </w:p>
        </w:tc>
        <w:tc>
          <w:tcPr>
            <w:tcW w:w="4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Delaware</w:t>
            </w:r>
          </w:p>
        </w:tc>
      </w:tr>
      <w:tr>
        <w:trPr>
          <w:trHeight w:val="200"/>
        </w:trPr>
        <w:tc>
          <w:tcPr>
            <w:tcW w:w="4400" w:type="dxa"/>
            <w:vAlign w:val="bottom"/>
          </w:tcPr>
          <w:p>
            <w:pPr>
              <w:spacing w:after="0"/>
              <w:rPr>
                <w:sz w:val="20"/>
                <w:szCs w:val="20"/>
                <w:color w:val="auto"/>
              </w:rPr>
            </w:pPr>
            <w:r>
              <w:rPr>
                <w:rFonts w:ascii="Arial" w:cs="Arial" w:eastAsia="Arial" w:hAnsi="Arial"/>
                <w:sz w:val="16"/>
                <w:szCs w:val="16"/>
                <w:color w:val="auto"/>
              </w:rPr>
              <w:t>Foot Locker Switzerland LLC</w:t>
            </w:r>
          </w:p>
        </w:tc>
        <w:tc>
          <w:tcPr>
            <w:tcW w:w="4420" w:type="dxa"/>
            <w:vAlign w:val="bottom"/>
          </w:tcPr>
          <w:p>
            <w:pPr>
              <w:ind w:left="340"/>
              <w:spacing w:after="0"/>
              <w:rPr>
                <w:sz w:val="20"/>
                <w:szCs w:val="20"/>
                <w:color w:val="auto"/>
              </w:rPr>
            </w:pPr>
            <w:r>
              <w:rPr>
                <w:rFonts w:ascii="Arial" w:cs="Arial" w:eastAsia="Arial" w:hAnsi="Arial"/>
                <w:sz w:val="16"/>
                <w:szCs w:val="16"/>
                <w:color w:val="auto"/>
              </w:rPr>
              <w:t>Switzerland</w:t>
            </w:r>
          </w:p>
        </w:tc>
      </w:tr>
      <w:tr>
        <w:trPr>
          <w:trHeight w:val="206"/>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Footlocker.com, Inc.</w:t>
            </w:r>
          </w:p>
        </w:tc>
        <w:tc>
          <w:tcPr>
            <w:tcW w:w="4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Delaware</w:t>
            </w:r>
          </w:p>
        </w:tc>
      </w:tr>
      <w:tr>
        <w:trPr>
          <w:trHeight w:val="200"/>
        </w:trPr>
        <w:tc>
          <w:tcPr>
            <w:tcW w:w="4400" w:type="dxa"/>
            <w:vAlign w:val="bottom"/>
          </w:tcPr>
          <w:p>
            <w:pPr>
              <w:spacing w:after="0"/>
              <w:rPr>
                <w:sz w:val="20"/>
                <w:szCs w:val="20"/>
                <w:color w:val="auto"/>
              </w:rPr>
            </w:pPr>
            <w:r>
              <w:rPr>
                <w:rFonts w:ascii="Arial" w:cs="Arial" w:eastAsia="Arial" w:hAnsi="Arial"/>
                <w:sz w:val="16"/>
                <w:szCs w:val="16"/>
                <w:color w:val="auto"/>
              </w:rPr>
              <w:t>Freedom Sportsline Limited</w:t>
            </w:r>
          </w:p>
        </w:tc>
        <w:tc>
          <w:tcPr>
            <w:tcW w:w="4420" w:type="dxa"/>
            <w:vAlign w:val="bottom"/>
          </w:tcPr>
          <w:p>
            <w:pPr>
              <w:ind w:left="340"/>
              <w:spacing w:after="0"/>
              <w:rPr>
                <w:sz w:val="20"/>
                <w:szCs w:val="20"/>
                <w:color w:val="auto"/>
              </w:rPr>
            </w:pPr>
            <w:r>
              <w:rPr>
                <w:rFonts w:ascii="Arial" w:cs="Arial" w:eastAsia="Arial" w:hAnsi="Arial"/>
                <w:sz w:val="16"/>
                <w:szCs w:val="16"/>
                <w:color w:val="auto"/>
              </w:rPr>
              <w:t>United Kingdom</w:t>
            </w:r>
          </w:p>
        </w:tc>
      </w:tr>
      <w:tr>
        <w:trPr>
          <w:trHeight w:val="206"/>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RPG Logistics GmbH</w:t>
            </w:r>
          </w:p>
        </w:tc>
        <w:tc>
          <w:tcPr>
            <w:tcW w:w="4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Germany</w:t>
            </w:r>
          </w:p>
        </w:tc>
      </w:tr>
      <w:tr>
        <w:trPr>
          <w:trHeight w:val="200"/>
        </w:trPr>
        <w:tc>
          <w:tcPr>
            <w:tcW w:w="4400" w:type="dxa"/>
            <w:vAlign w:val="bottom"/>
          </w:tcPr>
          <w:p>
            <w:pPr>
              <w:spacing w:after="0"/>
              <w:rPr>
                <w:sz w:val="20"/>
                <w:szCs w:val="20"/>
                <w:color w:val="auto"/>
              </w:rPr>
            </w:pPr>
            <w:r>
              <w:rPr>
                <w:rFonts w:ascii="Arial" w:cs="Arial" w:eastAsia="Arial" w:hAnsi="Arial"/>
                <w:sz w:val="16"/>
                <w:szCs w:val="16"/>
                <w:color w:val="auto"/>
              </w:rPr>
              <w:t>Runners Point Administration GmbH</w:t>
            </w:r>
          </w:p>
        </w:tc>
        <w:tc>
          <w:tcPr>
            <w:tcW w:w="4420" w:type="dxa"/>
            <w:vAlign w:val="bottom"/>
          </w:tcPr>
          <w:p>
            <w:pPr>
              <w:ind w:left="340"/>
              <w:spacing w:after="0"/>
              <w:rPr>
                <w:sz w:val="20"/>
                <w:szCs w:val="20"/>
                <w:color w:val="auto"/>
              </w:rPr>
            </w:pPr>
            <w:r>
              <w:rPr>
                <w:rFonts w:ascii="Arial" w:cs="Arial" w:eastAsia="Arial" w:hAnsi="Arial"/>
                <w:sz w:val="16"/>
                <w:szCs w:val="16"/>
                <w:color w:val="auto"/>
              </w:rPr>
              <w:t>Germany</w:t>
            </w:r>
          </w:p>
        </w:tc>
      </w:tr>
      <w:tr>
        <w:trPr>
          <w:trHeight w:val="206"/>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Runners Point B.V. &amp; Co. K.G.</w:t>
            </w:r>
          </w:p>
        </w:tc>
        <w:tc>
          <w:tcPr>
            <w:tcW w:w="4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Germany</w:t>
            </w:r>
          </w:p>
        </w:tc>
      </w:tr>
      <w:tr>
        <w:trPr>
          <w:trHeight w:val="200"/>
        </w:trPr>
        <w:tc>
          <w:tcPr>
            <w:tcW w:w="4400" w:type="dxa"/>
            <w:vAlign w:val="bottom"/>
          </w:tcPr>
          <w:p>
            <w:pPr>
              <w:spacing w:after="0"/>
              <w:rPr>
                <w:sz w:val="20"/>
                <w:szCs w:val="20"/>
                <w:color w:val="auto"/>
              </w:rPr>
            </w:pPr>
            <w:r>
              <w:rPr>
                <w:rFonts w:ascii="Arial" w:cs="Arial" w:eastAsia="Arial" w:hAnsi="Arial"/>
                <w:sz w:val="16"/>
                <w:szCs w:val="16"/>
                <w:color w:val="auto"/>
              </w:rPr>
              <w:t>Runners Point Switzerland LLC</w:t>
            </w:r>
          </w:p>
        </w:tc>
        <w:tc>
          <w:tcPr>
            <w:tcW w:w="4420" w:type="dxa"/>
            <w:vAlign w:val="bottom"/>
          </w:tcPr>
          <w:p>
            <w:pPr>
              <w:ind w:left="340"/>
              <w:spacing w:after="0"/>
              <w:rPr>
                <w:sz w:val="20"/>
                <w:szCs w:val="20"/>
                <w:color w:val="auto"/>
              </w:rPr>
            </w:pPr>
            <w:r>
              <w:rPr>
                <w:rFonts w:ascii="Arial" w:cs="Arial" w:eastAsia="Arial" w:hAnsi="Arial"/>
                <w:sz w:val="16"/>
                <w:szCs w:val="16"/>
                <w:color w:val="auto"/>
              </w:rPr>
              <w:t>Switzerland</w:t>
            </w:r>
          </w:p>
        </w:tc>
      </w:tr>
      <w:tr>
        <w:trPr>
          <w:trHeight w:val="206"/>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Sidestep GmbH</w:t>
            </w:r>
          </w:p>
        </w:tc>
        <w:tc>
          <w:tcPr>
            <w:tcW w:w="4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Germany</w:t>
            </w:r>
          </w:p>
        </w:tc>
      </w:tr>
      <w:tr>
        <w:trPr>
          <w:trHeight w:val="200"/>
        </w:trPr>
        <w:tc>
          <w:tcPr>
            <w:tcW w:w="44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Team Edition Apparel, Inc.</w:t>
            </w:r>
          </w:p>
        </w:tc>
        <w:tc>
          <w:tcPr>
            <w:tcW w:w="442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Florida</w:t>
            </w:r>
          </w:p>
        </w:tc>
      </w:tr>
    </w:tbl>
    <w:p>
      <w:pPr>
        <w:spacing w:after="0" w:line="107" w:lineRule="exact"/>
        <w:rPr>
          <w:sz w:val="20"/>
          <w:szCs w:val="20"/>
          <w:color w:val="auto"/>
        </w:rPr>
      </w:pPr>
    </w:p>
    <w:p>
      <w:pPr>
        <w:ind w:left="840" w:right="219" w:hanging="424"/>
        <w:spacing w:after="0" w:line="231" w:lineRule="auto"/>
        <w:tabs>
          <w:tab w:leader="none" w:pos="840" w:val="left"/>
        </w:tabs>
        <w:numPr>
          <w:ilvl w:val="0"/>
          <w:numId w:val="40"/>
        </w:numPr>
        <w:rPr>
          <w:rFonts w:ascii="Arial" w:cs="Arial" w:eastAsia="Arial" w:hAnsi="Arial"/>
          <w:sz w:val="12"/>
          <w:szCs w:val="12"/>
          <w:color w:val="auto"/>
        </w:rPr>
      </w:pPr>
      <w:r>
        <w:rPr>
          <w:rFonts w:ascii="Arial" w:cs="Arial" w:eastAsia="Arial" w:hAnsi="Arial"/>
          <w:sz w:val="14"/>
          <w:szCs w:val="14"/>
          <w:color w:val="auto"/>
        </w:rPr>
        <w:t>Each subsidiary company is 100% owned, directly or indirectly, by Foot Locker, Inc. All subsidiaries are consolidated with Foot Locker, Inc. for accounting and financial reporting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176530</wp:posOffset>
            </wp:positionV>
            <wp:extent cx="5642610" cy="514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5" w:name="page86"/>
    <w:bookmarkEnd w:id="85"/>
    <w:p>
      <w:pPr>
        <w:jc w:val="right"/>
        <w:ind w:right="99"/>
        <w:spacing w:after="0"/>
        <w:rPr>
          <w:sz w:val="20"/>
          <w:szCs w:val="20"/>
          <w:color w:val="auto"/>
        </w:rPr>
      </w:pPr>
      <w:r>
        <w:rPr>
          <w:rFonts w:ascii="Arial" w:cs="Arial" w:eastAsia="Arial" w:hAnsi="Arial"/>
          <w:sz w:val="18"/>
          <w:szCs w:val="18"/>
          <w:b w:val="1"/>
          <w:bCs w:val="1"/>
          <w:color w:val="auto"/>
        </w:rPr>
        <w:t>Exhibit 23</w:t>
      </w:r>
    </w:p>
    <w:p>
      <w:pPr>
        <w:spacing w:after="0" w:line="198"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95"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Board of Directors of</w:t>
      </w:r>
    </w:p>
    <w:p>
      <w:pPr>
        <w:ind w:left="100"/>
        <w:spacing w:after="0"/>
        <w:rPr>
          <w:sz w:val="20"/>
          <w:szCs w:val="20"/>
          <w:color w:val="auto"/>
        </w:rPr>
      </w:pPr>
      <w:r>
        <w:rPr>
          <w:rFonts w:ascii="Arial" w:cs="Arial" w:eastAsia="Arial" w:hAnsi="Arial"/>
          <w:sz w:val="17"/>
          <w:szCs w:val="17"/>
          <w:color w:val="auto"/>
        </w:rPr>
        <w:t>Foot Locker, Inc.:</w:t>
      </w:r>
    </w:p>
    <w:p>
      <w:pPr>
        <w:spacing w:after="0" w:line="318" w:lineRule="exact"/>
        <w:rPr>
          <w:sz w:val="20"/>
          <w:szCs w:val="20"/>
          <w:color w:val="auto"/>
        </w:rPr>
      </w:pPr>
    </w:p>
    <w:p>
      <w:pPr>
        <w:jc w:val="both"/>
        <w:ind w:left="100" w:right="99"/>
        <w:spacing w:after="0" w:line="191" w:lineRule="exact"/>
        <w:rPr>
          <w:sz w:val="20"/>
          <w:szCs w:val="20"/>
          <w:color w:val="auto"/>
        </w:rPr>
      </w:pPr>
      <w:r>
        <w:rPr>
          <w:rFonts w:ascii="Arial" w:cs="Arial" w:eastAsia="Arial" w:hAnsi="Arial"/>
          <w:sz w:val="17"/>
          <w:szCs w:val="17"/>
          <w:color w:val="auto"/>
        </w:rPr>
        <w:t>We consent to the incorporation by reference in the following registration statements of Foot Locker, Inc. and subsidiaries of our reports dated March 29, 2018, with respect to the consolidated balance sheets of Foot Locker, Inc. and subsidiaries as of February 3, 2018 and January 28, 2017, and the related consolidated statements of operations, comprehensive income, shareholders’ equity, and cash flows for each of the years in the three-year period ended February 3, 2018, and related notes (collectively, the “consolidated financial statements”), and the effectiveness of internal control over financial reporting as of February 3, 2018, which reports appear in the February 3, 2018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of Foot Locker, Inc.</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Form S-8 No. 33-10783</w:t>
      </w:r>
    </w:p>
    <w:p>
      <w:pPr>
        <w:ind w:left="760"/>
        <w:spacing w:after="0" w:line="232" w:lineRule="auto"/>
        <w:rPr>
          <w:sz w:val="20"/>
          <w:szCs w:val="20"/>
          <w:color w:val="auto"/>
        </w:rPr>
      </w:pPr>
      <w:r>
        <w:rPr>
          <w:rFonts w:ascii="Arial" w:cs="Arial" w:eastAsia="Arial" w:hAnsi="Arial"/>
          <w:sz w:val="17"/>
          <w:szCs w:val="17"/>
          <w:color w:val="auto"/>
        </w:rPr>
        <w:t>Form S-8 No. 33-91888</w:t>
      </w:r>
    </w:p>
    <w:p>
      <w:pPr>
        <w:ind w:left="760"/>
        <w:spacing w:after="0" w:line="232" w:lineRule="auto"/>
        <w:rPr>
          <w:sz w:val="20"/>
          <w:szCs w:val="20"/>
          <w:color w:val="auto"/>
        </w:rPr>
      </w:pPr>
      <w:r>
        <w:rPr>
          <w:rFonts w:ascii="Arial" w:cs="Arial" w:eastAsia="Arial" w:hAnsi="Arial"/>
          <w:sz w:val="17"/>
          <w:szCs w:val="17"/>
          <w:color w:val="auto"/>
        </w:rPr>
        <w:t>Form S-8 No. 33-91886</w:t>
      </w:r>
    </w:p>
    <w:p>
      <w:pPr>
        <w:ind w:left="760"/>
        <w:spacing w:after="0" w:line="232" w:lineRule="auto"/>
        <w:rPr>
          <w:sz w:val="20"/>
          <w:szCs w:val="20"/>
          <w:color w:val="auto"/>
        </w:rPr>
      </w:pPr>
      <w:r>
        <w:rPr>
          <w:rFonts w:ascii="Arial" w:cs="Arial" w:eastAsia="Arial" w:hAnsi="Arial"/>
          <w:sz w:val="17"/>
          <w:szCs w:val="17"/>
          <w:color w:val="auto"/>
        </w:rPr>
        <w:t>Form S-8 No. 33-97832</w:t>
      </w:r>
    </w:p>
    <w:p>
      <w:pPr>
        <w:ind w:left="760"/>
        <w:spacing w:after="0" w:line="232" w:lineRule="auto"/>
        <w:rPr>
          <w:sz w:val="20"/>
          <w:szCs w:val="20"/>
          <w:color w:val="auto"/>
        </w:rPr>
      </w:pPr>
      <w:r>
        <w:rPr>
          <w:rFonts w:ascii="Arial" w:cs="Arial" w:eastAsia="Arial" w:hAnsi="Arial"/>
          <w:sz w:val="17"/>
          <w:szCs w:val="17"/>
          <w:color w:val="auto"/>
        </w:rPr>
        <w:t>Form S-8 No. 333-07215</w:t>
      </w:r>
    </w:p>
    <w:p>
      <w:pPr>
        <w:ind w:left="760"/>
        <w:spacing w:after="0" w:line="232" w:lineRule="auto"/>
        <w:rPr>
          <w:sz w:val="20"/>
          <w:szCs w:val="20"/>
          <w:color w:val="auto"/>
        </w:rPr>
      </w:pPr>
      <w:r>
        <w:rPr>
          <w:rFonts w:ascii="Arial" w:cs="Arial" w:eastAsia="Arial" w:hAnsi="Arial"/>
          <w:sz w:val="17"/>
          <w:szCs w:val="17"/>
          <w:color w:val="auto"/>
        </w:rPr>
        <w:t>Form S-8 No. 333-21131</w:t>
      </w:r>
    </w:p>
    <w:p>
      <w:pPr>
        <w:ind w:left="760"/>
        <w:spacing w:after="0" w:line="232" w:lineRule="auto"/>
        <w:rPr>
          <w:sz w:val="20"/>
          <w:szCs w:val="20"/>
          <w:color w:val="auto"/>
        </w:rPr>
      </w:pPr>
      <w:r>
        <w:rPr>
          <w:rFonts w:ascii="Arial" w:cs="Arial" w:eastAsia="Arial" w:hAnsi="Arial"/>
          <w:sz w:val="17"/>
          <w:szCs w:val="17"/>
          <w:color w:val="auto"/>
        </w:rPr>
        <w:t>Form S-8 No. 333-62425</w:t>
      </w:r>
    </w:p>
    <w:p>
      <w:pPr>
        <w:ind w:left="760"/>
        <w:spacing w:after="0" w:line="232" w:lineRule="auto"/>
        <w:rPr>
          <w:sz w:val="20"/>
          <w:szCs w:val="20"/>
          <w:color w:val="auto"/>
        </w:rPr>
      </w:pPr>
      <w:r>
        <w:rPr>
          <w:rFonts w:ascii="Arial" w:cs="Arial" w:eastAsia="Arial" w:hAnsi="Arial"/>
          <w:sz w:val="17"/>
          <w:szCs w:val="17"/>
          <w:color w:val="auto"/>
        </w:rPr>
        <w:t>Form S-8 No. 333-33120</w:t>
      </w:r>
    </w:p>
    <w:p>
      <w:pPr>
        <w:ind w:left="760"/>
        <w:spacing w:after="0" w:line="233" w:lineRule="auto"/>
        <w:rPr>
          <w:sz w:val="20"/>
          <w:szCs w:val="20"/>
          <w:color w:val="auto"/>
        </w:rPr>
      </w:pPr>
      <w:r>
        <w:rPr>
          <w:rFonts w:ascii="Arial" w:cs="Arial" w:eastAsia="Arial" w:hAnsi="Arial"/>
          <w:sz w:val="17"/>
          <w:szCs w:val="17"/>
          <w:color w:val="auto"/>
        </w:rPr>
        <w:t>Form S-8 No. 333-41056</w:t>
      </w:r>
    </w:p>
    <w:p>
      <w:pPr>
        <w:ind w:left="760"/>
        <w:spacing w:after="0" w:line="232" w:lineRule="auto"/>
        <w:rPr>
          <w:sz w:val="20"/>
          <w:szCs w:val="20"/>
          <w:color w:val="auto"/>
        </w:rPr>
      </w:pPr>
      <w:r>
        <w:rPr>
          <w:rFonts w:ascii="Arial" w:cs="Arial" w:eastAsia="Arial" w:hAnsi="Arial"/>
          <w:sz w:val="17"/>
          <w:szCs w:val="17"/>
          <w:color w:val="auto"/>
        </w:rPr>
        <w:t>Form S-8 No. 333-41058</w:t>
      </w:r>
    </w:p>
    <w:p>
      <w:pPr>
        <w:ind w:left="760"/>
        <w:spacing w:after="0" w:line="232" w:lineRule="auto"/>
        <w:rPr>
          <w:sz w:val="20"/>
          <w:szCs w:val="20"/>
          <w:color w:val="auto"/>
        </w:rPr>
      </w:pPr>
      <w:r>
        <w:rPr>
          <w:rFonts w:ascii="Arial" w:cs="Arial" w:eastAsia="Arial" w:hAnsi="Arial"/>
          <w:sz w:val="17"/>
          <w:szCs w:val="17"/>
          <w:color w:val="auto"/>
        </w:rPr>
        <w:t>Form S-8 No. 333-74688</w:t>
      </w:r>
    </w:p>
    <w:p>
      <w:pPr>
        <w:ind w:left="760"/>
        <w:spacing w:after="0" w:line="232" w:lineRule="auto"/>
        <w:rPr>
          <w:sz w:val="20"/>
          <w:szCs w:val="20"/>
          <w:color w:val="auto"/>
        </w:rPr>
      </w:pPr>
      <w:r>
        <w:rPr>
          <w:rFonts w:ascii="Arial" w:cs="Arial" w:eastAsia="Arial" w:hAnsi="Arial"/>
          <w:sz w:val="17"/>
          <w:szCs w:val="17"/>
          <w:color w:val="auto"/>
        </w:rPr>
        <w:t>Form S-8 No. 333-99829</w:t>
      </w:r>
    </w:p>
    <w:p>
      <w:pPr>
        <w:ind w:left="760"/>
        <w:spacing w:after="0" w:line="232" w:lineRule="auto"/>
        <w:rPr>
          <w:sz w:val="20"/>
          <w:szCs w:val="20"/>
          <w:color w:val="auto"/>
        </w:rPr>
      </w:pPr>
      <w:r>
        <w:rPr>
          <w:rFonts w:ascii="Arial" w:cs="Arial" w:eastAsia="Arial" w:hAnsi="Arial"/>
          <w:sz w:val="17"/>
          <w:szCs w:val="17"/>
          <w:color w:val="auto"/>
        </w:rPr>
        <w:t>Form S-8 No. 333-111222</w:t>
      </w:r>
    </w:p>
    <w:p>
      <w:pPr>
        <w:ind w:left="760"/>
        <w:spacing w:after="0" w:line="232" w:lineRule="auto"/>
        <w:rPr>
          <w:sz w:val="20"/>
          <w:szCs w:val="20"/>
          <w:color w:val="auto"/>
        </w:rPr>
      </w:pPr>
      <w:r>
        <w:rPr>
          <w:rFonts w:ascii="Arial" w:cs="Arial" w:eastAsia="Arial" w:hAnsi="Arial"/>
          <w:sz w:val="17"/>
          <w:szCs w:val="17"/>
          <w:color w:val="auto"/>
        </w:rPr>
        <w:t>Form S-8 No. 333-121515</w:t>
      </w:r>
    </w:p>
    <w:p>
      <w:pPr>
        <w:ind w:left="760"/>
        <w:spacing w:after="0" w:line="232" w:lineRule="auto"/>
        <w:rPr>
          <w:sz w:val="20"/>
          <w:szCs w:val="20"/>
          <w:color w:val="auto"/>
        </w:rPr>
      </w:pPr>
      <w:r>
        <w:rPr>
          <w:rFonts w:ascii="Arial" w:cs="Arial" w:eastAsia="Arial" w:hAnsi="Arial"/>
          <w:sz w:val="17"/>
          <w:szCs w:val="17"/>
          <w:color w:val="auto"/>
        </w:rPr>
        <w:t>Form S-8 No. 333-144044</w:t>
      </w:r>
    </w:p>
    <w:p>
      <w:pPr>
        <w:ind w:left="760"/>
        <w:spacing w:after="0" w:line="233" w:lineRule="auto"/>
        <w:rPr>
          <w:sz w:val="20"/>
          <w:szCs w:val="20"/>
          <w:color w:val="auto"/>
        </w:rPr>
      </w:pPr>
      <w:r>
        <w:rPr>
          <w:rFonts w:ascii="Arial" w:cs="Arial" w:eastAsia="Arial" w:hAnsi="Arial"/>
          <w:sz w:val="17"/>
          <w:szCs w:val="17"/>
          <w:color w:val="auto"/>
        </w:rPr>
        <w:t>Form S-8 No. 333-149803</w:t>
      </w:r>
    </w:p>
    <w:p>
      <w:pPr>
        <w:ind w:left="760"/>
        <w:spacing w:after="0" w:line="232" w:lineRule="auto"/>
        <w:rPr>
          <w:sz w:val="20"/>
          <w:szCs w:val="20"/>
          <w:color w:val="auto"/>
        </w:rPr>
      </w:pPr>
      <w:r>
        <w:rPr>
          <w:rFonts w:ascii="Arial" w:cs="Arial" w:eastAsia="Arial" w:hAnsi="Arial"/>
          <w:sz w:val="17"/>
          <w:szCs w:val="17"/>
          <w:color w:val="auto"/>
        </w:rPr>
        <w:t>Form S-3 No. 33-43334</w:t>
      </w:r>
    </w:p>
    <w:p>
      <w:pPr>
        <w:ind w:left="760"/>
        <w:spacing w:after="0" w:line="232" w:lineRule="auto"/>
        <w:rPr>
          <w:sz w:val="20"/>
          <w:szCs w:val="20"/>
          <w:color w:val="auto"/>
        </w:rPr>
      </w:pPr>
      <w:r>
        <w:rPr>
          <w:rFonts w:ascii="Arial" w:cs="Arial" w:eastAsia="Arial" w:hAnsi="Arial"/>
          <w:sz w:val="17"/>
          <w:szCs w:val="17"/>
          <w:color w:val="auto"/>
        </w:rPr>
        <w:t>Form S-3 No. 33-86300</w:t>
      </w:r>
    </w:p>
    <w:p>
      <w:pPr>
        <w:ind w:left="760"/>
        <w:spacing w:after="0" w:line="232" w:lineRule="auto"/>
        <w:rPr>
          <w:sz w:val="20"/>
          <w:szCs w:val="20"/>
          <w:color w:val="auto"/>
        </w:rPr>
      </w:pPr>
      <w:r>
        <w:rPr>
          <w:rFonts w:ascii="Arial" w:cs="Arial" w:eastAsia="Arial" w:hAnsi="Arial"/>
          <w:sz w:val="17"/>
          <w:szCs w:val="17"/>
          <w:color w:val="auto"/>
        </w:rPr>
        <w:t>Form S-3 No. 333-64930</w:t>
      </w:r>
    </w:p>
    <w:p>
      <w:pPr>
        <w:ind w:left="760"/>
        <w:spacing w:after="0" w:line="232" w:lineRule="auto"/>
        <w:rPr>
          <w:sz w:val="20"/>
          <w:szCs w:val="20"/>
          <w:color w:val="auto"/>
        </w:rPr>
      </w:pPr>
      <w:r>
        <w:rPr>
          <w:rFonts w:ascii="Arial" w:cs="Arial" w:eastAsia="Arial" w:hAnsi="Arial"/>
          <w:sz w:val="17"/>
          <w:szCs w:val="17"/>
          <w:color w:val="auto"/>
        </w:rPr>
        <w:t>Form S-8 No. 333-167066</w:t>
      </w:r>
    </w:p>
    <w:p>
      <w:pPr>
        <w:ind w:left="760"/>
        <w:spacing w:after="0" w:line="232" w:lineRule="auto"/>
        <w:rPr>
          <w:sz w:val="20"/>
          <w:szCs w:val="20"/>
          <w:color w:val="auto"/>
        </w:rPr>
      </w:pPr>
      <w:r>
        <w:rPr>
          <w:rFonts w:ascii="Arial" w:cs="Arial" w:eastAsia="Arial" w:hAnsi="Arial"/>
          <w:sz w:val="17"/>
          <w:szCs w:val="17"/>
          <w:color w:val="auto"/>
        </w:rPr>
        <w:t>Form S-8 No. 333-171523</w:t>
      </w:r>
    </w:p>
    <w:p>
      <w:pPr>
        <w:ind w:left="760"/>
        <w:spacing w:after="0" w:line="232" w:lineRule="auto"/>
        <w:rPr>
          <w:sz w:val="20"/>
          <w:szCs w:val="20"/>
          <w:color w:val="auto"/>
        </w:rPr>
      </w:pPr>
      <w:r>
        <w:rPr>
          <w:rFonts w:ascii="Arial" w:cs="Arial" w:eastAsia="Arial" w:hAnsi="Arial"/>
          <w:sz w:val="17"/>
          <w:szCs w:val="17"/>
          <w:color w:val="auto"/>
        </w:rPr>
        <w:t>Form S-8 No. 333-190680</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Form S-8 No. 333-196899</w:t>
      </w:r>
    </w:p>
    <w:p>
      <w:pPr>
        <w:spacing w:after="0" w:line="18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 KPMG LLP</w:t>
      </w:r>
    </w:p>
    <w:p>
      <w:pPr>
        <w:spacing w:after="0" w:line="17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New York, New York</w:t>
      </w:r>
    </w:p>
    <w:p>
      <w:pPr>
        <w:ind w:left="100"/>
        <w:spacing w:after="0"/>
        <w:rPr>
          <w:sz w:val="20"/>
          <w:szCs w:val="20"/>
          <w:color w:val="auto"/>
        </w:rPr>
      </w:pPr>
      <w:r>
        <w:rPr>
          <w:rFonts w:ascii="Arial" w:cs="Arial" w:eastAsia="Arial" w:hAnsi="Arial"/>
          <w:sz w:val="17"/>
          <w:szCs w:val="17"/>
          <w:color w:val="auto"/>
        </w:rPr>
        <w:t>March 29,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244475</wp:posOffset>
            </wp:positionV>
            <wp:extent cx="5642610" cy="514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06" w:right="1440" w:bottom="1440" w:gutter="0" w:footer="0" w:header="0"/>
        </w:sectPr>
      </w:pPr>
    </w:p>
    <w:bookmarkStart w:id="86" w:name="page87"/>
    <w:bookmarkEnd w:id="86"/>
    <w:p>
      <w:pPr>
        <w:jc w:val="right"/>
        <w:ind w:right="99"/>
        <w:spacing w:after="0"/>
        <w:rPr>
          <w:sz w:val="20"/>
          <w:szCs w:val="20"/>
          <w:color w:val="auto"/>
        </w:rPr>
      </w:pPr>
      <w:r>
        <w:rPr>
          <w:rFonts w:ascii="Arial" w:cs="Arial" w:eastAsia="Arial" w:hAnsi="Arial"/>
          <w:sz w:val="18"/>
          <w:szCs w:val="18"/>
          <w:b w:val="1"/>
          <w:bCs w:val="1"/>
          <w:color w:val="auto"/>
        </w:rPr>
        <w:t>Exhibit 31.1</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9" w:lineRule="exact"/>
        <w:rPr>
          <w:sz w:val="20"/>
          <w:szCs w:val="20"/>
          <w:color w:val="auto"/>
        </w:rPr>
      </w:pPr>
    </w:p>
    <w:p>
      <w:pPr>
        <w:ind w:left="100"/>
        <w:spacing w:after="0"/>
        <w:rPr>
          <w:sz w:val="20"/>
          <w:szCs w:val="20"/>
          <w:color w:val="auto"/>
        </w:rPr>
      </w:pPr>
      <w:r>
        <w:rPr>
          <w:rFonts w:ascii="Arial" w:cs="Arial" w:eastAsia="Arial" w:hAnsi="Arial"/>
          <w:sz w:val="17"/>
          <w:szCs w:val="17"/>
          <w:color w:val="auto"/>
        </w:rPr>
        <w:t>I, Richard A. Johnson, certify that:</w:t>
      </w:r>
    </w:p>
    <w:p>
      <w:pPr>
        <w:spacing w:after="0" w:line="196" w:lineRule="exact"/>
        <w:rPr>
          <w:sz w:val="20"/>
          <w:szCs w:val="20"/>
          <w:color w:val="auto"/>
        </w:rPr>
      </w:pPr>
    </w:p>
    <w:p>
      <w:pPr>
        <w:ind w:left="660" w:hanging="555"/>
        <w:spacing w:after="0"/>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Foot Locker, Inc. (the “Registrant”);</w:t>
      </w:r>
    </w:p>
    <w:p>
      <w:pPr>
        <w:spacing w:after="0" w:line="263" w:lineRule="exact"/>
        <w:rPr>
          <w:rFonts w:ascii="Arial" w:cs="Arial" w:eastAsia="Arial" w:hAnsi="Arial"/>
          <w:sz w:val="17"/>
          <w:szCs w:val="17"/>
          <w:color w:val="auto"/>
        </w:rPr>
      </w:pPr>
    </w:p>
    <w:p>
      <w:pPr>
        <w:jc w:val="both"/>
        <w:ind w:left="660" w:right="499" w:hanging="555"/>
        <w:spacing w:after="0" w:line="238"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5" w:lineRule="exact"/>
        <w:rPr>
          <w:rFonts w:ascii="Arial" w:cs="Arial" w:eastAsia="Arial" w:hAnsi="Arial"/>
          <w:sz w:val="17"/>
          <w:szCs w:val="17"/>
          <w:color w:val="auto"/>
        </w:rPr>
      </w:pPr>
    </w:p>
    <w:p>
      <w:pPr>
        <w:jc w:val="both"/>
        <w:ind w:left="660" w:right="499" w:hanging="555"/>
        <w:spacing w:after="0" w:line="238"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5" w:lineRule="exact"/>
        <w:rPr>
          <w:rFonts w:ascii="Arial" w:cs="Arial" w:eastAsia="Arial" w:hAnsi="Arial"/>
          <w:sz w:val="17"/>
          <w:szCs w:val="17"/>
          <w:color w:val="auto"/>
        </w:rPr>
      </w:pPr>
    </w:p>
    <w:p>
      <w:pPr>
        <w:jc w:val="both"/>
        <w:ind w:left="660" w:right="499" w:hanging="555"/>
        <w:spacing w:after="0" w:line="236"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7" w:lineRule="exact"/>
        <w:rPr>
          <w:rFonts w:ascii="Arial" w:cs="Arial" w:eastAsia="Arial" w:hAnsi="Arial"/>
          <w:sz w:val="17"/>
          <w:szCs w:val="17"/>
          <w:color w:val="auto"/>
        </w:rPr>
      </w:pPr>
    </w:p>
    <w:p>
      <w:pPr>
        <w:jc w:val="both"/>
        <w:ind w:left="1240" w:right="499" w:hanging="582"/>
        <w:spacing w:after="0" w:line="236" w:lineRule="auto"/>
        <w:tabs>
          <w:tab w:leader="none" w:pos="1240" w:val="left"/>
        </w:tabs>
        <w:numPr>
          <w:ilvl w:val="1"/>
          <w:numId w:val="4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7" w:lineRule="exact"/>
        <w:rPr>
          <w:rFonts w:ascii="Arial" w:cs="Arial" w:eastAsia="Arial" w:hAnsi="Arial"/>
          <w:sz w:val="17"/>
          <w:szCs w:val="17"/>
          <w:color w:val="auto"/>
        </w:rPr>
      </w:pPr>
    </w:p>
    <w:p>
      <w:pPr>
        <w:jc w:val="both"/>
        <w:ind w:left="1240" w:right="499" w:hanging="582"/>
        <w:spacing w:after="0" w:line="236" w:lineRule="auto"/>
        <w:tabs>
          <w:tab w:leader="none" w:pos="1240" w:val="left"/>
        </w:tabs>
        <w:numPr>
          <w:ilvl w:val="1"/>
          <w:numId w:val="4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7" w:lineRule="exact"/>
        <w:rPr>
          <w:rFonts w:ascii="Arial" w:cs="Arial" w:eastAsia="Arial" w:hAnsi="Arial"/>
          <w:sz w:val="17"/>
          <w:szCs w:val="17"/>
          <w:color w:val="auto"/>
        </w:rPr>
      </w:pPr>
    </w:p>
    <w:p>
      <w:pPr>
        <w:jc w:val="both"/>
        <w:ind w:left="1240" w:right="479" w:hanging="582"/>
        <w:spacing w:after="0" w:line="238" w:lineRule="auto"/>
        <w:tabs>
          <w:tab w:leader="none" w:pos="1240" w:val="left"/>
        </w:tabs>
        <w:numPr>
          <w:ilvl w:val="1"/>
          <w:numId w:val="4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5" w:lineRule="exact"/>
        <w:rPr>
          <w:rFonts w:ascii="Arial" w:cs="Arial" w:eastAsia="Arial" w:hAnsi="Arial"/>
          <w:sz w:val="17"/>
          <w:szCs w:val="17"/>
          <w:color w:val="auto"/>
        </w:rPr>
      </w:pPr>
    </w:p>
    <w:p>
      <w:pPr>
        <w:jc w:val="both"/>
        <w:ind w:left="1240" w:right="499" w:hanging="582"/>
        <w:spacing w:after="0" w:line="236" w:lineRule="auto"/>
        <w:tabs>
          <w:tab w:leader="none" w:pos="1240" w:val="left"/>
        </w:tabs>
        <w:numPr>
          <w:ilvl w:val="1"/>
          <w:numId w:val="4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7" w:lineRule="exact"/>
        <w:rPr>
          <w:rFonts w:ascii="Arial" w:cs="Arial" w:eastAsia="Arial" w:hAnsi="Arial"/>
          <w:sz w:val="17"/>
          <w:szCs w:val="17"/>
          <w:color w:val="auto"/>
        </w:rPr>
      </w:pPr>
    </w:p>
    <w:p>
      <w:pPr>
        <w:jc w:val="both"/>
        <w:ind w:left="660" w:right="479" w:hanging="555"/>
        <w:spacing w:after="0" w:line="238"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215" w:lineRule="exact"/>
        <w:rPr>
          <w:rFonts w:ascii="Arial" w:cs="Arial" w:eastAsia="Arial" w:hAnsi="Arial"/>
          <w:sz w:val="17"/>
          <w:szCs w:val="17"/>
          <w:color w:val="auto"/>
        </w:rPr>
      </w:pPr>
    </w:p>
    <w:p>
      <w:pPr>
        <w:jc w:val="both"/>
        <w:ind w:left="1240" w:right="479" w:hanging="582"/>
        <w:spacing w:after="0" w:line="238" w:lineRule="auto"/>
        <w:tabs>
          <w:tab w:leader="none" w:pos="1240" w:val="left"/>
        </w:tabs>
        <w:numPr>
          <w:ilvl w:val="1"/>
          <w:numId w:val="4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5" w:lineRule="exact"/>
        <w:rPr>
          <w:rFonts w:ascii="Arial" w:cs="Arial" w:eastAsia="Arial" w:hAnsi="Arial"/>
          <w:sz w:val="17"/>
          <w:szCs w:val="17"/>
          <w:color w:val="auto"/>
        </w:rPr>
      </w:pPr>
    </w:p>
    <w:p>
      <w:pPr>
        <w:ind w:left="1240" w:right="499" w:hanging="582"/>
        <w:spacing w:after="0" w:line="243" w:lineRule="auto"/>
        <w:tabs>
          <w:tab w:leader="none" w:pos="1240" w:val="left"/>
        </w:tabs>
        <w:numPr>
          <w:ilvl w:val="1"/>
          <w:numId w:val="4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March 29, 2018</w:t>
      </w:r>
    </w:p>
    <w:p>
      <w:pPr>
        <w:spacing w:after="0" w:line="196"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/s/ 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2896235</wp:posOffset>
            </wp:positionH>
            <wp:positionV relativeFrom="paragraph">
              <wp:posOffset>0</wp:posOffset>
            </wp:positionV>
            <wp:extent cx="27698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5">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ind w:left="4680"/>
        <w:spacing w:after="0"/>
        <w:rPr>
          <w:sz w:val="20"/>
          <w:szCs w:val="20"/>
          <w:color w:val="auto"/>
        </w:rPr>
      </w:pPr>
      <w:r>
        <w:rPr>
          <w:rFonts w:ascii="Arial" w:cs="Arial" w:eastAsia="Arial" w:hAnsi="Arial"/>
          <w:sz w:val="17"/>
          <w:szCs w:val="17"/>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149860</wp:posOffset>
            </wp:positionV>
            <wp:extent cx="5642610" cy="514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7" w:name="page88"/>
    <w:bookmarkEnd w:id="87"/>
    <w:p>
      <w:pPr>
        <w:ind w:left="7840"/>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CERTIFICATION</w:t>
      </w:r>
    </w:p>
    <w:p>
      <w:pPr>
        <w:spacing w:after="0" w:line="1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I, Lauren B. Peters, certify that:</w:t>
      </w:r>
    </w:p>
    <w:p>
      <w:pPr>
        <w:spacing w:after="0" w:line="196" w:lineRule="exact"/>
        <w:rPr>
          <w:sz w:val="20"/>
          <w:szCs w:val="20"/>
          <w:color w:val="auto"/>
        </w:rPr>
      </w:pPr>
    </w:p>
    <w:p>
      <w:pPr>
        <w:ind w:left="680" w:hanging="575"/>
        <w:spacing w:after="0"/>
        <w:tabs>
          <w:tab w:leader="none" w:pos="6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Foot Locker, Inc. (the “Registrant”);</w:t>
      </w:r>
    </w:p>
    <w:p>
      <w:pPr>
        <w:spacing w:after="0" w:line="263" w:lineRule="exact"/>
        <w:rPr>
          <w:rFonts w:ascii="Arial" w:cs="Arial" w:eastAsia="Arial" w:hAnsi="Arial"/>
          <w:sz w:val="17"/>
          <w:szCs w:val="17"/>
          <w:color w:val="auto"/>
        </w:rPr>
      </w:pPr>
    </w:p>
    <w:p>
      <w:pPr>
        <w:jc w:val="both"/>
        <w:ind w:left="680" w:right="660" w:hanging="575"/>
        <w:spacing w:after="0" w:line="238" w:lineRule="auto"/>
        <w:tabs>
          <w:tab w:leader="none" w:pos="6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5" w:lineRule="exact"/>
        <w:rPr>
          <w:rFonts w:ascii="Arial" w:cs="Arial" w:eastAsia="Arial" w:hAnsi="Arial"/>
          <w:sz w:val="17"/>
          <w:szCs w:val="17"/>
          <w:color w:val="auto"/>
        </w:rPr>
      </w:pPr>
    </w:p>
    <w:p>
      <w:pPr>
        <w:jc w:val="both"/>
        <w:ind w:left="680" w:right="660" w:hanging="575"/>
        <w:spacing w:after="0" w:line="238" w:lineRule="auto"/>
        <w:tabs>
          <w:tab w:leader="none" w:pos="6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5" w:lineRule="exact"/>
        <w:rPr>
          <w:rFonts w:ascii="Arial" w:cs="Arial" w:eastAsia="Arial" w:hAnsi="Arial"/>
          <w:sz w:val="17"/>
          <w:szCs w:val="17"/>
          <w:color w:val="auto"/>
        </w:rPr>
      </w:pPr>
    </w:p>
    <w:p>
      <w:pPr>
        <w:jc w:val="both"/>
        <w:ind w:left="680" w:right="660" w:hanging="575"/>
        <w:spacing w:after="0" w:line="236" w:lineRule="auto"/>
        <w:tabs>
          <w:tab w:leader="none" w:pos="6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7" w:lineRule="exact"/>
        <w:rPr>
          <w:rFonts w:ascii="Arial" w:cs="Arial" w:eastAsia="Arial" w:hAnsi="Arial"/>
          <w:sz w:val="17"/>
          <w:szCs w:val="17"/>
          <w:color w:val="auto"/>
        </w:rPr>
      </w:pPr>
    </w:p>
    <w:p>
      <w:pPr>
        <w:jc w:val="both"/>
        <w:ind w:left="1280" w:hanging="595"/>
        <w:spacing w:after="0" w:line="236" w:lineRule="auto"/>
        <w:tabs>
          <w:tab w:leader="none" w:pos="1280" w:val="left"/>
        </w:tabs>
        <w:numPr>
          <w:ilvl w:val="1"/>
          <w:numId w:val="4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7" w:lineRule="exact"/>
        <w:rPr>
          <w:rFonts w:ascii="Arial" w:cs="Arial" w:eastAsia="Arial" w:hAnsi="Arial"/>
          <w:sz w:val="17"/>
          <w:szCs w:val="17"/>
          <w:color w:val="auto"/>
        </w:rPr>
      </w:pPr>
    </w:p>
    <w:p>
      <w:pPr>
        <w:jc w:val="both"/>
        <w:ind w:left="1280" w:right="660" w:hanging="595"/>
        <w:spacing w:after="0" w:line="236" w:lineRule="auto"/>
        <w:tabs>
          <w:tab w:leader="none" w:pos="1280" w:val="left"/>
        </w:tabs>
        <w:numPr>
          <w:ilvl w:val="1"/>
          <w:numId w:val="4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7" w:lineRule="exact"/>
        <w:rPr>
          <w:rFonts w:ascii="Arial" w:cs="Arial" w:eastAsia="Arial" w:hAnsi="Arial"/>
          <w:sz w:val="17"/>
          <w:szCs w:val="17"/>
          <w:color w:val="auto"/>
        </w:rPr>
      </w:pPr>
    </w:p>
    <w:p>
      <w:pPr>
        <w:jc w:val="both"/>
        <w:ind w:left="1280" w:right="660" w:hanging="595"/>
        <w:spacing w:after="0" w:line="238" w:lineRule="auto"/>
        <w:tabs>
          <w:tab w:leader="none" w:pos="1280" w:val="left"/>
        </w:tabs>
        <w:numPr>
          <w:ilvl w:val="1"/>
          <w:numId w:val="4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5" w:lineRule="exact"/>
        <w:rPr>
          <w:rFonts w:ascii="Arial" w:cs="Arial" w:eastAsia="Arial" w:hAnsi="Arial"/>
          <w:sz w:val="17"/>
          <w:szCs w:val="17"/>
          <w:color w:val="auto"/>
        </w:rPr>
      </w:pPr>
    </w:p>
    <w:p>
      <w:pPr>
        <w:jc w:val="both"/>
        <w:ind w:left="1280" w:right="660" w:hanging="595"/>
        <w:spacing w:after="0" w:line="236" w:lineRule="auto"/>
        <w:tabs>
          <w:tab w:leader="none" w:pos="1280" w:val="left"/>
        </w:tabs>
        <w:numPr>
          <w:ilvl w:val="1"/>
          <w:numId w:val="4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7" w:lineRule="exact"/>
        <w:rPr>
          <w:rFonts w:ascii="Arial" w:cs="Arial" w:eastAsia="Arial" w:hAnsi="Arial"/>
          <w:sz w:val="17"/>
          <w:szCs w:val="17"/>
          <w:color w:val="auto"/>
        </w:rPr>
      </w:pPr>
    </w:p>
    <w:p>
      <w:pPr>
        <w:jc w:val="both"/>
        <w:ind w:left="680" w:right="660" w:hanging="575"/>
        <w:spacing w:after="0" w:line="238" w:lineRule="auto"/>
        <w:tabs>
          <w:tab w:leader="none" w:pos="6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215" w:lineRule="exact"/>
        <w:rPr>
          <w:rFonts w:ascii="Arial" w:cs="Arial" w:eastAsia="Arial" w:hAnsi="Arial"/>
          <w:sz w:val="17"/>
          <w:szCs w:val="17"/>
          <w:color w:val="auto"/>
        </w:rPr>
      </w:pPr>
    </w:p>
    <w:p>
      <w:pPr>
        <w:jc w:val="both"/>
        <w:ind w:left="1280" w:right="660" w:hanging="595"/>
        <w:spacing w:after="0" w:line="238" w:lineRule="auto"/>
        <w:tabs>
          <w:tab w:leader="none" w:pos="1280" w:val="left"/>
        </w:tabs>
        <w:numPr>
          <w:ilvl w:val="1"/>
          <w:numId w:val="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5" w:lineRule="exact"/>
        <w:rPr>
          <w:rFonts w:ascii="Arial" w:cs="Arial" w:eastAsia="Arial" w:hAnsi="Arial"/>
          <w:sz w:val="17"/>
          <w:szCs w:val="17"/>
          <w:color w:val="auto"/>
        </w:rPr>
      </w:pPr>
    </w:p>
    <w:p>
      <w:pPr>
        <w:ind w:left="1280" w:right="660" w:hanging="595"/>
        <w:spacing w:after="0" w:line="243" w:lineRule="auto"/>
        <w:tabs>
          <w:tab w:leader="none" w:pos="1280" w:val="left"/>
        </w:tabs>
        <w:numPr>
          <w:ilvl w:val="1"/>
          <w:numId w:val="4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March 29, 2018</w:t>
      </w:r>
    </w:p>
    <w:p>
      <w:pPr>
        <w:spacing w:after="0" w:line="7" w:lineRule="exact"/>
        <w:rPr>
          <w:sz w:val="20"/>
          <w:szCs w:val="20"/>
          <w:color w:val="auto"/>
        </w:rPr>
      </w:pPr>
    </w:p>
    <w:p>
      <w:pPr>
        <w:ind w:left="4720"/>
        <w:spacing w:after="0"/>
        <w:rPr>
          <w:sz w:val="20"/>
          <w:szCs w:val="20"/>
          <w:color w:val="auto"/>
        </w:rPr>
      </w:pPr>
      <w:r>
        <w:rPr>
          <w:rFonts w:ascii="Arial" w:cs="Arial" w:eastAsia="Arial" w:hAnsi="Arial"/>
          <w:sz w:val="17"/>
          <w:szCs w:val="17"/>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2999105</wp:posOffset>
            </wp:positionH>
            <wp:positionV relativeFrom="paragraph">
              <wp:posOffset>0</wp:posOffset>
            </wp:positionV>
            <wp:extent cx="260731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7">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4720"/>
        <w:spacing w:after="0"/>
        <w:rPr>
          <w:sz w:val="20"/>
          <w:szCs w:val="20"/>
          <w:color w:val="auto"/>
        </w:rPr>
      </w:pPr>
      <w:r>
        <w:rPr>
          <w:rFonts w:ascii="Arial" w:cs="Arial" w:eastAsia="Arial" w:hAnsi="Arial"/>
          <w:sz w:val="17"/>
          <w:szCs w:val="17"/>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106045</wp:posOffset>
            </wp:positionV>
            <wp:extent cx="5642610" cy="514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180"/>
          </w:cols>
          <w:pgMar w:left="1440" w:top="319" w:right="1279" w:bottom="1440" w:gutter="0" w:footer="0" w:header="0"/>
        </w:sectPr>
      </w:pPr>
    </w:p>
    <w:bookmarkStart w:id="88" w:name="page89"/>
    <w:bookmarkEnd w:id="88"/>
    <w:p>
      <w:pPr>
        <w:jc w:val="right"/>
        <w:ind w:right="99"/>
        <w:spacing w:after="0"/>
        <w:rPr>
          <w:sz w:val="20"/>
          <w:szCs w:val="20"/>
          <w:color w:val="auto"/>
        </w:rPr>
      </w:pPr>
      <w:r>
        <w:rPr>
          <w:rFonts w:ascii="Arial" w:cs="Arial" w:eastAsia="Arial" w:hAnsi="Arial"/>
          <w:sz w:val="18"/>
          <w:szCs w:val="18"/>
          <w:b w:val="1"/>
          <w:bCs w:val="1"/>
          <w:color w:val="auto"/>
        </w:rPr>
        <w:t>Exhibit 32</w:t>
      </w:r>
    </w:p>
    <w:p>
      <w:pPr>
        <w:spacing w:after="0" w:line="198"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FOOT LOCKER, INC.</w:t>
      </w:r>
    </w:p>
    <w:p>
      <w:pPr>
        <w:spacing w:after="0" w:line="198"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9"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In connection with the Annual Report on Form 10-K of Foot Locker, Inc. (the “Registrant”) for the period ended February 3, 2018, as filed with the Securities and Exchange Commission on the date hereof (the “Report”), Richard A. Johnson, as Chief Executive Officer of the Registrant and Lauren B. Peters, as Chief Financial Officer of the Registrant, each hereby certify, pursuant to 18 U.S.C. Section 1350, that:</w:t>
      </w:r>
    </w:p>
    <w:p>
      <w:pPr>
        <w:spacing w:after="0" w:line="190" w:lineRule="exact"/>
        <w:rPr>
          <w:sz w:val="20"/>
          <w:szCs w:val="20"/>
          <w:color w:val="auto"/>
        </w:rPr>
      </w:pPr>
    </w:p>
    <w:p>
      <w:pPr>
        <w:ind w:left="800" w:right="779" w:hanging="452"/>
        <w:spacing w:after="0" w:line="243" w:lineRule="auto"/>
        <w:tabs>
          <w:tab w:leader="none" w:pos="8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98" w:lineRule="exact"/>
        <w:rPr>
          <w:rFonts w:ascii="Arial" w:cs="Arial" w:eastAsia="Arial" w:hAnsi="Arial"/>
          <w:sz w:val="17"/>
          <w:szCs w:val="17"/>
          <w:color w:val="auto"/>
        </w:rPr>
      </w:pPr>
    </w:p>
    <w:p>
      <w:pPr>
        <w:ind w:left="800" w:right="779" w:hanging="452"/>
        <w:spacing w:after="0" w:line="243" w:lineRule="auto"/>
        <w:tabs>
          <w:tab w:leader="none" w:pos="8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Registrant.</w:t>
      </w:r>
    </w:p>
    <w:p>
      <w:pPr>
        <w:spacing w:after="0" w:line="17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Dated: March 29, 2018</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/s/ 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3248025</wp:posOffset>
            </wp:positionH>
            <wp:positionV relativeFrom="paragraph">
              <wp:posOffset>0</wp:posOffset>
            </wp:positionV>
            <wp:extent cx="24180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9">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1"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Richard A. Johnson</w:t>
      </w:r>
    </w:p>
    <w:p>
      <w:pPr>
        <w:spacing w:after="0" w:line="30" w:lineRule="exact"/>
        <w:rPr>
          <w:sz w:val="20"/>
          <w:szCs w:val="20"/>
          <w:color w:val="auto"/>
        </w:rPr>
      </w:pPr>
    </w:p>
    <w:p>
      <w:pPr>
        <w:ind w:left="5120"/>
        <w:spacing w:after="0"/>
        <w:rPr>
          <w:sz w:val="20"/>
          <w:szCs w:val="20"/>
          <w:color w:val="auto"/>
        </w:rPr>
      </w:pPr>
      <w:r>
        <w:rPr>
          <w:rFonts w:ascii="Arial" w:cs="Arial" w:eastAsia="Arial" w:hAnsi="Arial"/>
          <w:sz w:val="17"/>
          <w:szCs w:val="17"/>
          <w:i w:val="1"/>
          <w:i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3248025</wp:posOffset>
            </wp:positionH>
            <wp:positionV relativeFrom="paragraph">
              <wp:posOffset>0</wp:posOffset>
            </wp:positionV>
            <wp:extent cx="24180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0">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ind w:left="5120"/>
        <w:spacing w:after="0"/>
        <w:rPr>
          <w:sz w:val="20"/>
          <w:szCs w:val="20"/>
          <w:color w:val="auto"/>
        </w:rPr>
      </w:pPr>
      <w:r>
        <w:rPr>
          <w:rFonts w:ascii="Arial" w:cs="Arial" w:eastAsia="Arial" w:hAnsi="Arial"/>
          <w:sz w:val="17"/>
          <w:szCs w:val="17"/>
          <w:color w:val="auto"/>
        </w:rPr>
        <w:t>Lauren B. Peters</w:t>
      </w:r>
    </w:p>
    <w:p>
      <w:pPr>
        <w:ind w:left="5120"/>
        <w:spacing w:after="0"/>
        <w:rPr>
          <w:sz w:val="20"/>
          <w:szCs w:val="20"/>
          <w:color w:val="auto"/>
        </w:rPr>
      </w:pPr>
      <w:r>
        <w:rPr>
          <w:rFonts w:ascii="Arial" w:cs="Arial" w:eastAsia="Arial" w:hAnsi="Arial"/>
          <w:sz w:val="17"/>
          <w:szCs w:val="17"/>
          <w:i w:val="1"/>
          <w:iCs w:val="1"/>
          <w:color w:val="auto"/>
        </w:rPr>
        <w:t>Chief Financial Officer</w:t>
      </w:r>
    </w:p>
    <w:p>
      <w:pPr>
        <w:spacing w:after="0" w:line="200" w:lineRule="exact"/>
        <w:rPr>
          <w:sz w:val="20"/>
          <w:szCs w:val="20"/>
          <w:color w:val="auto"/>
        </w:rPr>
      </w:pPr>
    </w:p>
    <w:p>
      <w:pPr>
        <w:spacing w:after="0" w:line="226" w:lineRule="exact"/>
        <w:rPr>
          <w:sz w:val="20"/>
          <w:szCs w:val="20"/>
          <w:color w:val="auto"/>
        </w:rPr>
      </w:pPr>
    </w:p>
    <w:p>
      <w:pPr>
        <w:jc w:val="both"/>
        <w:ind w:left="100" w:right="99"/>
        <w:spacing w:after="0" w:line="239" w:lineRule="auto"/>
        <w:rPr>
          <w:sz w:val="20"/>
          <w:szCs w:val="20"/>
          <w:color w:val="auto"/>
        </w:rPr>
      </w:pPr>
      <w:r>
        <w:rPr>
          <w:rFonts w:ascii="Arial" w:cs="Arial" w:eastAsia="Arial" w:hAnsi="Arial"/>
          <w:sz w:val="17"/>
          <w:szCs w:val="17"/>
          <w:color w:val="auto"/>
        </w:rPr>
        <w:t>The foregoing certification is being furnished solely pursuant to 18 U.S.C. § 1350 and is not being filed as part of the Report or as a separate disclosure document. Such certification will not be deemed to be incorporated by reference into any filing under the Securities Act of 1933, as amended, or the Securities Exchange Act of 1934, as amended, except to the extent that the company specifically incorporates it by reference</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393700</wp:posOffset>
            </wp:positionV>
            <wp:extent cx="5642610" cy="514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sectPr>
      <w:pgSz w:w="11900" w:h="16838" w:orient="portrait"/>
      <w:cols w:equalWidth="0" w:num="1">
        <w:col w:w="9019"/>
      </w:cols>
      <w:pgMar w:left="1440" w:top="3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upperLetter"/>
      <w:start w:val="1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1)"/>
      <w:numFmt w:val="decimal"/>
      <w:start w:val="1"/>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1)"/>
      <w:numFmt w:val="decimal"/>
      <w:start w:val="1"/>
    </w:lvl>
  </w:abstractNum>
  <w:abstractNum w:abstractNumId="7">
    <w:nsid w:val="4353D0CD"/>
    <w:multiLevelType w:val="hybridMultilevel"/>
    <w:lvl w:ilvl="0">
      <w:lvlJc w:val="left"/>
      <w:lvlText w:val="(%1)"/>
      <w:numFmt w:val="decimal"/>
      <w:start w:val="1"/>
    </w:lvl>
  </w:abstractNum>
  <w:abstractNum w:abstractNumId="8">
    <w:nsid w:val="B03E0C6"/>
    <w:multiLevelType w:val="hybridMultilevel"/>
    <w:lvl w:ilvl="0">
      <w:lvlJc w:val="left"/>
      <w:lvlText w:val="(%1)"/>
      <w:numFmt w:val="decimal"/>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1)"/>
      <w:numFmt w:val="decimal"/>
      <w:start w:val="1"/>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
      <w:numFmt w:val="bullet"/>
      <w:start w:val="1"/>
    </w:lvl>
    <w:lvl w:ilvl="1">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1)"/>
      <w:numFmt w:val="decimal"/>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1)"/>
      <w:numFmt w:val="decimal"/>
      <w:start w:val="1"/>
    </w:lvl>
  </w:abstractNum>
  <w:abstractNum w:abstractNumId="19">
    <w:nsid w:val="737B8DDC"/>
    <w:multiLevelType w:val="hybridMultilevel"/>
    <w:lvl w:ilvl="0">
      <w:lvlJc w:val="left"/>
      <w:lvlText w:val="(%1)"/>
      <w:numFmt w:val="decimal"/>
      <w:start w:val="1"/>
    </w:lvl>
  </w:abstractNum>
  <w:abstractNum w:abstractNumId="20">
    <w:nsid w:val="6CEAF087"/>
    <w:multiLevelType w:val="hybridMultilevel"/>
    <w:lvl w:ilvl="0">
      <w:lvlJc w:val="left"/>
      <w:lvlText w:val="(%1)"/>
      <w:numFmt w:val="decimal"/>
      <w:start w:val="1"/>
    </w:lvl>
  </w:abstractNum>
  <w:abstractNum w:abstractNumId="21">
    <w:nsid w:val="22221A70"/>
    <w:multiLevelType w:val="hybridMultilevel"/>
    <w:lvl w:ilvl="0">
      <w:lvlJc w:val="left"/>
      <w:lvlText w:val="(%1)"/>
      <w:numFmt w:val="decimal"/>
      <w:start w:val="1"/>
    </w:lvl>
  </w:abstractNum>
  <w:abstractNum w:abstractNumId="22">
    <w:nsid w:val="4516DDE9"/>
    <w:multiLevelType w:val="hybridMultilevel"/>
    <w:lvl w:ilvl="0">
      <w:lvlJc w:val="left"/>
      <w:lvlText w:val="%1"/>
      <w:numFmt w:val="decimal"/>
      <w:start w:val="1"/>
    </w:lvl>
    <w:lvl w:ilvl="1">
      <w:lvlJc w:val="left"/>
      <w:lvlText w:val="(%2)"/>
      <w:numFmt w:val="decimal"/>
      <w:start w:val="1"/>
    </w:lvl>
  </w:abstractNum>
  <w:abstractNum w:abstractNumId="23">
    <w:nsid w:val="3006C83E"/>
    <w:multiLevelType w:val="hybridMultilevel"/>
    <w:lvl w:ilvl="0">
      <w:lvlJc w:val="left"/>
      <w:lvlText w:val="%1."/>
      <w:numFmt w:val="decimal"/>
      <w:start w:val="12"/>
    </w:lvl>
    <w:lvl w:ilvl="1">
      <w:lvlJc w:val="left"/>
      <w:lvlText w:val="%2"/>
      <w:numFmt w:val="decimal"/>
      <w:start w:val="1"/>
    </w:lvl>
  </w:abstractNum>
  <w:abstractNum w:abstractNumId="24">
    <w:nsid w:val="614FD4A1"/>
    <w:multiLevelType w:val="hybridMultilevel"/>
    <w:lvl w:ilvl="0">
      <w:lvlJc w:val="left"/>
      <w:lvlText w:val="(%1)"/>
      <w:numFmt w:val="decimal"/>
      <w:start w:val="1"/>
    </w:lvl>
  </w:abstractNum>
  <w:abstractNum w:abstractNumId="25">
    <w:nsid w:val="419AC241"/>
    <w:multiLevelType w:val="hybridMultilevel"/>
    <w:lvl w:ilvl="0">
      <w:lvlJc w:val="left"/>
      <w:lvlText w:val="%1"/>
      <w:numFmt w:val="decimal"/>
      <w:start w:val="1"/>
    </w:lvl>
    <w:lvl w:ilvl="1">
      <w:lvlJc w:val="left"/>
      <w:lvlText w:val="(%2)"/>
      <w:numFmt w:val="decimal"/>
      <w:start w:val="1"/>
    </w:lvl>
  </w:abstractNum>
  <w:abstractNum w:abstractNumId="26">
    <w:nsid w:val="5577F8E1"/>
    <w:multiLevelType w:val="hybridMultilevel"/>
    <w:lvl w:ilvl="0">
      <w:lvlJc w:val="left"/>
      <w:lvlText w:val="%1."/>
      <w:numFmt w:val="decimal"/>
      <w:start w:val="15"/>
    </w:lvl>
    <w:lvl w:ilvl="1">
      <w:lvlJc w:val="left"/>
      <w:lvlText w:val="%2"/>
      <w:numFmt w:val="decimal"/>
      <w:start w:val="1"/>
    </w:lvl>
  </w:abstractNum>
  <w:abstractNum w:abstractNumId="27">
    <w:nsid w:val="440BADFC"/>
    <w:multiLevelType w:val="hybridMultilevel"/>
    <w:lvl w:ilvl="0">
      <w:lvlJc w:val="left"/>
      <w:lvlText w:val="(%1)"/>
      <w:numFmt w:val="decimal"/>
      <w:start w:val="1"/>
    </w:lvl>
  </w:abstractNum>
  <w:abstractNum w:abstractNumId="28">
    <w:nsid w:val="5072367"/>
    <w:multiLevelType w:val="hybridMultilevel"/>
    <w:lvl w:ilvl="0">
      <w:lvlJc w:val="left"/>
      <w:lvlText w:val="(%1)"/>
      <w:numFmt w:val="decimal"/>
      <w:start w:val="1"/>
    </w:lvl>
  </w:abstractNum>
  <w:abstractNum w:abstractNumId="29">
    <w:nsid w:val="3804823E"/>
    <w:multiLevelType w:val="hybridMultilevel"/>
    <w:lvl w:ilvl="0">
      <w:lvlJc w:val="left"/>
      <w:lvlText w:val="(%1)"/>
      <w:numFmt w:val="decimal"/>
      <w:start w:val="1"/>
    </w:lvl>
  </w:abstractNum>
  <w:abstractNum w:abstractNumId="30">
    <w:nsid w:val="77465F01"/>
    <w:multiLevelType w:val="hybridMultilevel"/>
    <w:lvl w:ilvl="0">
      <w:lvlJc w:val="left"/>
      <w:lvlText w:val="(%1)"/>
      <w:numFmt w:val="decimal"/>
      <w:start w:val="1"/>
    </w:lvl>
  </w:abstractNum>
  <w:abstractNum w:abstractNumId="31">
    <w:nsid w:val="7724C67E"/>
    <w:multiLevelType w:val="hybridMultilevel"/>
    <w:lvl w:ilvl="0">
      <w:lvlJc w:val="left"/>
      <w:lvlText w:val="(%1)"/>
      <w:numFmt w:val="decimal"/>
      <w:start w:val="1"/>
    </w:lvl>
  </w:abstractNum>
  <w:abstractNum w:abstractNumId="32">
    <w:nsid w:val="5C482A97"/>
    <w:multiLevelType w:val="hybridMultilevel"/>
    <w:lvl w:ilvl="0">
      <w:lvlJc w:val="left"/>
      <w:lvlText w:val="%1"/>
      <w:numFmt w:val="lowerLetter"/>
      <w:start w:val="1"/>
    </w:lvl>
    <w:lvl w:ilvl="1">
      <w:lvlJc w:val="left"/>
      <w:lvlText w:val="(%2)"/>
      <w:numFmt w:val="lowerLetter"/>
      <w:start w:val="1"/>
    </w:lvl>
  </w:abstractNum>
  <w:abstractNum w:abstractNumId="33">
    <w:nsid w:val="2463B9EA"/>
    <w:multiLevelType w:val="hybridMultilevel"/>
    <w:lvl w:ilvl="0">
      <w:lvlJc w:val="left"/>
      <w:lvlText w:val="(%1)"/>
      <w:numFmt w:val="lowerLetter"/>
      <w:start w:val="3"/>
    </w:lvl>
    <w:lvl w:ilvl="1">
      <w:lvlJc w:val="left"/>
      <w:lvlText w:val="%2"/>
      <w:numFmt w:val="lowerLetter"/>
      <w:start w:val="1"/>
    </w:lvl>
  </w:abstractNum>
  <w:abstractNum w:abstractNumId="34">
    <w:nsid w:val="5E884ADC"/>
    <w:multiLevelType w:val="hybridMultilevel"/>
    <w:lvl w:ilvl="0">
      <w:lvlJc w:val="left"/>
      <w:lvlText w:val="(%1)"/>
      <w:numFmt w:val="lowerLetter"/>
      <w:start w:val="1"/>
    </w:lvl>
  </w:abstractNum>
  <w:abstractNum w:abstractNumId="35">
    <w:nsid w:val="51EAD36B"/>
    <w:multiLevelType w:val="hybridMultilevel"/>
    <w:lvl w:ilvl="0">
      <w:lvlJc w:val="left"/>
      <w:lvlText w:val="%1"/>
      <w:numFmt w:val="lowerLetter"/>
      <w:start w:val="1"/>
    </w:lvl>
    <w:lvl w:ilvl="1">
      <w:lvlJc w:val="left"/>
      <w:lvlText w:val="%2:"/>
      <w:numFmt w:val="decimal"/>
      <w:start w:val="1"/>
    </w:lvl>
  </w:abstractNum>
  <w:abstractNum w:abstractNumId="36">
    <w:nsid w:val="2D517796"/>
    <w:multiLevelType w:val="hybridMultilevel"/>
    <w:lvl w:ilvl="0">
      <w:lvlJc w:val="left"/>
      <w:lvlText w:val="(%1)"/>
      <w:numFmt w:val="lowerLetter"/>
      <w:start w:val="2"/>
    </w:lvl>
    <w:lvl w:ilvl="1">
      <w:lvlJc w:val="left"/>
      <w:lvlText w:val="%2"/>
      <w:numFmt w:val="decimal"/>
      <w:start w:val="1"/>
    </w:lvl>
  </w:abstractNum>
  <w:abstractNum w:abstractNumId="37">
    <w:nsid w:val="580BD78F"/>
    <w:multiLevelType w:val="hybridMultilevel"/>
    <w:lvl w:ilvl="0">
      <w:lvlJc w:val="left"/>
      <w:lvlText w:val="(%1)"/>
      <w:numFmt w:val="lowerLetter"/>
      <w:start w:val="3"/>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1)"/>
      <w:numFmt w:val="decimal"/>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36" Type="http://schemas.openxmlformats.org/officeDocument/2006/relationships/image" Target="media/image119.png"/><Relationship Id="rId137" Type="http://schemas.openxmlformats.org/officeDocument/2006/relationships/image" Target="media/image120.png"/><Relationship Id="rId138" Type="http://schemas.openxmlformats.org/officeDocument/2006/relationships/image" Target="media/image121.png"/><Relationship Id="rId140" Type="http://schemas.openxmlformats.org/officeDocument/2006/relationships/image" Target="media/image122.png"/><Relationship Id="rId143" Type="http://schemas.openxmlformats.org/officeDocument/2006/relationships/image" Target="media/image123.png"/><Relationship Id="rId146" Type="http://schemas.openxmlformats.org/officeDocument/2006/relationships/image" Target="media/image124.png"/><Relationship Id="rId149" Type="http://schemas.openxmlformats.org/officeDocument/2006/relationships/image" Target="media/image125.png"/><Relationship Id="rId152" Type="http://schemas.openxmlformats.org/officeDocument/2006/relationships/image" Target="media/image126.png"/><Relationship Id="rId155" Type="http://schemas.openxmlformats.org/officeDocument/2006/relationships/image" Target="media/image127.png"/><Relationship Id="rId158" Type="http://schemas.openxmlformats.org/officeDocument/2006/relationships/image" Target="media/image128.png"/><Relationship Id="rId160" Type="http://schemas.openxmlformats.org/officeDocument/2006/relationships/image" Target="media/image129.png"/><Relationship Id="rId162" Type="http://schemas.openxmlformats.org/officeDocument/2006/relationships/image" Target="media/image130.png"/><Relationship Id="rId165" Type="http://schemas.openxmlformats.org/officeDocument/2006/relationships/image" Target="media/image131.png"/><Relationship Id="rId166" Type="http://schemas.openxmlformats.org/officeDocument/2006/relationships/image" Target="media/image132.png"/><Relationship Id="rId168" Type="http://schemas.openxmlformats.org/officeDocument/2006/relationships/image" Target="media/image133.png"/><Relationship Id="rId169" Type="http://schemas.openxmlformats.org/officeDocument/2006/relationships/image" Target="media/image134.png"/><Relationship Id="rId170" Type="http://schemas.openxmlformats.org/officeDocument/2006/relationships/image" Target="media/image135.png"/><Relationship Id="rId171" Type="http://schemas.openxmlformats.org/officeDocument/2006/relationships/image" Target="media/image136.png"/><Relationship Id="rId172" Type="http://schemas.openxmlformats.org/officeDocument/2006/relationships/image" Target="media/image137.png"/><Relationship Id="rId173" Type="http://schemas.openxmlformats.org/officeDocument/2006/relationships/image" Target="media/image138.png"/><Relationship Id="rId174" Type="http://schemas.openxmlformats.org/officeDocument/2006/relationships/image" Target="media/image139.png"/><Relationship Id="rId175" Type="http://schemas.openxmlformats.org/officeDocument/2006/relationships/image" Target="media/image140.png"/><Relationship Id="rId176" Type="http://schemas.openxmlformats.org/officeDocument/2006/relationships/image" Target="media/image141.png"/><Relationship Id="rId177" Type="http://schemas.openxmlformats.org/officeDocument/2006/relationships/image" Target="media/image142.png"/><Relationship Id="rId178" Type="http://schemas.openxmlformats.org/officeDocument/2006/relationships/image" Target="media/image143.png"/><Relationship Id="rId179" Type="http://schemas.openxmlformats.org/officeDocument/2006/relationships/image" Target="media/image144.png"/><Relationship Id="rId180" Type="http://schemas.openxmlformats.org/officeDocument/2006/relationships/image" Target="media/image145.png"/><Relationship Id="rId181" Type="http://schemas.openxmlformats.org/officeDocument/2006/relationships/image" Target="media/image146.png"/><Relationship Id="rId126" Type="http://schemas.openxmlformats.org/officeDocument/2006/relationships/hyperlink" Target="http://www.sec.gov/Archives/edgar/data/850209/000095011701501759/ex4-2.txt" TargetMode="External"/><Relationship Id="rId127" Type="http://schemas.openxmlformats.org/officeDocument/2006/relationships/hyperlink" Target="http://www.sec.gov/Archives/edgar/data/850209/000093041314002667/c77700_ex3-1.htm" TargetMode="External"/><Relationship Id="rId128" Type="http://schemas.openxmlformats.org/officeDocument/2006/relationships/hyperlink" Target="http://www.sec.gov/Archives/edgar/data/850209/000093041318000545/c90571_ex3-1.htm" TargetMode="External"/><Relationship Id="rId129" Type="http://schemas.openxmlformats.org/officeDocument/2006/relationships/hyperlink" Target="http://www.sec.gov/Archives/edgar/data/850209/000093041316007203/c85089_ex10-1.htm" TargetMode="External"/><Relationship Id="rId130" Type="http://schemas.openxmlformats.org/officeDocument/2006/relationships/hyperlink" Target="http://www.sec.gov/Archives/edgar/data/850209/000093041314005005/c79624_ex10-1.htm" TargetMode="External"/><Relationship Id="rId131" Type="http://schemas.openxmlformats.org/officeDocument/2006/relationships/hyperlink" Target="http://www.sec.gov/Archives/edgar/data/850209/000085020917000003/fl-20170128xex10_5.htm" TargetMode="External"/><Relationship Id="rId132" Type="http://schemas.openxmlformats.org/officeDocument/2006/relationships/hyperlink" Target="http://www.sec.gov/Archives/edgar/data/850209/000093041316006244/c84488_ex10-3.htm" TargetMode="External"/><Relationship Id="rId133" Type="http://schemas.openxmlformats.org/officeDocument/2006/relationships/hyperlink" Target="http://www.sec.gov/Archives/edgar/data/850209/000085020917000006/fl-20170519xex10_1.htm" TargetMode="External"/><Relationship Id="rId134" Type="http://schemas.openxmlformats.org/officeDocument/2006/relationships/hyperlink" Target="http://www.sec.gov/Archives/edgar/data/850209/000093041307006773/c49896_ex10-1.htm" TargetMode="External"/><Relationship Id="rId135" Type="http://schemas.openxmlformats.org/officeDocument/2006/relationships/hyperlink" Target="http://www.sec.gov/Archives/edgar/data/850209/000093041311004174/c65814_ex10-1.htm" TargetMode="External"/><Relationship Id="rId139" Type="http://schemas.openxmlformats.org/officeDocument/2006/relationships/hyperlink" Target="http://www.sec.gov/Archives/edgar/data/850209/000093041314001548/c77055_ex10-3.htm" TargetMode="External"/><Relationship Id="rId141" Type="http://schemas.openxmlformats.org/officeDocument/2006/relationships/hyperlink" Target="http://www.sec.gov/Archives/edgar/data/850209/000120677409000650/exhibit_10-22.htm" TargetMode="External"/><Relationship Id="rId142" Type="http://schemas.openxmlformats.org/officeDocument/2006/relationships/hyperlink" Target="http://www.sec.gov/Archives/edgar/data/850209/000120677409000650/exhibit_10-26.htm" TargetMode="External"/><Relationship Id="rId144" Type="http://schemas.openxmlformats.org/officeDocument/2006/relationships/hyperlink" Target="http://www.sec.gov/Archives/edgar/data/850209/000120677409000650/exhibit_10-27.htm" TargetMode="External"/><Relationship Id="rId145" Type="http://schemas.openxmlformats.org/officeDocument/2006/relationships/hyperlink" Target="http://www.sec.gov/Archives/edgar/data/850209/000120677409000650/exhibit_10-28.htm" TargetMode="External"/><Relationship Id="rId147" Type="http://schemas.openxmlformats.org/officeDocument/2006/relationships/hyperlink" Target="http://www.sec.gov/Archives/edgar/data/850209/000120677409000650/exhibit_10-32.htm" TargetMode="External"/><Relationship Id="rId148" Type="http://schemas.openxmlformats.org/officeDocument/2006/relationships/hyperlink" Target="http://www.sec.gov/Archives/edgar/data/850209/000120677406000567/d18788_ex10-40.htm" TargetMode="External"/><Relationship Id="rId150" Type="http://schemas.openxmlformats.org/officeDocument/2006/relationships/hyperlink" Target="http://www.sec.gov/Archives/edgar/data/850209/000093041314001548/c77055_ex10-1.htm" TargetMode="External"/><Relationship Id="rId151" Type="http://schemas.openxmlformats.org/officeDocument/2006/relationships/hyperlink" Target="http://www.sec.gov/Archives/edgar/data/850209/000093041314001548/c77055_ex10-2.htm" TargetMode="External"/><Relationship Id="rId153" Type="http://schemas.openxmlformats.org/officeDocument/2006/relationships/hyperlink" Target="http://www.sec.gov/Archives/edgar/data/850209/000093041313001985/c73257_ex10-3.htm" TargetMode="External"/><Relationship Id="rId154" Type="http://schemas.openxmlformats.org/officeDocument/2006/relationships/hyperlink" Target="http://www.sec.gov/Archives/edgar/data/850209/000093041316006244/c84488_ex10-1.htm" TargetMode="External"/><Relationship Id="rId156" Type="http://schemas.openxmlformats.org/officeDocument/2006/relationships/hyperlink" Target="http://www.sec.gov/Archives/edgar/data/850209/000093041316006244/c84488_ex10-2.htm" TargetMode="External"/><Relationship Id="rId157" Type="http://schemas.openxmlformats.org/officeDocument/2006/relationships/hyperlink" Target="http://www.sec.gov/Archives/edgar/data/850209/000085020916000005/fl-20160730xex10.htm" TargetMode="External"/><Relationship Id="rId159" Type="http://schemas.openxmlformats.org/officeDocument/2006/relationships/hyperlink" Target="http://www.sec.gov/Archives/edgar/data/850209/000095012301503422/y50352ex10-5.txt" TargetMode="External"/><Relationship Id="rId161" Type="http://schemas.openxmlformats.org/officeDocument/2006/relationships/hyperlink" Target="http://www.sec.gov/Archives/edgar/data/850209/000095012301503422/y50352ex10-4.txt" TargetMode="External"/><Relationship Id="rId163" Type="http://schemas.openxmlformats.org/officeDocument/2006/relationships/hyperlink" Target="http://www.sec.gov/Archives/edgar/data/850209/000093041314004495/c79195_ex10-2.htm" TargetMode="External"/><Relationship Id="rId164" Type="http://schemas.openxmlformats.org/officeDocument/2006/relationships/hyperlink" Target="http://www.sec.gov/Archives/edgar/data/850209/000093041315001838/c81054_ex10-1.htm" TargetMode="External"/><Relationship Id="rId167" Type="http://schemas.openxmlformats.org/officeDocument/2006/relationships/hyperlink" Target="http://www.sec.gov/Archives/edgar/data/850209/000114420416090138/v429676_ex10x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2019-12-28T23:29:26Z</dcterms:created>
  <dcterms:modified xsi:type="dcterms:W3CDTF">2019-12-28T23:29:26Z</dcterms:modified>
</cp:coreProperties>
</file>