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3950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83820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4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7"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spacing w:after="0" w:line="294" w:lineRule="exact"/>
        <w:rPr>
          <w:sz w:val="24"/>
          <w:szCs w:val="24"/>
          <w:color w:val="auto"/>
        </w:rPr>
      </w:pPr>
    </w:p>
    <w:p>
      <w:pPr>
        <w:ind w:left="3680" w:right="2000" w:hanging="3389"/>
        <w:spacing w:after="0" w:line="486" w:lineRule="auto"/>
        <w:tabs>
          <w:tab w:leader="none" w:pos="69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July 31, 2021</w:t>
      </w:r>
    </w:p>
    <w:p>
      <w:pPr>
        <w:jc w:val="center"/>
        <w:ind w:right="-159"/>
        <w:spacing w:after="0"/>
        <w:rPr>
          <w:sz w:val="20"/>
          <w:szCs w:val="20"/>
          <w:color w:val="auto"/>
        </w:rPr>
      </w:pPr>
      <w:r>
        <w:rPr>
          <w:rFonts w:ascii="Arial" w:cs="Arial" w:eastAsia="Arial" w:hAnsi="Arial"/>
          <w:sz w:val="14"/>
          <w:szCs w:val="14"/>
          <w:color w:val="auto"/>
        </w:rPr>
        <w:t>OR</w:t>
      </w:r>
    </w:p>
    <w:p>
      <w:pPr>
        <w:spacing w:after="0" w:line="307" w:lineRule="exact"/>
        <w:rPr>
          <w:sz w:val="24"/>
          <w:szCs w:val="24"/>
          <w:color w:val="auto"/>
        </w:rPr>
      </w:pPr>
    </w:p>
    <w:p>
      <w:pPr>
        <w:ind w:left="3280" w:right="2000" w:hanging="2989"/>
        <w:spacing w:after="0" w:line="476" w:lineRule="auto"/>
        <w:tabs>
          <w:tab w:leader="none" w:pos="702"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2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288925</wp:posOffset>
            </wp:positionV>
            <wp:extent cx="2425700"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2832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143510</wp:posOffset>
            </wp:positionV>
            <wp:extent cx="15944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143510</wp:posOffset>
            </wp:positionV>
            <wp:extent cx="15944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ectPr>
          <w:pgSz w:w="11900" w:h="16838" w:orient="portrait"/>
          <w:cols w:equalWidth="0" w:num="1">
            <w:col w:w="10080"/>
          </w:cols>
          <w:pgMar w:left="980" w:top="665"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4"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13-3513936</w:t>
      </w:r>
    </w:p>
    <w:p>
      <w:pPr>
        <w:spacing w:after="0" w:line="19" w:lineRule="exact"/>
        <w:rPr>
          <w:sz w:val="24"/>
          <w:szCs w:val="24"/>
          <w:color w:val="auto"/>
        </w:rPr>
      </w:pPr>
    </w:p>
    <w:p>
      <w:pPr>
        <w:jc w:val="center"/>
        <w:ind w:right="1340"/>
        <w:spacing w:after="0"/>
        <w:rPr>
          <w:sz w:val="20"/>
          <w:szCs w:val="20"/>
          <w:color w:val="auto"/>
        </w:rPr>
      </w:pPr>
      <w:r>
        <w:rPr>
          <w:rFonts w:ascii="Arial" w:cs="Arial" w:eastAsia="Arial" w:hAnsi="Arial"/>
          <w:sz w:val="14"/>
          <w:szCs w:val="14"/>
          <w:color w:val="auto"/>
        </w:rPr>
        <w:t>(I.R.S. Employer Identification No.)</w:t>
      </w:r>
    </w:p>
    <w:p>
      <w:pPr>
        <w:spacing w:after="0" w:line="84" w:lineRule="exact"/>
        <w:rPr>
          <w:sz w:val="24"/>
          <w:szCs w:val="24"/>
          <w:color w:val="auto"/>
        </w:rPr>
      </w:pPr>
    </w:p>
    <w:p>
      <w:pPr>
        <w:sectPr>
          <w:pgSz w:w="11900" w:h="16838" w:orient="portrait"/>
          <w:cols w:equalWidth="0" w:num="2">
            <w:col w:w="5820" w:space="720"/>
            <w:col w:w="3540"/>
          </w:cols>
          <w:pgMar w:left="980" w:top="665" w:right="83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38" w:lineRule="exact"/>
        <w:rPr>
          <w:sz w:val="24"/>
          <w:szCs w:val="24"/>
          <w:color w:val="auto"/>
        </w:rPr>
      </w:pPr>
    </w:p>
    <w:tbl>
      <w:tblPr>
        <w:tblLayout w:type="fixed"/>
        <w:tblInd w:w="1350" w:type="dxa"/>
        <w:tblCellMar>
          <w:top w:w="0" w:type="dxa"/>
          <w:left w:w="0" w:type="dxa"/>
          <w:bottom w:w="0" w:type="dxa"/>
          <w:right w:w="0" w:type="dxa"/>
        </w:tblCellMar>
      </w:tblPr>
      <w:tr>
        <w:trPr>
          <w:trHeight w:val="162"/>
        </w:trPr>
        <w:tc>
          <w:tcPr>
            <w:tcW w:w="306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Title of each class</w:t>
            </w:r>
          </w:p>
        </w:tc>
        <w:tc>
          <w:tcPr>
            <w:tcW w:w="132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Trading</w:t>
            </w:r>
          </w:p>
        </w:tc>
        <w:tc>
          <w:tcPr>
            <w:tcW w:w="306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190"/>
        </w:trPr>
        <w:tc>
          <w:tcPr>
            <w:tcW w:w="306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Symbol(s)</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33"/>
        </w:trPr>
        <w:tc>
          <w:tcPr>
            <w:tcW w:w="306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3060" w:type="dxa"/>
            <w:vAlign w:val="bottom"/>
            <w:tcBorders>
              <w:bottom w:val="single" w:sz="8" w:color="auto"/>
              <w:right w:val="single" w:sz="8" w:color="auto"/>
            </w:tcBorders>
          </w:tcPr>
          <w:p>
            <w:pPr>
              <w:spacing w:after="0"/>
              <w:rPr>
                <w:sz w:val="11"/>
                <w:szCs w:val="11"/>
                <w:color w:val="auto"/>
              </w:rPr>
            </w:pPr>
          </w:p>
        </w:tc>
      </w:tr>
      <w:tr>
        <w:trPr>
          <w:trHeight w:val="160"/>
        </w:trPr>
        <w:tc>
          <w:tcPr>
            <w:tcW w:w="3060" w:type="dxa"/>
            <w:vAlign w:val="bottom"/>
            <w:tcBorders>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rPr>
              <w:t>Common Stock, par value $0.01</w:t>
            </w:r>
          </w:p>
        </w:tc>
        <w:tc>
          <w:tcPr>
            <w:tcW w:w="132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w w:val="97"/>
              </w:rPr>
              <w:t>FL</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New York Stock Exchange</w:t>
            </w:r>
          </w:p>
        </w:tc>
      </w:tr>
      <w:tr>
        <w:trPr>
          <w:trHeight w:val="157"/>
        </w:trPr>
        <w:tc>
          <w:tcPr>
            <w:tcW w:w="3060" w:type="dxa"/>
            <w:vAlign w:val="bottom"/>
            <w:tcBorders>
              <w:left w:val="single" w:sz="8" w:color="auto"/>
              <w:bottom w:val="single" w:sz="8" w:color="auto"/>
              <w:right w:val="single" w:sz="8" w:color="auto"/>
            </w:tcBorders>
          </w:tcPr>
          <w:p>
            <w:pPr>
              <w:jc w:val="center"/>
              <w:ind w:left="88"/>
              <w:spacing w:after="0" w:line="157" w:lineRule="exact"/>
              <w:rPr>
                <w:sz w:val="20"/>
                <w:szCs w:val="20"/>
                <w:color w:val="auto"/>
              </w:rPr>
            </w:pPr>
            <w:r>
              <w:rPr>
                <w:rFonts w:ascii="Arial" w:cs="Arial" w:eastAsia="Arial" w:hAnsi="Arial"/>
                <w:sz w:val="14"/>
                <w:szCs w:val="14"/>
                <w:color w:val="auto"/>
              </w:rPr>
              <w:t>Preferred Stock Purchase Rights</w:t>
            </w:r>
          </w:p>
        </w:tc>
        <w:tc>
          <w:tcPr>
            <w:tcW w:w="132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tcPr>
          <w:p>
            <w:pPr>
              <w:jc w:val="center"/>
              <w:ind w:left="48"/>
              <w:spacing w:after="0" w:line="157" w:lineRule="exact"/>
              <w:rPr>
                <w:sz w:val="20"/>
                <w:szCs w:val="20"/>
                <w:color w:val="auto"/>
              </w:rPr>
            </w:pPr>
            <w:r>
              <w:rPr>
                <w:rFonts w:ascii="Arial" w:cs="Arial" w:eastAsia="Arial" w:hAnsi="Arial"/>
                <w:sz w:val="14"/>
                <w:szCs w:val="14"/>
                <w:color w:val="auto"/>
              </w:rPr>
              <w:t>New York Stock Exchange</w:t>
            </w:r>
          </w:p>
        </w:tc>
      </w:tr>
    </w:tbl>
    <w:p>
      <w:pPr>
        <w:spacing w:after="0" w:line="167" w:lineRule="exact"/>
        <w:rPr>
          <w:sz w:val="24"/>
          <w:szCs w:val="24"/>
          <w:color w:val="auto"/>
        </w:rPr>
      </w:pPr>
    </w:p>
    <w:p>
      <w:pPr>
        <w:jc w:val="both"/>
        <w:ind w:left="180" w:right="20"/>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7" w:lineRule="exact"/>
        <w:rPr>
          <w:sz w:val="24"/>
          <w:szCs w:val="24"/>
          <w:color w:val="auto"/>
        </w:rPr>
      </w:pPr>
    </w:p>
    <w:p>
      <w:pPr>
        <w:jc w:val="both"/>
        <w:ind w:left="18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p>
      <w:pPr>
        <w:ind w:left="180" w:right="48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50" w:lineRule="exact"/>
        <w:rPr>
          <w:sz w:val="24"/>
          <w:szCs w:val="24"/>
          <w:color w:val="auto"/>
        </w:rPr>
      </w:pPr>
    </w:p>
    <w:p>
      <w:pPr>
        <w:ind w:left="180" w:right="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80" w:right="1880"/>
        <w:spacing w:after="0" w:line="26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September 3, 2021: 103,807,679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427990</wp:posOffset>
            </wp:positionV>
            <wp:extent cx="639508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508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8255</wp:posOffset>
            </wp:positionV>
            <wp:extent cx="63950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39508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34290"/>
                    </a:xfrm>
                    <a:prstGeom prst="rect">
                      <a:avLst/>
                    </a:prstGeom>
                    <a:noFill/>
                  </pic:spPr>
                </pic:pic>
              </a:graphicData>
            </a:graphic>
          </wp:anchor>
        </w:drawing>
      </w:r>
    </w:p>
    <w:p>
      <w:pPr>
        <w:sectPr>
          <w:pgSz w:w="11900" w:h="16838" w:orient="portrait"/>
          <w:cols w:equalWidth="0" w:num="1">
            <w:col w:w="10080"/>
          </w:cols>
          <w:pgMar w:left="980" w:top="665" w:right="839" w:bottom="1440" w:gutter="0" w:footer="0" w:header="0"/>
          <w:type w:val="continuous"/>
        </w:sectPr>
      </w:pPr>
    </w:p>
    <w:bookmarkStart w:id="1" w:name="page2"/>
    <w:bookmarkEnd w:id="1"/>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40" w:type="dxa"/>
            <w:vAlign w:val="bottom"/>
            <w:gridSpan w:val="10"/>
          </w:tcPr>
          <w:p>
            <w:pPr>
              <w:ind w:left="1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Page</w:t>
            </w:r>
          </w:p>
        </w:tc>
      </w:tr>
      <w:tr>
        <w:trPr>
          <w:trHeight w:val="156"/>
        </w:trPr>
        <w:tc>
          <w:tcPr>
            <w:tcW w:w="760" w:type="dxa"/>
            <w:vAlign w:val="bottom"/>
            <w:tcBorders>
              <w:top w:val="single" w:sz="8" w:color="CCEEFF"/>
            </w:tcBorders>
            <w:gridSpan w:val="3"/>
            <w:shd w:val="clear" w:color="auto" w:fill="CCEEFF"/>
          </w:tcPr>
          <w:p>
            <w:pPr>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PART I</w:t>
              </w:r>
            </w:hyperlink>
          </w:p>
        </w:tc>
        <w:tc>
          <w:tcPr>
            <w:tcW w:w="7380" w:type="dxa"/>
            <w:vAlign w:val="bottom"/>
            <w:tcBorders>
              <w:top w:val="single" w:sz="8" w:color="CCEEFF"/>
            </w:tcBorders>
            <w:gridSpan w:val="21"/>
            <w:shd w:val="clear" w:color="auto" w:fill="CCEEFF"/>
          </w:tcPr>
          <w:p>
            <w:pPr>
              <w:ind w:left="120"/>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FINANCIAL INFORMATION</w:t>
              </w:r>
            </w:hyperlink>
          </w:p>
        </w:tc>
        <w:tc>
          <w:tcPr>
            <w:tcW w:w="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5"/>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52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520" w:type="dxa"/>
            <w:vAlign w:val="bottom"/>
            <w:gridSpan w:val="1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Comprehensive Income (Loss)</w:t>
              </w:r>
            </w:hyperlink>
          </w:p>
        </w:tc>
        <w:tc>
          <w:tcPr>
            <w:tcW w:w="820" w:type="dxa"/>
            <w:vAlign w:val="bottom"/>
            <w:tcBorders>
              <w:bottom w:val="single" w:sz="8" w:color="CCEEFF"/>
            </w:tcBorders>
            <w:gridSpan w:val="3"/>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9"/>
                <w:szCs w:val="19"/>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520" w:type="dxa"/>
            <w:vAlign w:val="bottom"/>
            <w:gridSpan w:val="1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Shareholders’ Equity</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1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520" w:type="dxa"/>
            <w:vAlign w:val="bottom"/>
            <w:gridSpan w:val="16"/>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Unaudited Condensed Consolidated Financial Statements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Item 2.</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61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Management’s Discussion and Analysis of Financial Condition and Results of</w:t>
              </w:r>
            </w:hyperlink>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18</w:t>
            </w:r>
          </w:p>
        </w:tc>
        <w:tc>
          <w:tcPr>
            <w:tcW w:w="20" w:type="dxa"/>
            <w:vAlign w:val="bottom"/>
          </w:tcPr>
          <w:p>
            <w:pPr>
              <w:spacing w:after="0"/>
              <w:rPr>
                <w:sz w:val="15"/>
                <w:szCs w:val="15"/>
                <w:color w:val="auto"/>
              </w:rPr>
            </w:pPr>
          </w:p>
        </w:tc>
      </w:tr>
      <w:tr>
        <w:trPr>
          <w:trHeight w:val="183"/>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16"/>
            <w:shd w:val="clear" w:color="auto" w:fill="CCEEFF"/>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Operations</w:t>
              </w:r>
            </w:hyperlink>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5"/>
          </w:tcPr>
          <w:p>
            <w:pPr>
              <w:ind w:left="1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6520" w:type="dxa"/>
            <w:vAlign w:val="bottom"/>
            <w:gridSpan w:val="16"/>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29</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760" w:type="dxa"/>
            <w:vAlign w:val="bottom"/>
            <w:gridSpan w:val="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7380" w:type="dxa"/>
            <w:vAlign w:val="bottom"/>
            <w:gridSpan w:val="21"/>
          </w:tcPr>
          <w:p>
            <w:pPr>
              <w:ind w:left="1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29</w:t>
            </w:r>
          </w:p>
        </w:tc>
        <w:tc>
          <w:tcPr>
            <w:tcW w:w="20" w:type="dxa"/>
            <w:vAlign w:val="bottom"/>
          </w:tcPr>
          <w:p>
            <w:pPr>
              <w:spacing w:after="0"/>
              <w:rPr>
                <w:sz w:val="15"/>
                <w:szCs w:val="15"/>
                <w:color w:val="auto"/>
              </w:rPr>
            </w:pPr>
          </w:p>
        </w:tc>
      </w:tr>
      <w:tr>
        <w:trPr>
          <w:trHeight w:val="48"/>
        </w:trPr>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Item 1.</w:t>
              </w:r>
            </w:hyperlink>
          </w:p>
        </w:tc>
        <w:tc>
          <w:tcPr>
            <w:tcW w:w="180" w:type="dxa"/>
            <w:vAlign w:val="bottom"/>
            <w:gridSpan w:val="2"/>
            <w:shd w:val="clear" w:color="auto" w:fill="CCEEFF"/>
          </w:tcPr>
          <w:p>
            <w:pPr>
              <w:spacing w:after="0"/>
              <w:rPr>
                <w:sz w:val="15"/>
                <w:szCs w:val="15"/>
                <w:color w:val="auto"/>
              </w:rPr>
            </w:pPr>
          </w:p>
        </w:tc>
        <w:tc>
          <w:tcPr>
            <w:tcW w:w="6520" w:type="dxa"/>
            <w:vAlign w:val="bottom"/>
            <w:gridSpan w:val="1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29</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6520" w:type="dxa"/>
            <w:vAlign w:val="bottom"/>
            <w:gridSpan w:val="16"/>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30</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33">
              <w:r>
                <w:rPr>
                  <w:rFonts w:ascii="Arial" w:cs="Arial" w:eastAsia="Arial" w:hAnsi="Arial"/>
                  <w:sz w:val="18"/>
                  <w:szCs w:val="18"/>
                  <w:color w:val="0000EE"/>
                  <w:w w:val="98"/>
                </w:rPr>
                <w:t>Item 2.</w:t>
              </w:r>
            </w:hyperlink>
          </w:p>
        </w:tc>
        <w:tc>
          <w:tcPr>
            <w:tcW w:w="180" w:type="dxa"/>
            <w:vAlign w:val="bottom"/>
            <w:gridSpan w:val="2"/>
            <w:shd w:val="clear" w:color="auto" w:fill="CCEEFF"/>
          </w:tcPr>
          <w:p>
            <w:pPr>
              <w:spacing w:after="0"/>
              <w:rPr>
                <w:sz w:val="19"/>
                <w:szCs w:val="19"/>
                <w:color w:val="auto"/>
              </w:rPr>
            </w:pPr>
          </w:p>
        </w:tc>
        <w:tc>
          <w:tcPr>
            <w:tcW w:w="6520" w:type="dxa"/>
            <w:vAlign w:val="bottom"/>
            <w:gridSpan w:val="1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30</w:t>
            </w:r>
          </w:p>
        </w:tc>
        <w:tc>
          <w:tcPr>
            <w:tcW w:w="20" w:type="dxa"/>
            <w:vAlign w:val="bottom"/>
          </w:tcPr>
          <w:p>
            <w:pPr>
              <w:spacing w:after="0"/>
              <w:rPr>
                <w:sz w:val="19"/>
                <w:szCs w:val="19"/>
                <w:color w:val="auto"/>
              </w:rPr>
            </w:pPr>
          </w:p>
        </w:tc>
      </w:tr>
      <w:tr>
        <w:trPr>
          <w:trHeight w:val="175"/>
        </w:trPr>
        <w:tc>
          <w:tcPr>
            <w:tcW w:w="5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60" w:type="dxa"/>
            <w:vAlign w:val="bottom"/>
            <w:tcBorders>
              <w:top w:val="single" w:sz="8" w:color="0000EE"/>
            </w:tcBorders>
            <w:gridSpan w:val="2"/>
          </w:tcPr>
          <w:p>
            <w:pPr>
              <w:spacing w:after="0" w:line="17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Item 6.</w:t>
              </w:r>
            </w:hyperlink>
          </w:p>
        </w:tc>
        <w:tc>
          <w:tcPr>
            <w:tcW w:w="180" w:type="dxa"/>
            <w:vAlign w:val="bottom"/>
            <w:tcBorders>
              <w:top w:val="single" w:sz="8" w:color="CCEEFF"/>
            </w:tcBorders>
            <w:gridSpan w:val="2"/>
          </w:tcPr>
          <w:p>
            <w:pPr>
              <w:spacing w:after="0"/>
              <w:rPr>
                <w:sz w:val="15"/>
                <w:szCs w:val="15"/>
                <w:color w:val="auto"/>
              </w:rPr>
            </w:pPr>
          </w:p>
        </w:tc>
        <w:tc>
          <w:tcPr>
            <w:tcW w:w="486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1660" w:type="dxa"/>
            <w:vAlign w:val="bottom"/>
            <w:tcBorders>
              <w:top w:val="single" w:sz="8" w:color="CCEEFF"/>
            </w:tcBorders>
            <w:gridSpan w:val="5"/>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1620" w:type="dxa"/>
            <w:vAlign w:val="bottom"/>
            <w:gridSpan w:val="8"/>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SIGNATURE</w:t>
              </w:r>
            </w:hyperlink>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15"/>
                <w:szCs w:val="15"/>
                <w:color w:val="auto"/>
              </w:rPr>
            </w:pPr>
          </w:p>
        </w:tc>
      </w:tr>
      <w:tr>
        <w:trPr>
          <w:trHeight w:val="1270"/>
        </w:trPr>
        <w:tc>
          <w:tcPr>
            <w:tcW w:w="5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jc w:val="both"/>
        <w:ind w:left="80" w:right="99"/>
        <w:spacing w:after="0" w:line="235"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These statements include statements relating to trends in or expectations relating to the expected effects of our initiatives, strategies and plans, as well as trends in or expectations regarding our financial results and long-term growth model and drivers, tax rates, business opportunities and expansion, acquisitions or investments, expenses, dividends, share repurchases, and our mitigation strategies, liquidity, cash flow from operations, use of cash and cash requirements, borrowing capacity and use of proceeds, repatriation of cash to the U.S., the effects of all variants of the coronavirus pandemic (COVID-19), including but not limited to supply chain issues, and social unrest, on our financial results.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These forward-looking statements are all based on currently-available operating, financial, and competitive information, and are subject to various risks and uncertainties, many of which are unforeseeable and beyond our control, such as the ongoing uncertainty related to COVID-19. Additional risks and uncertainties that we do not presently know about or that we currently consider to be insignificant may also affect our business operations and financial performance.</w:t>
      </w:r>
    </w:p>
    <w:p>
      <w:pPr>
        <w:spacing w:after="0" w:line="199" w:lineRule="exact"/>
        <w:rPr>
          <w:sz w:val="20"/>
          <w:szCs w:val="20"/>
          <w:color w:val="auto"/>
        </w:rPr>
      </w:pPr>
    </w:p>
    <w:p>
      <w:pPr>
        <w:jc w:val="both"/>
        <w:ind w:left="80" w:right="99"/>
        <w:spacing w:after="0" w:line="236" w:lineRule="auto"/>
        <w:rPr>
          <w:sz w:val="20"/>
          <w:szCs w:val="20"/>
          <w:color w:val="auto"/>
        </w:rPr>
      </w:pPr>
      <w:r>
        <w:rPr>
          <w:rFonts w:ascii="Arial" w:cs="Arial" w:eastAsia="Arial" w:hAnsi="Arial"/>
          <w:sz w:val="18"/>
          <w:szCs w:val="18"/>
          <w:color w:val="auto"/>
        </w:rPr>
        <w:t>Please refer to “Item 1A. Risk Factors” of our most recent Annual Report on Form 10-K filed with the U.S. Securities and Exchange Commission. Given these risks and uncertainties, you should not rely on forward-looking statements as predictions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621030</wp:posOffset>
            </wp:positionV>
            <wp:extent cx="56064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80010</wp:posOffset>
            </wp:positionV>
            <wp:extent cx="183451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July 31,</w:t>
            </w:r>
          </w:p>
        </w:tc>
        <w:tc>
          <w:tcPr>
            <w:tcW w:w="30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1,</w:t>
            </w:r>
          </w:p>
        </w:tc>
        <w:tc>
          <w:tcPr>
            <w:tcW w:w="26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30,</w:t>
            </w:r>
          </w:p>
        </w:tc>
        <w:tc>
          <w:tcPr>
            <w:tcW w:w="0" w:type="dxa"/>
            <w:vAlign w:val="bottom"/>
          </w:tcPr>
          <w:p>
            <w:pPr>
              <w:spacing w:after="0"/>
              <w:rPr>
                <w:sz w:val="1"/>
                <w:szCs w:val="1"/>
                <w:color w:val="auto"/>
              </w:rPr>
            </w:pPr>
          </w:p>
        </w:tc>
      </w:tr>
      <w:tr>
        <w:trPr>
          <w:trHeight w:val="207"/>
        </w:trPr>
        <w:tc>
          <w:tcPr>
            <w:tcW w:w="4040" w:type="dxa"/>
            <w:vAlign w:val="bottom"/>
            <w:gridSpan w:val="2"/>
          </w:tcPr>
          <w:p>
            <w:pPr>
              <w:spacing w:after="0"/>
              <w:rPr>
                <w:sz w:val="20"/>
                <w:szCs w:val="20"/>
                <w:color w:val="auto"/>
              </w:rPr>
            </w:pPr>
            <w:r>
              <w:rPr>
                <w:rFonts w:ascii="Arial" w:cs="Arial" w:eastAsia="Arial" w:hAnsi="Arial"/>
                <w:sz w:val="16"/>
                <w:szCs w:val="16"/>
                <w:color w:val="auto"/>
              </w:rPr>
              <w:t>($ in millions, except share amounts)</w:t>
            </w:r>
          </w:p>
        </w:tc>
        <w:tc>
          <w:tcPr>
            <w:tcW w:w="38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3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1,845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1,373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1,680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Merchandise inventories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1,081</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1,194</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current assets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252</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266</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3,178</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2,833</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2,835</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8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743</w:t>
            </w: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782</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2,569</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2,810</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Deferred taxes</w:t>
            </w:r>
          </w:p>
        </w:tc>
        <w:tc>
          <w:tcPr>
            <w:tcW w:w="38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108</w:t>
            </w: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158</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158</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Other intangible assets, net</w:t>
            </w:r>
          </w:p>
        </w:tc>
        <w:tc>
          <w:tcPr>
            <w:tcW w:w="38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16</w:t>
            </w: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Minority investments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728</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150</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85</w:t>
            </w: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auto"/>
              <w:bottom w:val="single" w:sz="8" w:color="auto"/>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7,585</w:t>
            </w:r>
          </w:p>
        </w:tc>
        <w:tc>
          <w:tcPr>
            <w:tcW w:w="3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6,912</w:t>
            </w:r>
          </w:p>
        </w:tc>
        <w:tc>
          <w:tcPr>
            <w:tcW w:w="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7,043</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539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630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and other liabilities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474</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455</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Current portion of debt and obligations under finance</w:t>
            </w:r>
          </w:p>
        </w:tc>
        <w:tc>
          <w:tcPr>
            <w:tcW w:w="380" w:type="dxa"/>
            <w:vAlign w:val="bottom"/>
          </w:tcPr>
          <w:p>
            <w:pPr>
              <w:spacing w:after="0"/>
              <w:rPr>
                <w:sz w:val="16"/>
                <w:szCs w:val="16"/>
                <w:color w:val="auto"/>
              </w:rPr>
            </w:pP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102</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tcPr>
          <w:p>
            <w:pPr>
              <w:ind w:left="220"/>
              <w:spacing w:after="0"/>
              <w:rPr>
                <w:sz w:val="20"/>
                <w:szCs w:val="20"/>
                <w:color w:val="auto"/>
              </w:rPr>
            </w:pPr>
            <w:r>
              <w:rPr>
                <w:rFonts w:ascii="Arial" w:cs="Arial" w:eastAsia="Arial" w:hAnsi="Arial"/>
                <w:sz w:val="16"/>
                <w:szCs w:val="16"/>
                <w:color w:val="auto"/>
              </w:rPr>
              <w:t>leases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Current portion of lease obligations</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566</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587</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1,681</w:t>
            </w:r>
          </w:p>
        </w:tc>
        <w:tc>
          <w:tcPr>
            <w:tcW w:w="300" w:type="dxa"/>
            <w:vAlign w:val="bottom"/>
          </w:tcPr>
          <w:p>
            <w:pPr>
              <w:spacing w:after="0"/>
              <w:rPr>
                <w:sz w:val="15"/>
                <w:szCs w:val="15"/>
                <w:color w:val="auto"/>
              </w:rPr>
            </w:pPr>
          </w:p>
        </w:tc>
        <w:tc>
          <w:tcPr>
            <w:tcW w:w="12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1,672</w:t>
            </w:r>
          </w:p>
        </w:tc>
        <w:tc>
          <w:tcPr>
            <w:tcW w:w="26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1,644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and obligations under finance leases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124</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Long-term lease obligations</w:t>
            </w:r>
          </w:p>
        </w:tc>
        <w:tc>
          <w:tcPr>
            <w:tcW w:w="38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2,363</w:t>
            </w: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2,579</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190</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134</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line="183" w:lineRule="exact"/>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5"/>
                <w:szCs w:val="15"/>
                <w:color w:val="auto"/>
              </w:rPr>
            </w:pPr>
          </w:p>
        </w:tc>
        <w:tc>
          <w:tcPr>
            <w:tcW w:w="122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4,244</w:t>
            </w:r>
          </w:p>
        </w:tc>
        <w:tc>
          <w:tcPr>
            <w:tcW w:w="300" w:type="dxa"/>
            <w:vAlign w:val="bottom"/>
          </w:tcPr>
          <w:p>
            <w:pPr>
              <w:spacing w:after="0"/>
              <w:rPr>
                <w:sz w:val="15"/>
                <w:szCs w:val="15"/>
                <w:color w:val="auto"/>
              </w:rPr>
            </w:pPr>
          </w:p>
        </w:tc>
        <w:tc>
          <w:tcPr>
            <w:tcW w:w="12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4,509</w:t>
            </w:r>
          </w:p>
        </w:tc>
        <w:tc>
          <w:tcPr>
            <w:tcW w:w="26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4,267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 and paid-in capital: 104,515,702;</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104,391,691; and 103,693,359 shares issued,</w:t>
            </w:r>
          </w:p>
        </w:tc>
        <w:tc>
          <w:tcPr>
            <w:tcW w:w="3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799</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3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774</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38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2,916</w:t>
            </w: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1,996</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(338)</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Less: Treasury stock at cost: 714,490; 426; and</w:t>
            </w:r>
          </w:p>
        </w:tc>
        <w:tc>
          <w:tcPr>
            <w:tcW w:w="380" w:type="dxa"/>
            <w:vAlign w:val="bottom"/>
          </w:tcPr>
          <w:p>
            <w:pPr>
              <w:spacing w:after="0"/>
              <w:rPr>
                <w:sz w:val="16"/>
                <w:szCs w:val="16"/>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(41)</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tcPr>
          <w:p>
            <w:pPr>
              <w:ind w:left="220"/>
              <w:spacing w:after="0"/>
              <w:rPr>
                <w:sz w:val="20"/>
                <w:szCs w:val="20"/>
                <w:color w:val="auto"/>
              </w:rPr>
            </w:pPr>
            <w:r>
              <w:rPr>
                <w:rFonts w:ascii="Arial" w:cs="Arial" w:eastAsia="Arial" w:hAnsi="Arial"/>
                <w:sz w:val="16"/>
                <w:szCs w:val="16"/>
                <w:color w:val="auto"/>
              </w:rPr>
              <w:t>74,236 shares, respectively</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Noncontrolling interest</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line="183" w:lineRule="exact"/>
              <w:rPr>
                <w:sz w:val="20"/>
                <w:szCs w:val="20"/>
                <w:color w:val="auto"/>
              </w:rPr>
            </w:pPr>
            <w:r>
              <w:rPr>
                <w:rFonts w:ascii="Arial" w:cs="Arial" w:eastAsia="Arial" w:hAnsi="Arial"/>
                <w:sz w:val="16"/>
                <w:szCs w:val="16"/>
                <w:color w:val="auto"/>
              </w:rPr>
              <w:t>Total shareholders' equity</w:t>
            </w:r>
          </w:p>
        </w:tc>
        <w:tc>
          <w:tcPr>
            <w:tcW w:w="380" w:type="dxa"/>
            <w:vAlign w:val="bottom"/>
          </w:tcPr>
          <w:p>
            <w:pPr>
              <w:spacing w:after="0"/>
              <w:rPr>
                <w:sz w:val="15"/>
                <w:szCs w:val="15"/>
                <w:color w:val="auto"/>
              </w:rPr>
            </w:pPr>
          </w:p>
        </w:tc>
        <w:tc>
          <w:tcPr>
            <w:tcW w:w="122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3,341</w:t>
            </w:r>
          </w:p>
        </w:tc>
        <w:tc>
          <w:tcPr>
            <w:tcW w:w="300" w:type="dxa"/>
            <w:vAlign w:val="bottom"/>
          </w:tcPr>
          <w:p>
            <w:pPr>
              <w:spacing w:after="0"/>
              <w:rPr>
                <w:sz w:val="15"/>
                <w:szCs w:val="15"/>
                <w:color w:val="auto"/>
              </w:rPr>
            </w:pPr>
          </w:p>
        </w:tc>
        <w:tc>
          <w:tcPr>
            <w:tcW w:w="12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2,403</w:t>
            </w:r>
          </w:p>
        </w:tc>
        <w:tc>
          <w:tcPr>
            <w:tcW w:w="26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2,776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auto"/>
              <w:bottom w:val="single" w:sz="8" w:color="auto"/>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7,585</w:t>
            </w:r>
          </w:p>
        </w:tc>
        <w:tc>
          <w:tcPr>
            <w:tcW w:w="3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6,912</w:t>
            </w:r>
          </w:p>
        </w:tc>
        <w:tc>
          <w:tcPr>
            <w:tcW w:w="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7,043</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jc w:val="both"/>
        <w:ind w:left="380" w:right="79" w:hanging="330"/>
        <w:spacing w:after="0" w:line="181" w:lineRule="auto"/>
        <w:tabs>
          <w:tab w:leader="none" w:pos="380" w:val="left"/>
        </w:tabs>
        <w:numPr>
          <w:ilvl w:val="0"/>
          <w:numId w:val="3"/>
        </w:numPr>
        <w:rPr>
          <w:rFonts w:ascii="Arial" w:cs="Arial" w:eastAsia="Arial" w:hAnsi="Arial"/>
          <w:sz w:val="28"/>
          <w:szCs w:val="28"/>
          <w:color w:val="auto"/>
          <w:vertAlign w:val="subscript"/>
        </w:rPr>
      </w:pPr>
      <w:r>
        <w:rPr>
          <w:rFonts w:ascii="Arial" w:cs="Arial" w:eastAsia="Arial" w:hAnsi="Arial"/>
          <w:sz w:val="12"/>
          <w:szCs w:val="12"/>
          <w:color w:val="auto"/>
        </w:rPr>
        <w:t>The balance sheet at January 30, 2021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-356870</wp:posOffset>
            </wp:positionV>
            <wp:extent cx="5648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2021 Form 10-Q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7"/>
                <w:szCs w:val="17"/>
                <w:b w:val="1"/>
                <w:bCs w:val="1"/>
                <w:color w:val="auto"/>
                <w:w w:val="98"/>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195"/>
              <w:spacing w:after="0" w:line="156" w:lineRule="exact"/>
              <w:rPr>
                <w:sz w:val="20"/>
                <w:szCs w:val="20"/>
                <w:color w:val="auto"/>
              </w:rPr>
            </w:pPr>
            <w:r>
              <w:rPr>
                <w:rFonts w:ascii="Arial" w:cs="Arial" w:eastAsia="Arial" w:hAnsi="Arial"/>
                <w:sz w:val="17"/>
                <w:szCs w:val="17"/>
                <w:b w:val="1"/>
                <w:bCs w:val="1"/>
                <w:color w:val="auto"/>
              </w:rPr>
              <w:t>July 31,</w:t>
            </w:r>
          </w:p>
        </w:tc>
        <w:tc>
          <w:tcPr>
            <w:tcW w:w="200" w:type="dxa"/>
            <w:vAlign w:val="bottom"/>
          </w:tcPr>
          <w:p>
            <w:pPr>
              <w:spacing w:after="0"/>
              <w:rPr>
                <w:sz w:val="13"/>
                <w:szCs w:val="13"/>
                <w:color w:val="auto"/>
              </w:rPr>
            </w:pPr>
          </w:p>
        </w:tc>
        <w:tc>
          <w:tcPr>
            <w:tcW w:w="100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w w:val="98"/>
              </w:rPr>
              <w:t>August 1,</w:t>
            </w:r>
          </w:p>
        </w:tc>
        <w:tc>
          <w:tcPr>
            <w:tcW w:w="220" w:type="dxa"/>
            <w:vAlign w:val="bottom"/>
          </w:tcPr>
          <w:p>
            <w:pPr>
              <w:spacing w:after="0"/>
              <w:rPr>
                <w:sz w:val="13"/>
                <w:szCs w:val="13"/>
                <w:color w:val="auto"/>
              </w:rPr>
            </w:pPr>
          </w:p>
        </w:tc>
        <w:tc>
          <w:tcPr>
            <w:tcW w:w="1000" w:type="dxa"/>
            <w:vAlign w:val="bottom"/>
          </w:tcPr>
          <w:p>
            <w:pPr>
              <w:jc w:val="right"/>
              <w:ind w:right="215"/>
              <w:spacing w:after="0" w:line="156" w:lineRule="exact"/>
              <w:rPr>
                <w:sz w:val="20"/>
                <w:szCs w:val="20"/>
                <w:color w:val="auto"/>
              </w:rPr>
            </w:pPr>
            <w:r>
              <w:rPr>
                <w:rFonts w:ascii="Arial" w:cs="Arial" w:eastAsia="Arial" w:hAnsi="Arial"/>
                <w:sz w:val="17"/>
                <w:szCs w:val="17"/>
                <w:b w:val="1"/>
                <w:bCs w:val="1"/>
                <w:color w:val="auto"/>
              </w:rPr>
              <w:t>July 31,</w:t>
            </w:r>
          </w:p>
        </w:tc>
        <w:tc>
          <w:tcPr>
            <w:tcW w:w="200" w:type="dxa"/>
            <w:vAlign w:val="bottom"/>
          </w:tcPr>
          <w:p>
            <w:pPr>
              <w:spacing w:after="0"/>
              <w:rPr>
                <w:sz w:val="13"/>
                <w:szCs w:val="13"/>
                <w:color w:val="auto"/>
              </w:rPr>
            </w:pPr>
          </w:p>
        </w:tc>
        <w:tc>
          <w:tcPr>
            <w:tcW w:w="1120" w:type="dxa"/>
            <w:vAlign w:val="bottom"/>
          </w:tcPr>
          <w:p>
            <w:pPr>
              <w:jc w:val="right"/>
              <w:ind w:right="235"/>
              <w:spacing w:after="0" w:line="156" w:lineRule="exact"/>
              <w:rPr>
                <w:sz w:val="20"/>
                <w:szCs w:val="20"/>
                <w:color w:val="auto"/>
              </w:rPr>
            </w:pPr>
            <w:r>
              <w:rPr>
                <w:rFonts w:ascii="Arial" w:cs="Arial" w:eastAsia="Arial" w:hAnsi="Arial"/>
                <w:sz w:val="17"/>
                <w:szCs w:val="17"/>
                <w:b w:val="1"/>
                <w:bCs w:val="1"/>
                <w:color w:val="auto"/>
              </w:rPr>
              <w:t>August 1,</w:t>
            </w:r>
          </w:p>
        </w:tc>
        <w:tc>
          <w:tcPr>
            <w:tcW w:w="0" w:type="dxa"/>
            <w:vAlign w:val="bottom"/>
          </w:tcPr>
          <w:p>
            <w:pPr>
              <w:spacing w:after="0"/>
              <w:rPr>
                <w:sz w:val="1"/>
                <w:szCs w:val="1"/>
                <w:color w:val="auto"/>
              </w:rPr>
            </w:pPr>
          </w:p>
        </w:tc>
      </w:tr>
      <w:tr>
        <w:trPr>
          <w:trHeight w:val="215"/>
        </w:trPr>
        <w:tc>
          <w:tcPr>
            <w:tcW w:w="394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260" w:type="dxa"/>
            <w:vAlign w:val="bottom"/>
          </w:tcPr>
          <w:p>
            <w:pPr>
              <w:spacing w:after="0"/>
              <w:rPr>
                <w:sz w:val="18"/>
                <w:szCs w:val="18"/>
                <w:color w:val="auto"/>
              </w:rPr>
            </w:pPr>
          </w:p>
        </w:tc>
        <w:tc>
          <w:tcPr>
            <w:tcW w:w="960" w:type="dxa"/>
            <w:vAlign w:val="bottom"/>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00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8"/>
                <w:szCs w:val="18"/>
                <w:color w:val="auto"/>
              </w:rPr>
            </w:pPr>
          </w:p>
        </w:tc>
        <w:tc>
          <w:tcPr>
            <w:tcW w:w="1000" w:type="dxa"/>
            <w:vAlign w:val="bottom"/>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120" w:type="dxa"/>
            <w:vAlign w:val="bottom"/>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2,275</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2,077</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4,428</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3,253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1,477</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1,539</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2,881</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2,444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16"/>
                <w:szCs w:val="16"/>
                <w:color w:val="auto"/>
              </w:rPr>
            </w:pPr>
          </w:p>
        </w:tc>
        <w:tc>
          <w:tcPr>
            <w:tcW w:w="9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450</w:t>
            </w:r>
          </w:p>
        </w:tc>
        <w:tc>
          <w:tcPr>
            <w:tcW w:w="20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387</w:t>
            </w:r>
          </w:p>
        </w:tc>
        <w:tc>
          <w:tcPr>
            <w:tcW w:w="22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868</w:t>
            </w:r>
          </w:p>
        </w:tc>
        <w:tc>
          <w:tcPr>
            <w:tcW w:w="200" w:type="dxa"/>
            <w:vAlign w:val="bottom"/>
          </w:tcPr>
          <w:p>
            <w:pPr>
              <w:spacing w:after="0"/>
              <w:rPr>
                <w:sz w:val="16"/>
                <w:szCs w:val="16"/>
                <w:color w:val="auto"/>
              </w:rPr>
            </w:pP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703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48</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44</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93</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36</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38</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40</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(loss) from operations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264</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69</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546</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net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(4)</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net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325</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329</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(loss) before income taxes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587</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70</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871</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157</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25</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239</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 (loss)</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430</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45</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632</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Basic earnings (loss) per share</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4.14</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0.43</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6.10</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ind w:left="80"/>
              <w:spacing w:after="0" w:line="189" w:lineRule="exact"/>
              <w:rPr>
                <w:sz w:val="20"/>
                <w:szCs w:val="20"/>
                <w:color w:val="auto"/>
              </w:rPr>
            </w:pPr>
            <w:r>
              <w:rPr>
                <w:rFonts w:ascii="Arial" w:cs="Arial" w:eastAsia="Arial" w:hAnsi="Arial"/>
                <w:sz w:val="17"/>
                <w:szCs w:val="17"/>
                <w:color w:val="auto"/>
              </w:rPr>
              <w:t>Weighted-average shares outstanding</w:t>
            </w:r>
          </w:p>
        </w:tc>
        <w:tc>
          <w:tcPr>
            <w:tcW w:w="260" w:type="dxa"/>
            <w:vAlign w:val="bottom"/>
          </w:tcPr>
          <w:p>
            <w:pPr>
              <w:spacing w:after="0"/>
              <w:rPr>
                <w:sz w:val="16"/>
                <w:szCs w:val="16"/>
                <w:color w:val="auto"/>
              </w:rPr>
            </w:pPr>
          </w:p>
        </w:tc>
        <w:tc>
          <w:tcPr>
            <w:tcW w:w="9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103.8</w:t>
            </w:r>
          </w:p>
        </w:tc>
        <w:tc>
          <w:tcPr>
            <w:tcW w:w="20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104.5</w:t>
            </w:r>
          </w:p>
        </w:tc>
        <w:tc>
          <w:tcPr>
            <w:tcW w:w="22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103.7</w:t>
            </w:r>
          </w:p>
        </w:tc>
        <w:tc>
          <w:tcPr>
            <w:tcW w:w="200" w:type="dxa"/>
            <w:vAlign w:val="bottom"/>
          </w:tcPr>
          <w:p>
            <w:pPr>
              <w:spacing w:after="0"/>
              <w:rPr>
                <w:sz w:val="16"/>
                <w:szCs w:val="16"/>
                <w:color w:val="auto"/>
              </w:rPr>
            </w:pP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ind w:left="80"/>
              <w:spacing w:after="0" w:line="189" w:lineRule="exact"/>
              <w:rPr>
                <w:sz w:val="20"/>
                <w:szCs w:val="20"/>
                <w:color w:val="auto"/>
              </w:rPr>
            </w:pPr>
            <w:r>
              <w:rPr>
                <w:rFonts w:ascii="Arial" w:cs="Arial" w:eastAsia="Arial" w:hAnsi="Arial"/>
                <w:sz w:val="17"/>
                <w:szCs w:val="17"/>
                <w:color w:val="auto"/>
              </w:rPr>
              <w:t>Diluted earnings (loss) per share</w:t>
            </w: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4.09</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0.43</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6.02</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shd w:val="clear" w:color="auto" w:fill="CCEEFF"/>
          </w:tcPr>
          <w:p>
            <w:pPr>
              <w:ind w:left="80"/>
              <w:spacing w:after="0" w:line="183" w:lineRule="exact"/>
              <w:rPr>
                <w:sz w:val="20"/>
                <w:szCs w:val="20"/>
                <w:color w:val="auto"/>
              </w:rPr>
            </w:pPr>
            <w:r>
              <w:rPr>
                <w:rFonts w:ascii="Arial" w:cs="Arial" w:eastAsia="Arial" w:hAnsi="Arial"/>
                <w:sz w:val="17"/>
                <w:szCs w:val="17"/>
                <w:color w:val="auto"/>
              </w:rPr>
              <w:t>Weighted-average shares outstanding, assuming</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105.2</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105.1</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dilution</w:t>
            </w: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105.1</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2021 Form 10-Q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w w:val="99"/>
              </w:rPr>
              <w:t>Twenty-six weeks ended</w:t>
            </w: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w w:val="99"/>
              </w:rPr>
              <w:t>July 31,</w:t>
            </w:r>
          </w:p>
        </w:tc>
        <w:tc>
          <w:tcPr>
            <w:tcW w:w="1080" w:type="dxa"/>
            <w:vAlign w:val="bottom"/>
            <w:gridSpan w:val="2"/>
          </w:tcPr>
          <w:p>
            <w:pPr>
              <w:jc w:val="right"/>
              <w:ind w:right="55"/>
              <w:spacing w:after="0" w:line="156" w:lineRule="exact"/>
              <w:rPr>
                <w:sz w:val="20"/>
                <w:szCs w:val="20"/>
                <w:color w:val="auto"/>
              </w:rPr>
            </w:pPr>
            <w:r>
              <w:rPr>
                <w:rFonts w:ascii="Arial" w:cs="Arial" w:eastAsia="Arial" w:hAnsi="Arial"/>
                <w:sz w:val="17"/>
                <w:szCs w:val="17"/>
                <w:b w:val="1"/>
                <w:bCs w:val="1"/>
                <w:color w:val="auto"/>
              </w:rPr>
              <w:t>August 1,</w:t>
            </w:r>
          </w:p>
        </w:tc>
        <w:tc>
          <w:tcPr>
            <w:tcW w:w="240" w:type="dxa"/>
            <w:vAlign w:val="bottom"/>
          </w:tcPr>
          <w:p>
            <w:pPr>
              <w:spacing w:after="0"/>
              <w:rPr>
                <w:sz w:val="13"/>
                <w:szCs w:val="13"/>
                <w:color w:val="auto"/>
              </w:rPr>
            </w:pPr>
          </w:p>
        </w:tc>
        <w:tc>
          <w:tcPr>
            <w:tcW w:w="920" w:type="dxa"/>
            <w:vAlign w:val="bottom"/>
          </w:tcPr>
          <w:p>
            <w:pPr>
              <w:jc w:val="right"/>
              <w:ind w:right="175"/>
              <w:spacing w:after="0" w:line="156" w:lineRule="exact"/>
              <w:rPr>
                <w:sz w:val="20"/>
                <w:szCs w:val="20"/>
                <w:color w:val="auto"/>
              </w:rPr>
            </w:pPr>
            <w:r>
              <w:rPr>
                <w:rFonts w:ascii="Arial" w:cs="Arial" w:eastAsia="Arial" w:hAnsi="Arial"/>
                <w:sz w:val="17"/>
                <w:szCs w:val="17"/>
                <w:b w:val="1"/>
                <w:bCs w:val="1"/>
                <w:color w:val="auto"/>
              </w:rPr>
              <w:t>July 31,</w:t>
            </w:r>
          </w:p>
        </w:tc>
        <w:tc>
          <w:tcPr>
            <w:tcW w:w="200" w:type="dxa"/>
            <w:vAlign w:val="bottom"/>
          </w:tcPr>
          <w:p>
            <w:pPr>
              <w:spacing w:after="0"/>
              <w:rPr>
                <w:sz w:val="13"/>
                <w:szCs w:val="13"/>
                <w:color w:val="auto"/>
              </w:rPr>
            </w:pPr>
          </w:p>
        </w:tc>
        <w:tc>
          <w:tcPr>
            <w:tcW w:w="1120" w:type="dxa"/>
            <w:vAlign w:val="bottom"/>
          </w:tcPr>
          <w:p>
            <w:pPr>
              <w:jc w:val="right"/>
              <w:ind w:right="235"/>
              <w:spacing w:after="0" w:line="156" w:lineRule="exact"/>
              <w:rPr>
                <w:sz w:val="20"/>
                <w:szCs w:val="20"/>
                <w:color w:val="auto"/>
              </w:rPr>
            </w:pPr>
            <w:r>
              <w:rPr>
                <w:rFonts w:ascii="Arial" w:cs="Arial" w:eastAsia="Arial" w:hAnsi="Arial"/>
                <w:sz w:val="17"/>
                <w:szCs w:val="17"/>
                <w:b w:val="1"/>
                <w:bCs w:val="1"/>
                <w:color w:val="auto"/>
              </w:rPr>
              <w:t>August 1,</w:t>
            </w:r>
          </w:p>
        </w:tc>
        <w:tc>
          <w:tcPr>
            <w:tcW w:w="0" w:type="dxa"/>
            <w:vAlign w:val="bottom"/>
          </w:tcPr>
          <w:p>
            <w:pPr>
              <w:spacing w:after="0"/>
              <w:rPr>
                <w:sz w:val="1"/>
                <w:szCs w:val="1"/>
                <w:color w:val="auto"/>
              </w:rPr>
            </w:pPr>
          </w:p>
        </w:tc>
      </w:tr>
      <w:tr>
        <w:trPr>
          <w:trHeight w:val="215"/>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42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Net income (loss)</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430</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45</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632</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line="189" w:lineRule="exact"/>
              <w:rPr>
                <w:sz w:val="20"/>
                <w:szCs w:val="20"/>
                <w:color w:val="auto"/>
              </w:rPr>
            </w:pPr>
            <w:r>
              <w:rPr>
                <w:rFonts w:ascii="Arial" w:cs="Arial" w:eastAsia="Arial" w:hAnsi="Arial"/>
                <w:sz w:val="17"/>
                <w:szCs w:val="17"/>
                <w:color w:val="auto"/>
              </w:rPr>
              <w:t>Other comprehensive income (loss), net of income tax</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6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Translation adjustment arising during the period, net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of income tax expense of $-, $4, $1, and $2,</w:t>
            </w:r>
          </w:p>
        </w:tc>
        <w:tc>
          <w:tcPr>
            <w:tcW w:w="2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respectively</w:t>
            </w:r>
          </w:p>
        </w:tc>
        <w:tc>
          <w:tcPr>
            <w:tcW w:w="2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36</w:t>
            </w:r>
          </w:p>
        </w:tc>
        <w:tc>
          <w:tcPr>
            <w:tcW w:w="2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Cash flow hedges: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60" w:type="dxa"/>
            <w:vAlign w:val="bottom"/>
          </w:tcPr>
          <w:p>
            <w:pPr>
              <w:ind w:left="120"/>
              <w:spacing w:after="0" w:line="183" w:lineRule="exact"/>
              <w:rPr>
                <w:sz w:val="20"/>
                <w:szCs w:val="20"/>
                <w:color w:val="auto"/>
              </w:rPr>
            </w:pPr>
            <w:r>
              <w:rPr>
                <w:rFonts w:ascii="Arial" w:cs="Arial" w:eastAsia="Arial" w:hAnsi="Arial"/>
                <w:sz w:val="17"/>
                <w:szCs w:val="17"/>
                <w:color w:val="auto"/>
              </w:rPr>
              <w:t>Change in fair value of derivatives, net of income tax</w:t>
            </w:r>
          </w:p>
        </w:tc>
        <w:tc>
          <w:tcPr>
            <w:tcW w:w="220" w:type="dxa"/>
            <w:vAlign w:val="bottom"/>
          </w:tcPr>
          <w:p>
            <w:pPr>
              <w:spacing w:after="0"/>
              <w:rPr>
                <w:sz w:val="15"/>
                <w:szCs w:val="15"/>
                <w:color w:val="auto"/>
              </w:rPr>
            </w:pPr>
          </w:p>
        </w:tc>
        <w:tc>
          <w:tcPr>
            <w:tcW w:w="8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60" w:type="dxa"/>
            <w:vAlign w:val="bottom"/>
          </w:tcPr>
          <w:p>
            <w:pPr>
              <w:ind w:left="120"/>
              <w:spacing w:after="0"/>
              <w:rPr>
                <w:sz w:val="20"/>
                <w:szCs w:val="20"/>
                <w:color w:val="auto"/>
              </w:rPr>
            </w:pPr>
            <w:r>
              <w:rPr>
                <w:rFonts w:ascii="Arial" w:cs="Arial" w:eastAsia="Arial" w:hAnsi="Arial"/>
                <w:sz w:val="17"/>
                <w:szCs w:val="17"/>
                <w:color w:val="auto"/>
              </w:rPr>
              <w:t>expense of $-, $-, $-, and $1, respectively</w:t>
            </w: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6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Amortization of net actuarial gain/loss and prior</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service cost included in net periodic benefit costs, net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of income tax expense of $-, $1, $1, and $2,</w:t>
            </w:r>
          </w:p>
        </w:tc>
        <w:tc>
          <w:tcPr>
            <w:tcW w:w="2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respectively</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42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Comprehensive income (loss)</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418</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82</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625</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40" w:right="59"/>
        <w:spacing w:after="0" w:line="271" w:lineRule="auto"/>
        <w:rPr>
          <w:sz w:val="20"/>
          <w:szCs w:val="20"/>
          <w:color w:val="auto"/>
        </w:rPr>
      </w:pPr>
      <w:r>
        <w:rPr>
          <w:rFonts w:ascii="Arial" w:cs="Arial" w:eastAsia="Arial" w:hAnsi="Arial"/>
          <w:sz w:val="18"/>
          <w:szCs w:val="18"/>
          <w:b w:val="1"/>
          <w:bCs w:val="1"/>
          <w:color w:val="auto"/>
        </w:rPr>
        <w:t xml:space="preserve">CONDENSED CONSOLIDATED STATEMENTS OF CHANGES IN SHAREHOLDERS’ EQUITY </w:t>
      </w:r>
      <w:r>
        <w:rPr>
          <w:rFonts w:ascii="Arial" w:cs="Arial" w:eastAsia="Arial" w:hAnsi="Arial"/>
          <w:sz w:val="18"/>
          <w:szCs w:val="18"/>
          <w:color w:val="auto"/>
        </w:rPr>
        <w:t>(Unaudited)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7"/>
              </w:rPr>
              <w:t>Additional Paid-In</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3160" w:type="dxa"/>
            <w:vAlign w:val="bottom"/>
          </w:tcPr>
          <w:p>
            <w:pPr>
              <w:spacing w:after="0"/>
              <w:rPr>
                <w:sz w:val="11"/>
                <w:szCs w:val="11"/>
                <w:color w:val="auto"/>
              </w:rPr>
            </w:pPr>
          </w:p>
        </w:tc>
        <w:tc>
          <w:tcPr>
            <w:tcW w:w="780" w:type="dxa"/>
            <w:vAlign w:val="bottom"/>
            <w:gridSpan w:val="2"/>
          </w:tcPr>
          <w:p>
            <w:pPr>
              <w:jc w:val="center"/>
              <w:ind w:left="199"/>
              <w:spacing w:after="0" w:line="135" w:lineRule="exact"/>
              <w:rPr>
                <w:sz w:val="20"/>
                <w:szCs w:val="20"/>
                <w:color w:val="auto"/>
              </w:rPr>
            </w:pPr>
            <w:r>
              <w:rPr>
                <w:rFonts w:ascii="Arial" w:cs="Arial" w:eastAsia="Arial" w:hAnsi="Arial"/>
                <w:sz w:val="12"/>
                <w:szCs w:val="12"/>
                <w:b w:val="1"/>
                <w:bCs w:val="1"/>
                <w:color w:val="auto"/>
                <w:w w:val="99"/>
              </w:rPr>
              <w:t>Capital &amp;</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ind w:right="238"/>
              <w:spacing w:after="0" w:line="135" w:lineRule="exact"/>
              <w:rPr>
                <w:sz w:val="20"/>
                <w:szCs w:val="20"/>
                <w:color w:val="auto"/>
              </w:rPr>
            </w:pPr>
            <w:r>
              <w:rPr>
                <w:rFonts w:ascii="Arial" w:cs="Arial" w:eastAsia="Arial" w:hAnsi="Arial"/>
                <w:sz w:val="12"/>
                <w:szCs w:val="12"/>
                <w:b w:val="1"/>
                <w:bCs w:val="1"/>
                <w:color w:val="auto"/>
                <w:w w:val="93"/>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7"/>
        </w:trPr>
        <w:tc>
          <w:tcPr>
            <w:tcW w:w="3160" w:type="dxa"/>
            <w:vAlign w:val="bottom"/>
          </w:tcPr>
          <w:p>
            <w:pPr>
              <w:ind w:left="20"/>
              <w:spacing w:after="0"/>
              <w:rPr>
                <w:sz w:val="20"/>
                <w:szCs w:val="20"/>
                <w:color w:val="auto"/>
              </w:rPr>
            </w:pPr>
            <w:r>
              <w:rPr>
                <w:rFonts w:ascii="Arial" w:cs="Arial" w:eastAsia="Arial" w:hAnsi="Arial"/>
                <w:sz w:val="12"/>
                <w:szCs w:val="12"/>
                <w:color w:val="auto"/>
              </w:rPr>
              <w:t>Thirteen weeks ended</w:t>
            </w:r>
          </w:p>
        </w:tc>
        <w:tc>
          <w:tcPr>
            <w:tcW w:w="11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7"/>
              </w:rPr>
              <w:t>Common Stock</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Treasury Stock</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Retained</w:t>
            </w: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Comprehensive</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Noncontrolling</w:t>
            </w:r>
          </w:p>
        </w:tc>
        <w:tc>
          <w:tcPr>
            <w:tcW w:w="860" w:type="dxa"/>
            <w:vAlign w:val="bottom"/>
            <w:gridSpan w:val="2"/>
          </w:tcPr>
          <w:p>
            <w:pPr>
              <w:jc w:val="center"/>
              <w:ind w:left="18"/>
              <w:spacing w:after="0"/>
              <w:rPr>
                <w:sz w:val="20"/>
                <w:szCs w:val="20"/>
                <w:color w:val="auto"/>
              </w:rPr>
            </w:pPr>
            <w:r>
              <w:rPr>
                <w:rFonts w:ascii="Arial" w:cs="Arial" w:eastAsia="Arial" w:hAnsi="Arial"/>
                <w:sz w:val="12"/>
                <w:szCs w:val="12"/>
                <w:b w:val="1"/>
                <w:bCs w:val="1"/>
                <w:color w:val="auto"/>
                <w:w w:val="97"/>
              </w:rPr>
              <w:t>Shareholders'</w:t>
            </w:r>
          </w:p>
        </w:tc>
      </w:tr>
      <w:tr>
        <w:trPr>
          <w:trHeight w:val="129"/>
        </w:trPr>
        <w:tc>
          <w:tcPr>
            <w:tcW w:w="3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(shares in thousands, amounts in millions)</w:t>
            </w:r>
          </w:p>
        </w:tc>
        <w:tc>
          <w:tcPr>
            <w:tcW w:w="560" w:type="dxa"/>
            <w:vAlign w:val="bottom"/>
            <w:tcBorders>
              <w:top w:val="single" w:sz="8" w:color="auto"/>
              <w:bottom w:val="single" w:sz="8" w:color="auto"/>
            </w:tcBorders>
          </w:tcPr>
          <w:p>
            <w:pPr>
              <w:jc w:val="right"/>
              <w:ind w:right="39"/>
              <w:spacing w:after="0" w:line="129" w:lineRule="exact"/>
              <w:rPr>
                <w:sz w:val="20"/>
                <w:szCs w:val="20"/>
                <w:color w:val="auto"/>
              </w:rPr>
            </w:pPr>
            <w:r>
              <w:rPr>
                <w:rFonts w:ascii="Arial" w:cs="Arial" w:eastAsia="Arial" w:hAnsi="Arial"/>
                <w:sz w:val="12"/>
                <w:szCs w:val="12"/>
                <w:b w:val="1"/>
                <w:bCs w:val="1"/>
                <w:color w:val="auto"/>
              </w:rPr>
              <w:t>Shares</w:t>
            </w:r>
          </w:p>
        </w:tc>
        <w:tc>
          <w:tcPr>
            <w:tcW w:w="48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8"/>
              <w:spacing w:after="0" w:line="129" w:lineRule="exact"/>
              <w:rPr>
                <w:sz w:val="20"/>
                <w:szCs w:val="20"/>
                <w:color w:val="auto"/>
              </w:rPr>
            </w:pPr>
            <w:r>
              <w:rPr>
                <w:rFonts w:ascii="Arial" w:cs="Arial" w:eastAsia="Arial" w:hAnsi="Arial"/>
                <w:sz w:val="12"/>
                <w:szCs w:val="12"/>
                <w:b w:val="1"/>
                <w:bCs w:val="1"/>
                <w:color w:val="auto"/>
                <w:w w:val="94"/>
              </w:rPr>
              <w:t>Shares</w:t>
            </w:r>
          </w:p>
        </w:tc>
        <w:tc>
          <w:tcPr>
            <w:tcW w:w="5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Earnings</w:t>
            </w: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38"/>
              <w:spacing w:after="0" w:line="129" w:lineRule="exact"/>
              <w:rPr>
                <w:sz w:val="20"/>
                <w:szCs w:val="20"/>
                <w:color w:val="auto"/>
              </w:rPr>
            </w:pPr>
            <w:r>
              <w:rPr>
                <w:rFonts w:ascii="Arial" w:cs="Arial" w:eastAsia="Arial" w:hAnsi="Arial"/>
                <w:sz w:val="12"/>
                <w:szCs w:val="12"/>
                <w:b w:val="1"/>
                <w:bCs w:val="1"/>
                <w:color w:val="auto"/>
                <w:w w:val="92"/>
              </w:rPr>
              <w:t>Loss</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38"/>
              <w:spacing w:after="0" w:line="129" w:lineRule="exact"/>
              <w:rPr>
                <w:sz w:val="20"/>
                <w:szCs w:val="20"/>
                <w:color w:val="auto"/>
              </w:rPr>
            </w:pPr>
            <w:r>
              <w:rPr>
                <w:rFonts w:ascii="Arial" w:cs="Arial" w:eastAsia="Arial" w:hAnsi="Arial"/>
                <w:sz w:val="12"/>
                <w:szCs w:val="12"/>
                <w:b w:val="1"/>
                <w:bCs w:val="1"/>
                <w:color w:val="auto"/>
                <w:w w:val="95"/>
              </w:rPr>
              <w:t>interests</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7"/>
              <w:spacing w:after="0" w:line="129" w:lineRule="exact"/>
              <w:rPr>
                <w:sz w:val="20"/>
                <w:szCs w:val="20"/>
                <w:color w:val="auto"/>
              </w:rPr>
            </w:pPr>
            <w:r>
              <w:rPr>
                <w:rFonts w:ascii="Arial" w:cs="Arial" w:eastAsia="Arial" w:hAnsi="Arial"/>
                <w:sz w:val="12"/>
                <w:szCs w:val="12"/>
                <w:b w:val="1"/>
                <w:bCs w:val="1"/>
                <w:color w:val="auto"/>
                <w:w w:val="92"/>
              </w:rPr>
              <w:t>Equity</w:t>
            </w:r>
          </w:p>
        </w:tc>
      </w:tr>
      <w:tr>
        <w:trPr>
          <w:trHeight w:val="128"/>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May 1, 2021</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104,286</w:t>
            </w:r>
          </w:p>
        </w:tc>
        <w:tc>
          <w:tcPr>
            <w:tcW w:w="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791</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(887)</w:t>
            </w:r>
          </w:p>
        </w:tc>
        <w:tc>
          <w:tcPr>
            <w:tcW w:w="24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(47)</w:t>
            </w:r>
          </w:p>
        </w:tc>
        <w:tc>
          <w:tcPr>
            <w:tcW w:w="60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$ 2,507</w:t>
            </w:r>
          </w:p>
        </w:tc>
        <w:tc>
          <w:tcPr>
            <w:tcW w:w="2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(326)</w:t>
            </w:r>
          </w:p>
        </w:tc>
        <w:tc>
          <w:tcPr>
            <w:tcW w:w="2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5</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2,930</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22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Share based compensation expense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Shares of common stock used to satisfy tax</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1"/>
        </w:trPr>
        <w:tc>
          <w:tcPr>
            <w:tcW w:w="31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withholding obligations</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(125)</w:t>
            </w:r>
          </w:p>
        </w:tc>
        <w:tc>
          <w:tcPr>
            <w:tcW w:w="24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Reissued for Employee Stock Purchase Plan</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1"/>
        </w:trPr>
        <w:tc>
          <w:tcPr>
            <w:tcW w:w="316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("ESPP")</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(7)</w:t>
            </w:r>
          </w:p>
        </w:tc>
        <w:tc>
          <w:tcPr>
            <w:tcW w:w="480" w:type="dxa"/>
            <w:vAlign w:val="bottom"/>
            <w:shd w:val="clear" w:color="auto" w:fill="CCEEFF"/>
          </w:tcPr>
          <w:p>
            <w:pPr>
              <w:jc w:val="right"/>
              <w:ind w:right="38"/>
              <w:spacing w:after="0" w:line="141" w:lineRule="exact"/>
              <w:rPr>
                <w:sz w:val="20"/>
                <w:szCs w:val="20"/>
                <w:color w:val="auto"/>
              </w:rPr>
            </w:pPr>
            <w:r>
              <w:rPr>
                <w:rFonts w:ascii="Arial" w:cs="Arial" w:eastAsia="Arial" w:hAnsi="Arial"/>
                <w:sz w:val="13"/>
                <w:szCs w:val="13"/>
                <w:color w:val="auto"/>
              </w:rPr>
              <w:t>301</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38"/>
              <w:spacing w:after="0" w:line="135" w:lineRule="exact"/>
              <w:rPr>
                <w:sz w:val="20"/>
                <w:szCs w:val="20"/>
                <w:color w:val="auto"/>
              </w:rPr>
            </w:pPr>
            <w:r>
              <w:rPr>
                <w:rFonts w:ascii="Arial" w:cs="Arial" w:eastAsia="Arial" w:hAnsi="Arial"/>
                <w:sz w:val="13"/>
                <w:szCs w:val="13"/>
                <w:color w:val="auto"/>
              </w:rPr>
              <w:t>430</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430</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Cash dividends declared on common stock ($0.20 per</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1"/>
        </w:trPr>
        <w:tc>
          <w:tcPr>
            <w:tcW w:w="316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share)</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(21)</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(21)</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18"/>
              <w:spacing w:after="0" w:line="135" w:lineRule="exact"/>
              <w:rPr>
                <w:sz w:val="20"/>
                <w:szCs w:val="20"/>
                <w:color w:val="auto"/>
              </w:rPr>
            </w:pPr>
            <w:r>
              <w:rPr>
                <w:rFonts w:ascii="Arial" w:cs="Arial" w:eastAsia="Arial" w:hAnsi="Arial"/>
                <w:sz w:val="13"/>
                <w:szCs w:val="13"/>
                <w:color w:val="auto"/>
              </w:rPr>
              <w:t>(14)</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r>
      <w:tr>
        <w:trPr>
          <w:trHeight w:val="135"/>
        </w:trPr>
        <w:tc>
          <w:tcPr>
            <w:tcW w:w="316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2</w:t>
            </w: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28"/>
        </w:trPr>
        <w:tc>
          <w:tcPr>
            <w:tcW w:w="3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July 31, 2021</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104,516</w:t>
            </w:r>
          </w:p>
        </w:tc>
        <w:tc>
          <w:tcPr>
            <w:tcW w:w="22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799</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(714)</w:t>
            </w:r>
          </w:p>
        </w:tc>
        <w:tc>
          <w:tcPr>
            <w:tcW w:w="2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(41)</w:t>
            </w:r>
          </w:p>
        </w:tc>
        <w:tc>
          <w:tcPr>
            <w:tcW w:w="60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$ 2,916</w:t>
            </w:r>
          </w:p>
        </w:tc>
        <w:tc>
          <w:tcPr>
            <w:tcW w:w="28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(338)</w:t>
            </w:r>
          </w:p>
        </w:tc>
        <w:tc>
          <w:tcPr>
            <w:tcW w:w="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5</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3,341</w:t>
            </w:r>
          </w:p>
        </w:tc>
      </w:tr>
      <w:tr>
        <w:trPr>
          <w:trHeight w:val="128"/>
        </w:trPr>
        <w:tc>
          <w:tcPr>
            <w:tcW w:w="3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r>
      <w:tr>
        <w:trPr>
          <w:trHeight w:val="128"/>
        </w:trPr>
        <w:tc>
          <w:tcPr>
            <w:tcW w:w="31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 at May 2, 2020</w:t>
            </w:r>
          </w:p>
        </w:tc>
        <w:tc>
          <w:tcPr>
            <w:tcW w:w="5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104,245</w:t>
            </w:r>
          </w:p>
        </w:tc>
        <w:tc>
          <w:tcPr>
            <w:tcW w:w="220" w:type="dxa"/>
            <w:vAlign w:val="bottom"/>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767</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(23)</w:t>
            </w:r>
          </w:p>
        </w:tc>
        <w:tc>
          <w:tcPr>
            <w:tcW w:w="24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$ 1,951</w:t>
            </w:r>
          </w:p>
        </w:tc>
        <w:tc>
          <w:tcPr>
            <w:tcW w:w="280" w:type="dxa"/>
            <w:vAlign w:val="bottom"/>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(404)</w:t>
            </w:r>
          </w:p>
        </w:tc>
        <w:tc>
          <w:tcPr>
            <w:tcW w:w="2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2,314</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134</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Reissued for ESPP</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38"/>
              <w:spacing w:after="0" w:line="135" w:lineRule="exact"/>
              <w:rPr>
                <w:sz w:val="20"/>
                <w:szCs w:val="20"/>
                <w:color w:val="auto"/>
              </w:rPr>
            </w:pPr>
            <w:r>
              <w:rPr>
                <w:rFonts w:ascii="Arial" w:cs="Arial" w:eastAsia="Arial" w:hAnsi="Arial"/>
                <w:sz w:val="13"/>
                <w:szCs w:val="13"/>
                <w:color w:val="auto"/>
              </w:rPr>
              <w:t>23</w:t>
            </w:r>
          </w:p>
        </w:tc>
        <w:tc>
          <w:tcPr>
            <w:tcW w:w="240" w:type="dxa"/>
            <w:vAlign w:val="bottom"/>
          </w:tcPr>
          <w:p>
            <w:pPr>
              <w:spacing w:after="0"/>
              <w:rPr>
                <w:sz w:val="11"/>
                <w:szCs w:val="11"/>
                <w:color w:val="auto"/>
              </w:rPr>
            </w:pPr>
          </w:p>
        </w:tc>
        <w:tc>
          <w:tcPr>
            <w:tcW w:w="3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45</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Arial" w:cs="Arial" w:eastAsia="Arial" w:hAnsi="Arial"/>
                <w:sz w:val="13"/>
                <w:szCs w:val="13"/>
                <w:color w:val="auto"/>
              </w:rPr>
              <w:t>36</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r>
      <w:tr>
        <w:trPr>
          <w:trHeight w:val="135"/>
        </w:trPr>
        <w:tc>
          <w:tcPr>
            <w:tcW w:w="316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w:t>
            </w: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9"/>
        </w:trPr>
        <w:tc>
          <w:tcPr>
            <w:tcW w:w="3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August 1, 2020</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104,392</w:t>
            </w:r>
          </w:p>
        </w:tc>
        <w:tc>
          <w:tcPr>
            <w:tcW w:w="22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774</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$ 1,996</w:t>
            </w:r>
          </w:p>
        </w:tc>
        <w:tc>
          <w:tcPr>
            <w:tcW w:w="28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(367)</w:t>
            </w:r>
          </w:p>
        </w:tc>
        <w:tc>
          <w:tcPr>
            <w:tcW w:w="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2,403</w:t>
            </w:r>
          </w:p>
        </w:tc>
      </w:tr>
      <w:tr>
        <w:trPr>
          <w:trHeight w:val="333"/>
        </w:trPr>
        <w:tc>
          <w:tcPr>
            <w:tcW w:w="3160" w:type="dxa"/>
            <w:vAlign w:val="bottom"/>
          </w:tcPr>
          <w:p>
            <w:pPr>
              <w:spacing w:after="0"/>
              <w:rPr>
                <w:sz w:val="24"/>
                <w:szCs w:val="24"/>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7"/>
              </w:rPr>
              <w:t>Additional Paid-In</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5"/>
        </w:trPr>
        <w:tc>
          <w:tcPr>
            <w:tcW w:w="3160" w:type="dxa"/>
            <w:vAlign w:val="bottom"/>
          </w:tcPr>
          <w:p>
            <w:pPr>
              <w:spacing w:after="0"/>
              <w:rPr>
                <w:sz w:val="11"/>
                <w:szCs w:val="11"/>
                <w:color w:val="auto"/>
              </w:rPr>
            </w:pPr>
          </w:p>
        </w:tc>
        <w:tc>
          <w:tcPr>
            <w:tcW w:w="780" w:type="dxa"/>
            <w:vAlign w:val="bottom"/>
            <w:gridSpan w:val="2"/>
          </w:tcPr>
          <w:p>
            <w:pPr>
              <w:jc w:val="center"/>
              <w:ind w:left="199"/>
              <w:spacing w:after="0" w:line="135" w:lineRule="exact"/>
              <w:rPr>
                <w:sz w:val="20"/>
                <w:szCs w:val="20"/>
                <w:color w:val="auto"/>
              </w:rPr>
            </w:pPr>
            <w:r>
              <w:rPr>
                <w:rFonts w:ascii="Arial" w:cs="Arial" w:eastAsia="Arial" w:hAnsi="Arial"/>
                <w:sz w:val="12"/>
                <w:szCs w:val="12"/>
                <w:b w:val="1"/>
                <w:bCs w:val="1"/>
                <w:color w:val="auto"/>
                <w:w w:val="99"/>
              </w:rPr>
              <w:t>Capital &amp;</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ind w:right="238"/>
              <w:spacing w:after="0" w:line="135" w:lineRule="exact"/>
              <w:rPr>
                <w:sz w:val="20"/>
                <w:szCs w:val="20"/>
                <w:color w:val="auto"/>
              </w:rPr>
            </w:pPr>
            <w:r>
              <w:rPr>
                <w:rFonts w:ascii="Arial" w:cs="Arial" w:eastAsia="Arial" w:hAnsi="Arial"/>
                <w:sz w:val="12"/>
                <w:szCs w:val="12"/>
                <w:b w:val="1"/>
                <w:bCs w:val="1"/>
                <w:color w:val="auto"/>
                <w:w w:val="93"/>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7"/>
        </w:trPr>
        <w:tc>
          <w:tcPr>
            <w:tcW w:w="3160" w:type="dxa"/>
            <w:vAlign w:val="bottom"/>
          </w:tcPr>
          <w:p>
            <w:pPr>
              <w:ind w:left="20"/>
              <w:spacing w:after="0"/>
              <w:rPr>
                <w:sz w:val="20"/>
                <w:szCs w:val="20"/>
                <w:color w:val="auto"/>
              </w:rPr>
            </w:pPr>
            <w:r>
              <w:rPr>
                <w:rFonts w:ascii="Arial" w:cs="Arial" w:eastAsia="Arial" w:hAnsi="Arial"/>
                <w:sz w:val="12"/>
                <w:szCs w:val="12"/>
                <w:color w:val="auto"/>
              </w:rPr>
              <w:t>Twenty-six weeks ended</w:t>
            </w:r>
          </w:p>
        </w:tc>
        <w:tc>
          <w:tcPr>
            <w:tcW w:w="11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7"/>
              </w:rPr>
              <w:t>Common Stock</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Treasury Stock</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Retained</w:t>
            </w: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Comprehensive</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Noncontrolling</w:t>
            </w:r>
          </w:p>
        </w:tc>
        <w:tc>
          <w:tcPr>
            <w:tcW w:w="860" w:type="dxa"/>
            <w:vAlign w:val="bottom"/>
            <w:gridSpan w:val="2"/>
          </w:tcPr>
          <w:p>
            <w:pPr>
              <w:jc w:val="center"/>
              <w:ind w:left="18"/>
              <w:spacing w:after="0"/>
              <w:rPr>
                <w:sz w:val="20"/>
                <w:szCs w:val="20"/>
                <w:color w:val="auto"/>
              </w:rPr>
            </w:pPr>
            <w:r>
              <w:rPr>
                <w:rFonts w:ascii="Arial" w:cs="Arial" w:eastAsia="Arial" w:hAnsi="Arial"/>
                <w:sz w:val="12"/>
                <w:szCs w:val="12"/>
                <w:b w:val="1"/>
                <w:bCs w:val="1"/>
                <w:color w:val="auto"/>
                <w:w w:val="97"/>
              </w:rPr>
              <w:t>Shareholders'</w:t>
            </w:r>
          </w:p>
        </w:tc>
      </w:tr>
      <w:tr>
        <w:trPr>
          <w:trHeight w:val="129"/>
        </w:trPr>
        <w:tc>
          <w:tcPr>
            <w:tcW w:w="3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(shares in thousands, amounts in millions)</w:t>
            </w:r>
          </w:p>
        </w:tc>
        <w:tc>
          <w:tcPr>
            <w:tcW w:w="560" w:type="dxa"/>
            <w:vAlign w:val="bottom"/>
            <w:tcBorders>
              <w:top w:val="single" w:sz="8" w:color="auto"/>
              <w:bottom w:val="single" w:sz="8" w:color="auto"/>
            </w:tcBorders>
          </w:tcPr>
          <w:p>
            <w:pPr>
              <w:jc w:val="right"/>
              <w:ind w:right="39"/>
              <w:spacing w:after="0" w:line="129" w:lineRule="exact"/>
              <w:rPr>
                <w:sz w:val="20"/>
                <w:szCs w:val="20"/>
                <w:color w:val="auto"/>
              </w:rPr>
            </w:pPr>
            <w:r>
              <w:rPr>
                <w:rFonts w:ascii="Arial" w:cs="Arial" w:eastAsia="Arial" w:hAnsi="Arial"/>
                <w:sz w:val="12"/>
                <w:szCs w:val="12"/>
                <w:b w:val="1"/>
                <w:bCs w:val="1"/>
                <w:color w:val="auto"/>
              </w:rPr>
              <w:t>Shares</w:t>
            </w:r>
          </w:p>
        </w:tc>
        <w:tc>
          <w:tcPr>
            <w:tcW w:w="48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8"/>
              <w:spacing w:after="0" w:line="129" w:lineRule="exact"/>
              <w:rPr>
                <w:sz w:val="20"/>
                <w:szCs w:val="20"/>
                <w:color w:val="auto"/>
              </w:rPr>
            </w:pPr>
            <w:r>
              <w:rPr>
                <w:rFonts w:ascii="Arial" w:cs="Arial" w:eastAsia="Arial" w:hAnsi="Arial"/>
                <w:sz w:val="12"/>
                <w:szCs w:val="12"/>
                <w:b w:val="1"/>
                <w:bCs w:val="1"/>
                <w:color w:val="auto"/>
                <w:w w:val="94"/>
              </w:rPr>
              <w:t>Shares</w:t>
            </w:r>
          </w:p>
        </w:tc>
        <w:tc>
          <w:tcPr>
            <w:tcW w:w="5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Earnings</w:t>
            </w: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38"/>
              <w:spacing w:after="0" w:line="129" w:lineRule="exact"/>
              <w:rPr>
                <w:sz w:val="20"/>
                <w:szCs w:val="20"/>
                <w:color w:val="auto"/>
              </w:rPr>
            </w:pPr>
            <w:r>
              <w:rPr>
                <w:rFonts w:ascii="Arial" w:cs="Arial" w:eastAsia="Arial" w:hAnsi="Arial"/>
                <w:sz w:val="12"/>
                <w:szCs w:val="12"/>
                <w:b w:val="1"/>
                <w:bCs w:val="1"/>
                <w:color w:val="auto"/>
                <w:w w:val="92"/>
              </w:rPr>
              <w:t>Loss</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38"/>
              <w:spacing w:after="0" w:line="129" w:lineRule="exact"/>
              <w:rPr>
                <w:sz w:val="20"/>
                <w:szCs w:val="20"/>
                <w:color w:val="auto"/>
              </w:rPr>
            </w:pPr>
            <w:r>
              <w:rPr>
                <w:rFonts w:ascii="Arial" w:cs="Arial" w:eastAsia="Arial" w:hAnsi="Arial"/>
                <w:sz w:val="12"/>
                <w:szCs w:val="12"/>
                <w:b w:val="1"/>
                <w:bCs w:val="1"/>
                <w:color w:val="auto"/>
                <w:w w:val="95"/>
              </w:rPr>
              <w:t>interests</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7"/>
              <w:spacing w:after="0" w:line="129" w:lineRule="exact"/>
              <w:rPr>
                <w:sz w:val="20"/>
                <w:szCs w:val="20"/>
                <w:color w:val="auto"/>
              </w:rPr>
            </w:pPr>
            <w:r>
              <w:rPr>
                <w:rFonts w:ascii="Arial" w:cs="Arial" w:eastAsia="Arial" w:hAnsi="Arial"/>
                <w:sz w:val="12"/>
                <w:szCs w:val="12"/>
                <w:b w:val="1"/>
                <w:bCs w:val="1"/>
                <w:color w:val="auto"/>
                <w:w w:val="92"/>
              </w:rPr>
              <w:t>Equity</w:t>
            </w:r>
          </w:p>
        </w:tc>
      </w:tr>
      <w:tr>
        <w:trPr>
          <w:trHeight w:val="128"/>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January 30, 2021</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103,693</w:t>
            </w:r>
          </w:p>
        </w:tc>
        <w:tc>
          <w:tcPr>
            <w:tcW w:w="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779</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(74)</w:t>
            </w:r>
          </w:p>
        </w:tc>
        <w:tc>
          <w:tcPr>
            <w:tcW w:w="24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(3)</w:t>
            </w:r>
          </w:p>
        </w:tc>
        <w:tc>
          <w:tcPr>
            <w:tcW w:w="60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$ 2,326</w:t>
            </w:r>
          </w:p>
        </w:tc>
        <w:tc>
          <w:tcPr>
            <w:tcW w:w="2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(331)</w:t>
            </w:r>
          </w:p>
        </w:tc>
        <w:tc>
          <w:tcPr>
            <w:tcW w:w="2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5</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2,776</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479</w:t>
            </w:r>
          </w:p>
        </w:tc>
        <w:tc>
          <w:tcPr>
            <w:tcW w:w="22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344</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Share based compensation expense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Shares of common stock used to satisfy tax</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1"/>
        </w:trPr>
        <w:tc>
          <w:tcPr>
            <w:tcW w:w="316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withholding obligations</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(195)</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(11)</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(746)</w:t>
            </w:r>
          </w:p>
        </w:tc>
        <w:tc>
          <w:tcPr>
            <w:tcW w:w="24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(41)</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Reissued for ESPP</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w:t>
            </w:r>
          </w:p>
        </w:tc>
        <w:tc>
          <w:tcPr>
            <w:tcW w:w="48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301</w:t>
            </w: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38"/>
              <w:spacing w:after="0" w:line="135" w:lineRule="exact"/>
              <w:rPr>
                <w:sz w:val="20"/>
                <w:szCs w:val="20"/>
                <w:color w:val="auto"/>
              </w:rPr>
            </w:pPr>
            <w:r>
              <w:rPr>
                <w:rFonts w:ascii="Arial" w:cs="Arial" w:eastAsia="Arial" w:hAnsi="Arial"/>
                <w:sz w:val="13"/>
                <w:szCs w:val="13"/>
                <w:color w:val="auto"/>
              </w:rPr>
              <w:t>632</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632</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Cash dividends declared on common stock ($0.40 per</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1"/>
        </w:trPr>
        <w:tc>
          <w:tcPr>
            <w:tcW w:w="316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share)</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(42)</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(42)</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18"/>
              <w:spacing w:after="0" w:line="135" w:lineRule="exact"/>
              <w:rPr>
                <w:sz w:val="20"/>
                <w:szCs w:val="20"/>
                <w:color w:val="auto"/>
              </w:rPr>
            </w:pPr>
            <w:r>
              <w:rPr>
                <w:rFonts w:ascii="Arial" w:cs="Arial" w:eastAsia="Arial" w:hAnsi="Arial"/>
                <w:sz w:val="13"/>
                <w:szCs w:val="13"/>
                <w:color w:val="auto"/>
              </w:rPr>
              <w:t>(10)</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r>
      <w:tr>
        <w:trPr>
          <w:trHeight w:val="135"/>
        </w:trPr>
        <w:tc>
          <w:tcPr>
            <w:tcW w:w="316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3</w:t>
            </w: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28"/>
        </w:trPr>
        <w:tc>
          <w:tcPr>
            <w:tcW w:w="3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July 31, 2021</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104,516</w:t>
            </w:r>
          </w:p>
        </w:tc>
        <w:tc>
          <w:tcPr>
            <w:tcW w:w="22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799</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(714)</w:t>
            </w:r>
          </w:p>
        </w:tc>
        <w:tc>
          <w:tcPr>
            <w:tcW w:w="2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(41)</w:t>
            </w:r>
          </w:p>
        </w:tc>
        <w:tc>
          <w:tcPr>
            <w:tcW w:w="60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$ 2,916</w:t>
            </w:r>
          </w:p>
        </w:tc>
        <w:tc>
          <w:tcPr>
            <w:tcW w:w="28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(338)</w:t>
            </w:r>
          </w:p>
        </w:tc>
        <w:tc>
          <w:tcPr>
            <w:tcW w:w="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b w:val="1"/>
                <w:bCs w:val="1"/>
                <w:color w:val="auto"/>
              </w:rPr>
              <w:t>5</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3,341</w:t>
            </w:r>
          </w:p>
        </w:tc>
      </w:tr>
      <w:tr>
        <w:trPr>
          <w:trHeight w:val="128"/>
        </w:trPr>
        <w:tc>
          <w:tcPr>
            <w:tcW w:w="3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r>
      <w:tr>
        <w:trPr>
          <w:trHeight w:val="129"/>
        </w:trPr>
        <w:tc>
          <w:tcPr>
            <w:tcW w:w="31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 at February 1, 2020</w:t>
            </w:r>
          </w:p>
        </w:tc>
        <w:tc>
          <w:tcPr>
            <w:tcW w:w="5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104,188</w:t>
            </w:r>
          </w:p>
        </w:tc>
        <w:tc>
          <w:tcPr>
            <w:tcW w:w="220" w:type="dxa"/>
            <w:vAlign w:val="bottom"/>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764</w:t>
            </w:r>
          </w:p>
        </w:tc>
        <w:tc>
          <w:tcPr>
            <w:tcW w:w="120" w:type="dxa"/>
            <w:vAlign w:val="bottom"/>
          </w:tcPr>
          <w:p>
            <w:pPr>
              <w:spacing w:after="0"/>
              <w:rPr>
                <w:sz w:val="11"/>
                <w:szCs w:val="11"/>
                <w:color w:val="auto"/>
              </w:rPr>
            </w:pPr>
          </w:p>
        </w:tc>
        <w:tc>
          <w:tcPr>
            <w:tcW w:w="48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$ 2,103</w:t>
            </w:r>
          </w:p>
        </w:tc>
        <w:tc>
          <w:tcPr>
            <w:tcW w:w="280" w:type="dxa"/>
            <w:vAlign w:val="bottom"/>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(394)</w:t>
            </w:r>
          </w:p>
        </w:tc>
        <w:tc>
          <w:tcPr>
            <w:tcW w:w="2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2,473</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137</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r>
      <w:tr>
        <w:trPr>
          <w:trHeight w:val="129"/>
        </w:trPr>
        <w:tc>
          <w:tcPr>
            <w:tcW w:w="3160" w:type="dxa"/>
            <w:vAlign w:val="bottom"/>
          </w:tcPr>
          <w:p>
            <w:pPr>
              <w:ind w:left="20"/>
              <w:spacing w:after="0" w:line="129" w:lineRule="exact"/>
              <w:rPr>
                <w:sz w:val="20"/>
                <w:szCs w:val="20"/>
                <w:color w:val="auto"/>
              </w:rPr>
            </w:pPr>
            <w:r>
              <w:rPr>
                <w:rFonts w:ascii="Arial" w:cs="Arial" w:eastAsia="Arial" w:hAnsi="Arial"/>
                <w:sz w:val="13"/>
                <w:szCs w:val="13"/>
                <w:color w:val="auto"/>
              </w:rPr>
              <w:t>Shares of common stock used to satisfy tax</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1"/>
        </w:trPr>
        <w:tc>
          <w:tcPr>
            <w:tcW w:w="3160" w:type="dxa"/>
            <w:vAlign w:val="bottom"/>
          </w:tcPr>
          <w:p>
            <w:pPr>
              <w:ind w:left="180"/>
              <w:spacing w:after="0" w:line="141" w:lineRule="exact"/>
              <w:rPr>
                <w:sz w:val="20"/>
                <w:szCs w:val="20"/>
                <w:color w:val="auto"/>
              </w:rPr>
            </w:pPr>
            <w:r>
              <w:rPr>
                <w:rFonts w:ascii="Arial" w:cs="Arial" w:eastAsia="Arial" w:hAnsi="Arial"/>
                <w:sz w:val="13"/>
                <w:szCs w:val="13"/>
                <w:color w:val="auto"/>
              </w:rPr>
              <w:t>withholding obligations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rPr>
              <w:t>(23)</w:t>
            </w:r>
          </w:p>
        </w:tc>
        <w:tc>
          <w:tcPr>
            <w:tcW w:w="240" w:type="dxa"/>
            <w:vAlign w:val="bottom"/>
          </w:tcPr>
          <w:p>
            <w:pPr>
              <w:spacing w:after="0"/>
              <w:rPr>
                <w:sz w:val="12"/>
                <w:szCs w:val="12"/>
                <w:color w:val="auto"/>
              </w:rPr>
            </w:pPr>
          </w:p>
        </w:tc>
        <w:tc>
          <w:tcPr>
            <w:tcW w:w="3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Reissued for ESPP</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23</w:t>
            </w:r>
          </w:p>
        </w:tc>
        <w:tc>
          <w:tcPr>
            <w:tcW w:w="2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r>
      <w:tr>
        <w:trPr>
          <w:trHeight w:val="129"/>
        </w:trPr>
        <w:tc>
          <w:tcPr>
            <w:tcW w:w="3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Cash dividends declared on common stock ($0.40 per</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1"/>
        </w:trPr>
        <w:tc>
          <w:tcPr>
            <w:tcW w:w="316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share)</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(42)</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(42)</w:t>
            </w: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Arial" w:cs="Arial" w:eastAsia="Arial" w:hAnsi="Arial"/>
                <w:sz w:val="13"/>
                <w:szCs w:val="13"/>
                <w:color w:val="auto"/>
              </w:rPr>
              <w:t>20</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Change in cash flow hedges, net of tax</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16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8"/>
              <w:spacing w:after="0" w:line="135" w:lineRule="exact"/>
              <w:rPr>
                <w:sz w:val="20"/>
                <w:szCs w:val="20"/>
                <w:color w:val="auto"/>
              </w:rPr>
            </w:pPr>
            <w:r>
              <w:rPr>
                <w:rFonts w:ascii="Arial" w:cs="Arial" w:eastAsia="Arial" w:hAnsi="Arial"/>
                <w:sz w:val="13"/>
                <w:szCs w:val="13"/>
                <w:color w:val="auto"/>
              </w:rPr>
              <w:t>4</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r>
      <w:tr>
        <w:trPr>
          <w:trHeight w:val="129"/>
        </w:trPr>
        <w:tc>
          <w:tcPr>
            <w:tcW w:w="316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August 1, 2020</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104,392</w:t>
            </w:r>
          </w:p>
        </w:tc>
        <w:tc>
          <w:tcPr>
            <w:tcW w:w="220" w:type="dxa"/>
            <w:vAlign w:val="bottom"/>
            <w:tcBorders>
              <w:bottom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774</w:t>
            </w: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auto"/>
            </w:tcBorders>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$ 1,996</w:t>
            </w:r>
          </w:p>
        </w:tc>
        <w:tc>
          <w:tcPr>
            <w:tcW w:w="280" w:type="dxa"/>
            <w:vAlign w:val="bottom"/>
            <w:tcBorders>
              <w:bottom w:val="single" w:sz="8" w:color="auto"/>
            </w:tcBorders>
            <w:shd w:val="clear" w:color="auto" w:fill="CCEEFF"/>
          </w:tcPr>
          <w:p>
            <w:pPr>
              <w:ind w:left="14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(367)</w:t>
            </w: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38"/>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2,403</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Twenty-six weeks ended</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58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99"/>
              <w:spacing w:after="0" w:line="165" w:lineRule="exact"/>
              <w:rPr>
                <w:sz w:val="20"/>
                <w:szCs w:val="20"/>
                <w:color w:val="auto"/>
              </w:rPr>
            </w:pPr>
            <w:r>
              <w:rPr>
                <w:rFonts w:ascii="Arial" w:cs="Arial" w:eastAsia="Arial" w:hAnsi="Arial"/>
                <w:sz w:val="16"/>
                <w:szCs w:val="16"/>
                <w:b w:val="1"/>
                <w:bCs w:val="1"/>
                <w:color w:val="auto"/>
              </w:rPr>
              <w:t>July 31,</w:t>
            </w: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19"/>
              <w:spacing w:after="0" w:line="165" w:lineRule="exact"/>
              <w:rPr>
                <w:sz w:val="20"/>
                <w:szCs w:val="20"/>
                <w:color w:val="auto"/>
              </w:rPr>
            </w:pPr>
            <w:r>
              <w:rPr>
                <w:rFonts w:ascii="Arial" w:cs="Arial" w:eastAsia="Arial" w:hAnsi="Arial"/>
                <w:sz w:val="16"/>
                <w:szCs w:val="16"/>
                <w:b w:val="1"/>
                <w:bCs w:val="1"/>
                <w:color w:val="auto"/>
              </w:rPr>
              <w:t>August 1,</w:t>
            </w:r>
          </w:p>
        </w:tc>
        <w:tc>
          <w:tcPr>
            <w:tcW w:w="0" w:type="dxa"/>
            <w:vAlign w:val="bottom"/>
          </w:tcPr>
          <w:p>
            <w:pPr>
              <w:spacing w:after="0"/>
              <w:rPr>
                <w:sz w:val="1"/>
                <w:szCs w:val="1"/>
                <w:color w:val="auto"/>
              </w:rPr>
            </w:pPr>
          </w:p>
        </w:tc>
      </w:tr>
      <w:tr>
        <w:trPr>
          <w:trHeight w:val="207"/>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in millions)</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3"/>
        </w:trPr>
        <w:tc>
          <w:tcPr>
            <w:tcW w:w="58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From operating activities:</w:t>
            </w: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4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632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activities:</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6"/>
                <w:szCs w:val="16"/>
                <w:color w:val="auto"/>
              </w:rPr>
              <w:t>Non-cash impairment and other charges</w:t>
            </w:r>
          </w:p>
        </w:tc>
        <w:tc>
          <w:tcPr>
            <w:tcW w:w="44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45</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gains</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(314)</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93</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67</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44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16</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assets and liabilities:</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340"/>
              <w:spacing w:after="0"/>
              <w:rPr>
                <w:sz w:val="20"/>
                <w:szCs w:val="20"/>
                <w:color w:val="auto"/>
              </w:rPr>
            </w:pPr>
            <w:r>
              <w:rPr>
                <w:rFonts w:ascii="Arial" w:cs="Arial" w:eastAsia="Arial" w:hAnsi="Arial"/>
                <w:sz w:val="16"/>
                <w:szCs w:val="16"/>
                <w:color w:val="auto"/>
              </w:rPr>
              <w:t>Merchandise inventories</w:t>
            </w:r>
          </w:p>
        </w:tc>
        <w:tc>
          <w:tcPr>
            <w:tcW w:w="44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(163)</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139</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189"/>
        </w:trPr>
        <w:tc>
          <w:tcPr>
            <w:tcW w:w="5800" w:type="dxa"/>
            <w:vAlign w:val="bottom"/>
          </w:tcPr>
          <w:p>
            <w:pPr>
              <w:ind w:left="340"/>
              <w:spacing w:after="0"/>
              <w:rPr>
                <w:sz w:val="20"/>
                <w:szCs w:val="20"/>
                <w:color w:val="auto"/>
              </w:rPr>
            </w:pPr>
            <w:r>
              <w:rPr>
                <w:rFonts w:ascii="Arial" w:cs="Arial" w:eastAsia="Arial" w:hAnsi="Arial"/>
                <w:sz w:val="16"/>
                <w:szCs w:val="16"/>
                <w:color w:val="auto"/>
              </w:rPr>
              <w:t>Accrued and other liabilities</w:t>
            </w:r>
          </w:p>
        </w:tc>
        <w:tc>
          <w:tcPr>
            <w:tcW w:w="44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(12)</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Insurance receivable for inventory loss</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8</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Other, net</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(109)</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4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402</w:t>
            </w: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183"/>
        </w:trPr>
        <w:tc>
          <w:tcPr>
            <w:tcW w:w="58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From investing activities:</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(87)</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Minority investments</w:t>
            </w:r>
          </w:p>
        </w:tc>
        <w:tc>
          <w:tcPr>
            <w:tcW w:w="44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(78)</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property</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Insurance proceeds related to loss on property and equipment</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Net cash used in investing activities</w:t>
            </w:r>
          </w:p>
        </w:tc>
        <w:tc>
          <w:tcPr>
            <w:tcW w:w="4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b w:val="1"/>
                <w:bCs w:val="1"/>
                <w:color w:val="auto"/>
              </w:rPr>
              <w:t>(159)</w:t>
            </w: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3"/>
        </w:trPr>
        <w:tc>
          <w:tcPr>
            <w:tcW w:w="58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From financing activities:</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on common stock</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Purchase of treasury shares</w:t>
            </w:r>
          </w:p>
        </w:tc>
        <w:tc>
          <w:tcPr>
            <w:tcW w:w="44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(41)</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Treasury stock reissued under employee stock plan</w:t>
            </w:r>
          </w:p>
        </w:tc>
        <w:tc>
          <w:tcPr>
            <w:tcW w:w="44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of common stock repurchased to satisfy tax withholding obligations</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Payment of obligations under finance leases</w:t>
            </w:r>
          </w:p>
        </w:tc>
        <w:tc>
          <w:tcPr>
            <w:tcW w:w="44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 of revolving credit agreement costs</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common stock issued under employee stock plan</w:t>
            </w:r>
          </w:p>
        </w:tc>
        <w:tc>
          <w:tcPr>
            <w:tcW w:w="44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the revolving credit facility</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Repayment of the revolving credit facility</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Net cash used in financing activities</w:t>
            </w:r>
          </w:p>
        </w:tc>
        <w:tc>
          <w:tcPr>
            <w:tcW w:w="4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b w:val="1"/>
                <w:bCs w:val="1"/>
                <w:color w:val="auto"/>
              </w:rPr>
              <w:t>(79)</w:t>
            </w: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4"/>
        </w:trPr>
        <w:tc>
          <w:tcPr>
            <w:tcW w:w="5800" w:type="dxa"/>
            <w:vAlign w:val="bottom"/>
          </w:tcPr>
          <w:p>
            <w:pPr>
              <w:ind w:left="20"/>
              <w:spacing w:after="0"/>
              <w:rPr>
                <w:sz w:val="20"/>
                <w:szCs w:val="20"/>
                <w:color w:val="auto"/>
              </w:rPr>
            </w:pPr>
            <w:r>
              <w:rPr>
                <w:rFonts w:ascii="Arial" w:cs="Arial" w:eastAsia="Arial" w:hAnsi="Arial"/>
                <w:sz w:val="16"/>
                <w:szCs w:val="16"/>
                <w:color w:val="auto"/>
              </w:rPr>
              <w:t>Effect of exchange rate fluctuations on cash, cash equivalents, and restricted</w:t>
            </w:r>
          </w:p>
        </w:tc>
        <w:tc>
          <w:tcPr>
            <w:tcW w:w="440" w:type="dxa"/>
            <w:vAlign w:val="bottom"/>
          </w:tcPr>
          <w:p>
            <w:pPr>
              <w:spacing w:after="0"/>
              <w:rPr>
                <w:sz w:val="16"/>
                <w:szCs w:val="16"/>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cash</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8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Net change in cash, cash equivalents, and restricted cash</w:t>
            </w: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163</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1,718</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Cash, cash equivalents, and restricted cash at end of period</w:t>
            </w:r>
          </w:p>
        </w:tc>
        <w:tc>
          <w:tcPr>
            <w:tcW w:w="4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1,881</w:t>
            </w:r>
          </w:p>
        </w:tc>
        <w:tc>
          <w:tcPr>
            <w:tcW w:w="3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year:</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Interest</w:t>
            </w:r>
          </w:p>
        </w:tc>
        <w:tc>
          <w:tcPr>
            <w:tcW w:w="4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229</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Cash paid for amounts included in measurement of lease liabilities</w:t>
            </w:r>
          </w:p>
        </w:tc>
        <w:tc>
          <w:tcPr>
            <w:tcW w:w="4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358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Right-of-use assets obtained in exchange for operating lease obligations</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171</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Assets obtained in exchange for finance lease obligations</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2021 Form 10-Q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79" w:lineRule="auto"/>
        <w:rPr>
          <w:sz w:val="20"/>
          <w:szCs w:val="20"/>
          <w:color w:val="auto"/>
        </w:rPr>
      </w:pPr>
      <w:r>
        <w:rPr>
          <w:rFonts w:ascii="Arial" w:cs="Arial" w:eastAsia="Arial" w:hAnsi="Arial"/>
          <w:sz w:val="18"/>
          <w:szCs w:val="18"/>
          <w:b w:val="1"/>
          <w:bCs w:val="1"/>
          <w:color w:val="auto"/>
        </w:rPr>
        <w:t>NOTES TO THE UNAUDITED CONDENSED CONSOLIDATED FINANCIAL STATEMENTS 1. Summary of Significant Accounting Policies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presented. As used in these Notes to the Unaudited Condensed Consolidated Financial Statements the terms “Foot Locker,” “Company,” “we,” “our,” and “us” refer to Foot Locker, Inc. and its consolidated subsidiaries.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us to make estimates and assumptions that affect the amounts reported in the accompanying Unaudited Condensed Consolidated Financial Statements and these Notes and related disclosures. Actual results may differ from those estimates. The results of operations for any interim period are not necessarily indicative of the results expected for the year. The results of operations for the period ended July 31, 2021 are not necessarily indicative of the results to be expected for the full fiscal year due to the continued uncertainty of general economic conditions that may affect us for the remainder of 2021. Specifically, the ongoing pandemic (“COVID-19”) including the dissemination and adoption of COVID-19 vaccines and their effectiveness against COVID-19 and its evolving strains, some of which may be more transmissible or virulent than the initial strain or additional widespread resurgences in COVID-19 infections, including evolving safety protocols including requirements for proof of vaccination, are significant uncertainties. COVID-19, as well as port delays, may affect our sales, traffic to our stores, our distribution capabilities, and distribution capabilities of our suppliers.</w:t>
      </w:r>
    </w:p>
    <w:p>
      <w:pPr>
        <w:spacing w:after="0" w:line="20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accompanying unaudited condensed consolidated financial statements should be read in conjunction with the Notes to Consolidated Financial Statements contained in our Form 10-K for the year ended January 30, 2021, as filed with the U.S. Securities and Exchange Commission on March 25, 2021.</w:t>
      </w:r>
    </w:p>
    <w:p>
      <w:pPr>
        <w:spacing w:after="0" w:line="185"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color w:val="auto"/>
        </w:rPr>
        <w:t xml:space="preserve">There were no significant changes to the policies disclosed in Note 1,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our Annual Report on Form 10-K for the year ended January 30, 2021.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Recently issued accounting pronouncements did not, or are not believed by management to, have a material effect on our present or future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Revenue</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table below presents sales disaggregated based upon sales channel. Sales are attributable to the channel in which the sales transaction is initiated.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jc w:val="right"/>
              <w:ind w:right="235"/>
              <w:spacing w:after="0" w:line="156" w:lineRule="exact"/>
              <w:rPr>
                <w:sz w:val="20"/>
                <w:szCs w:val="20"/>
                <w:color w:val="auto"/>
              </w:rPr>
            </w:pPr>
            <w:r>
              <w:rPr>
                <w:rFonts w:ascii="Arial" w:cs="Arial" w:eastAsia="Arial" w:hAnsi="Arial"/>
                <w:sz w:val="17"/>
                <w:szCs w:val="17"/>
                <w:b w:val="1"/>
                <w:bCs w:val="1"/>
                <w:color w:val="auto"/>
              </w:rPr>
              <w:t>July 31,</w:t>
            </w:r>
          </w:p>
        </w:tc>
        <w:tc>
          <w:tcPr>
            <w:tcW w:w="260" w:type="dxa"/>
            <w:vAlign w:val="bottom"/>
          </w:tcPr>
          <w:p>
            <w:pPr>
              <w:spacing w:after="0"/>
              <w:rPr>
                <w:sz w:val="13"/>
                <w:szCs w:val="13"/>
                <w:color w:val="auto"/>
              </w:rPr>
            </w:pPr>
          </w:p>
        </w:tc>
        <w:tc>
          <w:tcPr>
            <w:tcW w:w="1080" w:type="dxa"/>
            <w:vAlign w:val="bottom"/>
          </w:tcPr>
          <w:p>
            <w:pPr>
              <w:jc w:val="right"/>
              <w:ind w:right="175"/>
              <w:spacing w:after="0" w:line="156" w:lineRule="exact"/>
              <w:rPr>
                <w:sz w:val="20"/>
                <w:szCs w:val="20"/>
                <w:color w:val="auto"/>
              </w:rPr>
            </w:pPr>
            <w:r>
              <w:rPr>
                <w:rFonts w:ascii="Arial" w:cs="Arial" w:eastAsia="Arial" w:hAnsi="Arial"/>
                <w:sz w:val="17"/>
                <w:szCs w:val="17"/>
                <w:b w:val="1"/>
                <w:bCs w:val="1"/>
                <w:color w:val="auto"/>
              </w:rPr>
              <w:t>August 1,</w:t>
            </w:r>
          </w:p>
        </w:tc>
        <w:tc>
          <w:tcPr>
            <w:tcW w:w="320" w:type="dxa"/>
            <w:vAlign w:val="bottom"/>
          </w:tcPr>
          <w:p>
            <w:pPr>
              <w:spacing w:after="0"/>
              <w:rPr>
                <w:sz w:val="13"/>
                <w:szCs w:val="13"/>
                <w:color w:val="auto"/>
              </w:rPr>
            </w:pPr>
          </w:p>
        </w:tc>
        <w:tc>
          <w:tcPr>
            <w:tcW w:w="1040" w:type="dxa"/>
            <w:vAlign w:val="bottom"/>
          </w:tcPr>
          <w:p>
            <w:pPr>
              <w:ind w:left="80"/>
              <w:spacing w:after="0" w:line="156" w:lineRule="exact"/>
              <w:rPr>
                <w:sz w:val="20"/>
                <w:szCs w:val="20"/>
                <w:color w:val="auto"/>
              </w:rPr>
            </w:pPr>
            <w:r>
              <w:rPr>
                <w:rFonts w:ascii="Arial" w:cs="Arial" w:eastAsia="Arial" w:hAnsi="Arial"/>
                <w:sz w:val="17"/>
                <w:szCs w:val="17"/>
                <w:b w:val="1"/>
                <w:bCs w:val="1"/>
                <w:color w:val="auto"/>
              </w:rPr>
              <w:t>July 31,</w:t>
            </w:r>
          </w:p>
        </w:tc>
        <w:tc>
          <w:tcPr>
            <w:tcW w:w="260" w:type="dxa"/>
            <w:vAlign w:val="bottom"/>
          </w:tcPr>
          <w:p>
            <w:pPr>
              <w:spacing w:after="0"/>
              <w:rPr>
                <w:sz w:val="13"/>
                <w:szCs w:val="13"/>
                <w:color w:val="auto"/>
              </w:rPr>
            </w:pPr>
          </w:p>
        </w:tc>
        <w:tc>
          <w:tcPr>
            <w:tcW w:w="102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r>
      <w:tr>
        <w:trPr>
          <w:trHeight w:val="183"/>
        </w:trPr>
        <w:tc>
          <w:tcPr>
            <w:tcW w:w="260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Sales by Channel</w:t>
            </w: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26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Stores</w:t>
            </w: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1,817</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1,388</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3,437</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2,202</w:t>
            </w:r>
          </w:p>
        </w:tc>
      </w:tr>
      <w:tr>
        <w:trPr>
          <w:trHeight w:val="189"/>
        </w:trPr>
        <w:tc>
          <w:tcPr>
            <w:tcW w:w="26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Direct-to-customers</w:t>
            </w:r>
          </w:p>
        </w:tc>
        <w:tc>
          <w:tcPr>
            <w:tcW w:w="1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458</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689</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991</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1,051</w:t>
            </w:r>
          </w:p>
        </w:tc>
      </w:tr>
      <w:tr>
        <w:trPr>
          <w:trHeight w:val="183"/>
        </w:trPr>
        <w:tc>
          <w:tcPr>
            <w:tcW w:w="26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sales</w:t>
            </w:r>
          </w:p>
        </w:tc>
        <w:tc>
          <w:tcPr>
            <w:tcW w:w="1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2,275</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2,077</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4,428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3,253</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2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Sales disaggregated based upon geographic area is presented in the table below. Sales are attributable to the geographic area in which the sales transaction is fulfilled.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40" w:type="dxa"/>
            <w:vAlign w:val="bottom"/>
          </w:tcPr>
          <w:p>
            <w:pPr>
              <w:jc w:val="right"/>
              <w:ind w:right="235"/>
              <w:spacing w:after="0" w:line="156" w:lineRule="exact"/>
              <w:rPr>
                <w:sz w:val="20"/>
                <w:szCs w:val="20"/>
                <w:color w:val="auto"/>
              </w:rPr>
            </w:pPr>
            <w:r>
              <w:rPr>
                <w:rFonts w:ascii="Arial" w:cs="Arial" w:eastAsia="Arial" w:hAnsi="Arial"/>
                <w:sz w:val="17"/>
                <w:szCs w:val="17"/>
                <w:b w:val="1"/>
                <w:bCs w:val="1"/>
                <w:color w:val="auto"/>
              </w:rPr>
              <w:t>July 31,</w:t>
            </w:r>
          </w:p>
        </w:tc>
        <w:tc>
          <w:tcPr>
            <w:tcW w:w="260" w:type="dxa"/>
            <w:vAlign w:val="bottom"/>
          </w:tcPr>
          <w:p>
            <w:pPr>
              <w:spacing w:after="0"/>
              <w:rPr>
                <w:sz w:val="13"/>
                <w:szCs w:val="13"/>
                <w:color w:val="auto"/>
              </w:rPr>
            </w:pPr>
          </w:p>
        </w:tc>
        <w:tc>
          <w:tcPr>
            <w:tcW w:w="1080" w:type="dxa"/>
            <w:vAlign w:val="bottom"/>
          </w:tcPr>
          <w:p>
            <w:pPr>
              <w:jc w:val="right"/>
              <w:ind w:right="175"/>
              <w:spacing w:after="0" w:line="156" w:lineRule="exact"/>
              <w:rPr>
                <w:sz w:val="20"/>
                <w:szCs w:val="20"/>
                <w:color w:val="auto"/>
              </w:rPr>
            </w:pPr>
            <w:r>
              <w:rPr>
                <w:rFonts w:ascii="Arial" w:cs="Arial" w:eastAsia="Arial" w:hAnsi="Arial"/>
                <w:sz w:val="17"/>
                <w:szCs w:val="17"/>
                <w:b w:val="1"/>
                <w:bCs w:val="1"/>
                <w:color w:val="auto"/>
              </w:rPr>
              <w:t>August 1,</w:t>
            </w:r>
          </w:p>
        </w:tc>
        <w:tc>
          <w:tcPr>
            <w:tcW w:w="320" w:type="dxa"/>
            <w:vAlign w:val="bottom"/>
          </w:tcPr>
          <w:p>
            <w:pPr>
              <w:spacing w:after="0"/>
              <w:rPr>
                <w:sz w:val="13"/>
                <w:szCs w:val="13"/>
                <w:color w:val="auto"/>
              </w:rPr>
            </w:pPr>
          </w:p>
        </w:tc>
        <w:tc>
          <w:tcPr>
            <w:tcW w:w="1040" w:type="dxa"/>
            <w:vAlign w:val="bottom"/>
          </w:tcPr>
          <w:p>
            <w:pPr>
              <w:ind w:left="80"/>
              <w:spacing w:after="0" w:line="156" w:lineRule="exact"/>
              <w:rPr>
                <w:sz w:val="20"/>
                <w:szCs w:val="20"/>
                <w:color w:val="auto"/>
              </w:rPr>
            </w:pPr>
            <w:r>
              <w:rPr>
                <w:rFonts w:ascii="Arial" w:cs="Arial" w:eastAsia="Arial" w:hAnsi="Arial"/>
                <w:sz w:val="17"/>
                <w:szCs w:val="17"/>
                <w:b w:val="1"/>
                <w:bCs w:val="1"/>
                <w:color w:val="auto"/>
              </w:rPr>
              <w:t>July 31,</w:t>
            </w:r>
          </w:p>
        </w:tc>
        <w:tc>
          <w:tcPr>
            <w:tcW w:w="260" w:type="dxa"/>
            <w:vAlign w:val="bottom"/>
          </w:tcPr>
          <w:p>
            <w:pPr>
              <w:spacing w:after="0"/>
              <w:rPr>
                <w:sz w:val="13"/>
                <w:szCs w:val="13"/>
                <w:color w:val="auto"/>
              </w:rPr>
            </w:pPr>
          </w:p>
        </w:tc>
        <w:tc>
          <w:tcPr>
            <w:tcW w:w="102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r>
      <w:tr>
        <w:trPr>
          <w:trHeight w:val="183"/>
        </w:trPr>
        <w:tc>
          <w:tcPr>
            <w:tcW w:w="26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Sales by Geography</w:t>
            </w: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2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United States</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1,623</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1,529</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3,336</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2,440</w:t>
            </w:r>
          </w:p>
        </w:tc>
      </w:tr>
      <w:tr>
        <w:trPr>
          <w:trHeight w:val="189"/>
        </w:trPr>
        <w:tc>
          <w:tcPr>
            <w:tcW w:w="26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International</w:t>
            </w:r>
          </w:p>
        </w:tc>
        <w:tc>
          <w:tcPr>
            <w:tcW w:w="1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652</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548</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1,092</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813</w:t>
            </w:r>
          </w:p>
        </w:tc>
      </w:tr>
      <w:tr>
        <w:trPr>
          <w:trHeight w:val="183"/>
        </w:trPr>
        <w:tc>
          <w:tcPr>
            <w:tcW w:w="26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sales</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2,275</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2,077</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4,428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3,253</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Liabilities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We sell gift cards, which do not have expiration dates. Revenue from gift card sales is recorded when the gift cards are redeemed by customers. Breakage income is recognized as revenue </w:t>
      </w:r>
      <w:r>
        <w:rPr>
          <w:rFonts w:ascii="Arial" w:cs="Arial" w:eastAsia="Arial" w:hAnsi="Arial"/>
          <w:sz w:val="17"/>
          <w:szCs w:val="17"/>
          <w:color w:val="auto"/>
        </w:rPr>
        <w:t>in proportion to the pattern of</w:t>
      </w:r>
      <w:r>
        <w:rPr>
          <w:rFonts w:ascii="Arial" w:cs="Arial" w:eastAsia="Arial" w:hAnsi="Arial"/>
          <w:sz w:val="18"/>
          <w:szCs w:val="18"/>
          <w:color w:val="auto"/>
        </w:rPr>
        <w:t xml:space="preserve"> </w:t>
      </w:r>
      <w:r>
        <w:rPr>
          <w:rFonts w:ascii="Arial" w:cs="Arial" w:eastAsia="Arial" w:hAnsi="Arial"/>
          <w:sz w:val="17"/>
          <w:szCs w:val="17"/>
          <w:color w:val="auto"/>
        </w:rPr>
        <w:t>rights exercised by the customer. The table below presents the activity of our gift card liability balance:</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July 31,</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355"/>
              <w:spacing w:after="0"/>
              <w:rPr>
                <w:sz w:val="20"/>
                <w:szCs w:val="20"/>
                <w:color w:val="auto"/>
              </w:rPr>
            </w:pPr>
            <w:r>
              <w:rPr>
                <w:rFonts w:ascii="Arial" w:cs="Arial" w:eastAsia="Arial" w:hAnsi="Arial"/>
                <w:sz w:val="17"/>
                <w:szCs w:val="17"/>
                <w:b w:val="1"/>
                <w:bCs w:val="1"/>
                <w:color w:val="auto"/>
              </w:rPr>
              <w:t>August 1,</w:t>
            </w:r>
          </w:p>
        </w:tc>
      </w:tr>
      <w:tr>
        <w:trPr>
          <w:trHeight w:val="215"/>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4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183"/>
        </w:trPr>
        <w:tc>
          <w:tcPr>
            <w:tcW w:w="40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 at beginning of year</w:t>
            </w:r>
          </w:p>
        </w:tc>
        <w:tc>
          <w:tcPr>
            <w:tcW w:w="2420" w:type="dxa"/>
            <w:vAlign w:val="bottom"/>
            <w:shd w:val="clear" w:color="auto" w:fill="CCEEFF"/>
          </w:tcPr>
          <w:p>
            <w:pPr>
              <w:jc w:val="right"/>
              <w:ind w:right="91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41</w:t>
            </w:r>
          </w:p>
        </w:tc>
        <w:tc>
          <w:tcPr>
            <w:tcW w:w="4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Redemptions</w:t>
            </w:r>
          </w:p>
        </w:tc>
        <w:tc>
          <w:tcPr>
            <w:tcW w:w="2420" w:type="dxa"/>
            <w:vAlign w:val="bottom"/>
          </w:tcPr>
          <w:p>
            <w:pPr>
              <w:spacing w:after="0"/>
              <w:rPr>
                <w:sz w:val="16"/>
                <w:szCs w:val="16"/>
                <w:color w:val="auto"/>
              </w:rPr>
            </w:pPr>
          </w:p>
        </w:tc>
        <w:tc>
          <w:tcPr>
            <w:tcW w:w="66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(122)</w:t>
            </w:r>
          </w:p>
        </w:tc>
        <w:tc>
          <w:tcPr>
            <w:tcW w:w="4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r>
      <w:tr>
        <w:trPr>
          <w:trHeight w:val="189"/>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24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(9)</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408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Activations</w:t>
            </w:r>
          </w:p>
        </w:tc>
        <w:tc>
          <w:tcPr>
            <w:tcW w:w="2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128</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w:t>
            </w:r>
          </w:p>
        </w:tc>
      </w:tr>
      <w:tr>
        <w:trPr>
          <w:trHeight w:val="183"/>
        </w:trPr>
        <w:tc>
          <w:tcPr>
            <w:tcW w:w="40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w:t>
            </w:r>
          </w:p>
        </w:tc>
        <w:tc>
          <w:tcPr>
            <w:tcW w:w="2420" w:type="dxa"/>
            <w:vAlign w:val="bottom"/>
            <w:tcBorders>
              <w:bottom w:val="single" w:sz="8" w:color="auto"/>
            </w:tcBorders>
            <w:shd w:val="clear" w:color="auto" w:fill="CCEEFF"/>
          </w:tcPr>
          <w:p>
            <w:pPr>
              <w:jc w:val="right"/>
              <w:ind w:right="91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38</w:t>
            </w:r>
          </w:p>
        </w:tc>
        <w:tc>
          <w:tcPr>
            <w:tcW w:w="4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31</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elected not to disclose the information about remaining performance obligations since the amount of gift cards redeemed after 12 months is not significant.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Segment Information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integrated all available shopping channels including stores, websites, apps, social channels, and catalogs. Store sales are primarily fulfilled from the store’s inventory but may also be shipped from any of our distribution centers or from a different store location if an item is not available at the original store. Direct-to-customer orders are generally shipped to our customers through our distribution centers but may also be shipped from any store or a combination of our distribution centers and stores depending on the availability of particular items.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 non-operating income, and net interest expense.</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3"/>
          </w:tcPr>
          <w:p>
            <w:pPr>
              <w:jc w:val="right"/>
              <w:ind w:right="255"/>
              <w:spacing w:after="0"/>
              <w:rPr>
                <w:sz w:val="20"/>
                <w:szCs w:val="20"/>
                <w:color w:val="auto"/>
              </w:rPr>
            </w:pPr>
            <w:r>
              <w:rPr>
                <w:rFonts w:ascii="Arial" w:cs="Arial" w:eastAsia="Arial" w:hAnsi="Arial"/>
                <w:sz w:val="17"/>
                <w:szCs w:val="17"/>
                <w:b w:val="1"/>
                <w:bCs w:val="1"/>
                <w:color w:val="auto"/>
              </w:rPr>
              <w:t>Thirteen weeks ended</w:t>
            </w:r>
          </w:p>
        </w:tc>
        <w:tc>
          <w:tcPr>
            <w:tcW w:w="180" w:type="dxa"/>
            <w:vAlign w:val="bottom"/>
          </w:tcPr>
          <w:p>
            <w:pPr>
              <w:spacing w:after="0"/>
              <w:rPr>
                <w:sz w:val="18"/>
                <w:szCs w:val="18"/>
                <w:color w:val="auto"/>
              </w:rPr>
            </w:pPr>
          </w:p>
        </w:tc>
        <w:tc>
          <w:tcPr>
            <w:tcW w:w="2540" w:type="dxa"/>
            <w:vAlign w:val="bottom"/>
            <w:gridSpan w:val="4"/>
          </w:tcPr>
          <w:p>
            <w:pPr>
              <w:ind w:left="80"/>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3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75"/>
              <w:spacing w:after="0" w:line="156" w:lineRule="exact"/>
              <w:rPr>
                <w:sz w:val="20"/>
                <w:szCs w:val="20"/>
                <w:color w:val="auto"/>
              </w:rPr>
            </w:pPr>
            <w:r>
              <w:rPr>
                <w:rFonts w:ascii="Arial" w:cs="Arial" w:eastAsia="Arial" w:hAnsi="Arial"/>
                <w:sz w:val="17"/>
                <w:szCs w:val="17"/>
                <w:b w:val="1"/>
                <w:bCs w:val="1"/>
                <w:color w:val="auto"/>
              </w:rPr>
              <w:t>July 31,</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95"/>
              <w:spacing w:after="0" w:line="156" w:lineRule="exact"/>
              <w:rPr>
                <w:sz w:val="20"/>
                <w:szCs w:val="20"/>
                <w:color w:val="auto"/>
              </w:rPr>
            </w:pPr>
            <w:r>
              <w:rPr>
                <w:rFonts w:ascii="Arial" w:cs="Arial" w:eastAsia="Arial" w:hAnsi="Arial"/>
                <w:sz w:val="17"/>
                <w:szCs w:val="17"/>
                <w:b w:val="1"/>
                <w:bCs w:val="1"/>
                <w:color w:val="auto"/>
              </w:rPr>
              <w:t>August 1,</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ind w:left="80"/>
              <w:spacing w:after="0" w:line="156" w:lineRule="exact"/>
              <w:rPr>
                <w:sz w:val="20"/>
                <w:szCs w:val="20"/>
                <w:color w:val="auto"/>
              </w:rPr>
            </w:pPr>
            <w:r>
              <w:rPr>
                <w:rFonts w:ascii="Arial" w:cs="Arial" w:eastAsia="Arial" w:hAnsi="Arial"/>
                <w:sz w:val="17"/>
                <w:szCs w:val="17"/>
                <w:b w:val="1"/>
                <w:bCs w:val="1"/>
                <w:color w:val="auto"/>
              </w:rPr>
              <w:t>July 31,</w:t>
            </w: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95"/>
              <w:spacing w:after="0" w:line="156" w:lineRule="exact"/>
              <w:rPr>
                <w:sz w:val="20"/>
                <w:szCs w:val="20"/>
                <w:color w:val="auto"/>
              </w:rPr>
            </w:pPr>
            <w:r>
              <w:rPr>
                <w:rFonts w:ascii="Arial" w:cs="Arial" w:eastAsia="Arial" w:hAnsi="Arial"/>
                <w:sz w:val="17"/>
                <w:szCs w:val="17"/>
                <w:b w:val="1"/>
                <w:bCs w:val="1"/>
                <w:color w:val="auto"/>
              </w:rPr>
              <w:t>August 1,</w:t>
            </w:r>
          </w:p>
        </w:tc>
        <w:tc>
          <w:tcPr>
            <w:tcW w:w="220" w:type="dxa"/>
            <w:vAlign w:val="bottom"/>
          </w:tcPr>
          <w:p>
            <w:pPr>
              <w:spacing w:after="0"/>
              <w:rPr>
                <w:sz w:val="13"/>
                <w:szCs w:val="13"/>
                <w:color w:val="auto"/>
              </w:rPr>
            </w:pPr>
          </w:p>
        </w:tc>
      </w:tr>
      <w:tr>
        <w:trPr>
          <w:trHeight w:val="21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8"/>
                <w:szCs w:val="18"/>
                <w:color w:val="auto"/>
              </w:rPr>
            </w:pPr>
          </w:p>
        </w:tc>
      </w:tr>
      <w:tr>
        <w:trPr>
          <w:trHeight w:val="183"/>
        </w:trPr>
        <w:tc>
          <w:tcPr>
            <w:tcW w:w="33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2,275</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2,077</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4,428</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3,253</w:t>
            </w:r>
          </w:p>
        </w:tc>
        <w:tc>
          <w:tcPr>
            <w:tcW w:w="220" w:type="dxa"/>
            <w:vAlign w:val="bottom"/>
            <w:shd w:val="clear" w:color="auto" w:fill="CCEEFF"/>
          </w:tcPr>
          <w:p>
            <w:pPr>
              <w:spacing w:after="0"/>
              <w:rPr>
                <w:sz w:val="15"/>
                <w:szCs w:val="15"/>
                <w:color w:val="auto"/>
              </w:rPr>
            </w:pPr>
          </w:p>
        </w:tc>
      </w:tr>
      <w:tr>
        <w:trPr>
          <w:trHeight w:val="189"/>
        </w:trPr>
        <w:tc>
          <w:tcPr>
            <w:tcW w:w="3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3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Operating Results</w:t>
            </w: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7"/>
                <w:szCs w:val="17"/>
                <w:color w:val="auto"/>
              </w:rPr>
              <w:t>Division profit</w:t>
            </w:r>
          </w:p>
        </w:tc>
        <w:tc>
          <w:tcPr>
            <w:tcW w:w="560" w:type="dxa"/>
            <w:vAlign w:val="bottom"/>
          </w:tcPr>
          <w:p>
            <w:pPr>
              <w:spacing w:after="0"/>
              <w:rPr>
                <w:sz w:val="16"/>
                <w:szCs w:val="16"/>
                <w:color w:val="auto"/>
              </w:rPr>
            </w:pPr>
          </w:p>
        </w:tc>
        <w:tc>
          <w:tcPr>
            <w:tcW w:w="10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332</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125</w:t>
            </w: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647</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46</w:t>
            </w:r>
          </w:p>
        </w:tc>
        <w:tc>
          <w:tcPr>
            <w:tcW w:w="220" w:type="dxa"/>
            <w:vAlign w:val="bottom"/>
          </w:tcPr>
          <w:p>
            <w:pPr>
              <w:spacing w:after="0"/>
              <w:rPr>
                <w:sz w:val="16"/>
                <w:szCs w:val="16"/>
                <w:color w:val="auto"/>
              </w:rPr>
            </w:pPr>
          </w:p>
        </w:tc>
      </w:tr>
      <w:tr>
        <w:trPr>
          <w:trHeight w:val="189"/>
        </w:trPr>
        <w:tc>
          <w:tcPr>
            <w:tcW w:w="332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36</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40</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w:t>
            </w:r>
          </w:p>
        </w:tc>
        <w:tc>
          <w:tcPr>
            <w:tcW w:w="220" w:type="dxa"/>
            <w:vAlign w:val="bottom"/>
            <w:shd w:val="clear" w:color="auto" w:fill="CCEEFF"/>
          </w:tcPr>
          <w:p>
            <w:pPr>
              <w:spacing w:after="0"/>
              <w:rPr>
                <w:sz w:val="16"/>
                <w:szCs w:val="16"/>
                <w:color w:val="auto"/>
              </w:rPr>
            </w:pPr>
          </w:p>
        </w:tc>
      </w:tr>
      <w:tr>
        <w:trPr>
          <w:trHeight w:val="189"/>
        </w:trPr>
        <w:tc>
          <w:tcPr>
            <w:tcW w:w="33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32</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61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w:t>
            </w:r>
          </w:p>
        </w:tc>
        <w:tc>
          <w:tcPr>
            <w:tcW w:w="220" w:type="dxa"/>
            <w:vAlign w:val="bottom"/>
            <w:tcBorders>
              <w:bottom w:val="single" w:sz="8" w:color="auto"/>
            </w:tcBorders>
          </w:tcPr>
          <w:p>
            <w:pPr>
              <w:spacing w:after="0"/>
              <w:rPr>
                <w:sz w:val="16"/>
                <w:szCs w:val="16"/>
                <w:color w:val="auto"/>
              </w:rPr>
            </w:pPr>
          </w:p>
        </w:tc>
      </w:tr>
      <w:tr>
        <w:trPr>
          <w:trHeight w:val="183"/>
        </w:trPr>
        <w:tc>
          <w:tcPr>
            <w:tcW w:w="33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Income (loss) from operations</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264</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69</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546</w:t>
            </w:r>
          </w:p>
        </w:tc>
        <w:tc>
          <w:tcPr>
            <w:tcW w:w="2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(36)</w:t>
            </w: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7"/>
                <w:szCs w:val="17"/>
                <w:color w:val="auto"/>
              </w:rPr>
              <w:t>Interest expense, net</w:t>
            </w:r>
          </w:p>
        </w:tc>
        <w:tc>
          <w:tcPr>
            <w:tcW w:w="560" w:type="dxa"/>
            <w:vAlign w:val="bottom"/>
          </w:tcPr>
          <w:p>
            <w:pPr>
              <w:spacing w:after="0"/>
              <w:rPr>
                <w:sz w:val="16"/>
                <w:szCs w:val="16"/>
                <w:color w:val="auto"/>
              </w:rPr>
            </w:pPr>
          </w:p>
        </w:tc>
        <w:tc>
          <w:tcPr>
            <w:tcW w:w="10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180" w:type="dxa"/>
            <w:vAlign w:val="bottom"/>
          </w:tcPr>
          <w:p>
            <w:pPr>
              <w:spacing w:after="0"/>
              <w:rPr>
                <w:sz w:val="16"/>
                <w:szCs w:val="16"/>
                <w:color w:val="auto"/>
              </w:rPr>
            </w:pPr>
          </w:p>
        </w:tc>
        <w:tc>
          <w:tcPr>
            <w:tcW w:w="10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(4)</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w:t>
            </w:r>
          </w:p>
        </w:tc>
      </w:tr>
      <w:tr>
        <w:trPr>
          <w:trHeight w:val="189"/>
        </w:trPr>
        <w:tc>
          <w:tcPr>
            <w:tcW w:w="33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Other income, net</w:t>
            </w:r>
          </w:p>
        </w:tc>
        <w:tc>
          <w:tcPr>
            <w:tcW w:w="5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325</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329</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6"/>
                <w:szCs w:val="16"/>
                <w:color w:val="auto"/>
              </w:rPr>
            </w:pPr>
          </w:p>
        </w:tc>
      </w:tr>
      <w:tr>
        <w:trPr>
          <w:trHeight w:val="183"/>
        </w:trPr>
        <w:tc>
          <w:tcPr>
            <w:tcW w:w="33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Income (loss) before income taxes</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587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70</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871</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(35)</w:t>
            </w:r>
          </w:p>
        </w:tc>
        <w:tc>
          <w:tcPr>
            <w:tcW w:w="220" w:type="dxa"/>
            <w:vAlign w:val="bottom"/>
            <w:tcBorders>
              <w:bottom w:val="single" w:sz="8" w:color="auto"/>
            </w:tcBorders>
          </w:tcPr>
          <w:p>
            <w:pPr>
              <w:spacing w:after="0"/>
              <w:rPr>
                <w:sz w:val="15"/>
                <w:szCs w:val="15"/>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During the twenty-six weeks ended July 31, 2021, we recorded pre-tax charges as detailed in Note 4,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Impairment and Other Charges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7"/>
                <w:szCs w:val="17"/>
                <w:b w:val="1"/>
                <w:bCs w:val="1"/>
                <w:color w:val="auto"/>
              </w:rPr>
              <w:t>July 31,</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175"/>
              <w:spacing w:after="0" w:line="156" w:lineRule="exact"/>
              <w:rPr>
                <w:sz w:val="20"/>
                <w:szCs w:val="20"/>
                <w:color w:val="auto"/>
              </w:rPr>
            </w:pPr>
            <w:r>
              <w:rPr>
                <w:rFonts w:ascii="Arial" w:cs="Arial" w:eastAsia="Arial" w:hAnsi="Arial"/>
                <w:sz w:val="17"/>
                <w:szCs w:val="17"/>
                <w:b w:val="1"/>
                <w:bCs w:val="1"/>
                <w:color w:val="auto"/>
              </w:rPr>
              <w:t>August 1,</w:t>
            </w:r>
          </w:p>
        </w:tc>
        <w:tc>
          <w:tcPr>
            <w:tcW w:w="300" w:type="dxa"/>
            <w:vAlign w:val="bottom"/>
          </w:tcPr>
          <w:p>
            <w:pPr>
              <w:spacing w:after="0"/>
              <w:rPr>
                <w:sz w:val="13"/>
                <w:szCs w:val="13"/>
                <w:color w:val="auto"/>
              </w:rPr>
            </w:pPr>
          </w:p>
        </w:tc>
        <w:tc>
          <w:tcPr>
            <w:tcW w:w="1100" w:type="dxa"/>
            <w:vAlign w:val="bottom"/>
          </w:tcPr>
          <w:p>
            <w:pPr>
              <w:jc w:val="right"/>
              <w:ind w:right="275"/>
              <w:spacing w:after="0" w:line="156" w:lineRule="exact"/>
              <w:rPr>
                <w:sz w:val="20"/>
                <w:szCs w:val="20"/>
                <w:color w:val="auto"/>
              </w:rPr>
            </w:pPr>
            <w:r>
              <w:rPr>
                <w:rFonts w:ascii="Arial" w:cs="Arial" w:eastAsia="Arial" w:hAnsi="Arial"/>
                <w:sz w:val="17"/>
                <w:szCs w:val="17"/>
                <w:b w:val="1"/>
                <w:bCs w:val="1"/>
                <w:color w:val="auto"/>
              </w:rPr>
              <w:t>July 31,</w:t>
            </w:r>
          </w:p>
        </w:tc>
        <w:tc>
          <w:tcPr>
            <w:tcW w:w="220" w:type="dxa"/>
            <w:vAlign w:val="bottom"/>
          </w:tcPr>
          <w:p>
            <w:pPr>
              <w:spacing w:after="0"/>
              <w:rPr>
                <w:sz w:val="13"/>
                <w:szCs w:val="13"/>
                <w:color w:val="auto"/>
              </w:rPr>
            </w:pPr>
          </w:p>
        </w:tc>
        <w:tc>
          <w:tcPr>
            <w:tcW w:w="980" w:type="dxa"/>
            <w:vAlign w:val="bottom"/>
          </w:tcPr>
          <w:p>
            <w:pPr>
              <w:jc w:val="right"/>
              <w:ind w:right="75"/>
              <w:spacing w:after="0" w:line="156" w:lineRule="exact"/>
              <w:rPr>
                <w:sz w:val="20"/>
                <w:szCs w:val="20"/>
                <w:color w:val="auto"/>
              </w:rPr>
            </w:pPr>
            <w:r>
              <w:rPr>
                <w:rFonts w:ascii="Arial" w:cs="Arial" w:eastAsia="Arial" w:hAnsi="Arial"/>
                <w:sz w:val="17"/>
                <w:szCs w:val="17"/>
                <w:b w:val="1"/>
                <w:bCs w:val="1"/>
                <w:color w:val="auto"/>
              </w:rPr>
              <w:t>August 1,</w:t>
            </w:r>
          </w:p>
        </w:tc>
        <w:tc>
          <w:tcPr>
            <w:tcW w:w="0" w:type="dxa"/>
            <w:vAlign w:val="bottom"/>
          </w:tcPr>
          <w:p>
            <w:pPr>
              <w:spacing w:after="0"/>
              <w:rPr>
                <w:sz w:val="1"/>
                <w:szCs w:val="1"/>
                <w:color w:val="auto"/>
              </w:rPr>
            </w:pPr>
          </w:p>
        </w:tc>
      </w:tr>
      <w:tr>
        <w:trPr>
          <w:trHeight w:val="215"/>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Impairment of long-lived assets and right-of-</w:t>
            </w:r>
          </w:p>
        </w:tc>
        <w:tc>
          <w:tcPr>
            <w:tcW w:w="1040" w:type="dxa"/>
            <w:vAlign w:val="bottom"/>
            <w:vMerge w:val="restart"/>
            <w:shd w:val="clear" w:color="auto" w:fill="CCEEFF"/>
          </w:tcPr>
          <w:p>
            <w:pPr>
              <w:jc w:val="right"/>
              <w:ind w:right="715"/>
              <w:spacing w:after="0"/>
              <w:rPr>
                <w:sz w:val="20"/>
                <w:szCs w:val="20"/>
                <w:color w:val="auto"/>
              </w:rPr>
            </w:pPr>
            <w:r>
              <w:rPr>
                <w:rFonts w:ascii="Arial" w:cs="Arial" w:eastAsia="Arial" w:hAnsi="Arial"/>
                <w:sz w:val="17"/>
                <w:szCs w:val="17"/>
                <w:b w:val="1"/>
                <w:bCs w:val="1"/>
                <w:color w:val="auto"/>
              </w:rPr>
              <w:t>$</w:t>
            </w:r>
          </w:p>
        </w:tc>
        <w:tc>
          <w:tcPr>
            <w:tcW w:w="3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w w:val="94"/>
              </w:rPr>
              <w:t>39</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39</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use assets</w:t>
            </w:r>
          </w:p>
        </w:tc>
        <w:tc>
          <w:tcPr>
            <w:tcW w:w="1040" w:type="dxa"/>
            <w:vAlign w:val="bottom"/>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line="189" w:lineRule="exact"/>
              <w:rPr>
                <w:sz w:val="20"/>
                <w:szCs w:val="20"/>
                <w:color w:val="auto"/>
              </w:rPr>
            </w:pPr>
            <w:r>
              <w:rPr>
                <w:rFonts w:ascii="Arial" w:cs="Arial" w:eastAsia="Arial" w:hAnsi="Arial"/>
                <w:sz w:val="17"/>
                <w:szCs w:val="17"/>
                <w:color w:val="auto"/>
              </w:rPr>
              <w:t>Lease termination costs</w:t>
            </w:r>
          </w:p>
        </w:tc>
        <w:tc>
          <w:tcPr>
            <w:tcW w:w="1040" w:type="dxa"/>
            <w:vAlign w:val="bottom"/>
          </w:tcPr>
          <w:p>
            <w:pPr>
              <w:spacing w:after="0"/>
              <w:rPr>
                <w:sz w:val="16"/>
                <w:szCs w:val="16"/>
                <w:color w:val="auto"/>
              </w:rPr>
            </w:pP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Impairment of investments</w:t>
            </w: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line="189" w:lineRule="exact"/>
              <w:rPr>
                <w:sz w:val="20"/>
                <w:szCs w:val="20"/>
                <w:color w:val="auto"/>
              </w:rPr>
            </w:pPr>
            <w:r>
              <w:rPr>
                <w:rFonts w:ascii="Arial" w:cs="Arial" w:eastAsia="Arial" w:hAnsi="Arial"/>
                <w:sz w:val="17"/>
                <w:szCs w:val="17"/>
                <w:color w:val="auto"/>
              </w:rPr>
              <w:t>Reorganization costs</w:t>
            </w:r>
          </w:p>
        </w:tc>
        <w:tc>
          <w:tcPr>
            <w:tcW w:w="1040" w:type="dxa"/>
            <w:vAlign w:val="bottom"/>
          </w:tcPr>
          <w:p>
            <w:pPr>
              <w:spacing w:after="0"/>
              <w:rPr>
                <w:sz w:val="16"/>
                <w:szCs w:val="16"/>
                <w:color w:val="auto"/>
              </w:rPr>
            </w:pP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w:t>
            </w:r>
          </w:p>
        </w:tc>
        <w:tc>
          <w:tcPr>
            <w:tcW w:w="30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(Insurance recovery)/ losses related to social</w:t>
            </w:r>
          </w:p>
        </w:tc>
        <w:tc>
          <w:tcPr>
            <w:tcW w:w="104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unrest</w:t>
            </w:r>
          </w:p>
        </w:tc>
        <w:tc>
          <w:tcPr>
            <w:tcW w:w="104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w:t>
            </w:r>
          </w:p>
        </w:tc>
        <w:tc>
          <w:tcPr>
            <w:tcW w:w="3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line="189" w:lineRule="exact"/>
              <w:rPr>
                <w:sz w:val="20"/>
                <w:szCs w:val="20"/>
                <w:color w:val="auto"/>
              </w:rPr>
            </w:pPr>
            <w:r>
              <w:rPr>
                <w:rFonts w:ascii="Arial" w:cs="Arial" w:eastAsia="Arial" w:hAnsi="Arial"/>
                <w:sz w:val="17"/>
                <w:szCs w:val="17"/>
                <w:color w:val="auto"/>
              </w:rPr>
              <w:t>Runners Point shut down</w:t>
            </w:r>
          </w:p>
        </w:tc>
        <w:tc>
          <w:tcPr>
            <w:tcW w:w="1040" w:type="dxa"/>
            <w:vAlign w:val="bottom"/>
          </w:tcPr>
          <w:p>
            <w:pPr>
              <w:spacing w:after="0"/>
              <w:rPr>
                <w:sz w:val="16"/>
                <w:szCs w:val="16"/>
                <w:color w:val="auto"/>
              </w:rPr>
            </w:pP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16</w:t>
            </w:r>
          </w:p>
        </w:tc>
        <w:tc>
          <w:tcPr>
            <w:tcW w:w="30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Pension litigation related charges</w:t>
            </w:r>
          </w:p>
        </w:tc>
        <w:tc>
          <w:tcPr>
            <w:tcW w:w="10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35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impairment and other charges</w:t>
            </w:r>
          </w:p>
        </w:tc>
        <w:tc>
          <w:tcPr>
            <w:tcW w:w="1040" w:type="dxa"/>
            <w:vAlign w:val="bottom"/>
            <w:tcBorders>
              <w:bottom w:val="single" w:sz="8" w:color="auto"/>
            </w:tcBorders>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w w:val="94"/>
              </w:rPr>
              <w:t>36</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38</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40</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thirteen weeks ended July 31, 2021, we conducted an impairment review of certain Footaction stores as a result of the Company’s decision to convert many of the stores to other existing banner concepts and close the remaining stores, either through natural lease expiration or early termination. We evaluated the long-lived assets, including the right-of-use assets and recorded non-cash charges of $39 million to write down store fixtures, leasehold improvements, and right-of-use assets for approximately 60 locations. Additionally, we recorded charges of $4 million primarily in other lease-related termination costs.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Partially offsetting these charges was $11 million of additional insurance recovery related to the prior year social unrest losses of $18 million. We recorded $7 million of the insurance recovery within impairment and other charges as it relates to the book value of losses recorded in 2020, with $4 million recorded in other income. We are continuing to work with our insurers to determine if additional incurred losses under our property insurance policy will be covered; however, we do not expect that future recoveries will be significant.</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first quarter of 2021, we recorded an impairment charge of $2 million related to the underperformance of one of our minority investments. Additionally, in connection with the reorganization of certain support functions, we recorded severance charges of $2 million.</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2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Due to the COVID-19 pandemic and its effect on our actual and projected results, during the first quarter of 2020 we determined that a triggering event occurred for certain underperforming stores operating in Europe and, therefore, we conducted an impairment review. We evaluated the long-lived assets, including the right-of-use assets, of 70 stores and recorded non-cash charges of $15 million to write down store fixtures, leasehold improvements, and right-of-use assets.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May 2020, we made the strategic decision to shut down our Runners Point business and to consolidate our Sidestep support staff into our other operations in Europe. Also, as part of the next phase of the Champs Sports and Eastbay strategic initiative, we restructured positions and aligned several functions across the banners and planned to consolidate certain Eastbay operations from Wausau, Wisconsin into the Champs Sports headquarters in Bradenton, Florida. We recorded charges of $16 million related to the shutdown of the Runners Point business and $3 million related to the reorganization associated with Eastbay.</w:t>
      </w:r>
    </w:p>
    <w:p>
      <w:pPr>
        <w:spacing w:after="0" w:line="20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recorded charges of $1 million and $2 million for the thirteen and twenty-six weeks ended August 1, 2020, respectively, related to administrative expenses in connection with the pension plan reformation.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Cash, Cash Equivalents, and Restricted Cash</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table below provides a reconciliation of cash and cash equivalents, as reported on our Condensed Consolidated Balance Sheets, to cash, cash equivalents, and restricted cash, as reported on our Condensed Consolidated Statements of Cash Flows:</w:t>
      </w:r>
    </w:p>
    <w:tbl>
      <w:tblPr>
        <w:tblLayout w:type="fixed"/>
        <w:tblInd w:w="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820" w:type="dxa"/>
            <w:vAlign w:val="bottom"/>
          </w:tcPr>
          <w:p>
            <w:pPr>
              <w:jc w:val="right"/>
              <w:spacing w:after="0" w:line="172" w:lineRule="exact"/>
              <w:rPr>
                <w:sz w:val="20"/>
                <w:szCs w:val="20"/>
                <w:color w:val="auto"/>
              </w:rPr>
            </w:pPr>
            <w:r>
              <w:rPr>
                <w:rFonts w:ascii="Arial" w:cs="Arial" w:eastAsia="Arial" w:hAnsi="Arial"/>
                <w:sz w:val="17"/>
                <w:szCs w:val="17"/>
                <w:b w:val="1"/>
                <w:bCs w:val="1"/>
                <w:color w:val="auto"/>
              </w:rPr>
              <w:t>July 31,</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355"/>
              <w:spacing w:after="0" w:line="172" w:lineRule="exact"/>
              <w:rPr>
                <w:sz w:val="20"/>
                <w:szCs w:val="20"/>
                <w:color w:val="auto"/>
              </w:rPr>
            </w:pPr>
            <w:r>
              <w:rPr>
                <w:rFonts w:ascii="Arial" w:cs="Arial" w:eastAsia="Arial" w:hAnsi="Arial"/>
                <w:sz w:val="17"/>
                <w:szCs w:val="17"/>
                <w:b w:val="1"/>
                <w:bCs w:val="1"/>
                <w:color w:val="auto"/>
              </w:rPr>
              <w:t>August 1,</w:t>
            </w:r>
          </w:p>
        </w:tc>
      </w:tr>
      <w:tr>
        <w:trPr>
          <w:trHeight w:val="21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183"/>
        </w:trPr>
        <w:tc>
          <w:tcPr>
            <w:tcW w:w="46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Cash and cash equivalents</w:t>
            </w:r>
          </w:p>
        </w:tc>
        <w:tc>
          <w:tcPr>
            <w:tcW w:w="1820" w:type="dxa"/>
            <w:vAlign w:val="bottom"/>
            <w:shd w:val="clear" w:color="auto" w:fill="CCEEFF"/>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w w:val="98"/>
              </w:rPr>
              <w:t>1,845</w:t>
            </w:r>
          </w:p>
        </w:tc>
        <w:tc>
          <w:tcPr>
            <w:tcW w:w="4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1,373</w:t>
            </w:r>
          </w:p>
        </w:tc>
      </w:tr>
      <w:tr>
        <w:trPr>
          <w:trHeight w:val="189"/>
        </w:trPr>
        <w:tc>
          <w:tcPr>
            <w:tcW w:w="4640" w:type="dxa"/>
            <w:vAlign w:val="bottom"/>
          </w:tcPr>
          <w:p>
            <w:pPr>
              <w:ind w:left="20"/>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1820" w:type="dxa"/>
            <w:vAlign w:val="bottom"/>
          </w:tcPr>
          <w:p>
            <w:pPr>
              <w:spacing w:after="0"/>
              <w:rPr>
                <w:sz w:val="16"/>
                <w:szCs w:val="16"/>
                <w:color w:val="auto"/>
              </w:rPr>
            </w:pPr>
          </w:p>
        </w:tc>
        <w:tc>
          <w:tcPr>
            <w:tcW w:w="6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w:t>
            </w:r>
          </w:p>
        </w:tc>
        <w:tc>
          <w:tcPr>
            <w:tcW w:w="4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r>
      <w:tr>
        <w:trPr>
          <w:trHeight w:val="189"/>
        </w:trPr>
        <w:tc>
          <w:tcPr>
            <w:tcW w:w="46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18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29</w:t>
            </w: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w:t>
            </w:r>
          </w:p>
        </w:tc>
      </w:tr>
      <w:tr>
        <w:trPr>
          <w:trHeight w:val="183"/>
        </w:trPr>
        <w:tc>
          <w:tcPr>
            <w:tcW w:w="46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Cash, cash equivalents, and restricted cash</w:t>
            </w:r>
          </w:p>
        </w:tc>
        <w:tc>
          <w:tcPr>
            <w:tcW w:w="1820" w:type="dxa"/>
            <w:vAlign w:val="bottom"/>
            <w:tcBorders>
              <w:bottom w:val="single" w:sz="8" w:color="auto"/>
            </w:tcBorders>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w w:val="98"/>
              </w:rPr>
              <w:t>1,881</w:t>
            </w:r>
          </w:p>
        </w:tc>
        <w:tc>
          <w:tcPr>
            <w:tcW w:w="4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1,410</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Goodwill</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quantitative impairment test.</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results of the first quarter analysis did not result in an impairment since the fair value of each reporting unit exceeded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2021 Form 10-Q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NOTES TO THE UNAUDITED CONDENSED CONSOLIDATED FINANCIAL STATEMENTS 7. Other Intangible Assets, net</w:t>
      </w:r>
    </w:p>
    <w:p>
      <w:pPr>
        <w:ind w:left="60"/>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July 31, 2021</w:t>
            </w: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August 1, 2020</w:t>
            </w:r>
          </w:p>
        </w:tc>
        <w:tc>
          <w:tcPr>
            <w:tcW w:w="720" w:type="dxa"/>
            <w:vAlign w:val="bottom"/>
            <w:tcBorders>
              <w:bottom w:val="single" w:sz="8" w:color="auto"/>
            </w:tcBorders>
          </w:tcPr>
          <w:p>
            <w:pPr>
              <w:spacing w:after="0"/>
              <w:rPr>
                <w:sz w:val="18"/>
                <w:szCs w:val="18"/>
                <w:color w:val="auto"/>
              </w:rPr>
            </w:pPr>
          </w:p>
        </w:tc>
      </w:tr>
      <w:tr>
        <w:trPr>
          <w:trHeight w:val="156"/>
        </w:trPr>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rPr>
              <w:t>Gross</w:t>
            </w:r>
          </w:p>
        </w:tc>
        <w:tc>
          <w:tcPr>
            <w:tcW w:w="220" w:type="dxa"/>
            <w:vAlign w:val="bottom"/>
          </w:tcPr>
          <w:p>
            <w:pPr>
              <w:spacing w:after="0"/>
              <w:rPr>
                <w:sz w:val="13"/>
                <w:szCs w:val="13"/>
                <w:color w:val="auto"/>
              </w:rPr>
            </w:pPr>
          </w:p>
        </w:tc>
        <w:tc>
          <w:tcPr>
            <w:tcW w:w="84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rPr>
              <w:t>Accum.</w:t>
            </w:r>
          </w:p>
        </w:tc>
        <w:tc>
          <w:tcPr>
            <w:tcW w:w="220" w:type="dxa"/>
            <w:vAlign w:val="bottom"/>
          </w:tcPr>
          <w:p>
            <w:pPr>
              <w:spacing w:after="0"/>
              <w:rPr>
                <w:sz w:val="13"/>
                <w:szCs w:val="13"/>
                <w:color w:val="auto"/>
              </w:rPr>
            </w:pPr>
          </w:p>
        </w:tc>
        <w:tc>
          <w:tcPr>
            <w:tcW w:w="760" w:type="dxa"/>
            <w:vAlign w:val="bottom"/>
          </w:tcPr>
          <w:p>
            <w:pPr>
              <w:jc w:val="right"/>
              <w:ind w:right="255"/>
              <w:spacing w:after="0" w:line="156" w:lineRule="exact"/>
              <w:rPr>
                <w:sz w:val="20"/>
                <w:szCs w:val="20"/>
                <w:color w:val="auto"/>
              </w:rPr>
            </w:pPr>
            <w:r>
              <w:rPr>
                <w:rFonts w:ascii="Arial" w:cs="Arial" w:eastAsia="Arial" w:hAnsi="Arial"/>
                <w:sz w:val="17"/>
                <w:szCs w:val="17"/>
                <w:b w:val="1"/>
                <w:bCs w:val="1"/>
                <w:color w:val="auto"/>
              </w:rPr>
              <w:t>Net</w:t>
            </w:r>
          </w:p>
        </w:tc>
        <w:tc>
          <w:tcPr>
            <w:tcW w:w="240" w:type="dxa"/>
            <w:vAlign w:val="bottom"/>
          </w:tcPr>
          <w:p>
            <w:pPr>
              <w:spacing w:after="0"/>
              <w:rPr>
                <w:sz w:val="13"/>
                <w:szCs w:val="13"/>
                <w:color w:val="auto"/>
              </w:rPr>
            </w:pPr>
          </w:p>
        </w:tc>
        <w:tc>
          <w:tcPr>
            <w:tcW w:w="780" w:type="dxa"/>
            <w:vAlign w:val="bottom"/>
          </w:tcPr>
          <w:p>
            <w:pPr>
              <w:jc w:val="right"/>
              <w:ind w:right="155"/>
              <w:spacing w:after="0" w:line="156" w:lineRule="exact"/>
              <w:rPr>
                <w:sz w:val="20"/>
                <w:szCs w:val="20"/>
                <w:color w:val="auto"/>
              </w:rPr>
            </w:pPr>
            <w:r>
              <w:rPr>
                <w:rFonts w:ascii="Arial" w:cs="Arial" w:eastAsia="Arial" w:hAnsi="Arial"/>
                <w:sz w:val="17"/>
                <w:szCs w:val="17"/>
                <w:b w:val="1"/>
                <w:bCs w:val="1"/>
                <w:color w:val="auto"/>
              </w:rPr>
              <w:t>Gross</w:t>
            </w:r>
          </w:p>
        </w:tc>
        <w:tc>
          <w:tcPr>
            <w:tcW w:w="260" w:type="dxa"/>
            <w:vAlign w:val="bottom"/>
          </w:tcPr>
          <w:p>
            <w:pPr>
              <w:spacing w:after="0"/>
              <w:rPr>
                <w:sz w:val="13"/>
                <w:szCs w:val="13"/>
                <w:color w:val="auto"/>
              </w:rPr>
            </w:pPr>
          </w:p>
        </w:tc>
        <w:tc>
          <w:tcPr>
            <w:tcW w:w="940" w:type="dxa"/>
            <w:vAlign w:val="bottom"/>
          </w:tcPr>
          <w:p>
            <w:pPr>
              <w:jc w:val="right"/>
              <w:ind w:right="195"/>
              <w:spacing w:after="0" w:line="156" w:lineRule="exact"/>
              <w:rPr>
                <w:sz w:val="20"/>
                <w:szCs w:val="20"/>
                <w:color w:val="auto"/>
              </w:rPr>
            </w:pPr>
            <w:r>
              <w:rPr>
                <w:rFonts w:ascii="Arial" w:cs="Arial" w:eastAsia="Arial" w:hAnsi="Arial"/>
                <w:sz w:val="17"/>
                <w:szCs w:val="17"/>
                <w:b w:val="1"/>
                <w:bCs w:val="1"/>
                <w:color w:val="auto"/>
              </w:rPr>
              <w:t>Accum.</w:t>
            </w:r>
          </w:p>
        </w:tc>
        <w:tc>
          <w:tcPr>
            <w:tcW w:w="220" w:type="dxa"/>
            <w:vAlign w:val="bottom"/>
          </w:tcPr>
          <w:p>
            <w:pPr>
              <w:spacing w:after="0"/>
              <w:rPr>
                <w:sz w:val="13"/>
                <w:szCs w:val="13"/>
                <w:color w:val="auto"/>
              </w:rPr>
            </w:pPr>
          </w:p>
        </w:tc>
        <w:tc>
          <w:tcPr>
            <w:tcW w:w="720" w:type="dxa"/>
            <w:vAlign w:val="bottom"/>
          </w:tcPr>
          <w:p>
            <w:pPr>
              <w:jc w:val="right"/>
              <w:ind w:right="215"/>
              <w:spacing w:after="0" w:line="156" w:lineRule="exact"/>
              <w:rPr>
                <w:sz w:val="20"/>
                <w:szCs w:val="20"/>
                <w:color w:val="auto"/>
              </w:rPr>
            </w:pPr>
            <w:r>
              <w:rPr>
                <w:rFonts w:ascii="Arial" w:cs="Arial" w:eastAsia="Arial" w:hAnsi="Arial"/>
                <w:sz w:val="17"/>
                <w:szCs w:val="17"/>
                <w:b w:val="1"/>
                <w:bCs w:val="1"/>
                <w:color w:val="auto"/>
              </w:rPr>
              <w:t>Net</w:t>
            </w:r>
          </w:p>
        </w:tc>
      </w:tr>
      <w:tr>
        <w:trPr>
          <w:trHeight w:val="215"/>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value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amort.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value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value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amort.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value</w:t>
            </w:r>
          </w:p>
        </w:tc>
      </w:tr>
      <w:tr>
        <w:trPr>
          <w:trHeight w:val="183"/>
        </w:trPr>
        <w:tc>
          <w:tcPr>
            <w:tcW w:w="266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9"/>
        </w:trPr>
        <w:tc>
          <w:tcPr>
            <w:tcW w:w="2660" w:type="dxa"/>
            <w:vAlign w:val="bottom"/>
          </w:tcPr>
          <w:p>
            <w:pPr>
              <w:ind w:left="220"/>
              <w:spacing w:after="0" w:line="189" w:lineRule="exact"/>
              <w:rPr>
                <w:sz w:val="20"/>
                <w:szCs w:val="20"/>
                <w:color w:val="auto"/>
              </w:rPr>
            </w:pPr>
            <w:r>
              <w:rPr>
                <w:rFonts w:ascii="Arial" w:cs="Arial" w:eastAsia="Arial" w:hAnsi="Arial"/>
                <w:sz w:val="17"/>
                <w:szCs w:val="17"/>
                <w:color w:val="auto"/>
              </w:rPr>
              <w:t>Lease acquisition costs</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116</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(112)</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119</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(113)</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9"/>
        </w:trPr>
        <w:tc>
          <w:tcPr>
            <w:tcW w:w="266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Trademarks / trade names</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(17)</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3"/>
        </w:trPr>
        <w:tc>
          <w:tcPr>
            <w:tcW w:w="2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136</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(129)</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139</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(129)</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w:t>
            </w:r>
          </w:p>
        </w:tc>
      </w:tr>
      <w:tr>
        <w:trPr>
          <w:trHeight w:val="183"/>
        </w:trPr>
        <w:tc>
          <w:tcPr>
            <w:tcW w:w="2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9"/>
        </w:trPr>
        <w:tc>
          <w:tcPr>
            <w:tcW w:w="2660" w:type="dxa"/>
            <w:vAlign w:val="bottom"/>
          </w:tcPr>
          <w:p>
            <w:pPr>
              <w:ind w:left="20"/>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266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Trademarks / trade names</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9</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3"/>
        </w:trPr>
        <w:tc>
          <w:tcPr>
            <w:tcW w:w="26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Other intangible assets, net</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16</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19</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80" w:right="79" w:hanging="330"/>
        <w:spacing w:after="0" w:line="258"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change in the ending balances also reflects the effect of foreign currency fluctuations due primarily to movements of the euro in relation to the U.S. dollar.</w:t>
      </w:r>
    </w:p>
    <w:p>
      <w:pPr>
        <w:spacing w:after="0" w:line="188"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annual review of intangible assets with indefinite lives performed during the first quarter of 2021 did not result in the recognition of impairment.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expense recorded is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ind w:left="180"/>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Pr>
          <w:p>
            <w:pPr>
              <w:jc w:val="center"/>
              <w:ind w:right="175"/>
              <w:spacing w:after="0" w:line="156" w:lineRule="exact"/>
              <w:rPr>
                <w:sz w:val="20"/>
                <w:szCs w:val="20"/>
                <w:color w:val="auto"/>
              </w:rPr>
            </w:pPr>
            <w:r>
              <w:rPr>
                <w:rFonts w:ascii="Arial" w:cs="Arial" w:eastAsia="Arial" w:hAnsi="Arial"/>
                <w:sz w:val="17"/>
                <w:szCs w:val="17"/>
                <w:b w:val="1"/>
                <w:bCs w:val="1"/>
                <w:color w:val="auto"/>
                <w:w w:val="99"/>
              </w:rPr>
              <w:t>July 31,</w:t>
            </w:r>
          </w:p>
        </w:tc>
        <w:tc>
          <w:tcPr>
            <w:tcW w:w="1100" w:type="dxa"/>
            <w:vAlign w:val="bottom"/>
          </w:tcPr>
          <w:p>
            <w:pPr>
              <w:jc w:val="center"/>
              <w:ind w:left="215"/>
              <w:spacing w:after="0" w:line="156" w:lineRule="exact"/>
              <w:rPr>
                <w:sz w:val="20"/>
                <w:szCs w:val="20"/>
                <w:color w:val="auto"/>
              </w:rPr>
            </w:pPr>
            <w:r>
              <w:rPr>
                <w:rFonts w:ascii="Arial" w:cs="Arial" w:eastAsia="Arial" w:hAnsi="Arial"/>
                <w:sz w:val="17"/>
                <w:szCs w:val="17"/>
                <w:b w:val="1"/>
                <w:bCs w:val="1"/>
                <w:color w:val="auto"/>
                <w:w w:val="98"/>
              </w:rPr>
              <w:t>August 1,</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center"/>
              <w:ind w:right="175"/>
              <w:spacing w:after="0" w:line="156" w:lineRule="exact"/>
              <w:rPr>
                <w:sz w:val="20"/>
                <w:szCs w:val="20"/>
                <w:color w:val="auto"/>
              </w:rPr>
            </w:pPr>
            <w:r>
              <w:rPr>
                <w:rFonts w:ascii="Arial" w:cs="Arial" w:eastAsia="Arial" w:hAnsi="Arial"/>
                <w:sz w:val="17"/>
                <w:szCs w:val="17"/>
                <w:b w:val="1"/>
                <w:bCs w:val="1"/>
                <w:color w:val="auto"/>
              </w:rPr>
              <w:t>July 31,</w:t>
            </w:r>
          </w:p>
        </w:tc>
        <w:tc>
          <w:tcPr>
            <w:tcW w:w="260" w:type="dxa"/>
            <w:vAlign w:val="bottom"/>
          </w:tcPr>
          <w:p>
            <w:pPr>
              <w:spacing w:after="0"/>
              <w:rPr>
                <w:sz w:val="13"/>
                <w:szCs w:val="13"/>
                <w:color w:val="auto"/>
              </w:rPr>
            </w:pPr>
          </w:p>
        </w:tc>
        <w:tc>
          <w:tcPr>
            <w:tcW w:w="1020" w:type="dxa"/>
            <w:vAlign w:val="bottom"/>
            <w:gridSpan w:val="2"/>
          </w:tcPr>
          <w:p>
            <w:pPr>
              <w:ind w:left="40"/>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183"/>
        </w:trPr>
        <w:tc>
          <w:tcPr>
            <w:tcW w:w="26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1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w:t>
            </w:r>
          </w:p>
        </w:tc>
        <w:tc>
          <w:tcPr>
            <w:tcW w:w="1100" w:type="dxa"/>
            <w:vAlign w:val="bottom"/>
            <w:tcBorders>
              <w:bottom w:val="single" w:sz="8" w:color="auto"/>
            </w:tcBorders>
            <w:shd w:val="clear" w:color="auto" w:fill="CCEEFF"/>
          </w:tcPr>
          <w:p>
            <w:pPr>
              <w:jc w:val="right"/>
              <w:ind w:right="795"/>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shd w:val="clear" w:color="auto" w:fill="CCEEFF"/>
          </w:tcPr>
          <w:p>
            <w:pPr>
              <w:spacing w:after="0"/>
              <w:rPr>
                <w:sz w:val="15"/>
                <w:szCs w:val="15"/>
                <w:color w:val="auto"/>
              </w:rPr>
            </w:pPr>
          </w:p>
        </w:tc>
      </w:tr>
      <w:tr>
        <w:trPr>
          <w:trHeight w:val="426"/>
        </w:trPr>
        <w:tc>
          <w:tcPr>
            <w:tcW w:w="6600" w:type="dxa"/>
            <w:vAlign w:val="bottom"/>
            <w:gridSpan w:val="6"/>
          </w:tcPr>
          <w:p>
            <w:pPr>
              <w:ind w:left="20"/>
              <w:spacing w:after="0"/>
              <w:rPr>
                <w:sz w:val="20"/>
                <w:szCs w:val="20"/>
                <w:color w:val="auto"/>
              </w:rPr>
            </w:pPr>
            <w:r>
              <w:rPr>
                <w:rFonts w:ascii="Arial" w:cs="Arial" w:eastAsia="Arial" w:hAnsi="Arial"/>
                <w:sz w:val="18"/>
                <w:szCs w:val="18"/>
                <w:color w:val="auto"/>
              </w:rPr>
              <w:t>Estimated future amortization expense for finite-life intangible assets is as follows:</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6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Remainder of 2021</w:t>
            </w:r>
          </w:p>
        </w:tc>
        <w:tc>
          <w:tcPr>
            <w:tcW w:w="1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7"/>
                <w:szCs w:val="17"/>
                <w:color w:val="auto"/>
              </w:rPr>
              <w:t>2022</w:t>
            </w: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r>
      <w:tr>
        <w:trPr>
          <w:trHeight w:val="189"/>
        </w:trPr>
        <w:tc>
          <w:tcPr>
            <w:tcW w:w="2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2023</w:t>
            </w:r>
          </w:p>
        </w:tc>
        <w:tc>
          <w:tcPr>
            <w:tcW w:w="1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7"/>
                <w:szCs w:val="17"/>
                <w:color w:val="auto"/>
              </w:rPr>
              <w:t>2024</w:t>
            </w: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189"/>
        </w:trPr>
        <w:tc>
          <w:tcPr>
            <w:tcW w:w="26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2025</w:t>
            </w:r>
          </w:p>
        </w:tc>
        <w:tc>
          <w:tcPr>
            <w:tcW w:w="1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Revolving Credit Facility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May 19, 2021, we entered into an amendment to the 2020 Credit Agreement (“Amended Credit Agreement”). The amendment provides for, among other things, (i) reducing the interest rates and commitment fees applicable to the loans and commitments, respectively, as described below, and (ii) reducing the “floor” applicable. The amendment provides that the interest rate applicable to loans drawn under the credit facility will be equal to, at our option, either a base rate, determined by reference to the federal funds rate, plus a margin of 0.25 percent to 0.75 percent per annum, or a Eurodollar rate, determined by reference to LIBOR, plus a margin of 1.25 percent to 1.75 percent per annum, in each case, depending on availability under the Amended Credit Agreement. In addition, we will pay a commitment fee of 0.25 percent per annum on the unused portion of the commitments under the Amended Credit Agreement.</w:t>
      </w: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NOTES TO THE UNAUDITED CONDENSED CONSOLIDATED FINANCIAL STATEMENTS 9. Accumulated Other Comprehensive Loss</w:t>
      </w:r>
    </w:p>
    <w:p>
      <w:pPr>
        <w:ind w:left="60"/>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Arial" w:cs="Arial" w:eastAsia="Arial" w:hAnsi="Arial"/>
                <w:sz w:val="17"/>
                <w:szCs w:val="17"/>
                <w:b w:val="1"/>
                <w:bCs w:val="1"/>
                <w:color w:val="auto"/>
              </w:rPr>
              <w:t>July 31,</w:t>
            </w:r>
          </w:p>
        </w:tc>
        <w:tc>
          <w:tcPr>
            <w:tcW w:w="300" w:type="dxa"/>
            <w:vAlign w:val="bottom"/>
          </w:tcPr>
          <w:p>
            <w:pPr>
              <w:spacing w:after="0"/>
              <w:rPr>
                <w:sz w:val="16"/>
                <w:szCs w:val="16"/>
                <w:color w:val="auto"/>
              </w:rPr>
            </w:pPr>
          </w:p>
        </w:tc>
        <w:tc>
          <w:tcPr>
            <w:tcW w:w="1240" w:type="dxa"/>
            <w:vAlign w:val="bottom"/>
          </w:tcPr>
          <w:p>
            <w:pPr>
              <w:jc w:val="right"/>
              <w:ind w:right="295"/>
              <w:spacing w:after="0"/>
              <w:rPr>
                <w:sz w:val="20"/>
                <w:szCs w:val="20"/>
                <w:color w:val="auto"/>
              </w:rPr>
            </w:pPr>
            <w:r>
              <w:rPr>
                <w:rFonts w:ascii="Arial" w:cs="Arial" w:eastAsia="Arial" w:hAnsi="Arial"/>
                <w:sz w:val="17"/>
                <w:szCs w:val="17"/>
                <w:b w:val="1"/>
                <w:bCs w:val="1"/>
                <w:color w:val="auto"/>
              </w:rPr>
              <w:t>August 1,</w:t>
            </w:r>
          </w:p>
        </w:tc>
        <w:tc>
          <w:tcPr>
            <w:tcW w:w="260" w:type="dxa"/>
            <w:vAlign w:val="bottom"/>
          </w:tcPr>
          <w:p>
            <w:pPr>
              <w:spacing w:after="0"/>
              <w:rPr>
                <w:sz w:val="16"/>
                <w:szCs w:val="16"/>
                <w:color w:val="auto"/>
              </w:rPr>
            </w:pPr>
          </w:p>
        </w:tc>
        <w:tc>
          <w:tcPr>
            <w:tcW w:w="1420" w:type="dxa"/>
            <w:vAlign w:val="bottom"/>
          </w:tcPr>
          <w:p>
            <w:pPr>
              <w:jc w:val="right"/>
              <w:ind w:right="335"/>
              <w:spacing w:after="0"/>
              <w:rPr>
                <w:sz w:val="20"/>
                <w:szCs w:val="20"/>
                <w:color w:val="auto"/>
              </w:rPr>
            </w:pPr>
            <w:r>
              <w:rPr>
                <w:rFonts w:ascii="Arial" w:cs="Arial" w:eastAsia="Arial" w:hAnsi="Arial"/>
                <w:sz w:val="17"/>
                <w:szCs w:val="17"/>
                <w:b w:val="1"/>
                <w:bCs w:val="1"/>
                <w:color w:val="auto"/>
              </w:rPr>
              <w:t>January 30,</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currency translation adjustments</w:t>
            </w:r>
          </w:p>
        </w:tc>
        <w:tc>
          <w:tcPr>
            <w:tcW w:w="5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(74)</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(84)</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388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580" w:type="dxa"/>
            <w:vAlign w:val="bottom"/>
          </w:tcPr>
          <w:p>
            <w:pPr>
              <w:spacing w:after="0"/>
              <w:rPr>
                <w:sz w:val="16"/>
                <w:szCs w:val="16"/>
                <w:color w:val="auto"/>
              </w:rPr>
            </w:pPr>
          </w:p>
        </w:tc>
        <w:tc>
          <w:tcPr>
            <w:tcW w:w="12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4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Unrecognized pension cost and postretirement</w:t>
            </w:r>
          </w:p>
        </w:tc>
        <w:tc>
          <w:tcPr>
            <w:tcW w:w="5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(263)</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benefit</w:t>
            </w:r>
          </w:p>
        </w:tc>
        <w:tc>
          <w:tcPr>
            <w:tcW w:w="5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(283)</w:t>
            </w:r>
          </w:p>
        </w:tc>
        <w:tc>
          <w:tcPr>
            <w:tcW w:w="2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(338)</w:t>
            </w:r>
          </w:p>
        </w:tc>
        <w:tc>
          <w:tcPr>
            <w:tcW w:w="3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(367)</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AOCL for the twenty-six weeks ended July 31, 2021 were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Items Related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Currency</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to Pension and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Translation</w:t>
            </w:r>
          </w:p>
        </w:tc>
        <w:tc>
          <w:tcPr>
            <w:tcW w:w="1240" w:type="dxa"/>
            <w:vAlign w:val="bottom"/>
            <w:gridSpan w:val="2"/>
          </w:tcPr>
          <w:p>
            <w:pPr>
              <w:jc w:val="right"/>
              <w:ind w:right="115"/>
              <w:spacing w:after="0" w:line="189" w:lineRule="exact"/>
              <w:rPr>
                <w:sz w:val="20"/>
                <w:szCs w:val="20"/>
                <w:color w:val="auto"/>
              </w:rPr>
            </w:pPr>
            <w:r>
              <w:rPr>
                <w:rFonts w:ascii="Arial" w:cs="Arial" w:eastAsia="Arial" w:hAnsi="Arial"/>
                <w:sz w:val="17"/>
                <w:szCs w:val="17"/>
                <w:b w:val="1"/>
                <w:bCs w:val="1"/>
                <w:color w:val="auto"/>
              </w:rPr>
              <w:t>Cash Flow</w:t>
            </w:r>
          </w:p>
        </w:tc>
        <w:tc>
          <w:tcPr>
            <w:tcW w:w="14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rPr>
              <w:t>Adjustments</w:t>
            </w:r>
          </w:p>
        </w:tc>
        <w:tc>
          <w:tcPr>
            <w:tcW w:w="26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7"/>
                <w:szCs w:val="17"/>
                <w:b w:val="1"/>
                <w:bCs w:val="1"/>
                <w:color w:val="auto"/>
              </w:rPr>
              <w:t>Hedges</w:t>
            </w:r>
          </w:p>
        </w:tc>
        <w:tc>
          <w:tcPr>
            <w:tcW w:w="300" w:type="dxa"/>
            <w:vAlign w:val="bottom"/>
          </w:tcPr>
          <w:p>
            <w:pPr>
              <w:spacing w:after="0"/>
              <w:rPr>
                <w:sz w:val="18"/>
                <w:szCs w:val="18"/>
                <w:color w:val="auto"/>
              </w:rPr>
            </w:pPr>
          </w:p>
        </w:tc>
        <w:tc>
          <w:tcPr>
            <w:tcW w:w="1140" w:type="dxa"/>
            <w:vAlign w:val="bottom"/>
          </w:tcPr>
          <w:p>
            <w:pPr>
              <w:jc w:val="right"/>
              <w:ind w:right="295"/>
              <w:spacing w:after="0"/>
              <w:rPr>
                <w:sz w:val="20"/>
                <w:szCs w:val="20"/>
                <w:color w:val="auto"/>
              </w:rPr>
            </w:pPr>
            <w:r>
              <w:rPr>
                <w:rFonts w:ascii="Arial" w:cs="Arial" w:eastAsia="Arial" w:hAnsi="Arial"/>
                <w:sz w:val="17"/>
                <w:szCs w:val="17"/>
                <w:b w:val="1"/>
                <w:bCs w:val="1"/>
                <w:color w:val="auto"/>
              </w:rPr>
              <w:t>Benefits</w:t>
            </w:r>
          </w:p>
        </w:tc>
        <w:tc>
          <w:tcPr>
            <w:tcW w:w="320" w:type="dxa"/>
            <w:vAlign w:val="bottom"/>
          </w:tcPr>
          <w:p>
            <w:pPr>
              <w:spacing w:after="0"/>
              <w:rPr>
                <w:sz w:val="18"/>
                <w:szCs w:val="18"/>
                <w:color w:val="auto"/>
              </w:rPr>
            </w:pPr>
          </w:p>
        </w:tc>
        <w:tc>
          <w:tcPr>
            <w:tcW w:w="860" w:type="dxa"/>
            <w:vAlign w:val="bottom"/>
          </w:tcPr>
          <w:p>
            <w:pPr>
              <w:jc w:val="right"/>
              <w:ind w:right="2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January 30, 2021</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(64)</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w:t>
            </w:r>
          </w:p>
        </w:tc>
        <w:tc>
          <w:tcPr>
            <w:tcW w:w="30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(266)</w:t>
            </w:r>
          </w:p>
        </w:tc>
        <w:tc>
          <w:tcPr>
            <w:tcW w:w="3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(10)</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comprehensive income</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w:t>
            </w: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Balance as of July 31, 2021</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(74)</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(1)</w:t>
            </w:r>
          </w:p>
        </w:tc>
        <w:tc>
          <w:tcPr>
            <w:tcW w:w="3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(263)</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Reclassifications from AOCL for the twenty-six weeks ended July 31, 2021 were as follows:</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tbl>
      <w:tblPr>
        <w:tblLayout w:type="fixed"/>
        <w:tblInd w:w="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7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w:t>
            </w:r>
          </w:p>
        </w:tc>
        <w:tc>
          <w:tcPr>
            <w:tcW w:w="3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780" w:type="dxa"/>
            <w:vAlign w:val="bottom"/>
          </w:tcPr>
          <w:p>
            <w:pPr>
              <w:spacing w:after="0" w:line="189" w:lineRule="exact"/>
              <w:rPr>
                <w:sz w:val="20"/>
                <w:szCs w:val="20"/>
                <w:color w:val="auto"/>
              </w:rPr>
            </w:pPr>
            <w:r>
              <w:rPr>
                <w:rFonts w:ascii="Arial" w:cs="Arial" w:eastAsia="Arial" w:hAnsi="Arial"/>
                <w:sz w:val="17"/>
                <w:szCs w:val="17"/>
                <w:color w:val="auto"/>
              </w:rPr>
              <w:t>Pension benefits</w:t>
            </w:r>
          </w:p>
        </w:tc>
        <w:tc>
          <w:tcPr>
            <w:tcW w:w="3260" w:type="dxa"/>
            <w:vAlign w:val="bottom"/>
          </w:tcPr>
          <w:p>
            <w:pPr>
              <w:jc w:val="right"/>
              <w:ind w:right="535"/>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w:t>
            </w:r>
          </w:p>
        </w:tc>
      </w:tr>
      <w:tr>
        <w:trPr>
          <w:trHeight w:val="189"/>
        </w:trPr>
        <w:tc>
          <w:tcPr>
            <w:tcW w:w="20" w:type="dxa"/>
            <w:vAlign w:val="bottom"/>
          </w:tcPr>
          <w:p>
            <w:pPr>
              <w:spacing w:after="0"/>
              <w:rPr>
                <w:sz w:val="16"/>
                <w:szCs w:val="16"/>
                <w:color w:val="auto"/>
              </w:rPr>
            </w:pPr>
          </w:p>
        </w:tc>
        <w:tc>
          <w:tcPr>
            <w:tcW w:w="47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3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w:t>
            </w:r>
          </w:p>
        </w:tc>
      </w:tr>
      <w:tr>
        <w:trPr>
          <w:trHeight w:val="183"/>
        </w:trPr>
        <w:tc>
          <w:tcPr>
            <w:tcW w:w="2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3260" w:type="dxa"/>
            <w:vAlign w:val="bottom"/>
            <w:tcBorders>
              <w:bottom w:val="single" w:sz="8" w:color="auto"/>
            </w:tcBorders>
          </w:tcPr>
          <w:p>
            <w:pPr>
              <w:jc w:val="right"/>
              <w:ind w:right="535"/>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4</w:t>
            </w: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Fair Value Measurements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Our financial assets are recorded at fair value, using a three-level fair value hierarchy that prioritizes the inputs used to measure fair value. The three levels of inputs used to measure fair value are categorized as follows:</w:t>
      </w:r>
    </w:p>
    <w:p>
      <w:pPr>
        <w:spacing w:after="0" w:line="175"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212" w:lineRule="exact"/>
        <w:rPr>
          <w:sz w:val="20"/>
          <w:szCs w:val="20"/>
          <w:color w:val="auto"/>
        </w:rPr>
      </w:pPr>
    </w:p>
    <w:p>
      <w:pPr>
        <w:jc w:val="both"/>
        <w:ind w:left="1340" w:right="79" w:hanging="971"/>
        <w:spacing w:after="0" w:line="238" w:lineRule="auto"/>
        <w:tabs>
          <w:tab w:leader="none" w:pos="13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205" w:lineRule="exact"/>
        <w:rPr>
          <w:sz w:val="20"/>
          <w:szCs w:val="20"/>
          <w:color w:val="auto"/>
        </w:rPr>
      </w:pPr>
    </w:p>
    <w:p>
      <w:pPr>
        <w:jc w:val="both"/>
        <w:ind w:left="1340" w:right="79" w:hanging="971"/>
        <w:spacing w:after="0" w:line="246" w:lineRule="auto"/>
        <w:tabs>
          <w:tab w:leader="none" w:pos="13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second quarter of 2021, we invested $68 million to acquire a common stock minority stake in a public entity, Retailors, Ltd, which is traded on the Tel Aviv stock exchange. Our investment was at a discount to the initial public offering price. This investment is classified as a Level 1 instrument since the fair value is readily available in an active market. The fair value of the auction rate security, classified as available-for-sale, is determined by using quoted prices for similar instruments in active markets and accordingly is classified as a Level 2 instrument.</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As of July 31, 2021</w:t>
            </w: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560"/>
              <w:spacing w:after="0"/>
              <w:rPr>
                <w:sz w:val="20"/>
                <w:szCs w:val="20"/>
                <w:color w:val="auto"/>
              </w:rPr>
            </w:pPr>
            <w:r>
              <w:rPr>
                <w:rFonts w:ascii="Arial" w:cs="Arial" w:eastAsia="Arial" w:hAnsi="Arial"/>
                <w:sz w:val="17"/>
                <w:szCs w:val="17"/>
                <w:b w:val="1"/>
                <w:bCs w:val="1"/>
                <w:color w:val="auto"/>
              </w:rPr>
              <w:t>As of August 1, 2020</w:t>
            </w:r>
          </w:p>
        </w:tc>
      </w:tr>
      <w:tr>
        <w:trPr>
          <w:trHeight w:val="372"/>
        </w:trPr>
        <w:tc>
          <w:tcPr>
            <w:tcW w:w="2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Level 2</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Level 3</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Level 1</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Level 2</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Level 3</w:t>
            </w:r>
          </w:p>
        </w:tc>
      </w:tr>
      <w:tr>
        <w:trPr>
          <w:trHeight w:val="183"/>
        </w:trPr>
        <w:tc>
          <w:tcPr>
            <w:tcW w:w="2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3"/>
        </w:trPr>
        <w:tc>
          <w:tcPr>
            <w:tcW w:w="2540" w:type="dxa"/>
            <w:vAlign w:val="bottom"/>
          </w:tcPr>
          <w:p>
            <w:pPr>
              <w:ind w:left="20"/>
              <w:spacing w:after="0" w:line="183" w:lineRule="exact"/>
              <w:rPr>
                <w:sz w:val="20"/>
                <w:szCs w:val="20"/>
                <w:color w:val="auto"/>
              </w:rPr>
            </w:pPr>
            <w:r>
              <w:rPr>
                <w:rFonts w:ascii="Arial" w:cs="Arial" w:eastAsia="Arial" w:hAnsi="Arial"/>
                <w:sz w:val="17"/>
                <w:szCs w:val="17"/>
                <w:color w:val="auto"/>
              </w:rPr>
              <w:t>Minority investment in common</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2540" w:type="dxa"/>
            <w:vAlign w:val="bottom"/>
          </w:tcPr>
          <w:p>
            <w:pPr>
              <w:ind w:left="180"/>
              <w:spacing w:after="0"/>
              <w:rPr>
                <w:sz w:val="20"/>
                <w:szCs w:val="20"/>
                <w:color w:val="auto"/>
              </w:rPr>
            </w:pPr>
            <w:r>
              <w:rPr>
                <w:rFonts w:ascii="Arial" w:cs="Arial" w:eastAsia="Arial" w:hAnsi="Arial"/>
                <w:sz w:val="17"/>
                <w:szCs w:val="17"/>
                <w:color w:val="auto"/>
              </w:rPr>
              <w:t>stock</w:t>
            </w:r>
          </w:p>
        </w:tc>
        <w:tc>
          <w:tcPr>
            <w:tcW w:w="28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92</w:t>
            </w:r>
          </w:p>
        </w:tc>
        <w:tc>
          <w:tcPr>
            <w:tcW w:w="240" w:type="dxa"/>
            <w:vAlign w:val="bottom"/>
          </w:tcPr>
          <w:p>
            <w:pPr>
              <w:spacing w:after="0"/>
              <w:rPr>
                <w:sz w:val="16"/>
                <w:szCs w:val="16"/>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800" w:type="dxa"/>
            <w:vAlign w:val="bottom"/>
          </w:tcPr>
          <w:p>
            <w:pPr>
              <w:ind w:left="5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760" w:type="dxa"/>
            <w:vAlign w:val="bottom"/>
          </w:tcPr>
          <w:p>
            <w:pPr>
              <w:ind w:left="540"/>
              <w:spacing w:after="0"/>
              <w:rPr>
                <w:sz w:val="20"/>
                <w:szCs w:val="20"/>
                <w:color w:val="auto"/>
              </w:rPr>
            </w:pPr>
            <w:r>
              <w:rPr>
                <w:rFonts w:ascii="Arial" w:cs="Arial" w:eastAsia="Arial" w:hAnsi="Arial"/>
                <w:sz w:val="17"/>
                <w:szCs w:val="17"/>
                <w:color w:val="auto"/>
              </w:rPr>
              <w:t>—</w:t>
            </w:r>
          </w:p>
        </w:tc>
      </w:tr>
      <w:tr>
        <w:trPr>
          <w:trHeight w:val="189"/>
        </w:trPr>
        <w:tc>
          <w:tcPr>
            <w:tcW w:w="25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Available-for-sale security</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r>
      <w:tr>
        <w:trPr>
          <w:trHeight w:val="183"/>
        </w:trPr>
        <w:tc>
          <w:tcPr>
            <w:tcW w:w="2540" w:type="dxa"/>
            <w:vAlign w:val="bottom"/>
          </w:tcPr>
          <w:p>
            <w:pPr>
              <w:ind w:left="20"/>
              <w:spacing w:after="0" w:line="183" w:lineRule="exact"/>
              <w:rPr>
                <w:sz w:val="20"/>
                <w:szCs w:val="20"/>
                <w:color w:val="auto"/>
              </w:rPr>
            </w:pPr>
            <w:r>
              <w:rPr>
                <w:rFonts w:ascii="Arial" w:cs="Arial" w:eastAsia="Arial" w:hAnsi="Arial"/>
                <w:sz w:val="17"/>
                <w:szCs w:val="17"/>
                <w:color w:val="auto"/>
              </w:rPr>
              <w:t>Foreign exchange forward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25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contracts</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r>
      <w:tr>
        <w:trPr>
          <w:trHeight w:val="183"/>
        </w:trPr>
        <w:tc>
          <w:tcPr>
            <w:tcW w:w="25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92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ind w:left="540"/>
              <w:spacing w:after="0" w:line="183" w:lineRule="exact"/>
              <w:rPr>
                <w:sz w:val="20"/>
                <w:szCs w:val="20"/>
                <w:color w:val="auto"/>
              </w:rPr>
            </w:pPr>
            <w:r>
              <w:rPr>
                <w:rFonts w:ascii="Arial" w:cs="Arial" w:eastAsia="Arial" w:hAnsi="Arial"/>
                <w:sz w:val="17"/>
                <w:szCs w:val="17"/>
                <w:color w:val="auto"/>
              </w:rPr>
              <w:t>—</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9"/>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9"/>
        </w:trPr>
        <w:tc>
          <w:tcPr>
            <w:tcW w:w="25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3"/>
        </w:trPr>
        <w:tc>
          <w:tcPr>
            <w:tcW w:w="2540" w:type="dxa"/>
            <w:vAlign w:val="bottom"/>
          </w:tcPr>
          <w:p>
            <w:pPr>
              <w:ind w:left="20"/>
              <w:spacing w:after="0" w:line="183" w:lineRule="exact"/>
              <w:rPr>
                <w:sz w:val="20"/>
                <w:szCs w:val="20"/>
                <w:color w:val="auto"/>
              </w:rPr>
            </w:pPr>
            <w:r>
              <w:rPr>
                <w:rFonts w:ascii="Arial" w:cs="Arial" w:eastAsia="Arial" w:hAnsi="Arial"/>
                <w:sz w:val="17"/>
                <w:szCs w:val="17"/>
                <w:color w:val="auto"/>
              </w:rPr>
              <w:t>Foreign exchange forward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25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contracts</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r>
      <w:tr>
        <w:trPr>
          <w:trHeight w:val="183"/>
        </w:trPr>
        <w:tc>
          <w:tcPr>
            <w:tcW w:w="25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4</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ind w:left="540"/>
              <w:spacing w:after="0" w:line="183" w:lineRule="exact"/>
              <w:rPr>
                <w:sz w:val="20"/>
                <w:szCs w:val="20"/>
                <w:color w:val="auto"/>
              </w:rPr>
            </w:pPr>
            <w:r>
              <w:rPr>
                <w:rFonts w:ascii="Arial" w:cs="Arial" w:eastAsia="Arial" w:hAnsi="Arial"/>
                <w:sz w:val="17"/>
                <w:szCs w:val="17"/>
                <w:color w:val="auto"/>
              </w:rPr>
              <w:t>—</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Minority investments measured using the fair value measurement alternative had a carrying value of $612 million and $137 million as of July 31, 2021 and August 1, 2020, respectively. During the second quarter of 2021, we recorded a $290 million increase in the fair value of our minority investment in GOAT. GOAT received additional funding at a higher valuation than the investment amount previously on our balance sheet. During the first quarter of 2021, we recorded a non-cash charge of $2 million related to the write-down of one of our minority investments, resulting in $13 million of cumulative impairments.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carrying value and estimated fair value of long-term debt were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July 31, 2021</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August 1, 2020</w:t>
            </w:r>
          </w:p>
        </w:tc>
      </w:tr>
      <w:tr>
        <w:trPr>
          <w:trHeight w:val="183"/>
        </w:trPr>
        <w:tc>
          <w:tcPr>
            <w:tcW w:w="32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Carrying value</w:t>
            </w:r>
          </w:p>
        </w:tc>
        <w:tc>
          <w:tcPr>
            <w:tcW w:w="2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5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99</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121</w:t>
            </w:r>
          </w:p>
        </w:tc>
      </w:tr>
      <w:tr>
        <w:trPr>
          <w:trHeight w:val="189"/>
        </w:trPr>
        <w:tc>
          <w:tcPr>
            <w:tcW w:w="32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Fair value</w:t>
            </w:r>
          </w:p>
        </w:tc>
        <w:tc>
          <w:tcPr>
            <w:tcW w:w="23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102</w:t>
            </w:r>
          </w:p>
        </w:tc>
        <w:tc>
          <w:tcPr>
            <w:tcW w:w="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129</w:t>
            </w:r>
          </w:p>
        </w:tc>
      </w:tr>
    </w:tbl>
    <w:p>
      <w:pPr>
        <w:spacing w:after="0" w:line="21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Earnings Per Share</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account for earnings per share (“EPS”) using the treasury stock method. Basic EPS is computed by dividing net income (loss)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not assume conversion, exercise, or contingent issuance of securities that would have an anti-dilutive effect on EPS.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computation of basic and diluted EPS is as follows: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3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ind w:right="235"/>
              <w:spacing w:after="0" w:line="156" w:lineRule="exact"/>
              <w:rPr>
                <w:sz w:val="20"/>
                <w:szCs w:val="20"/>
                <w:color w:val="auto"/>
              </w:rPr>
            </w:pPr>
            <w:r>
              <w:rPr>
                <w:rFonts w:ascii="Arial" w:cs="Arial" w:eastAsia="Arial" w:hAnsi="Arial"/>
                <w:sz w:val="17"/>
                <w:szCs w:val="17"/>
                <w:b w:val="1"/>
                <w:bCs w:val="1"/>
                <w:color w:val="auto"/>
              </w:rPr>
              <w:t>July 31,</w:t>
            </w:r>
          </w:p>
        </w:tc>
        <w:tc>
          <w:tcPr>
            <w:tcW w:w="280" w:type="dxa"/>
            <w:vAlign w:val="bottom"/>
          </w:tcPr>
          <w:p>
            <w:pPr>
              <w:spacing w:after="0"/>
              <w:rPr>
                <w:sz w:val="13"/>
                <w:szCs w:val="13"/>
                <w:color w:val="auto"/>
              </w:rPr>
            </w:pPr>
          </w:p>
        </w:tc>
        <w:tc>
          <w:tcPr>
            <w:tcW w:w="1080" w:type="dxa"/>
            <w:vAlign w:val="bottom"/>
          </w:tcPr>
          <w:p>
            <w:pPr>
              <w:jc w:val="right"/>
              <w:ind w:right="175"/>
              <w:spacing w:after="0" w:line="156" w:lineRule="exact"/>
              <w:rPr>
                <w:sz w:val="20"/>
                <w:szCs w:val="20"/>
                <w:color w:val="auto"/>
              </w:rPr>
            </w:pPr>
            <w:r>
              <w:rPr>
                <w:rFonts w:ascii="Arial" w:cs="Arial" w:eastAsia="Arial" w:hAnsi="Arial"/>
                <w:sz w:val="17"/>
                <w:szCs w:val="17"/>
                <w:b w:val="1"/>
                <w:bCs w:val="1"/>
                <w:color w:val="auto"/>
              </w:rPr>
              <w:t>August 1,</w:t>
            </w:r>
          </w:p>
        </w:tc>
        <w:tc>
          <w:tcPr>
            <w:tcW w:w="300" w:type="dxa"/>
            <w:vAlign w:val="bottom"/>
          </w:tcPr>
          <w:p>
            <w:pPr>
              <w:spacing w:after="0"/>
              <w:rPr>
                <w:sz w:val="13"/>
                <w:szCs w:val="13"/>
                <w:color w:val="auto"/>
              </w:rPr>
            </w:pPr>
          </w:p>
        </w:tc>
        <w:tc>
          <w:tcPr>
            <w:tcW w:w="1040" w:type="dxa"/>
            <w:vAlign w:val="bottom"/>
          </w:tcPr>
          <w:p>
            <w:pPr>
              <w:ind w:left="80"/>
              <w:spacing w:after="0" w:line="156" w:lineRule="exact"/>
              <w:rPr>
                <w:sz w:val="20"/>
                <w:szCs w:val="20"/>
                <w:color w:val="auto"/>
              </w:rPr>
            </w:pPr>
            <w:r>
              <w:rPr>
                <w:rFonts w:ascii="Arial" w:cs="Arial" w:eastAsia="Arial" w:hAnsi="Arial"/>
                <w:sz w:val="17"/>
                <w:szCs w:val="17"/>
                <w:b w:val="1"/>
                <w:bCs w:val="1"/>
                <w:color w:val="auto"/>
              </w:rPr>
              <w:t>July 31,</w:t>
            </w:r>
          </w:p>
        </w:tc>
        <w:tc>
          <w:tcPr>
            <w:tcW w:w="280" w:type="dxa"/>
            <w:vAlign w:val="bottom"/>
          </w:tcPr>
          <w:p>
            <w:pPr>
              <w:spacing w:after="0"/>
              <w:rPr>
                <w:sz w:val="13"/>
                <w:szCs w:val="13"/>
                <w:color w:val="auto"/>
              </w:rPr>
            </w:pPr>
          </w:p>
        </w:tc>
        <w:tc>
          <w:tcPr>
            <w:tcW w:w="102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rPr>
              <w:t>August 1,</w:t>
            </w:r>
          </w:p>
        </w:tc>
        <w:tc>
          <w:tcPr>
            <w:tcW w:w="0" w:type="dxa"/>
            <w:vAlign w:val="bottom"/>
          </w:tcPr>
          <w:p>
            <w:pPr>
              <w:spacing w:after="0"/>
              <w:rPr>
                <w:sz w:val="1"/>
                <w:szCs w:val="1"/>
                <w:color w:val="auto"/>
              </w:rPr>
            </w:pPr>
          </w:p>
        </w:tc>
      </w:tr>
      <w:tr>
        <w:trPr>
          <w:trHeight w:val="215"/>
        </w:trPr>
        <w:tc>
          <w:tcPr>
            <w:tcW w:w="3460" w:type="dxa"/>
            <w:vAlign w:val="bottom"/>
            <w:gridSpan w:val="2"/>
          </w:tcPr>
          <w:p>
            <w:pPr>
              <w:spacing w:after="0"/>
              <w:rPr>
                <w:sz w:val="20"/>
                <w:szCs w:val="20"/>
                <w:color w:val="auto"/>
              </w:rPr>
            </w:pPr>
            <w:r>
              <w:rPr>
                <w:rFonts w:ascii="Arial" w:cs="Arial" w:eastAsia="Arial" w:hAnsi="Arial"/>
                <w:sz w:val="17"/>
                <w:szCs w:val="17"/>
                <w:color w:val="auto"/>
              </w:rPr>
              <w:t>(in millions, except per share data)</w:t>
            </w:r>
          </w:p>
        </w:tc>
        <w:tc>
          <w:tcPr>
            <w:tcW w:w="400" w:type="dxa"/>
            <w:vAlign w:val="bottom"/>
          </w:tcPr>
          <w:p>
            <w:pPr>
              <w:spacing w:after="0"/>
              <w:rPr>
                <w:sz w:val="18"/>
                <w:szCs w:val="18"/>
                <w:color w:val="auto"/>
              </w:rPr>
            </w:pPr>
          </w:p>
        </w:tc>
        <w:tc>
          <w:tcPr>
            <w:tcW w:w="1040" w:type="dxa"/>
            <w:vAlign w:val="bottom"/>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18"/>
                <w:szCs w:val="18"/>
                <w:color w:val="auto"/>
              </w:rPr>
            </w:pPr>
          </w:p>
        </w:tc>
        <w:tc>
          <w:tcPr>
            <w:tcW w:w="1080" w:type="dxa"/>
            <w:vAlign w:val="bottom"/>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30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income (loss)</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430</w:t>
            </w:r>
          </w:p>
        </w:tc>
        <w:tc>
          <w:tcPr>
            <w:tcW w:w="2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45</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632</w:t>
            </w:r>
          </w:p>
        </w:tc>
        <w:tc>
          <w:tcPr>
            <w:tcW w:w="2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common shares</w:t>
            </w: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103.8</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103.7</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outstanding</w:t>
            </w:r>
          </w:p>
        </w:tc>
        <w:tc>
          <w:tcPr>
            <w:tcW w:w="4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104.5</w:t>
            </w:r>
          </w:p>
        </w:tc>
        <w:tc>
          <w:tcPr>
            <w:tcW w:w="3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1.4</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0.6</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1.4</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Weighted-average common shares</w:t>
            </w: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105.2</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105.1</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outstanding assuming dilution</w:t>
            </w: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105.1</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(loss) per share - basic</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4.14</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0.43</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6.10</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Pr>
          <w:p>
            <w:pPr>
              <w:spacing w:after="0" w:line="189" w:lineRule="exact"/>
              <w:rPr>
                <w:sz w:val="20"/>
                <w:szCs w:val="20"/>
                <w:color w:val="auto"/>
              </w:rPr>
            </w:pPr>
            <w:r>
              <w:rPr>
                <w:rFonts w:ascii="Arial" w:cs="Arial" w:eastAsia="Arial" w:hAnsi="Arial"/>
                <w:sz w:val="17"/>
                <w:szCs w:val="17"/>
                <w:color w:val="auto"/>
              </w:rPr>
              <w:t>Earnings (loss) per share - diluted</w:t>
            </w:r>
          </w:p>
        </w:tc>
        <w:tc>
          <w:tcPr>
            <w:tcW w:w="4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4.09</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0.43</w:t>
            </w: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6.02</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40" w:type="dxa"/>
            <w:vAlign w:val="bottom"/>
          </w:tcPr>
          <w:p>
            <w:pPr>
              <w:spacing w:after="0" w:line="183" w:lineRule="exact"/>
              <w:rPr>
                <w:sz w:val="20"/>
                <w:szCs w:val="20"/>
                <w:color w:val="auto"/>
              </w:rPr>
            </w:pPr>
            <w:r>
              <w:rPr>
                <w:rFonts w:ascii="Arial" w:cs="Arial" w:eastAsia="Arial" w:hAnsi="Arial"/>
                <w:sz w:val="17"/>
                <w:szCs w:val="17"/>
                <w:color w:val="auto"/>
              </w:rPr>
              <w:t>Anti-dilutive share-based awards excluded</w:t>
            </w:r>
          </w:p>
        </w:tc>
        <w:tc>
          <w:tcPr>
            <w:tcW w:w="400" w:type="dxa"/>
            <w:vAlign w:val="bottom"/>
          </w:tcPr>
          <w:p>
            <w:pPr>
              <w:spacing w:after="0"/>
              <w:rPr>
                <w:sz w:val="15"/>
                <w:szCs w:val="15"/>
                <w:color w:val="auto"/>
              </w:rPr>
            </w:pPr>
          </w:p>
        </w:tc>
        <w:tc>
          <w:tcPr>
            <w:tcW w:w="104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1.5</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1.7</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from diluted calculation</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2.7</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Performance stock units related to our long-term incentive programs of 0.6 million and 0.5 million have been excluded from diluted weighted-average shares for the periods ended July 31, 2021 and August 1, 2020, respectively. The issuance of these shares are contingent on our performance metrics as compared to the pre-established performance goals, which have not been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2021 Form 10-Q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NOTES TO THE UNAUDITED CONDENSED CONSOLIDATED FINANCIAL STATEMENTS 12. Pension</w:t>
      </w:r>
    </w:p>
    <w:p>
      <w:pPr>
        <w:jc w:val="both"/>
        <w:ind w:left="60" w:right="79"/>
        <w:spacing w:after="0" w:line="246" w:lineRule="auto"/>
        <w:rPr>
          <w:sz w:val="20"/>
          <w:szCs w:val="20"/>
          <w:color w:val="auto"/>
        </w:rPr>
      </w:pPr>
      <w:r>
        <w:rPr>
          <w:rFonts w:ascii="Arial" w:cs="Arial" w:eastAsia="Arial" w:hAnsi="Arial"/>
          <w:sz w:val="18"/>
          <w:szCs w:val="18"/>
          <w:color w:val="auto"/>
        </w:rPr>
        <w:t>The components of net periodic pension benefit expense are presented in the table below. Service cost is recognized as part of SG&amp;A expense, while the other components are recognized as part of Other income, net.</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gridSpan w:val="3"/>
          </w:tcPr>
          <w:p>
            <w:pPr>
              <w:jc w:val="right"/>
              <w:ind w:right="155"/>
              <w:spacing w:after="0"/>
              <w:rPr>
                <w:sz w:val="20"/>
                <w:szCs w:val="20"/>
                <w:color w:val="auto"/>
              </w:rPr>
            </w:pPr>
            <w:r>
              <w:rPr>
                <w:rFonts w:ascii="Arial" w:cs="Arial" w:eastAsia="Arial" w:hAnsi="Arial"/>
                <w:sz w:val="17"/>
                <w:szCs w:val="17"/>
                <w:b w:val="1"/>
                <w:bCs w:val="1"/>
                <w:color w:val="auto"/>
              </w:rPr>
              <w:t>Thirteen weeks ended</w:t>
            </w:r>
          </w:p>
        </w:tc>
        <w:tc>
          <w:tcPr>
            <w:tcW w:w="340" w:type="dxa"/>
            <w:vAlign w:val="bottom"/>
          </w:tcPr>
          <w:p>
            <w:pPr>
              <w:spacing w:after="0"/>
              <w:rPr>
                <w:sz w:val="18"/>
                <w:szCs w:val="18"/>
                <w:color w:val="auto"/>
              </w:rPr>
            </w:pPr>
          </w:p>
        </w:tc>
        <w:tc>
          <w:tcPr>
            <w:tcW w:w="2460" w:type="dxa"/>
            <w:vAlign w:val="bottom"/>
            <w:gridSpan w:val="4"/>
          </w:tcPr>
          <w:p>
            <w:pPr>
              <w:ind w:left="120"/>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3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15"/>
              <w:spacing w:after="0" w:line="156" w:lineRule="exact"/>
              <w:rPr>
                <w:sz w:val="20"/>
                <w:szCs w:val="20"/>
                <w:color w:val="auto"/>
              </w:rPr>
            </w:pPr>
            <w:r>
              <w:rPr>
                <w:rFonts w:ascii="Arial" w:cs="Arial" w:eastAsia="Arial" w:hAnsi="Arial"/>
                <w:sz w:val="17"/>
                <w:szCs w:val="17"/>
                <w:b w:val="1"/>
                <w:bCs w:val="1"/>
                <w:color w:val="auto"/>
              </w:rPr>
              <w:t>July 31,</w:t>
            </w: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
              <w:spacing w:after="0" w:line="156" w:lineRule="exact"/>
              <w:rPr>
                <w:sz w:val="20"/>
                <w:szCs w:val="20"/>
                <w:color w:val="auto"/>
              </w:rPr>
            </w:pPr>
            <w:r>
              <w:rPr>
                <w:rFonts w:ascii="Arial" w:cs="Arial" w:eastAsia="Arial" w:hAnsi="Arial"/>
                <w:sz w:val="17"/>
                <w:szCs w:val="17"/>
                <w:b w:val="1"/>
                <w:bCs w:val="1"/>
                <w:color w:val="auto"/>
              </w:rPr>
              <w:t>August 1,</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255"/>
              <w:spacing w:after="0" w:line="156" w:lineRule="exact"/>
              <w:rPr>
                <w:sz w:val="20"/>
                <w:szCs w:val="20"/>
                <w:color w:val="auto"/>
              </w:rPr>
            </w:pPr>
            <w:r>
              <w:rPr>
                <w:rFonts w:ascii="Arial" w:cs="Arial" w:eastAsia="Arial" w:hAnsi="Arial"/>
                <w:sz w:val="17"/>
                <w:szCs w:val="17"/>
                <w:b w:val="1"/>
                <w:bCs w:val="1"/>
                <w:color w:val="auto"/>
              </w:rPr>
              <w:t>July 31,</w:t>
            </w: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75"/>
              <w:spacing w:after="0" w:line="156" w:lineRule="exact"/>
              <w:rPr>
                <w:sz w:val="20"/>
                <w:szCs w:val="20"/>
                <w:color w:val="auto"/>
              </w:rPr>
            </w:pPr>
            <w:r>
              <w:rPr>
                <w:rFonts w:ascii="Arial" w:cs="Arial" w:eastAsia="Arial" w:hAnsi="Arial"/>
                <w:sz w:val="17"/>
                <w:szCs w:val="17"/>
                <w:b w:val="1"/>
                <w:bCs w:val="1"/>
                <w:color w:val="auto"/>
              </w:rPr>
              <w:t>August 1,</w:t>
            </w:r>
          </w:p>
        </w:tc>
        <w:tc>
          <w:tcPr>
            <w:tcW w:w="20" w:type="dxa"/>
            <w:vAlign w:val="bottom"/>
          </w:tcPr>
          <w:p>
            <w:pPr>
              <w:spacing w:after="0"/>
              <w:rPr>
                <w:sz w:val="13"/>
                <w:szCs w:val="13"/>
                <w:color w:val="auto"/>
              </w:rPr>
            </w:pPr>
          </w:p>
        </w:tc>
      </w:tr>
      <w:tr>
        <w:trPr>
          <w:trHeight w:val="21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8"/>
                <w:szCs w:val="18"/>
                <w:color w:val="auto"/>
              </w:rPr>
            </w:pPr>
          </w:p>
        </w:tc>
      </w:tr>
      <w:tr>
        <w:trPr>
          <w:trHeight w:val="183"/>
        </w:trPr>
        <w:tc>
          <w:tcPr>
            <w:tcW w:w="31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Service cost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w:t>
            </w:r>
          </w:p>
        </w:tc>
        <w:tc>
          <w:tcPr>
            <w:tcW w:w="3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5"/>
                <w:szCs w:val="15"/>
                <w:color w:val="auto"/>
              </w:rPr>
            </w:pP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7"/>
                <w:szCs w:val="17"/>
                <w:color w:val="auto"/>
              </w:rPr>
              <w:t>Interest cost</w:t>
            </w:r>
          </w:p>
        </w:tc>
        <w:tc>
          <w:tcPr>
            <w:tcW w:w="900" w:type="dxa"/>
            <w:vAlign w:val="bottom"/>
          </w:tcPr>
          <w:p>
            <w:pPr>
              <w:spacing w:after="0"/>
              <w:rPr>
                <w:sz w:val="16"/>
                <w:szCs w:val="16"/>
                <w:color w:val="auto"/>
              </w:rPr>
            </w:pPr>
          </w:p>
        </w:tc>
        <w:tc>
          <w:tcPr>
            <w:tcW w:w="9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220" w:type="dxa"/>
            <w:vAlign w:val="bottom"/>
          </w:tcPr>
          <w:p>
            <w:pPr>
              <w:spacing w:after="0"/>
              <w:rPr>
                <w:sz w:val="16"/>
                <w:szCs w:val="16"/>
                <w:color w:val="auto"/>
              </w:rPr>
            </w:pPr>
          </w:p>
        </w:tc>
        <w:tc>
          <w:tcPr>
            <w:tcW w:w="9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w:t>
            </w:r>
          </w:p>
        </w:tc>
        <w:tc>
          <w:tcPr>
            <w:tcW w:w="34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w:t>
            </w: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11</w:t>
            </w:r>
          </w:p>
        </w:tc>
        <w:tc>
          <w:tcPr>
            <w:tcW w:w="20" w:type="dxa"/>
            <w:vAlign w:val="bottom"/>
          </w:tcPr>
          <w:p>
            <w:pPr>
              <w:spacing w:after="0"/>
              <w:rPr>
                <w:sz w:val="16"/>
                <w:szCs w:val="16"/>
                <w:color w:val="auto"/>
              </w:rPr>
            </w:pPr>
          </w:p>
        </w:tc>
      </w:tr>
      <w:tr>
        <w:trPr>
          <w:trHeight w:val="189"/>
        </w:trPr>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Expected return on plan assets</w:t>
            </w:r>
          </w:p>
        </w:tc>
        <w:tc>
          <w:tcPr>
            <w:tcW w:w="9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(8)</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(10)</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(17)</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w:t>
            </w:r>
          </w:p>
        </w:tc>
        <w:tc>
          <w:tcPr>
            <w:tcW w:w="20" w:type="dxa"/>
            <w:vAlign w:val="bottom"/>
          </w:tcPr>
          <w:p>
            <w:pPr>
              <w:spacing w:after="0"/>
              <w:rPr>
                <w:sz w:val="16"/>
                <w:szCs w:val="16"/>
                <w:color w:val="auto"/>
              </w:rPr>
            </w:pPr>
          </w:p>
        </w:tc>
      </w:tr>
      <w:tr>
        <w:trPr>
          <w:trHeight w:val="189"/>
        </w:trPr>
        <w:tc>
          <w:tcPr>
            <w:tcW w:w="31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Amortization of net loss</w:t>
            </w:r>
          </w:p>
        </w:tc>
        <w:tc>
          <w:tcPr>
            <w:tcW w:w="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6"/>
                <w:szCs w:val="16"/>
                <w:color w:val="auto"/>
              </w:rPr>
            </w:pPr>
          </w:p>
        </w:tc>
      </w:tr>
      <w:tr>
        <w:trPr>
          <w:trHeight w:val="183"/>
        </w:trPr>
        <w:tc>
          <w:tcPr>
            <w:tcW w:w="31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benefit expense</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w:t>
            </w:r>
          </w:p>
        </w:tc>
        <w:tc>
          <w:tcPr>
            <w:tcW w:w="3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5"/>
                <w:szCs w:val="15"/>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Share-Based Compensation</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our share-based compensation plans, were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7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95"/>
              <w:spacing w:after="0" w:line="156" w:lineRule="exact"/>
              <w:rPr>
                <w:sz w:val="20"/>
                <w:szCs w:val="20"/>
                <w:color w:val="auto"/>
              </w:rPr>
            </w:pPr>
            <w:r>
              <w:rPr>
                <w:rFonts w:ascii="Arial" w:cs="Arial" w:eastAsia="Arial" w:hAnsi="Arial"/>
                <w:sz w:val="17"/>
                <w:szCs w:val="17"/>
                <w:b w:val="1"/>
                <w:bCs w:val="1"/>
                <w:color w:val="auto"/>
              </w:rPr>
              <w:t>July 31,</w:t>
            </w:r>
          </w:p>
        </w:tc>
        <w:tc>
          <w:tcPr>
            <w:tcW w:w="960" w:type="dxa"/>
            <w:vAlign w:val="bottom"/>
            <w:gridSpan w:val="2"/>
          </w:tcPr>
          <w:p>
            <w:pPr>
              <w:jc w:val="right"/>
              <w:spacing w:after="0" w:line="156" w:lineRule="exact"/>
              <w:rPr>
                <w:sz w:val="20"/>
                <w:szCs w:val="20"/>
                <w:color w:val="auto"/>
              </w:rPr>
            </w:pPr>
            <w:r>
              <w:rPr>
                <w:rFonts w:ascii="Arial" w:cs="Arial" w:eastAsia="Arial" w:hAnsi="Arial"/>
                <w:sz w:val="17"/>
                <w:szCs w:val="17"/>
                <w:b w:val="1"/>
                <w:bCs w:val="1"/>
                <w:color w:val="auto"/>
              </w:rPr>
              <w:t>August 1,</w:t>
            </w:r>
          </w:p>
        </w:tc>
        <w:tc>
          <w:tcPr>
            <w:tcW w:w="180" w:type="dxa"/>
            <w:vAlign w:val="bottom"/>
          </w:tcPr>
          <w:p>
            <w:pPr>
              <w:spacing w:after="0"/>
              <w:rPr>
                <w:sz w:val="13"/>
                <w:szCs w:val="13"/>
                <w:color w:val="auto"/>
              </w:rPr>
            </w:pPr>
          </w:p>
        </w:tc>
        <w:tc>
          <w:tcPr>
            <w:tcW w:w="88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rPr>
              <w:t>July 31,</w:t>
            </w:r>
          </w:p>
        </w:tc>
        <w:tc>
          <w:tcPr>
            <w:tcW w:w="1060" w:type="dxa"/>
            <w:vAlign w:val="bottom"/>
            <w:gridSpan w:val="2"/>
          </w:tcPr>
          <w:p>
            <w:pPr>
              <w:jc w:val="right"/>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2020</w:t>
            </w:r>
          </w:p>
        </w:tc>
      </w:tr>
      <w:tr>
        <w:trPr>
          <w:trHeight w:val="183"/>
        </w:trPr>
        <w:tc>
          <w:tcPr>
            <w:tcW w:w="47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Options and shares purchased under the stock purchase plan</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4</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r>
      <w:tr>
        <w:trPr>
          <w:trHeight w:val="189"/>
        </w:trPr>
        <w:tc>
          <w:tcPr>
            <w:tcW w:w="47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Restricted stock units and performance stock units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6</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12</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3"/>
        </w:trPr>
        <w:tc>
          <w:tcPr>
            <w:tcW w:w="47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share-based compensation expense</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16</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0"/>
        </w:trPr>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9"/>
        </w:trPr>
        <w:tc>
          <w:tcPr>
            <w:tcW w:w="47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Tax benefit recognized</w:t>
            </w:r>
          </w:p>
        </w:tc>
        <w:tc>
          <w:tcPr>
            <w:tcW w:w="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3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the Black-Scholes option-pricing model to estimate the fair value of share-based awards. The Black-Scholes option-pricing model incorporates various and subjective assumptions, including expected term and expected volatility.</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table below shows assumptions used to compute share-based compensation expense for awards granted during the twenty-six weeks ended July 31, 2021 and August 1, 2020:</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7"/>
                <w:szCs w:val="17"/>
                <w:b w:val="1"/>
                <w:bCs w:val="1"/>
                <w:color w:val="auto"/>
              </w:rPr>
              <w:t>Stock Option Plans</w:t>
            </w: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315"/>
              <w:spacing w:after="0" w:line="156" w:lineRule="exact"/>
              <w:rPr>
                <w:sz w:val="20"/>
                <w:szCs w:val="20"/>
                <w:color w:val="auto"/>
              </w:rPr>
            </w:pPr>
            <w:r>
              <w:rPr>
                <w:rFonts w:ascii="Arial" w:cs="Arial" w:eastAsia="Arial" w:hAnsi="Arial"/>
                <w:sz w:val="17"/>
                <w:szCs w:val="17"/>
                <w:b w:val="1"/>
                <w:bCs w:val="1"/>
                <w:color w:val="auto"/>
              </w:rPr>
              <w:t>July 31,</w:t>
            </w:r>
          </w:p>
        </w:tc>
        <w:tc>
          <w:tcPr>
            <w:tcW w:w="180" w:type="dxa"/>
            <w:vAlign w:val="bottom"/>
          </w:tcPr>
          <w:p>
            <w:pPr>
              <w:spacing w:after="0"/>
              <w:rPr>
                <w:sz w:val="13"/>
                <w:szCs w:val="13"/>
                <w:color w:val="auto"/>
              </w:rPr>
            </w:pPr>
          </w:p>
        </w:tc>
        <w:tc>
          <w:tcPr>
            <w:tcW w:w="1160" w:type="dxa"/>
            <w:vAlign w:val="bottom"/>
          </w:tcPr>
          <w:p>
            <w:pPr>
              <w:jc w:val="right"/>
              <w:ind w:right="275"/>
              <w:spacing w:after="0" w:line="156" w:lineRule="exact"/>
              <w:rPr>
                <w:sz w:val="20"/>
                <w:szCs w:val="20"/>
                <w:color w:val="auto"/>
              </w:rPr>
            </w:pPr>
            <w:r>
              <w:rPr>
                <w:rFonts w:ascii="Arial" w:cs="Arial" w:eastAsia="Arial" w:hAnsi="Arial"/>
                <w:sz w:val="17"/>
                <w:szCs w:val="17"/>
                <w:b w:val="1"/>
                <w:bCs w:val="1"/>
                <w:color w:val="auto"/>
              </w:rPr>
              <w:t>August 1,</w:t>
            </w:r>
          </w:p>
        </w:tc>
        <w:tc>
          <w:tcPr>
            <w:tcW w:w="220" w:type="dxa"/>
            <w:vAlign w:val="bottom"/>
          </w:tcPr>
          <w:p>
            <w:pPr>
              <w:spacing w:after="0"/>
              <w:rPr>
                <w:sz w:val="13"/>
                <w:szCs w:val="13"/>
                <w:color w:val="auto"/>
              </w:rPr>
            </w:pPr>
          </w:p>
        </w:tc>
        <w:tc>
          <w:tcPr>
            <w:tcW w:w="1120" w:type="dxa"/>
            <w:vAlign w:val="bottom"/>
          </w:tcPr>
          <w:p>
            <w:pPr>
              <w:jc w:val="right"/>
              <w:ind w:right="355"/>
              <w:spacing w:after="0" w:line="156" w:lineRule="exact"/>
              <w:rPr>
                <w:sz w:val="20"/>
                <w:szCs w:val="20"/>
                <w:color w:val="auto"/>
              </w:rPr>
            </w:pPr>
            <w:r>
              <w:rPr>
                <w:rFonts w:ascii="Arial" w:cs="Arial" w:eastAsia="Arial" w:hAnsi="Arial"/>
                <w:sz w:val="17"/>
                <w:szCs w:val="17"/>
                <w:b w:val="1"/>
                <w:bCs w:val="1"/>
                <w:color w:val="auto"/>
              </w:rPr>
              <w:t>July 31,</w:t>
            </w:r>
          </w:p>
        </w:tc>
        <w:tc>
          <w:tcPr>
            <w:tcW w:w="180" w:type="dxa"/>
            <w:vAlign w:val="bottom"/>
          </w:tcPr>
          <w:p>
            <w:pPr>
              <w:spacing w:after="0"/>
              <w:rPr>
                <w:sz w:val="13"/>
                <w:szCs w:val="13"/>
                <w:color w:val="auto"/>
              </w:rPr>
            </w:pPr>
          </w:p>
        </w:tc>
        <w:tc>
          <w:tcPr>
            <w:tcW w:w="1240" w:type="dxa"/>
            <w:vAlign w:val="bottom"/>
          </w:tcPr>
          <w:p>
            <w:pPr>
              <w:jc w:val="right"/>
              <w:ind w:right="355"/>
              <w:spacing w:after="0" w:line="156" w:lineRule="exact"/>
              <w:rPr>
                <w:sz w:val="20"/>
                <w:szCs w:val="20"/>
                <w:color w:val="auto"/>
              </w:rPr>
            </w:pPr>
            <w:r>
              <w:rPr>
                <w:rFonts w:ascii="Arial" w:cs="Arial" w:eastAsia="Arial" w:hAnsi="Arial"/>
                <w:sz w:val="17"/>
                <w:szCs w:val="17"/>
                <w:b w:val="1"/>
                <w:bCs w:val="1"/>
                <w:color w:val="auto"/>
              </w:rPr>
              <w:t>August 1,</w:t>
            </w:r>
          </w:p>
        </w:tc>
        <w:tc>
          <w:tcPr>
            <w:tcW w:w="0" w:type="dxa"/>
            <w:vAlign w:val="bottom"/>
          </w:tcPr>
          <w:p>
            <w:pPr>
              <w:spacing w:after="0"/>
              <w:rPr>
                <w:sz w:val="1"/>
                <w:szCs w:val="1"/>
                <w:color w:val="auto"/>
              </w:rPr>
            </w:pPr>
          </w:p>
        </w:tc>
      </w:tr>
      <w:tr>
        <w:trPr>
          <w:trHeight w:val="215"/>
        </w:trPr>
        <w:tc>
          <w:tcPr>
            <w:tcW w:w="3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risk free rate of interest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0.9 %</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0.6 </w:t>
            </w:r>
            <w:r>
              <w:rPr>
                <w:rFonts w:ascii="Arial" w:cs="Arial" w:eastAsia="Arial" w:hAnsi="Arial"/>
                <w:sz w:val="17"/>
                <w:szCs w:val="17"/>
                <w:b w:val="1"/>
                <w:bCs w:val="1"/>
                <w:color w:val="auto"/>
              </w:rPr>
              <w: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0.2 %</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xml:space="preserve">2.0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47 %</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48 %</w:t>
            </w:r>
          </w:p>
        </w:tc>
        <w:tc>
          <w:tcPr>
            <w:tcW w:w="18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expected award life (in</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5.5</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years)</w:t>
            </w:r>
          </w:p>
        </w:tc>
        <w:tc>
          <w:tcPr>
            <w:tcW w:w="3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1.5 %</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5.0 %</w:t>
            </w:r>
          </w:p>
        </w:tc>
        <w:tc>
          <w:tcPr>
            <w:tcW w:w="18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4.0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33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20.22</w:t>
            </w: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5.03</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7.84</w:t>
            </w: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15.03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in the table below provides activity under our stock option plans for the twenty-six weeks ended</w:t>
      </w:r>
    </w:p>
    <w:p>
      <w:pPr>
        <w:ind w:left="60"/>
        <w:spacing w:after="0"/>
        <w:rPr>
          <w:sz w:val="20"/>
          <w:szCs w:val="20"/>
          <w:color w:val="auto"/>
        </w:rPr>
      </w:pPr>
      <w:r>
        <w:rPr>
          <w:rFonts w:ascii="Arial" w:cs="Arial" w:eastAsia="Arial" w:hAnsi="Arial"/>
          <w:sz w:val="18"/>
          <w:szCs w:val="18"/>
          <w:color w:val="auto"/>
        </w:rPr>
        <w:t>July 31, 2021:</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320" w:type="dxa"/>
            <w:vAlign w:val="bottom"/>
          </w:tcPr>
          <w:p>
            <w:pPr>
              <w:spacing w:after="0"/>
              <w:rPr>
                <w:sz w:val="16"/>
                <w:szCs w:val="16"/>
                <w:color w:val="auto"/>
              </w:rPr>
            </w:pPr>
          </w:p>
        </w:tc>
        <w:tc>
          <w:tcPr>
            <w:tcW w:w="124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5840" w:type="dxa"/>
            <w:vAlign w:val="bottom"/>
            <w:gridSpan w:val="2"/>
          </w:tcPr>
          <w:p>
            <w:pPr>
              <w:jc w:val="center"/>
              <w:ind w:left="4235"/>
              <w:spacing w:after="0" w:line="189" w:lineRule="exact"/>
              <w:rPr>
                <w:sz w:val="20"/>
                <w:szCs w:val="20"/>
                <w:color w:val="auto"/>
              </w:rPr>
            </w:pPr>
            <w:r>
              <w:rPr>
                <w:rFonts w:ascii="Arial" w:cs="Arial" w:eastAsia="Arial" w:hAnsi="Arial"/>
                <w:sz w:val="17"/>
                <w:szCs w:val="17"/>
                <w:b w:val="1"/>
                <w:bCs w:val="1"/>
                <w:color w:val="auto"/>
                <w:w w:val="99"/>
              </w:rPr>
              <w:t>Number</w:t>
            </w:r>
          </w:p>
        </w:tc>
        <w:tc>
          <w:tcPr>
            <w:tcW w:w="15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320" w:type="dxa"/>
            <w:vAlign w:val="bottom"/>
          </w:tcPr>
          <w:p>
            <w:pPr>
              <w:spacing w:after="0"/>
              <w:rPr>
                <w:sz w:val="16"/>
                <w:szCs w:val="16"/>
                <w:color w:val="auto"/>
              </w:rPr>
            </w:pPr>
          </w:p>
        </w:tc>
        <w:tc>
          <w:tcPr>
            <w:tcW w:w="124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5180" w:type="dxa"/>
            <w:vAlign w:val="bottom"/>
          </w:tcPr>
          <w:p>
            <w:pPr>
              <w:jc w:val="center"/>
              <w:ind w:left="4895"/>
              <w:spacing w:after="0" w:line="189" w:lineRule="exact"/>
              <w:rPr>
                <w:sz w:val="20"/>
                <w:szCs w:val="20"/>
                <w:color w:val="auto"/>
              </w:rPr>
            </w:pPr>
            <w:r>
              <w:rPr>
                <w:rFonts w:ascii="Arial" w:cs="Arial" w:eastAsia="Arial" w:hAnsi="Arial"/>
                <w:sz w:val="17"/>
                <w:szCs w:val="17"/>
                <w:b w:val="1"/>
                <w:bCs w:val="1"/>
                <w:color w:val="auto"/>
                <w:w w:val="99"/>
              </w:rPr>
              <w:t>of</w:t>
            </w:r>
          </w:p>
        </w:tc>
        <w:tc>
          <w:tcPr>
            <w:tcW w:w="66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Remaining</w:t>
            </w:r>
          </w:p>
        </w:tc>
        <w:tc>
          <w:tcPr>
            <w:tcW w:w="320" w:type="dxa"/>
            <w:vAlign w:val="bottom"/>
          </w:tcPr>
          <w:p>
            <w:pPr>
              <w:spacing w:after="0"/>
              <w:rPr>
                <w:sz w:val="16"/>
                <w:szCs w:val="16"/>
                <w:color w:val="auto"/>
              </w:rPr>
            </w:pPr>
          </w:p>
        </w:tc>
        <w:tc>
          <w:tcPr>
            <w:tcW w:w="124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5840" w:type="dxa"/>
            <w:vAlign w:val="bottom"/>
            <w:tcBorders>
              <w:bottom w:val="single" w:sz="8" w:color="auto"/>
            </w:tcBorders>
            <w:gridSpan w:val="2"/>
          </w:tcPr>
          <w:p>
            <w:pPr>
              <w:jc w:val="center"/>
              <w:ind w:left="4255"/>
              <w:spacing w:after="0"/>
              <w:rPr>
                <w:sz w:val="20"/>
                <w:szCs w:val="20"/>
                <w:color w:val="auto"/>
              </w:rPr>
            </w:pPr>
            <w:r>
              <w:rPr>
                <w:rFonts w:ascii="Arial" w:cs="Arial" w:eastAsia="Arial" w:hAnsi="Arial"/>
                <w:sz w:val="17"/>
                <w:szCs w:val="17"/>
                <w:b w:val="1"/>
                <w:bCs w:val="1"/>
                <w:color w:val="auto"/>
              </w:rPr>
              <w:t>Shares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r>
      <w:tr>
        <w:trPr>
          <w:trHeight w:val="183"/>
        </w:trPr>
        <w:tc>
          <w:tcPr>
            <w:tcW w:w="5840" w:type="dxa"/>
            <w:vAlign w:val="bottom"/>
            <w:gridSpan w:val="2"/>
          </w:tcPr>
          <w:p>
            <w:pPr>
              <w:ind w:left="4660"/>
              <w:spacing w:after="0" w:line="183" w:lineRule="exact"/>
              <w:rPr>
                <w:sz w:val="20"/>
                <w:szCs w:val="20"/>
                <w:color w:val="auto"/>
              </w:rPr>
            </w:pPr>
            <w:r>
              <w:rPr>
                <w:rFonts w:ascii="Arial" w:cs="Arial" w:eastAsia="Arial" w:hAnsi="Arial"/>
                <w:sz w:val="17"/>
                <w:szCs w:val="17"/>
                <w:color w:val="auto"/>
              </w:rPr>
              <w:t>(in thousands)</w:t>
            </w:r>
          </w:p>
        </w:tc>
        <w:tc>
          <w:tcPr>
            <w:tcW w:w="1500" w:type="dxa"/>
            <w:vAlign w:val="bottom"/>
          </w:tcPr>
          <w:p>
            <w:pPr>
              <w:jc w:val="center"/>
              <w:spacing w:after="0" w:line="183" w:lineRule="exact"/>
              <w:rPr>
                <w:sz w:val="20"/>
                <w:szCs w:val="20"/>
                <w:color w:val="auto"/>
              </w:rPr>
            </w:pPr>
            <w:r>
              <w:rPr>
                <w:rFonts w:ascii="Arial" w:cs="Arial" w:eastAsia="Arial" w:hAnsi="Arial"/>
                <w:sz w:val="17"/>
                <w:szCs w:val="17"/>
                <w:color w:val="auto"/>
                <w:w w:val="98"/>
              </w:rPr>
              <w:t>(in years)</w:t>
            </w:r>
          </w:p>
        </w:tc>
        <w:tc>
          <w:tcPr>
            <w:tcW w:w="320" w:type="dxa"/>
            <w:vAlign w:val="bottom"/>
          </w:tcPr>
          <w:p>
            <w:pPr>
              <w:spacing w:after="0"/>
              <w:rPr>
                <w:sz w:val="15"/>
                <w:szCs w:val="15"/>
                <w:color w:val="auto"/>
              </w:rPr>
            </w:pPr>
          </w:p>
        </w:tc>
        <w:tc>
          <w:tcPr>
            <w:tcW w:w="1240" w:type="dxa"/>
            <w:vAlign w:val="bottom"/>
          </w:tcPr>
          <w:p>
            <w:pPr>
              <w:jc w:val="center"/>
              <w:ind w:right="115"/>
              <w:spacing w:after="0" w:line="183" w:lineRule="exact"/>
              <w:rPr>
                <w:sz w:val="20"/>
                <w:szCs w:val="20"/>
                <w:color w:val="auto"/>
              </w:rPr>
            </w:pPr>
            <w:r>
              <w:rPr>
                <w:rFonts w:ascii="Arial" w:cs="Arial" w:eastAsia="Arial" w:hAnsi="Arial"/>
                <w:sz w:val="17"/>
                <w:szCs w:val="17"/>
                <w:color w:val="auto"/>
              </w:rPr>
              <w:t>(per share)</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6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w w:val="98"/>
              </w:rPr>
              <w:t>3,540</w:t>
            </w: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47.17</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6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183</w:t>
            </w: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53.82</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6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(302)</w:t>
            </w: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33.31</w:t>
            </w:r>
          </w:p>
        </w:tc>
      </w:tr>
      <w:tr>
        <w:trPr>
          <w:trHeight w:val="189"/>
        </w:trPr>
        <w:tc>
          <w:tcPr>
            <w:tcW w:w="5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6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(122)</w:t>
            </w:r>
          </w:p>
        </w:tc>
        <w:tc>
          <w:tcPr>
            <w:tcW w:w="1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52.43</w:t>
            </w:r>
          </w:p>
        </w:tc>
      </w:tr>
      <w:tr>
        <w:trPr>
          <w:trHeight w:val="183"/>
        </w:trPr>
        <w:tc>
          <w:tcPr>
            <w:tcW w:w="5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July 31, 2021</w:t>
            </w:r>
          </w:p>
        </w:tc>
        <w:tc>
          <w:tcPr>
            <w:tcW w:w="6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w w:val="98"/>
              </w:rPr>
              <w:t>3,299</w:t>
            </w:r>
          </w:p>
        </w:tc>
        <w:tc>
          <w:tcPr>
            <w:tcW w:w="15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5.5</w:t>
            </w:r>
          </w:p>
        </w:tc>
        <w:tc>
          <w:tcPr>
            <w:tcW w:w="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48.61</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7"/>
                <w:szCs w:val="17"/>
                <w:color w:val="auto"/>
              </w:rPr>
              <w:t>Options exercisable at July 31, 2021</w:t>
            </w:r>
          </w:p>
        </w:tc>
        <w:tc>
          <w:tcPr>
            <w:tcW w:w="660" w:type="dxa"/>
            <w:vAlign w:val="bottom"/>
          </w:tcPr>
          <w:p>
            <w:pPr>
              <w:jc w:val="right"/>
              <w:ind w:right="135"/>
              <w:spacing w:after="0" w:line="189" w:lineRule="exact"/>
              <w:rPr>
                <w:sz w:val="20"/>
                <w:szCs w:val="20"/>
                <w:color w:val="auto"/>
              </w:rPr>
            </w:pPr>
            <w:r>
              <w:rPr>
                <w:rFonts w:ascii="Arial" w:cs="Arial" w:eastAsia="Arial" w:hAnsi="Arial"/>
                <w:sz w:val="17"/>
                <w:szCs w:val="17"/>
                <w:color w:val="auto"/>
                <w:w w:val="98"/>
              </w:rPr>
              <w:t>2,497</w:t>
            </w:r>
          </w:p>
        </w:tc>
        <w:tc>
          <w:tcPr>
            <w:tcW w:w="15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4.4</w:t>
            </w:r>
          </w:p>
        </w:tc>
        <w:tc>
          <w:tcPr>
            <w:tcW w:w="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53.74</w:t>
            </w:r>
          </w:p>
        </w:tc>
      </w:tr>
      <w:tr>
        <w:trPr>
          <w:trHeight w:val="189"/>
        </w:trPr>
        <w:tc>
          <w:tcPr>
            <w:tcW w:w="51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Options available for future grant at July 31, 2021</w:t>
            </w:r>
          </w:p>
        </w:tc>
        <w:tc>
          <w:tcPr>
            <w:tcW w:w="66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w w:val="98"/>
              </w:rPr>
              <w:t>5,491</w:t>
            </w:r>
          </w:p>
        </w:tc>
        <w:tc>
          <w:tcPr>
            <w:tcW w:w="15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total fair value of options vested during the twenty-six weeks ended July 31, 2021 and August 1, 2020 was $4 million and $5 million, respectively. The cash received and related tax benefits realized from option exercises during the twenty-six weeks ended July 31, 2021 was $10 million and $2 million, respectively. The cash received and related tax benefits realized from option exercises during the twenty-six weeks ended August 1, 2020 were not significant.</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total intrinsic value of options exercised (the difference between the market price of our common stock on the exercise date and the price paid by the optionee to exercise the option) is presented below:</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36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4"/>
          </w:tcPr>
          <w:p>
            <w:pPr>
              <w:ind w:left="1700"/>
              <w:spacing w:after="0"/>
              <w:rPr>
                <w:sz w:val="20"/>
                <w:szCs w:val="20"/>
                <w:color w:val="auto"/>
              </w:rPr>
            </w:pPr>
            <w:r>
              <w:rPr>
                <w:rFonts w:ascii="Arial" w:cs="Arial" w:eastAsia="Arial" w:hAnsi="Arial"/>
                <w:sz w:val="17"/>
                <w:szCs w:val="17"/>
                <w:b w:val="1"/>
                <w:bCs w:val="1"/>
                <w:color w:val="auto"/>
              </w:rPr>
              <w:t>Thirteen weeks ended</w:t>
            </w:r>
          </w:p>
        </w:tc>
        <w:tc>
          <w:tcPr>
            <w:tcW w:w="232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360" w:type="dxa"/>
            <w:vAlign w:val="bottom"/>
          </w:tcPr>
          <w:p>
            <w:pPr>
              <w:spacing w:after="0"/>
              <w:rPr>
                <w:sz w:val="13"/>
                <w:szCs w:val="13"/>
                <w:color w:val="auto"/>
              </w:rPr>
            </w:pPr>
          </w:p>
        </w:tc>
        <w:tc>
          <w:tcPr>
            <w:tcW w:w="2280" w:type="dxa"/>
            <w:vAlign w:val="bottom"/>
          </w:tcPr>
          <w:p>
            <w:pPr>
              <w:jc w:val="center"/>
              <w:ind w:left="1475"/>
              <w:spacing w:after="0" w:line="156" w:lineRule="exact"/>
              <w:rPr>
                <w:sz w:val="20"/>
                <w:szCs w:val="20"/>
                <w:color w:val="auto"/>
              </w:rPr>
            </w:pPr>
            <w:r>
              <w:rPr>
                <w:rFonts w:ascii="Arial" w:cs="Arial" w:eastAsia="Arial" w:hAnsi="Arial"/>
                <w:sz w:val="17"/>
                <w:szCs w:val="17"/>
                <w:b w:val="1"/>
                <w:bCs w:val="1"/>
                <w:color w:val="auto"/>
              </w:rPr>
              <w:t>July 31,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center"/>
              <w:ind w:right="435"/>
              <w:spacing w:after="0" w:line="156" w:lineRule="exact"/>
              <w:rPr>
                <w:sz w:val="20"/>
                <w:szCs w:val="20"/>
                <w:color w:val="auto"/>
              </w:rPr>
            </w:pPr>
            <w:r>
              <w:rPr>
                <w:rFonts w:ascii="Arial" w:cs="Arial" w:eastAsia="Arial" w:hAnsi="Arial"/>
                <w:sz w:val="17"/>
                <w:szCs w:val="17"/>
                <w:b w:val="1"/>
                <w:bCs w:val="1"/>
                <w:color w:val="auto"/>
                <w:w w:val="98"/>
              </w:rPr>
              <w:t>August 1,</w:t>
            </w:r>
          </w:p>
        </w:tc>
        <w:tc>
          <w:tcPr>
            <w:tcW w:w="1040" w:type="dxa"/>
            <w:vAlign w:val="bottom"/>
          </w:tcPr>
          <w:p>
            <w:pPr>
              <w:ind w:left="80"/>
              <w:spacing w:after="0" w:line="156" w:lineRule="exact"/>
              <w:rPr>
                <w:sz w:val="20"/>
                <w:szCs w:val="20"/>
                <w:color w:val="auto"/>
              </w:rPr>
            </w:pPr>
            <w:r>
              <w:rPr>
                <w:rFonts w:ascii="Arial" w:cs="Arial" w:eastAsia="Arial" w:hAnsi="Arial"/>
                <w:sz w:val="17"/>
                <w:szCs w:val="17"/>
                <w:b w:val="1"/>
                <w:bCs w:val="1"/>
                <w:color w:val="auto"/>
              </w:rPr>
              <w:t>July 31,</w:t>
            </w:r>
          </w:p>
        </w:tc>
        <w:tc>
          <w:tcPr>
            <w:tcW w:w="260" w:type="dxa"/>
            <w:vAlign w:val="bottom"/>
          </w:tcPr>
          <w:p>
            <w:pPr>
              <w:spacing w:after="0"/>
              <w:rPr>
                <w:sz w:val="13"/>
                <w:szCs w:val="13"/>
                <w:color w:val="auto"/>
              </w:rPr>
            </w:pPr>
          </w:p>
        </w:tc>
        <w:tc>
          <w:tcPr>
            <w:tcW w:w="1020" w:type="dxa"/>
            <w:vAlign w:val="bottom"/>
          </w:tcPr>
          <w:p>
            <w:pPr>
              <w:jc w:val="center"/>
              <w:ind w:right="3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2020</w:t>
            </w: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r>
      <w:tr>
        <w:trPr>
          <w:trHeight w:val="183"/>
        </w:trPr>
        <w:tc>
          <w:tcPr>
            <w:tcW w:w="23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Exercised</w:t>
            </w:r>
          </w:p>
        </w:tc>
        <w:tc>
          <w:tcPr>
            <w:tcW w:w="2280" w:type="dxa"/>
            <w:vAlign w:val="bottom"/>
            <w:tcBorders>
              <w:bottom w:val="single" w:sz="8" w:color="auto"/>
            </w:tcBorders>
            <w:shd w:val="clear" w:color="auto" w:fill="CCEEFF"/>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ind w:left="780"/>
              <w:spacing w:after="0" w:line="1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ind w:left="800"/>
              <w:spacing w:after="0" w:line="183" w:lineRule="exact"/>
              <w:rPr>
                <w:sz w:val="20"/>
                <w:szCs w:val="20"/>
                <w:color w:val="auto"/>
              </w:rPr>
            </w:pPr>
            <w:r>
              <w:rPr>
                <w:rFonts w:ascii="Arial" w:cs="Arial" w:eastAsia="Arial" w:hAnsi="Arial"/>
                <w:sz w:val="17"/>
                <w:szCs w:val="17"/>
                <w:color w:val="auto"/>
              </w:rPr>
              <w:t>—</w:t>
            </w: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spacing w:after="0" w:line="191"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Twenty-six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7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176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315"/>
              <w:spacing w:after="0" w:line="183" w:lineRule="exact"/>
              <w:rPr>
                <w:sz w:val="20"/>
                <w:szCs w:val="20"/>
                <w:color w:val="auto"/>
              </w:rPr>
            </w:pPr>
            <w:r>
              <w:rPr>
                <w:rFonts w:ascii="Arial" w:cs="Arial" w:eastAsia="Arial" w:hAnsi="Arial"/>
                <w:sz w:val="17"/>
                <w:szCs w:val="17"/>
                <w:b w:val="1"/>
                <w:bCs w:val="1"/>
                <w:color w:val="auto"/>
              </w:rPr>
              <w:t>July 31, 2021</w:t>
            </w:r>
          </w:p>
        </w:tc>
        <w:tc>
          <w:tcPr>
            <w:tcW w:w="34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rPr>
              <w:t>August 1, 2020</w:t>
            </w:r>
          </w:p>
        </w:tc>
      </w:tr>
      <w:tr>
        <w:trPr>
          <w:trHeight w:val="182"/>
        </w:trPr>
        <w:tc>
          <w:tcPr>
            <w:tcW w:w="3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w:t>
            </w:r>
          </w:p>
        </w:tc>
        <w:tc>
          <w:tcPr>
            <w:tcW w:w="176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5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40</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w:t>
            </w:r>
          </w:p>
        </w:tc>
      </w:tr>
      <w:tr>
        <w:trPr>
          <w:trHeight w:val="189"/>
        </w:trPr>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17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20</w:t>
            </w:r>
          </w:p>
        </w:tc>
        <w:tc>
          <w:tcPr>
            <w:tcW w:w="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bl>
    <w:p>
      <w:pPr>
        <w:spacing w:after="0" w:line="21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As of July 31, 2021, there was $4 million of total unrecognized compensation cost related to nonvested stock options which is expected to be recognized over a remaining weighted-average period of 1.6 years.</w:t>
      </w: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information about stock options outstanding and exercisable at July 31, 2021:</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7"/>
                <w:szCs w:val="17"/>
                <w:b w:val="1"/>
                <w:bCs w:val="1"/>
                <w:color w:val="auto"/>
              </w:rPr>
              <w:t>Options Outstanding</w:t>
            </w:r>
          </w:p>
        </w:tc>
        <w:tc>
          <w:tcPr>
            <w:tcW w:w="27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rPr>
              <w:t>Options Exercisable</w:t>
            </w:r>
          </w:p>
        </w:tc>
      </w:tr>
      <w:tr>
        <w:trPr>
          <w:trHeight w:val="156"/>
        </w:trPr>
        <w:tc>
          <w:tcPr>
            <w:tcW w:w="1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jc w:val="center"/>
              <w:ind w:left="15"/>
              <w:spacing w:after="0" w:line="156" w:lineRule="exact"/>
              <w:rPr>
                <w:sz w:val="20"/>
                <w:szCs w:val="20"/>
                <w:color w:val="auto"/>
              </w:rPr>
            </w:pPr>
            <w:r>
              <w:rPr>
                <w:rFonts w:ascii="Arial" w:cs="Arial" w:eastAsia="Arial" w:hAnsi="Arial"/>
                <w:sz w:val="17"/>
                <w:szCs w:val="17"/>
                <w:b w:val="1"/>
                <w:bCs w:val="1"/>
                <w:color w:val="auto"/>
                <w:w w:val="99"/>
              </w:rPr>
              <w:t>Weighted-</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8"/>
              </w:rPr>
              <w:t>Average</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w w:val="99"/>
              </w:rPr>
              <w:t>Weighted-</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Remaining</w:t>
            </w:r>
          </w:p>
        </w:tc>
        <w:tc>
          <w:tcPr>
            <w:tcW w:w="300" w:type="dxa"/>
            <w:vAlign w:val="bottom"/>
          </w:tcPr>
          <w:p>
            <w:pPr>
              <w:spacing w:after="0"/>
              <w:rPr>
                <w:sz w:val="16"/>
                <w:szCs w:val="16"/>
                <w:color w:val="auto"/>
              </w:rPr>
            </w:pPr>
          </w:p>
        </w:tc>
        <w:tc>
          <w:tcPr>
            <w:tcW w:w="1240" w:type="dxa"/>
            <w:vAlign w:val="bottom"/>
          </w:tcPr>
          <w:p>
            <w:pPr>
              <w:jc w:val="center"/>
              <w:ind w:right="195"/>
              <w:spacing w:after="0" w:line="189" w:lineRule="exact"/>
              <w:rPr>
                <w:sz w:val="20"/>
                <w:szCs w:val="20"/>
                <w:color w:val="auto"/>
              </w:rPr>
            </w:pPr>
            <w:r>
              <w:rPr>
                <w:rFonts w:ascii="Arial" w:cs="Arial" w:eastAsia="Arial" w:hAnsi="Arial"/>
                <w:sz w:val="17"/>
                <w:szCs w:val="17"/>
                <w:b w:val="1"/>
                <w:bCs w:val="1"/>
                <w:color w:val="auto"/>
              </w:rPr>
              <w:t>Average</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Range of Exercise</w:t>
            </w:r>
          </w:p>
        </w:tc>
        <w:tc>
          <w:tcPr>
            <w:tcW w:w="144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Number</w:t>
            </w:r>
          </w:p>
        </w:tc>
        <w:tc>
          <w:tcPr>
            <w:tcW w:w="136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Contractual</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rPr>
              <w:t>Exercise</w:t>
            </w:r>
          </w:p>
        </w:tc>
        <w:tc>
          <w:tcPr>
            <w:tcW w:w="126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Number</w:t>
            </w: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Prices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Outstanding</w:t>
            </w:r>
          </w:p>
        </w:tc>
        <w:tc>
          <w:tcPr>
            <w:tcW w:w="136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9"/>
              </w:rPr>
              <w:t>Life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rPr>
              <w:t>Price</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Exercisable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Price</w:t>
            </w:r>
          </w:p>
        </w:tc>
      </w:tr>
      <w:tr>
        <w:trPr>
          <w:trHeight w:val="183"/>
        </w:trPr>
        <w:tc>
          <w:tcPr>
            <w:tcW w:w="1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00" w:type="dxa"/>
            <w:vAlign w:val="bottom"/>
            <w:gridSpan w:val="5"/>
          </w:tcPr>
          <w:p>
            <w:pPr>
              <w:jc w:val="right"/>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c>
          <w:tcPr>
            <w:tcW w:w="1100" w:type="dxa"/>
            <w:vAlign w:val="bottom"/>
          </w:tcPr>
          <w:p>
            <w:pPr>
              <w:spacing w:after="0"/>
              <w:rPr>
                <w:sz w:val="15"/>
                <w:szCs w:val="15"/>
                <w:color w:val="auto"/>
              </w:rPr>
            </w:pP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$21.60 - $34.24</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981</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6.9</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23.49</w:t>
            </w: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444</w:t>
            </w:r>
          </w:p>
        </w:tc>
        <w:tc>
          <w:tcPr>
            <w:tcW w:w="3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25.76</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color w:val="auto"/>
              </w:rPr>
              <w:t>$34.75 - $52.13</w:t>
            </w: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504</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4.5</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44.41</w:t>
            </w:r>
          </w:p>
        </w:tc>
        <w:tc>
          <w:tcPr>
            <w:tcW w:w="12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496</w:t>
            </w:r>
          </w:p>
        </w:tc>
        <w:tc>
          <w:tcPr>
            <w:tcW w:w="3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44.42</w:t>
            </w:r>
          </w:p>
        </w:tc>
      </w:tr>
      <w:tr>
        <w:trPr>
          <w:trHeight w:val="189"/>
        </w:trPr>
        <w:tc>
          <w:tcPr>
            <w:tcW w:w="18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$52.82 - $79.23</w:t>
            </w: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1,814</w:t>
            </w:r>
          </w:p>
        </w:tc>
        <w:tc>
          <w:tcPr>
            <w:tcW w:w="13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4.9</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63.36</w:t>
            </w:r>
          </w:p>
        </w:tc>
        <w:tc>
          <w:tcPr>
            <w:tcW w:w="12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1,557</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64.69</w:t>
            </w:r>
          </w:p>
        </w:tc>
      </w:tr>
      <w:tr>
        <w:trPr>
          <w:trHeight w:val="183"/>
        </w:trPr>
        <w:tc>
          <w:tcPr>
            <w:tcW w:w="18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3,299</w:t>
            </w:r>
          </w:p>
        </w:tc>
        <w:tc>
          <w:tcPr>
            <w:tcW w:w="13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5.5</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48.61</w:t>
            </w:r>
          </w:p>
        </w:tc>
        <w:tc>
          <w:tcPr>
            <w:tcW w:w="12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2,497</w:t>
            </w:r>
          </w:p>
        </w:tc>
        <w:tc>
          <w:tcPr>
            <w:tcW w:w="3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53.74</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 and Performance Stock Units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Restricted stock units (“RSU”) are awarded to certain officers, key employees of the Company, and nonemployee directors. Additionally, performance stock units (“PSU”) are awarded to certain officers and key employees. Each RSU and PSU represents the right to receive one share of our common stock provided that the applicable performance and vesting conditions are satisfied.</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in connection with the relevant performance period and vest after an additional one-year period. No dividends are paid or accumulated on any RSU or PSU awards. Compensation expense is recognized using the market value at the date of grant and is amortized over the vesting period. RSU and PSU activity for the twenty-six weeks ended July 31, 2021 is summarized as follows:</w:t>
      </w:r>
    </w:p>
    <w:tbl>
      <w:tblPr>
        <w:tblLayout w:type="fixed"/>
        <w:tblInd w:w="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jc w:val="center"/>
              <w:ind w:left="15"/>
              <w:spacing w:after="0" w:line="170" w:lineRule="exact"/>
              <w:rPr>
                <w:sz w:val="20"/>
                <w:szCs w:val="20"/>
                <w:color w:val="auto"/>
              </w:rPr>
            </w:pPr>
            <w:r>
              <w:rPr>
                <w:rFonts w:ascii="Arial" w:cs="Arial" w:eastAsia="Arial" w:hAnsi="Arial"/>
                <w:sz w:val="17"/>
                <w:szCs w:val="17"/>
                <w:b w:val="1"/>
                <w:bCs w:val="1"/>
                <w:color w:val="auto"/>
                <w:w w:val="99"/>
              </w:rPr>
              <w:t>Weighted-Average</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Remaining</w:t>
            </w:r>
          </w:p>
        </w:tc>
        <w:tc>
          <w:tcPr>
            <w:tcW w:w="154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Contractual</w:t>
            </w:r>
          </w:p>
        </w:tc>
        <w:tc>
          <w:tcPr>
            <w:tcW w:w="220" w:type="dxa"/>
            <w:vAlign w:val="bottom"/>
          </w:tcPr>
          <w:p>
            <w:pPr>
              <w:spacing w:after="0"/>
              <w:rPr>
                <w:sz w:val="16"/>
                <w:szCs w:val="16"/>
                <w:color w:val="auto"/>
              </w:rPr>
            </w:pPr>
          </w:p>
        </w:tc>
        <w:tc>
          <w:tcPr>
            <w:tcW w:w="1320" w:type="dxa"/>
            <w:vAlign w:val="bottom"/>
          </w:tcPr>
          <w:p>
            <w:pPr>
              <w:jc w:val="right"/>
              <w:ind w:right="25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2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20" w:type="dxa"/>
            <w:vAlign w:val="bottom"/>
          </w:tcPr>
          <w:p>
            <w:pPr>
              <w:jc w:val="center"/>
              <w:ind w:left="15"/>
              <w:spacing w:after="0" w:line="183" w:lineRule="exact"/>
              <w:rPr>
                <w:sz w:val="20"/>
                <w:szCs w:val="20"/>
                <w:color w:val="auto"/>
              </w:rPr>
            </w:pPr>
            <w:r>
              <w:rPr>
                <w:rFonts w:ascii="Arial" w:cs="Arial" w:eastAsia="Arial" w:hAnsi="Arial"/>
                <w:sz w:val="17"/>
                <w:szCs w:val="17"/>
                <w:color w:val="auto"/>
              </w:rPr>
              <w:t>(in years)</w:t>
            </w:r>
          </w:p>
        </w:tc>
        <w:tc>
          <w:tcPr>
            <w:tcW w:w="220" w:type="dxa"/>
            <w:vAlign w:val="bottom"/>
          </w:tcPr>
          <w:p>
            <w:pPr>
              <w:spacing w:after="0"/>
              <w:rPr>
                <w:sz w:val="15"/>
                <w:szCs w:val="15"/>
                <w:color w:val="auto"/>
              </w:rPr>
            </w:pPr>
          </w:p>
        </w:tc>
        <w:tc>
          <w:tcPr>
            <w:tcW w:w="1320" w:type="dxa"/>
            <w:vAlign w:val="bottom"/>
          </w:tcPr>
          <w:p>
            <w:pPr>
              <w:jc w:val="right"/>
              <w:ind w:right="13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1,348</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424</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54.20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(503)</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240</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1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(39)</w:t>
            </w:r>
          </w:p>
        </w:tc>
        <w:tc>
          <w:tcPr>
            <w:tcW w:w="16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July 31, 2021</w:t>
            </w: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1,470</w:t>
            </w:r>
          </w:p>
        </w:tc>
        <w:tc>
          <w:tcPr>
            <w:tcW w:w="16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2.0</w:t>
            </w: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43.54</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64</w:t>
            </w:r>
          </w:p>
        </w:tc>
        <w:tc>
          <w:tcPr>
            <w:tcW w:w="1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80" w:right="79" w:hanging="330"/>
        <w:spacing w:after="0" w:line="258"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represents adjustments made to PSUs and reflect changes in estimates based upon our current performance against predefined financial targets.</w:t>
      </w:r>
    </w:p>
    <w:p>
      <w:pPr>
        <w:spacing w:after="0" w:line="18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total value of awards that vested during the twenty-six weeks ended July 31, 2021 and August 1, 2020 was $22 million and $4 million, respectively. As of July 31, 2021, there was $45 million of total unrecognized compensation cost related to nonvested awards.</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183451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0" w:right="819" w:firstLine="767"/>
        <w:spacing w:after="0" w:line="490" w:lineRule="auto"/>
        <w:rPr>
          <w:sz w:val="20"/>
          <w:szCs w:val="20"/>
          <w:color w:val="auto"/>
        </w:rPr>
      </w:pPr>
      <w:r>
        <w:rPr>
          <w:rFonts w:ascii="Arial" w:cs="Arial" w:eastAsia="Arial" w:hAnsi="Arial"/>
          <w:sz w:val="18"/>
          <w:szCs w:val="18"/>
          <w:b w:val="1"/>
          <w:bCs w:val="1"/>
          <w:color w:val="auto"/>
        </w:rPr>
        <w:t>NOTES TO THE UNAUDITED CONDENSED CONSOLIDATED FINANCIAL STATEMENTS 14. Legal Proceedings</w:t>
      </w:r>
    </w:p>
    <w:p>
      <w:pPr>
        <w:jc w:val="both"/>
        <w:ind w:left="60" w:right="59"/>
        <w:spacing w:after="0" w:line="238"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Subsequent Events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 of WSS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August 1, 2021, we signed a definitive agreement to acquire Eurostar, Inc., a Delaware corporation (“WSS”). WSS is a U.S.-based athletic footwear and apparel retailer, which operates 93 stores primarily on the West Coast. Following the transaction, WSS will maintain its name, operating as a new banner in our portfolio. The aggregate consideration in the transaction will consist of $750 million in cash, subject to customary adjustments to reflect changes in net working capital, cash, indebtedness, and transaction expenses. The transaction will be funded with available cash. The transaction is currently expected to close in September 2021, subject to the expiration or termination of the applicable waiting period under the Hart-Scott-Rodino Antitrust Improvements Act of 1976, as amended, and the satisfaction of customary closing conditions.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 of atmos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August 2, 2021, we announced that we entered into a definitive agreement to acquire Text Trading Company, K.K. (“atmos”), which owns and licenses the atmos brand, a digitally led, premium, global retailer headquartered in Japan. atmos is a culturally connected brand featuring premium sneakers and apparel, an exclusive in-house label, collaborative relationships with leading vendors in the sneaker ecosystem, experiential stores, and a robust omni-channel platform. The purchase price is $360 million and additional contingent consideration of up to $111 million based on achieving certain revenue growth and EBITDA performance targets. The transaction will be funded with the Company’s available cash. atmos will maintain its name, operating as a new banner in our portfolio. The transaction is currently expected to close early in the fourth quarter of 2021, subject to the satisfaction of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Foot Locker, Inc. leads the celebration of sneaker and youth culture around the globe through a portfolio of banners including Foot Locker, Lady Foot Locker, Kids Foot Locker, Champs Sports, Eastbay, Footaction, and Sidestep. Foot Locker, Inc. and its subsidiaries hereafter are referred to as the “Company,” “we,” “our,” or “us.” We operate primarily mall-based stores, as well as stores in high-traffic urban retail areas and high streets, in 27 countries including the United States, Canada, Europe, Australia, New Zealand, and Asia. Our purpose is to inspire and empower youth culture around the world, by fueling a shared passion for self-expression and creating unrivaled experiences at the heart of the global sneaker community.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use our omni-channel capabilities to bridge the digital world and physical stores, including order-in-store, buy online and pickup-in-store, and buy online and ship-from-store, as well as e-commerce. We operate websites and mobile apps aligned with the names of our store banners (including: footlocker.com, kidsfootlocker.com, champssports.com, footaction.com, footlocker.ca, footlocker.eu and related e-commerce sites in the various European countries that we operate, footlocker.com.au, footlocker.nz, sidestep-shoes.de, side-stepshoes.nl, footlocker.hk, footlocker.sg, footlocker.mo, footlocker.my, and footlockerkorea.kr). These sites offer some of the largest online product selections and provide a seamless link between e-commerce and physical stores. We also operate the websites for eastbay.com and eastbayteamsales.com.</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At July 31, 2021, we operated 2,911 stores as compared with 2,998 and 3,100 stores at January 30, 2021 and August 1, 2020, respectively.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 total of 134 franchised stores were operating at July 31, 2021, as compared with 127 and 138 stores at January 30, 2021 and August 1, 2020, respectively. Revenue from franchised stores was not significant for any of the periods presented. These stores are not included in the operating store count above.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Update</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March 2020, the World Health Organization designated COVID-19 a pandemic. COVID-19 had a significant effect on overall economic conditions in the various geographic areas in which we have operations. Our top priority is to protect our team members and their families, our customers, and our operations. We have made best efforts to comply with all precautionary measures as directed by health authorities and local, state, and national governments.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Beginning in March 2020 and through the remainder of the first quarter of 2020, we temporarily closed substantially all of our retail store locations in response to governmental orders related to the COVID-19 outbreak. Throughout 2020, the pandemic and the shelter in place orders negatively affected customer traffic into the stores that were operating, and certain stores required additional closures during the remainder of the year. For the second quarter of this year, we operated approximately 94 percent of the possible operating days, as compared with 70 percent in the second quarter of 2020. Our stores in Canada, Sidestep stores and our stores operating in Australia were adversely affected during the second quarter. Our distribution centers have been operating relatively unaffected during this time. In order to mitigate the effects of the temporary closures, we have been operating in-store fulfillment activities while stores were closed to customers. Given the dynamic nature of these circumstances, the duration of business disruption, reduced customer traffic in our stores, and potential effects related to evolving safety protocols and requirements for proof of vaccination, the related financial effect cannot be reasonably estimated at this time but may materially affect our business for the remainder of 2021.</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reporting our financial results in accordance with U.S. generally accepted accounting principles (“GAAP”), we report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16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16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of the respective items. The income tax items represent the discrete amount that affected the period. The non-GAAP financial information is provided in addition to, and not as an alternative to, our reported results prepared in accordance with GAAP. Presented below is a reconciliation of GAAP and non-GAAP.</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275"/>
              <w:spacing w:after="0" w:line="156" w:lineRule="exact"/>
              <w:rPr>
                <w:sz w:val="20"/>
                <w:szCs w:val="20"/>
                <w:color w:val="auto"/>
              </w:rPr>
            </w:pPr>
            <w:r>
              <w:rPr>
                <w:rFonts w:ascii="Arial" w:cs="Arial" w:eastAsia="Arial" w:hAnsi="Arial"/>
                <w:sz w:val="17"/>
                <w:szCs w:val="17"/>
                <w:b w:val="1"/>
                <w:bCs w:val="1"/>
                <w:color w:val="auto"/>
              </w:rPr>
              <w:t>July 31,</w:t>
            </w:r>
          </w:p>
        </w:tc>
        <w:tc>
          <w:tcPr>
            <w:tcW w:w="240" w:type="dxa"/>
            <w:vAlign w:val="bottom"/>
          </w:tcPr>
          <w:p>
            <w:pPr>
              <w:spacing w:after="0"/>
              <w:rPr>
                <w:sz w:val="13"/>
                <w:szCs w:val="13"/>
                <w:color w:val="auto"/>
              </w:rPr>
            </w:pPr>
          </w:p>
        </w:tc>
        <w:tc>
          <w:tcPr>
            <w:tcW w:w="1100" w:type="dxa"/>
            <w:vAlign w:val="bottom"/>
          </w:tcPr>
          <w:p>
            <w:pPr>
              <w:jc w:val="right"/>
              <w:ind w:right="195"/>
              <w:spacing w:after="0" w:line="156" w:lineRule="exact"/>
              <w:rPr>
                <w:sz w:val="20"/>
                <w:szCs w:val="20"/>
                <w:color w:val="auto"/>
              </w:rPr>
            </w:pPr>
            <w:r>
              <w:rPr>
                <w:rFonts w:ascii="Arial" w:cs="Arial" w:eastAsia="Arial" w:hAnsi="Arial"/>
                <w:sz w:val="17"/>
                <w:szCs w:val="17"/>
                <w:b w:val="1"/>
                <w:bCs w:val="1"/>
                <w:color w:val="auto"/>
              </w:rPr>
              <w:t>August 1,</w:t>
            </w:r>
          </w:p>
        </w:tc>
        <w:tc>
          <w:tcPr>
            <w:tcW w:w="280" w:type="dxa"/>
            <w:vAlign w:val="bottom"/>
          </w:tcPr>
          <w:p>
            <w:pPr>
              <w:spacing w:after="0"/>
              <w:rPr>
                <w:sz w:val="13"/>
                <w:szCs w:val="13"/>
                <w:color w:val="auto"/>
              </w:rPr>
            </w:pPr>
          </w:p>
        </w:tc>
        <w:tc>
          <w:tcPr>
            <w:tcW w:w="1080" w:type="dxa"/>
            <w:vAlign w:val="bottom"/>
          </w:tcPr>
          <w:p>
            <w:pPr>
              <w:ind w:left="80"/>
              <w:spacing w:after="0" w:line="156" w:lineRule="exact"/>
              <w:rPr>
                <w:sz w:val="20"/>
                <w:szCs w:val="20"/>
                <w:color w:val="auto"/>
              </w:rPr>
            </w:pPr>
            <w:r>
              <w:rPr>
                <w:rFonts w:ascii="Arial" w:cs="Arial" w:eastAsia="Arial" w:hAnsi="Arial"/>
                <w:sz w:val="17"/>
                <w:szCs w:val="17"/>
                <w:b w:val="1"/>
                <w:bCs w:val="1"/>
                <w:color w:val="auto"/>
              </w:rPr>
              <w:t>July 31,</w:t>
            </w:r>
          </w:p>
        </w:tc>
        <w:tc>
          <w:tcPr>
            <w:tcW w:w="240" w:type="dxa"/>
            <w:vAlign w:val="bottom"/>
          </w:tcPr>
          <w:p>
            <w:pPr>
              <w:spacing w:after="0"/>
              <w:rPr>
                <w:sz w:val="13"/>
                <w:szCs w:val="13"/>
                <w:color w:val="auto"/>
              </w:rPr>
            </w:pPr>
          </w:p>
        </w:tc>
        <w:tc>
          <w:tcPr>
            <w:tcW w:w="102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rPr>
              <w:t>August 1,</w:t>
            </w:r>
          </w:p>
        </w:tc>
        <w:tc>
          <w:tcPr>
            <w:tcW w:w="0" w:type="dxa"/>
            <w:vAlign w:val="bottom"/>
          </w:tcPr>
          <w:p>
            <w:pPr>
              <w:spacing w:after="0"/>
              <w:rPr>
                <w:sz w:val="1"/>
                <w:szCs w:val="1"/>
                <w:color w:val="auto"/>
              </w:rPr>
            </w:pPr>
          </w:p>
        </w:tc>
      </w:tr>
      <w:tr>
        <w:trPr>
          <w:trHeight w:val="215"/>
        </w:trPr>
        <w:tc>
          <w:tcPr>
            <w:tcW w:w="356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300" w:type="dxa"/>
            <w:vAlign w:val="bottom"/>
          </w:tcPr>
          <w:p>
            <w:pPr>
              <w:spacing w:after="0"/>
              <w:rPr>
                <w:sz w:val="18"/>
                <w:szCs w:val="18"/>
                <w:color w:val="auto"/>
              </w:rPr>
            </w:pPr>
          </w:p>
        </w:tc>
        <w:tc>
          <w:tcPr>
            <w:tcW w:w="1080" w:type="dxa"/>
            <w:vAlign w:val="bottom"/>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1100" w:type="dxa"/>
            <w:vAlign w:val="bottom"/>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280" w:type="dxa"/>
            <w:vAlign w:val="bottom"/>
          </w:tcPr>
          <w:p>
            <w:pPr>
              <w:spacing w:after="0"/>
              <w:rPr>
                <w:sz w:val="18"/>
                <w:szCs w:val="18"/>
                <w:color w:val="auto"/>
              </w:rPr>
            </w:pPr>
          </w:p>
        </w:tc>
        <w:tc>
          <w:tcPr>
            <w:tcW w:w="1080" w:type="dxa"/>
            <w:vAlign w:val="bottom"/>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Pre-tax income:</w:t>
            </w: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Income (loss) before income taxes</w:t>
            </w: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587</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70</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871</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Pre-tax amounts excluded from GAAP:</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30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36</w:t>
            </w:r>
          </w:p>
        </w:tc>
        <w:tc>
          <w:tcPr>
            <w:tcW w:w="24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38</w:t>
            </w:r>
          </w:p>
        </w:tc>
        <w:tc>
          <w:tcPr>
            <w:tcW w:w="28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40</w:t>
            </w: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Other income, net</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(303)</w:t>
            </w: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(303)</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spacing w:after="0" w:line="176" w:lineRule="exact"/>
              <w:rPr>
                <w:sz w:val="20"/>
                <w:szCs w:val="20"/>
                <w:color w:val="auto"/>
              </w:rPr>
            </w:pPr>
            <w:r>
              <w:rPr>
                <w:rFonts w:ascii="Arial" w:cs="Arial" w:eastAsia="Arial" w:hAnsi="Arial"/>
                <w:sz w:val="17"/>
                <w:szCs w:val="17"/>
                <w:color w:val="auto"/>
              </w:rPr>
              <w:t>Adjusted income before income taxes (non-</w:t>
            </w:r>
          </w:p>
        </w:tc>
        <w:tc>
          <w:tcPr>
            <w:tcW w:w="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320</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608</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GAAP)</w:t>
            </w:r>
          </w:p>
        </w:tc>
        <w:tc>
          <w:tcPr>
            <w:tcW w:w="30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108</w:t>
            </w:r>
          </w:p>
        </w:tc>
        <w:tc>
          <w:tcPr>
            <w:tcW w:w="2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(loss)</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430</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45</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632</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color w:val="auto"/>
              </w:rPr>
              <w:t>Impairment and other charges, net of</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income tax benefit of $9, $6, $10, and $9</w:t>
            </w: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27</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30</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million, respectively</w:t>
            </w:r>
          </w:p>
        </w:tc>
        <w:tc>
          <w:tcPr>
            <w:tcW w:w="3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32</w:t>
            </w:r>
          </w:p>
        </w:tc>
        <w:tc>
          <w:tcPr>
            <w:tcW w:w="2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tcPr>
          <w:p>
            <w:pPr>
              <w:ind w:left="200"/>
              <w:spacing w:after="0" w:line="183" w:lineRule="exact"/>
              <w:rPr>
                <w:sz w:val="20"/>
                <w:szCs w:val="20"/>
                <w:color w:val="auto"/>
              </w:rPr>
            </w:pPr>
            <w:r>
              <w:rPr>
                <w:rFonts w:ascii="Arial" w:cs="Arial" w:eastAsia="Arial" w:hAnsi="Arial"/>
                <w:sz w:val="17"/>
                <w:szCs w:val="17"/>
                <w:color w:val="auto"/>
              </w:rPr>
              <w:t>Other income, net - net of income tax</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ind w:left="200"/>
              <w:spacing w:after="0" w:line="189" w:lineRule="exact"/>
              <w:rPr>
                <w:sz w:val="20"/>
                <w:szCs w:val="20"/>
                <w:color w:val="auto"/>
              </w:rPr>
            </w:pPr>
            <w:r>
              <w:rPr>
                <w:rFonts w:ascii="Arial" w:cs="Arial" w:eastAsia="Arial" w:hAnsi="Arial"/>
                <w:sz w:val="17"/>
                <w:szCs w:val="17"/>
                <w:color w:val="auto"/>
              </w:rPr>
              <w:t>expense of $79, $-, $79, and $- million,</w:t>
            </w:r>
          </w:p>
        </w:tc>
        <w:tc>
          <w:tcPr>
            <w:tcW w:w="300" w:type="dxa"/>
            <w:vAlign w:val="bottom"/>
          </w:tcPr>
          <w:p>
            <w:pPr>
              <w:spacing w:after="0"/>
              <w:rPr>
                <w:sz w:val="16"/>
                <w:szCs w:val="16"/>
                <w:color w:val="auto"/>
              </w:rPr>
            </w:pPr>
          </w:p>
        </w:tc>
        <w:tc>
          <w:tcPr>
            <w:tcW w:w="10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(224)</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(224)</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Pr>
          <w:p>
            <w:pPr>
              <w:ind w:left="200"/>
              <w:spacing w:after="0"/>
              <w:rPr>
                <w:sz w:val="20"/>
                <w:szCs w:val="20"/>
                <w:color w:val="auto"/>
              </w:rPr>
            </w:pPr>
            <w:r>
              <w:rPr>
                <w:rFonts w:ascii="Arial" w:cs="Arial" w:eastAsia="Arial" w:hAnsi="Arial"/>
                <w:sz w:val="17"/>
                <w:szCs w:val="17"/>
                <w:color w:val="auto"/>
              </w:rPr>
              <w:t>respectively</w:t>
            </w: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color w:val="auto"/>
              </w:rPr>
              <w:t>Tax charge related to revaluation of certain</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intellectual property rights</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Adjusted net income (non-GAAP)</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233</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75</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438</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earnings (loss) per share</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4.09</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0.43</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6.02</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Diluted EPS amounts excluded from GAAP:</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0.25</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0.30</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0.28</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ind w:left="200"/>
              <w:spacing w:after="0" w:line="189" w:lineRule="exact"/>
              <w:rPr>
                <w:sz w:val="20"/>
                <w:szCs w:val="20"/>
                <w:color w:val="auto"/>
              </w:rPr>
            </w:pPr>
            <w:r>
              <w:rPr>
                <w:rFonts w:ascii="Arial" w:cs="Arial" w:eastAsia="Arial" w:hAnsi="Arial"/>
                <w:sz w:val="17"/>
                <w:szCs w:val="17"/>
                <w:color w:val="auto"/>
              </w:rPr>
              <w:t>Other income, net</w:t>
            </w:r>
          </w:p>
        </w:tc>
        <w:tc>
          <w:tcPr>
            <w:tcW w:w="30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(2.13)</w:t>
            </w:r>
          </w:p>
        </w:tc>
        <w:tc>
          <w:tcPr>
            <w:tcW w:w="24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(2.13)</w:t>
            </w: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color w:val="auto"/>
              </w:rPr>
              <w:t>Tax charge related to revaluation of certain</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intellectual property rights</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(0.02)</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spacing w:after="0" w:line="176" w:lineRule="exact"/>
              <w:rPr>
                <w:sz w:val="20"/>
                <w:szCs w:val="20"/>
                <w:color w:val="auto"/>
              </w:rPr>
            </w:pPr>
            <w:r>
              <w:rPr>
                <w:rFonts w:ascii="Arial" w:cs="Arial" w:eastAsia="Arial" w:hAnsi="Arial"/>
                <w:sz w:val="17"/>
                <w:szCs w:val="17"/>
                <w:color w:val="auto"/>
              </w:rPr>
              <w:t>Adjusted diluted earnings per share (non-</w:t>
            </w:r>
          </w:p>
        </w:tc>
        <w:tc>
          <w:tcPr>
            <w:tcW w:w="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2.21</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4.17</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GAAP)</w:t>
            </w:r>
          </w:p>
        </w:tc>
        <w:tc>
          <w:tcPr>
            <w:tcW w:w="3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0.71</w:t>
            </w:r>
          </w:p>
        </w:tc>
        <w:tc>
          <w:tcPr>
            <w:tcW w:w="2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2021 Form 10-Q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 xml:space="preserve">During the thirteen weeks and twenty-six weeks ended July 31, 2021, we recorded pre-tax charges of $36 million and $40 million, respectively, classified as Impairment and Other. See the </w:t>
      </w:r>
      <w:r>
        <w:rPr>
          <w:rFonts w:ascii="Arial" w:cs="Arial" w:eastAsia="Arial" w:hAnsi="Arial"/>
          <w:sz w:val="18"/>
          <w:szCs w:val="18"/>
          <w:i w:val="1"/>
          <w:iCs w:val="1"/>
          <w:color w:val="auto"/>
        </w:rPr>
        <w:t>Impairment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Charges </w:t>
      </w:r>
      <w:r>
        <w:rPr>
          <w:rFonts w:ascii="Arial" w:cs="Arial" w:eastAsia="Arial" w:hAnsi="Arial"/>
          <w:sz w:val="18"/>
          <w:szCs w:val="18"/>
          <w:color w:val="auto"/>
        </w:rPr>
        <w:t>section for further information.</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During the thirteen and twenty-six weeks ended July 31, 2021, we recorded non-cash gains of $303 million, or $224 million after-tax, classified in other income, net. One of our minority investments, GOAT, which is measured using the fair value measurement alternative, received additional funding at a higher valuation resulting in a $290 million fair value adjustment. Additionally, during the quarter, we acquired a minority stake in a public entity at an initial discount of $9 million. Due to the infrequent and nonrecurring nature of the gain and discount, respectively, the income was removed to arrive to non-GAAP earnings. Finally, other income includes $4 million related to our insurance recovery from the 2020 social unrest, which is the amount by which the recovery exceeded the book value losses previously recorded.</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Related to the non-GAAP adjustments for income taxes, during the first half of 2020 we recorded a $25 million tax charge related to the revaluation of certain intellectual property rights, pursuant to a non-U.S. advance pricing agreement.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determined that we have three operating segments, North America, EMEA,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Sidestep, and Kids Foot Locker, including each of their related e-commerce businesses. Our Asia Pacific operating segment includes the results of Foot Locker and Kids Foot Locker and the related e-commerce businesses operating in Australia, New Zealand, and Asia. We have further aggregated these operating segments into one reportable segment based upon their shared customer base and similar economic characteristics.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expenses, non-operating income, and net interest (expense) income. The table below summarizes our results: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ind w:right="375"/>
              <w:spacing w:after="0" w:line="156" w:lineRule="exact"/>
              <w:rPr>
                <w:sz w:val="20"/>
                <w:szCs w:val="20"/>
                <w:color w:val="auto"/>
              </w:rPr>
            </w:pPr>
            <w:r>
              <w:rPr>
                <w:rFonts w:ascii="Arial" w:cs="Arial" w:eastAsia="Arial" w:hAnsi="Arial"/>
                <w:sz w:val="17"/>
                <w:szCs w:val="17"/>
                <w:b w:val="1"/>
                <w:bCs w:val="1"/>
                <w:color w:val="auto"/>
                <w:w w:val="99"/>
              </w:rPr>
              <w:t>July 31,</w:t>
            </w:r>
          </w:p>
        </w:tc>
        <w:tc>
          <w:tcPr>
            <w:tcW w:w="220" w:type="dxa"/>
            <w:vAlign w:val="bottom"/>
          </w:tcPr>
          <w:p>
            <w:pPr>
              <w:spacing w:after="0"/>
              <w:rPr>
                <w:sz w:val="13"/>
                <w:szCs w:val="13"/>
                <w:color w:val="auto"/>
              </w:rPr>
            </w:pPr>
          </w:p>
        </w:tc>
        <w:tc>
          <w:tcPr>
            <w:tcW w:w="1100" w:type="dxa"/>
            <w:vAlign w:val="bottom"/>
          </w:tcPr>
          <w:p>
            <w:pPr>
              <w:jc w:val="right"/>
              <w:ind w:right="195"/>
              <w:spacing w:after="0" w:line="156" w:lineRule="exact"/>
              <w:rPr>
                <w:sz w:val="20"/>
                <w:szCs w:val="20"/>
                <w:color w:val="auto"/>
              </w:rPr>
            </w:pPr>
            <w:r>
              <w:rPr>
                <w:rFonts w:ascii="Arial" w:cs="Arial" w:eastAsia="Arial" w:hAnsi="Arial"/>
                <w:sz w:val="17"/>
                <w:szCs w:val="17"/>
                <w:b w:val="1"/>
                <w:bCs w:val="1"/>
                <w:color w:val="auto"/>
              </w:rPr>
              <w:t>August 1,</w:t>
            </w:r>
          </w:p>
        </w:tc>
        <w:tc>
          <w:tcPr>
            <w:tcW w:w="260" w:type="dxa"/>
            <w:vAlign w:val="bottom"/>
          </w:tcPr>
          <w:p>
            <w:pPr>
              <w:spacing w:after="0"/>
              <w:rPr>
                <w:sz w:val="13"/>
                <w:szCs w:val="13"/>
                <w:color w:val="auto"/>
              </w:rPr>
            </w:pPr>
          </w:p>
        </w:tc>
        <w:tc>
          <w:tcPr>
            <w:tcW w:w="1080" w:type="dxa"/>
            <w:vAlign w:val="bottom"/>
          </w:tcPr>
          <w:p>
            <w:pPr>
              <w:ind w:left="80"/>
              <w:spacing w:after="0" w:line="156" w:lineRule="exact"/>
              <w:rPr>
                <w:sz w:val="20"/>
                <w:szCs w:val="20"/>
                <w:color w:val="auto"/>
              </w:rPr>
            </w:pPr>
            <w:r>
              <w:rPr>
                <w:rFonts w:ascii="Arial" w:cs="Arial" w:eastAsia="Arial" w:hAnsi="Arial"/>
                <w:sz w:val="17"/>
                <w:szCs w:val="17"/>
                <w:b w:val="1"/>
                <w:bCs w:val="1"/>
                <w:color w:val="auto"/>
              </w:rPr>
              <w:t>July 31,</w:t>
            </w:r>
          </w:p>
        </w:tc>
        <w:tc>
          <w:tcPr>
            <w:tcW w:w="240" w:type="dxa"/>
            <w:vAlign w:val="bottom"/>
          </w:tcPr>
          <w:p>
            <w:pPr>
              <w:spacing w:after="0"/>
              <w:rPr>
                <w:sz w:val="13"/>
                <w:szCs w:val="13"/>
                <w:color w:val="auto"/>
              </w:rPr>
            </w:pPr>
          </w:p>
        </w:tc>
        <w:tc>
          <w:tcPr>
            <w:tcW w:w="1020" w:type="dxa"/>
            <w:vAlign w:val="bottom"/>
          </w:tcPr>
          <w:p>
            <w:pPr>
              <w:jc w:val="right"/>
              <w:ind w:right="115"/>
              <w:spacing w:after="0" w:line="156" w:lineRule="exact"/>
              <w:rPr>
                <w:sz w:val="20"/>
                <w:szCs w:val="20"/>
                <w:color w:val="auto"/>
              </w:rPr>
            </w:pPr>
            <w:r>
              <w:rPr>
                <w:rFonts w:ascii="Arial" w:cs="Arial" w:eastAsia="Arial" w:hAnsi="Arial"/>
                <w:sz w:val="17"/>
                <w:szCs w:val="17"/>
                <w:b w:val="1"/>
                <w:bCs w:val="1"/>
                <w:color w:val="auto"/>
              </w:rPr>
              <w:t>August 1,</w:t>
            </w:r>
          </w:p>
        </w:tc>
        <w:tc>
          <w:tcPr>
            <w:tcW w:w="0" w:type="dxa"/>
            <w:vAlign w:val="bottom"/>
          </w:tcPr>
          <w:p>
            <w:pPr>
              <w:spacing w:after="0"/>
              <w:rPr>
                <w:sz w:val="1"/>
                <w:szCs w:val="1"/>
                <w:color w:val="auto"/>
              </w:rPr>
            </w:pPr>
          </w:p>
        </w:tc>
      </w:tr>
      <w:tr>
        <w:trPr>
          <w:trHeight w:val="215"/>
        </w:trPr>
        <w:tc>
          <w:tcPr>
            <w:tcW w:w="33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540" w:type="dxa"/>
            <w:vAlign w:val="bottom"/>
          </w:tcPr>
          <w:p>
            <w:pPr>
              <w:spacing w:after="0"/>
              <w:rPr>
                <w:sz w:val="18"/>
                <w:szCs w:val="18"/>
                <w:color w:val="auto"/>
              </w:rPr>
            </w:pPr>
          </w:p>
        </w:tc>
        <w:tc>
          <w:tcPr>
            <w:tcW w:w="1100" w:type="dxa"/>
            <w:vAlign w:val="bottom"/>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1100" w:type="dxa"/>
            <w:vAlign w:val="bottom"/>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18"/>
                <w:szCs w:val="18"/>
                <w:color w:val="auto"/>
              </w:rPr>
            </w:pPr>
          </w:p>
        </w:tc>
        <w:tc>
          <w:tcPr>
            <w:tcW w:w="1080" w:type="dxa"/>
            <w:vAlign w:val="bottom"/>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2,275</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2,077</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4,428</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3,253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54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332</w:t>
            </w:r>
          </w:p>
        </w:tc>
        <w:tc>
          <w:tcPr>
            <w:tcW w:w="22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125</w:t>
            </w:r>
          </w:p>
        </w:tc>
        <w:tc>
          <w:tcPr>
            <w:tcW w:w="26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647</w:t>
            </w: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36</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38</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40</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32</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18</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61</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(loss) from operations</w:t>
            </w: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264</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69</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546</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54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220" w:type="dxa"/>
            <w:vAlign w:val="bottom"/>
          </w:tcPr>
          <w:p>
            <w:pPr>
              <w:spacing w:after="0"/>
              <w:rPr>
                <w:sz w:val="16"/>
                <w:szCs w:val="16"/>
                <w:color w:val="auto"/>
              </w:rPr>
            </w:pPr>
          </w:p>
        </w:tc>
        <w:tc>
          <w:tcPr>
            <w:tcW w:w="11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6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(3)</w:t>
            </w: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325</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329</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587</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70</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871</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 xml:space="preserve"> section for further information.</w:t>
      </w:r>
    </w:p>
    <w:p>
      <w:pPr>
        <w:spacing w:after="0" w:line="123"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200" w:lineRule="exact"/>
        <w:rPr>
          <w:sz w:val="20"/>
          <w:szCs w:val="20"/>
          <w:color w:val="auto"/>
        </w:rPr>
      </w:pPr>
    </w:p>
    <w:p>
      <w:pPr>
        <w:spacing w:after="0" w:line="21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380" w:right="79" w:hanging="330"/>
        <w:spacing w:after="0" w:line="247"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Other income includes non-operating items, franchise royalty income, changes in fair value of minority interests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 See the </w:t>
      </w:r>
      <w:r>
        <w:rPr>
          <w:rFonts w:ascii="Arial" w:cs="Arial" w:eastAsia="Arial" w:hAnsi="Arial"/>
          <w:sz w:val="14"/>
          <w:szCs w:val="14"/>
          <w:i w:val="1"/>
          <w:iCs w:val="1"/>
          <w:color w:val="auto"/>
        </w:rPr>
        <w:t>Other income, net</w:t>
      </w:r>
      <w:r>
        <w:rPr>
          <w:rFonts w:ascii="Arial" w:cs="Arial" w:eastAsia="Arial" w:hAnsi="Arial"/>
          <w:sz w:val="14"/>
          <w:szCs w:val="14"/>
          <w:color w:val="auto"/>
        </w:rPr>
        <w:t xml:space="preserve"> section for further information.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Stores that were temporarily closed due to the COVID-19 pandemic are also included in the computation of comparable-store sales. Computations exclude the effect of foreign currency fluctuations.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shown below represents certain sales metrics by sales channel:</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3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ind w:right="235"/>
              <w:spacing w:after="0" w:line="156" w:lineRule="exact"/>
              <w:rPr>
                <w:sz w:val="20"/>
                <w:szCs w:val="20"/>
                <w:color w:val="auto"/>
              </w:rPr>
            </w:pPr>
            <w:r>
              <w:rPr>
                <w:rFonts w:ascii="Arial" w:cs="Arial" w:eastAsia="Arial" w:hAnsi="Arial"/>
                <w:sz w:val="17"/>
                <w:szCs w:val="17"/>
                <w:b w:val="1"/>
                <w:bCs w:val="1"/>
                <w:color w:val="auto"/>
              </w:rPr>
              <w:t>July 31,</w:t>
            </w:r>
          </w:p>
        </w:tc>
        <w:tc>
          <w:tcPr>
            <w:tcW w:w="140" w:type="dxa"/>
            <w:vAlign w:val="bottom"/>
          </w:tcPr>
          <w:p>
            <w:pPr>
              <w:spacing w:after="0"/>
              <w:rPr>
                <w:sz w:val="13"/>
                <w:szCs w:val="13"/>
                <w:color w:val="auto"/>
              </w:rPr>
            </w:pPr>
          </w:p>
        </w:tc>
        <w:tc>
          <w:tcPr>
            <w:tcW w:w="1160" w:type="dxa"/>
            <w:vAlign w:val="bottom"/>
          </w:tcPr>
          <w:p>
            <w:pPr>
              <w:jc w:val="right"/>
              <w:ind w:right="255"/>
              <w:spacing w:after="0" w:line="156" w:lineRule="exact"/>
              <w:rPr>
                <w:sz w:val="20"/>
                <w:szCs w:val="20"/>
                <w:color w:val="auto"/>
              </w:rPr>
            </w:pPr>
            <w:r>
              <w:rPr>
                <w:rFonts w:ascii="Arial" w:cs="Arial" w:eastAsia="Arial" w:hAnsi="Arial"/>
                <w:sz w:val="17"/>
                <w:szCs w:val="17"/>
                <w:b w:val="1"/>
                <w:bCs w:val="1"/>
                <w:color w:val="auto"/>
              </w:rPr>
              <w:t>August 1,</w:t>
            </w:r>
          </w:p>
        </w:tc>
        <w:tc>
          <w:tcPr>
            <w:tcW w:w="240" w:type="dxa"/>
            <w:vAlign w:val="bottom"/>
          </w:tcPr>
          <w:p>
            <w:pPr>
              <w:spacing w:after="0"/>
              <w:rPr>
                <w:sz w:val="13"/>
                <w:szCs w:val="13"/>
                <w:color w:val="auto"/>
              </w:rPr>
            </w:pPr>
          </w:p>
        </w:tc>
        <w:tc>
          <w:tcPr>
            <w:tcW w:w="1080" w:type="dxa"/>
            <w:vAlign w:val="bottom"/>
          </w:tcPr>
          <w:p>
            <w:pPr>
              <w:jc w:val="right"/>
              <w:ind w:right="255"/>
              <w:spacing w:after="0" w:line="156" w:lineRule="exact"/>
              <w:rPr>
                <w:sz w:val="20"/>
                <w:szCs w:val="20"/>
                <w:color w:val="auto"/>
              </w:rPr>
            </w:pPr>
            <w:r>
              <w:rPr>
                <w:rFonts w:ascii="Arial" w:cs="Arial" w:eastAsia="Arial" w:hAnsi="Arial"/>
                <w:sz w:val="17"/>
                <w:szCs w:val="17"/>
                <w:b w:val="1"/>
                <w:bCs w:val="1"/>
                <w:color w:val="auto"/>
              </w:rPr>
              <w:t>July 31,</w:t>
            </w:r>
          </w:p>
        </w:tc>
        <w:tc>
          <w:tcPr>
            <w:tcW w:w="200" w:type="dxa"/>
            <w:vAlign w:val="bottom"/>
          </w:tcPr>
          <w:p>
            <w:pPr>
              <w:spacing w:after="0"/>
              <w:rPr>
                <w:sz w:val="13"/>
                <w:szCs w:val="13"/>
                <w:color w:val="auto"/>
              </w:rPr>
            </w:pPr>
          </w:p>
        </w:tc>
        <w:tc>
          <w:tcPr>
            <w:tcW w:w="1140" w:type="dxa"/>
            <w:vAlign w:val="bottom"/>
          </w:tcPr>
          <w:p>
            <w:pPr>
              <w:jc w:val="right"/>
              <w:ind w:right="19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r>
      <w:tr>
        <w:trPr>
          <w:trHeight w:val="183"/>
        </w:trPr>
        <w:tc>
          <w:tcPr>
            <w:tcW w:w="33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Stores</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Sales</w:t>
            </w:r>
          </w:p>
        </w:tc>
        <w:tc>
          <w:tcPr>
            <w:tcW w:w="5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1,817</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1,388</w:t>
            </w:r>
          </w:p>
        </w:tc>
        <w:tc>
          <w:tcPr>
            <w:tcW w:w="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3,437</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2,202</w:t>
            </w: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5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429</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1,235</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5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30.9 %</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56.1 %</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79.9 %</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66.8 %</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77.6 %</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67.7 %</w:t>
            </w: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Comparable sales increase (decrease)</w:t>
            </w:r>
          </w:p>
        </w:tc>
        <w:tc>
          <w:tcPr>
            <w:tcW w:w="5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28.4 %</w:t>
            </w:r>
          </w:p>
        </w:tc>
        <w:tc>
          <w:tcPr>
            <w:tcW w:w="1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(7.6)%</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54.0 %</w:t>
            </w:r>
          </w:p>
        </w:tc>
        <w:tc>
          <w:tcPr>
            <w:tcW w:w="2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(32.1)%</w:t>
            </w:r>
          </w:p>
        </w:tc>
      </w:tr>
      <w:tr>
        <w:trPr>
          <w:trHeight w:val="216"/>
        </w:trPr>
        <w:tc>
          <w:tcPr>
            <w:tcW w:w="3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Direct-to-customers</w:t>
            </w: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5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458</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689</w:t>
            </w:r>
          </w:p>
        </w:tc>
        <w:tc>
          <w:tcPr>
            <w:tcW w:w="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991</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1,051</w:t>
            </w: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5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(60)</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(33.5)%</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(5.7)%</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5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20.1 %</w:t>
            </w:r>
          </w:p>
        </w:tc>
        <w:tc>
          <w:tcPr>
            <w:tcW w:w="140" w:type="dxa"/>
            <w:vAlign w:val="bottom"/>
          </w:tcPr>
          <w:p>
            <w:pPr>
              <w:spacing w:after="0"/>
              <w:rPr>
                <w:sz w:val="16"/>
                <w:szCs w:val="16"/>
                <w:color w:val="auto"/>
              </w:rPr>
            </w:pPr>
          </w:p>
        </w:tc>
        <w:tc>
          <w:tcPr>
            <w:tcW w:w="11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33.2</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22.4 %</w:t>
            </w:r>
          </w:p>
        </w:tc>
        <w:tc>
          <w:tcPr>
            <w:tcW w:w="2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32.3 %</w:t>
            </w:r>
          </w:p>
        </w:tc>
      </w:tr>
      <w:tr>
        <w:trPr>
          <w:trHeight w:val="189"/>
        </w:trPr>
        <w:tc>
          <w:tcPr>
            <w:tcW w:w="33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Comparable sales (decrease) increase</w:t>
            </w: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(35.1)%</w:t>
            </w: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172.8</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(8.2)%</w:t>
            </w: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84.3 %</w:t>
            </w:r>
          </w:p>
        </w:tc>
      </w:tr>
    </w:tbl>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For the thirteen weeks ended July 31, 2021, total sales increased by $198 million, or 9.5 percent, to $2,275 million, as compared with the corresponding prior-year period. For the twenty-six weeks ended July 31, 2021, total sales increased by $1,175 million, or 36.1 percent, to $4,428 million, as compared with the corresponding prior-year period. Excluding the effect of foreign currency fluctuations, total sales increased by $151 million, or 7.3 percent, for the thirteen weeks ended July 31, 2021 and increased by $1,085 million, or 33.4 percent, for the twenty-six weeks ended July 31, 2021.</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These comparisons were significantly affected by the closures necessitated by the COVID-19 pandemic, most of the stores were closed during the first quarter of 2020 when our stores were only open for 48 percent of the total available operating days. Our stores were open for 70 percent of the operating days last year as compared with 94 percent this year. By geography, our European and Canadian operations continued to be negatively affected by the required closures during the current year. Europe and Canada were open for 87 percent and 68 percent of the total available operating days, respectively. Our Asia Pacific operating segment was affected in the quarter and operated 81 percent of the available days.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While sales increased significantly compared with the prior-year periods, we also exceeded sales for the corresponding periods of 2019. Excluding the effect of foreign exchange rate fluctuations, as compared with the 2019, sales increased by 25.8 percent and by 13.1 percent for the quarter and year-to-date periods,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Total comparable sales represented an increase of 6.9 percent for the quarter and an increase of 33.4 percent for the year-to-date period. Our stores channel generated significant increases for both the quarter and year-to-date periods, which was a result of the temporary closure of our stores across all of our banners around the world during the first half of 2020. Partially offset by a decline in our direct-to-customer channel as shopping navigated back to physical locations. While our digital penetration declined as compared with 2020, our penetration is higher than our historical levels. We continue to leverage our technology platforms to improve the digital experience. Our significant improvement also reflected increased consumer demand for exciting and new product offerings and the effect of government stimulus.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the combined channels, sales excluding foreign currency fluctuations, for the second quarter of 2021 for the operating segments of North America and EMEA increased by 5.1 percent and by 14.9 percent, respectively, as compared with the corresponding prior-year period. For the year-to-date period, North America increased by 35.4 percent and EMEA increased by 20.3 percent as compared to the prior year. Asia Pacific generated significant increases in the quarter and year-to-date periods from both continued success in Australia and New Zealand, coupled with growth in Asia, based on expansion in that region. All our operating segments generated significant sales increases as compared to the first half of last year, which was negatively affected by the temporary store closures necessitated by the pandemic. Our North American operating segment’s sales strength was across all banners, except for Footaction as we are winding down that business. Sales growth in North America was led by Kids Foot Locker and Champs Sports. Within EMEA, sales from the Foot Locker banner increased, offset by a decline in sales due to the Runners Point shutdown. Sidestep’s sales for both the quarter and year-to-date periods were relatively unchanged, despite the continued pressure from COVID-19 closures.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From a product perspective for the combined channels, the increase for both the quarter and year-to-date periods was across all families of business - footwear, apparel, and accessories. Sales of children’s footwear led the sales by wearer segment for the second quarter, while sales of men’s footwear declined partially from lower sales due to the wind-down of Footaction and the shutdown of Runners Point. For the year-to-date period, all wearer segments within the footwear category experienced increases, with the largest increases coming from sales of men’s and children’s basketball footwear styles. Apparel sales benefited from increases in sales across all wearer segments, led by sales of men’s and kids’ apparel. The continued athleisure and fitness trend, coupled with exciting product offerings from our suppliers, drove the significant increase in sales as compared with last year.</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7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7"/>
                <w:szCs w:val="17"/>
                <w:b w:val="1"/>
                <w:bCs w:val="1"/>
                <w:color w:val="auto"/>
              </w:rPr>
              <w:t>Thirteen weeks ended</w:t>
            </w:r>
          </w:p>
        </w:tc>
        <w:tc>
          <w:tcPr>
            <w:tcW w:w="256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240" w:type="dxa"/>
            <w:vAlign w:val="bottom"/>
          </w:tcPr>
          <w:p>
            <w:pPr>
              <w:jc w:val="right"/>
              <w:ind w:right="335"/>
              <w:spacing w:after="0" w:line="156" w:lineRule="exact"/>
              <w:rPr>
                <w:sz w:val="20"/>
                <w:szCs w:val="20"/>
                <w:color w:val="auto"/>
              </w:rPr>
            </w:pPr>
            <w:r>
              <w:rPr>
                <w:rFonts w:ascii="Arial" w:cs="Arial" w:eastAsia="Arial" w:hAnsi="Arial"/>
                <w:sz w:val="17"/>
                <w:szCs w:val="17"/>
                <w:b w:val="1"/>
                <w:bCs w:val="1"/>
                <w:color w:val="auto"/>
              </w:rPr>
              <w:t>July 31,</w:t>
            </w:r>
          </w:p>
        </w:tc>
        <w:tc>
          <w:tcPr>
            <w:tcW w:w="1320" w:type="dxa"/>
            <w:vAlign w:val="bottom"/>
          </w:tcPr>
          <w:p>
            <w:pPr>
              <w:jc w:val="center"/>
              <w:ind w:right="255"/>
              <w:spacing w:after="0" w:line="156" w:lineRule="exact"/>
              <w:rPr>
                <w:sz w:val="20"/>
                <w:szCs w:val="20"/>
                <w:color w:val="auto"/>
              </w:rPr>
            </w:pPr>
            <w:r>
              <w:rPr>
                <w:rFonts w:ascii="Arial" w:cs="Arial" w:eastAsia="Arial" w:hAnsi="Arial"/>
                <w:sz w:val="17"/>
                <w:szCs w:val="17"/>
                <w:b w:val="1"/>
                <w:bCs w:val="1"/>
                <w:color w:val="auto"/>
              </w:rPr>
              <w:t>August 1,</w:t>
            </w:r>
          </w:p>
        </w:tc>
        <w:tc>
          <w:tcPr>
            <w:tcW w:w="1320" w:type="dxa"/>
            <w:vAlign w:val="bottom"/>
          </w:tcPr>
          <w:p>
            <w:pPr>
              <w:jc w:val="right"/>
              <w:ind w:right="335"/>
              <w:spacing w:after="0" w:line="156" w:lineRule="exact"/>
              <w:rPr>
                <w:sz w:val="20"/>
                <w:szCs w:val="20"/>
                <w:color w:val="auto"/>
              </w:rPr>
            </w:pPr>
            <w:r>
              <w:rPr>
                <w:rFonts w:ascii="Arial" w:cs="Arial" w:eastAsia="Arial" w:hAnsi="Arial"/>
                <w:sz w:val="17"/>
                <w:szCs w:val="17"/>
                <w:b w:val="1"/>
                <w:bCs w:val="1"/>
                <w:color w:val="auto"/>
              </w:rPr>
              <w:t>July 31,</w:t>
            </w:r>
          </w:p>
        </w:tc>
        <w:tc>
          <w:tcPr>
            <w:tcW w:w="1240" w:type="dxa"/>
            <w:vAlign w:val="bottom"/>
          </w:tcPr>
          <w:p>
            <w:pPr>
              <w:jc w:val="right"/>
              <w:ind w:right="275"/>
              <w:spacing w:after="0" w:line="156" w:lineRule="exact"/>
              <w:rPr>
                <w:sz w:val="20"/>
                <w:szCs w:val="20"/>
                <w:color w:val="auto"/>
              </w:rPr>
            </w:pPr>
            <w:r>
              <w:rPr>
                <w:rFonts w:ascii="Arial" w:cs="Arial" w:eastAsia="Arial" w:hAnsi="Arial"/>
                <w:sz w:val="17"/>
                <w:szCs w:val="17"/>
                <w:b w:val="1"/>
                <w:bCs w:val="1"/>
                <w:color w:val="auto"/>
              </w:rPr>
              <w:t>August 1,</w:t>
            </w:r>
          </w:p>
        </w:tc>
        <w:tc>
          <w:tcPr>
            <w:tcW w:w="0" w:type="dxa"/>
            <w:vAlign w:val="bottom"/>
          </w:tcPr>
          <w:p>
            <w:pPr>
              <w:spacing w:after="0"/>
              <w:rPr>
                <w:sz w:val="1"/>
                <w:szCs w:val="1"/>
                <w:color w:val="auto"/>
              </w:rPr>
            </w:pPr>
          </w:p>
        </w:tc>
      </w:tr>
      <w:tr>
        <w:trPr>
          <w:trHeight w:val="215"/>
        </w:trPr>
        <w:tc>
          <w:tcPr>
            <w:tcW w:w="3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2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35.1 %</w:t>
            </w:r>
          </w:p>
        </w:tc>
        <w:tc>
          <w:tcPr>
            <w:tcW w:w="13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25.9 %</w:t>
            </w:r>
          </w:p>
        </w:tc>
        <w:tc>
          <w:tcPr>
            <w:tcW w:w="1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34.9 %</w:t>
            </w:r>
          </w:p>
        </w:tc>
        <w:tc>
          <w:tcPr>
            <w:tcW w:w="12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24.9 %</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Arial" w:cs="Arial" w:eastAsia="Arial" w:hAnsi="Arial"/>
                <w:sz w:val="17"/>
                <w:szCs w:val="17"/>
                <w:color w:val="auto"/>
              </w:rPr>
              <w:t>Basis point increase in the gross margin rate</w:t>
            </w:r>
          </w:p>
        </w:tc>
        <w:tc>
          <w:tcPr>
            <w:tcW w:w="124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920</w:t>
            </w:r>
          </w:p>
        </w:tc>
        <w:tc>
          <w:tcPr>
            <w:tcW w:w="1320" w:type="dxa"/>
            <w:vAlign w:val="bottom"/>
          </w:tcPr>
          <w:p>
            <w:pPr>
              <w:spacing w:after="0"/>
              <w:rPr>
                <w:sz w:val="16"/>
                <w:szCs w:val="16"/>
                <w:color w:val="auto"/>
              </w:rPr>
            </w:pPr>
          </w:p>
        </w:tc>
        <w:tc>
          <w:tcPr>
            <w:tcW w:w="132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1,000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220"/>
              <w:spacing w:after="0" w:line="189" w:lineRule="exact"/>
              <w:rPr>
                <w:sz w:val="20"/>
                <w:szCs w:val="20"/>
                <w:color w:val="auto"/>
              </w:rPr>
            </w:pPr>
            <w:r>
              <w:rPr>
                <w:rFonts w:ascii="Arial" w:cs="Arial" w:eastAsia="Arial" w:hAnsi="Arial"/>
                <w:sz w:val="17"/>
                <w:szCs w:val="17"/>
                <w:color w:val="auto"/>
              </w:rPr>
              <w:t>Merchandise margin rate improvement</w:t>
            </w:r>
          </w:p>
        </w:tc>
        <w:tc>
          <w:tcPr>
            <w:tcW w:w="124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870</w:t>
            </w:r>
          </w:p>
        </w:tc>
        <w:tc>
          <w:tcPr>
            <w:tcW w:w="1320" w:type="dxa"/>
            <w:vAlign w:val="bottom"/>
          </w:tcPr>
          <w:p>
            <w:pPr>
              <w:spacing w:after="0"/>
              <w:rPr>
                <w:sz w:val="16"/>
                <w:szCs w:val="16"/>
                <w:color w:val="auto"/>
              </w:rPr>
            </w:pPr>
          </w:p>
        </w:tc>
        <w:tc>
          <w:tcPr>
            <w:tcW w:w="132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640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Lower occupancy and buyers’ compensation</w:t>
            </w:r>
          </w:p>
        </w:tc>
        <w:tc>
          <w:tcPr>
            <w:tcW w:w="1240" w:type="dxa"/>
            <w:vAlign w:val="bottom"/>
            <w:vMerge w:val="restart"/>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50</w:t>
            </w:r>
          </w:p>
        </w:tc>
        <w:tc>
          <w:tcPr>
            <w:tcW w:w="13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360</w:t>
            </w: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expense rate</w:t>
            </w: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gross margin rate increased for both the thirteen weeks and twenty-six weeks ended July 31, 2021, as compared with the corresponding prior-year period, reflecting a higher merchandise margin rate since we were significantly less promotional than a year ago, coupled with leverage on the relatively fixed costs.</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Comparing the gross margin rate to the thirteen weeks ended August 3, 2019, gross margin improved by 500 basis points, reflecting a 170-basis point improvement in the merchandise margin rate and a 330-basis point improvement on occupancy and buyers’ compensation rate. Comparing the gross margin rate to the twenty-six weeks ended August 3, 2019, gross margin improved by 320 basis points, reflecting a 130-basis point improvement in the merchandise margin rate and a 190 basis point improvement on occupancy and buyers’ compensation rate.</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occupancy rate was positively affected for both the thirteen weeks and twenty-six weeks ended July 31, 2021, as compared with corresponding prior-year period, reflecting an increase in sales and COVID-19 related rent abatements. Due to completed lease negotiations, we were able to record $ 6 million and $11 million of rent savings due to rent abatements during the thirteen and twenty-six weeks ended July 31, 2021, respectively, as compared to rent abatements of $6 million in both of the corresponding prior-year periods ended August 1, 2020. We record rent abatements in rent expense when the negotiations are completed and the leases are modified.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b w:val="1"/>
                <w:bCs w:val="1"/>
                <w:color w:val="auto"/>
              </w:rPr>
              <w:t>Thirteen weeks ended</w:t>
            </w: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jc w:val="right"/>
              <w:ind w:right="315"/>
              <w:spacing w:after="0" w:line="156" w:lineRule="exact"/>
              <w:rPr>
                <w:sz w:val="20"/>
                <w:szCs w:val="20"/>
                <w:color w:val="auto"/>
              </w:rPr>
            </w:pPr>
            <w:r>
              <w:rPr>
                <w:rFonts w:ascii="Arial" w:cs="Arial" w:eastAsia="Arial" w:hAnsi="Arial"/>
                <w:sz w:val="17"/>
                <w:szCs w:val="17"/>
                <w:b w:val="1"/>
                <w:bCs w:val="1"/>
                <w:color w:val="auto"/>
              </w:rPr>
              <w:t>July 31,</w:t>
            </w:r>
          </w:p>
        </w:tc>
        <w:tc>
          <w:tcPr>
            <w:tcW w:w="160" w:type="dxa"/>
            <w:vAlign w:val="bottom"/>
          </w:tcPr>
          <w:p>
            <w:pPr>
              <w:spacing w:after="0"/>
              <w:rPr>
                <w:sz w:val="13"/>
                <w:szCs w:val="13"/>
                <w:color w:val="auto"/>
              </w:rPr>
            </w:pPr>
          </w:p>
        </w:tc>
        <w:tc>
          <w:tcPr>
            <w:tcW w:w="1240" w:type="dxa"/>
            <w:vAlign w:val="bottom"/>
          </w:tcPr>
          <w:p>
            <w:pPr>
              <w:jc w:val="right"/>
              <w:ind w:right="355"/>
              <w:spacing w:after="0" w:line="156" w:lineRule="exact"/>
              <w:rPr>
                <w:sz w:val="20"/>
                <w:szCs w:val="20"/>
                <w:color w:val="auto"/>
              </w:rPr>
            </w:pPr>
            <w:r>
              <w:rPr>
                <w:rFonts w:ascii="Arial" w:cs="Arial" w:eastAsia="Arial" w:hAnsi="Arial"/>
                <w:sz w:val="17"/>
                <w:szCs w:val="17"/>
                <w:b w:val="1"/>
                <w:bCs w:val="1"/>
                <w:color w:val="auto"/>
              </w:rPr>
              <w:t>August 1,</w:t>
            </w:r>
          </w:p>
        </w:tc>
        <w:tc>
          <w:tcPr>
            <w:tcW w:w="300" w:type="dxa"/>
            <w:vAlign w:val="bottom"/>
          </w:tcPr>
          <w:p>
            <w:pPr>
              <w:spacing w:after="0"/>
              <w:rPr>
                <w:sz w:val="13"/>
                <w:szCs w:val="13"/>
                <w:color w:val="auto"/>
              </w:rPr>
            </w:pPr>
          </w:p>
        </w:tc>
        <w:tc>
          <w:tcPr>
            <w:tcW w:w="1120" w:type="dxa"/>
            <w:vAlign w:val="bottom"/>
          </w:tcPr>
          <w:p>
            <w:pPr>
              <w:jc w:val="right"/>
              <w:ind w:right="335"/>
              <w:spacing w:after="0" w:line="156" w:lineRule="exact"/>
              <w:rPr>
                <w:sz w:val="20"/>
                <w:szCs w:val="20"/>
                <w:color w:val="auto"/>
              </w:rPr>
            </w:pPr>
            <w:r>
              <w:rPr>
                <w:rFonts w:ascii="Arial" w:cs="Arial" w:eastAsia="Arial" w:hAnsi="Arial"/>
                <w:sz w:val="17"/>
                <w:szCs w:val="17"/>
                <w:b w:val="1"/>
                <w:bCs w:val="1"/>
                <w:color w:val="auto"/>
              </w:rPr>
              <w:t>July 31,</w:t>
            </w:r>
          </w:p>
        </w:tc>
        <w:tc>
          <w:tcPr>
            <w:tcW w:w="160" w:type="dxa"/>
            <w:vAlign w:val="bottom"/>
          </w:tcPr>
          <w:p>
            <w:pPr>
              <w:spacing w:after="0"/>
              <w:rPr>
                <w:sz w:val="13"/>
                <w:szCs w:val="13"/>
                <w:color w:val="auto"/>
              </w:rPr>
            </w:pPr>
          </w:p>
        </w:tc>
        <w:tc>
          <w:tcPr>
            <w:tcW w:w="1160" w:type="dxa"/>
            <w:vAlign w:val="bottom"/>
          </w:tcPr>
          <w:p>
            <w:pPr>
              <w:jc w:val="right"/>
              <w:ind w:right="27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r>
      <w:tr>
        <w:trPr>
          <w:trHeight w:val="183"/>
        </w:trPr>
        <w:tc>
          <w:tcPr>
            <w:tcW w:w="29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SG&amp;A</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450</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75"/>
              <w:spacing w:after="0" w:line="183" w:lineRule="exact"/>
              <w:rPr>
                <w:sz w:val="20"/>
                <w:szCs w:val="20"/>
                <w:color w:val="auto"/>
              </w:rPr>
            </w:pPr>
            <w:r>
              <w:rPr>
                <w:rFonts w:ascii="Arial" w:cs="Arial" w:eastAsia="Arial" w:hAnsi="Arial"/>
                <w:sz w:val="17"/>
                <w:szCs w:val="17"/>
                <w:color w:val="auto"/>
              </w:rPr>
              <w:t>387</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868</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703</w:t>
            </w:r>
          </w:p>
        </w:tc>
      </w:tr>
      <w:tr>
        <w:trPr>
          <w:trHeight w:val="189"/>
        </w:trPr>
        <w:tc>
          <w:tcPr>
            <w:tcW w:w="296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7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63</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165</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29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7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16.3 %</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23.5 %</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29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SG&amp;A as a percentage of sales</w:t>
            </w: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19.8 %</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18.6 %</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19.6 %</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21.6 %</w:t>
            </w:r>
          </w:p>
        </w:tc>
      </w:tr>
    </w:tbl>
    <w:p>
      <w:pPr>
        <w:spacing w:after="0" w:line="215"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SG&amp;A increased by $63 million and $165 million for the thirteen weeks and the twenty-six weeks ended July 31, 2021, respectively, as compared with the corresponding prior-year period. Excluding the effect of foreign currency fluctuations, SG&amp;A increased by $53 million and $142 million for the thirteen weeks and the twenty-six weeks ended July 31, 2021, respectively, as compared with the corresponding prior-year periods.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SG&amp;A, as a percentage of sales, as compared with the corresponding prior-year periods was affected by the higher sales in the current year and the effect of prior-year COVID-19 related matters. SG&amp;A for the thirteen weeks ended July 31, 2021 and August 1, 2020 included payroll subsidies from local governments of $4 million and $17 million, respectively. On a year-to-date basis, the subsidies were $14 million this year as compared with $57 million last year. The higher prior year amounts related to the fact that we continued to pay our employees throughout most of the first quarter of 2020 despite the temporary store closures. The thirteen weeks and twenty-six weeks ended July 31, 2021 included $2 million and $4 million, respectively, for personal protective equipment expense, a decrease of $4 million and $2 million, respectively, as compared with the corresponding prior-year periods.</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Incentive compensation expense was $8 million lower in the second quarter of 2021; however, it was $12 million higher for the twenty-six weeks of the current year, as compared with the corresponding prior-year periods. For the current year we are outperforming the targeted results. Also, the prior year was affected by the fact that the bonus plan was not established until the second quarter, thus that quarter incurred higher expense.</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Excluding the above-mentioned items and the effect of foreign currency fluctuations, SG&amp;A increased by $52 million or 14.1 percent and $89 million or 12.3 percent primarily representing variable expenses associated with higher sales.</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9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rPr>
              <w:t>Thirteen weeks ended</w:t>
            </w: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jc w:val="right"/>
              <w:ind w:right="335"/>
              <w:spacing w:after="0" w:line="156" w:lineRule="exact"/>
              <w:rPr>
                <w:sz w:val="20"/>
                <w:szCs w:val="20"/>
                <w:color w:val="auto"/>
              </w:rPr>
            </w:pPr>
            <w:r>
              <w:rPr>
                <w:rFonts w:ascii="Arial" w:cs="Arial" w:eastAsia="Arial" w:hAnsi="Arial"/>
                <w:sz w:val="17"/>
                <w:szCs w:val="17"/>
                <w:b w:val="1"/>
                <w:bCs w:val="1"/>
                <w:color w:val="auto"/>
              </w:rPr>
              <w:t>July 31,</w:t>
            </w:r>
          </w:p>
        </w:tc>
        <w:tc>
          <w:tcPr>
            <w:tcW w:w="180" w:type="dxa"/>
            <w:vAlign w:val="bottom"/>
          </w:tcPr>
          <w:p>
            <w:pPr>
              <w:spacing w:after="0"/>
              <w:rPr>
                <w:sz w:val="13"/>
                <w:szCs w:val="13"/>
                <w:color w:val="auto"/>
              </w:rPr>
            </w:pPr>
          </w:p>
        </w:tc>
        <w:tc>
          <w:tcPr>
            <w:tcW w:w="1120" w:type="dxa"/>
            <w:vAlign w:val="bottom"/>
          </w:tcPr>
          <w:p>
            <w:pPr>
              <w:jc w:val="center"/>
              <w:ind w:right="215"/>
              <w:spacing w:after="0" w:line="156" w:lineRule="exact"/>
              <w:rPr>
                <w:sz w:val="20"/>
                <w:szCs w:val="20"/>
                <w:color w:val="auto"/>
              </w:rPr>
            </w:pPr>
            <w:r>
              <w:rPr>
                <w:rFonts w:ascii="Arial" w:cs="Arial" w:eastAsia="Arial" w:hAnsi="Arial"/>
                <w:sz w:val="17"/>
                <w:szCs w:val="17"/>
                <w:b w:val="1"/>
                <w:bCs w:val="1"/>
                <w:color w:val="auto"/>
              </w:rPr>
              <w:t>August 1,</w:t>
            </w:r>
          </w:p>
        </w:tc>
        <w:tc>
          <w:tcPr>
            <w:tcW w:w="380" w:type="dxa"/>
            <w:vAlign w:val="bottom"/>
          </w:tcPr>
          <w:p>
            <w:pPr>
              <w:spacing w:after="0"/>
              <w:rPr>
                <w:sz w:val="13"/>
                <w:szCs w:val="13"/>
                <w:color w:val="auto"/>
              </w:rPr>
            </w:pPr>
          </w:p>
        </w:tc>
        <w:tc>
          <w:tcPr>
            <w:tcW w:w="1120" w:type="dxa"/>
            <w:vAlign w:val="bottom"/>
          </w:tcPr>
          <w:p>
            <w:pPr>
              <w:jc w:val="right"/>
              <w:ind w:right="335"/>
              <w:spacing w:after="0" w:line="156" w:lineRule="exact"/>
              <w:rPr>
                <w:sz w:val="20"/>
                <w:szCs w:val="20"/>
                <w:color w:val="auto"/>
              </w:rPr>
            </w:pPr>
            <w:r>
              <w:rPr>
                <w:rFonts w:ascii="Arial" w:cs="Arial" w:eastAsia="Arial" w:hAnsi="Arial"/>
                <w:sz w:val="17"/>
                <w:szCs w:val="17"/>
                <w:b w:val="1"/>
                <w:bCs w:val="1"/>
                <w:color w:val="auto"/>
              </w:rPr>
              <w:t>July 31,</w:t>
            </w:r>
          </w:p>
        </w:tc>
        <w:tc>
          <w:tcPr>
            <w:tcW w:w="180" w:type="dxa"/>
            <w:vAlign w:val="bottom"/>
          </w:tcPr>
          <w:p>
            <w:pPr>
              <w:spacing w:after="0"/>
              <w:rPr>
                <w:sz w:val="13"/>
                <w:szCs w:val="13"/>
                <w:color w:val="auto"/>
              </w:rPr>
            </w:pPr>
          </w:p>
        </w:tc>
        <w:tc>
          <w:tcPr>
            <w:tcW w:w="1140" w:type="dxa"/>
            <w:vAlign w:val="bottom"/>
          </w:tcPr>
          <w:p>
            <w:pPr>
              <w:jc w:val="center"/>
              <w:ind w:right="23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r>
      <w:tr>
        <w:trPr>
          <w:trHeight w:val="183"/>
        </w:trPr>
        <w:tc>
          <w:tcPr>
            <w:tcW w:w="29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Depreciation and amortization</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48</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44</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93</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88</w:t>
            </w:r>
          </w:p>
        </w:tc>
      </w:tr>
      <w:tr>
        <w:trPr>
          <w:trHeight w:val="189"/>
        </w:trPr>
        <w:tc>
          <w:tcPr>
            <w:tcW w:w="290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7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4</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29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7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9.1 %</w:t>
            </w: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5.7 %</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r>
    </w:tbl>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Depreciation and amortization expense increased by $4 million and $5 million for the thirteen weeks and twenty-six weeks ended July 31, 2021, respectively, as compared with the corresponding prior-year periods. Excluding the effect of foreign currency fluctuations, depreciation and amortization increased by $3 million for both the quarter and year-to-date periods as compared with the corresponding prior-year periods. The increase was primarily related to the acceleration of depreciation and amortization associated with the Footaction closures.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second quarter of 2021, we conducted an impairment review of certain Footaction stores as a result of the Company’s decision to convert many of the stores to other existing banner concepts and close the remaining stores, either through natural lease expiration or early termination. We evaluated the long-lived assets, including the right-of-use assets and recorded non-cash charges of $39 million to write down store fixtures, leasehold improvements, and right-of-use assets for approximately 60 locations. Additionally, we recorded charges of $4 million primarily in other lease-related termination costs.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Partially offsetting these charges was $11 million of additional insurance recovery related to the prior year social unrest losses, $7 million of which is classified in impairment and other charges as it relates to the book value of losses recorded in 2020, with $4 million recorded in other income.</w:t>
      </w:r>
    </w:p>
    <w:p>
      <w:pPr>
        <w:spacing w:after="0" w:line="203"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Also included in the year-to-date period of 2021 is a $2 million charge related to one of our minority investments and charges of $2 million primarily related to severance costs in connection with the reorganization of certain support functions.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Corporate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jc w:val="right"/>
              <w:ind w:right="215"/>
              <w:spacing w:after="0" w:line="156" w:lineRule="exact"/>
              <w:rPr>
                <w:sz w:val="20"/>
                <w:szCs w:val="20"/>
                <w:color w:val="auto"/>
              </w:rPr>
            </w:pPr>
            <w:r>
              <w:rPr>
                <w:rFonts w:ascii="Arial" w:cs="Arial" w:eastAsia="Arial" w:hAnsi="Arial"/>
                <w:sz w:val="17"/>
                <w:szCs w:val="17"/>
                <w:b w:val="1"/>
                <w:bCs w:val="1"/>
                <w:color w:val="auto"/>
              </w:rPr>
              <w:t>July 31,</w:t>
            </w:r>
          </w:p>
        </w:tc>
        <w:tc>
          <w:tcPr>
            <w:tcW w:w="260" w:type="dxa"/>
            <w:vAlign w:val="bottom"/>
          </w:tcPr>
          <w:p>
            <w:pPr>
              <w:spacing w:after="0"/>
              <w:rPr>
                <w:sz w:val="13"/>
                <w:szCs w:val="13"/>
                <w:color w:val="auto"/>
              </w:rPr>
            </w:pPr>
          </w:p>
        </w:tc>
        <w:tc>
          <w:tcPr>
            <w:tcW w:w="1140" w:type="dxa"/>
            <w:vAlign w:val="bottom"/>
          </w:tcPr>
          <w:p>
            <w:pPr>
              <w:jc w:val="center"/>
              <w:ind w:right="195"/>
              <w:spacing w:after="0" w:line="156" w:lineRule="exact"/>
              <w:rPr>
                <w:sz w:val="20"/>
                <w:szCs w:val="20"/>
                <w:color w:val="auto"/>
              </w:rPr>
            </w:pPr>
            <w:r>
              <w:rPr>
                <w:rFonts w:ascii="Arial" w:cs="Arial" w:eastAsia="Arial" w:hAnsi="Arial"/>
                <w:sz w:val="17"/>
                <w:szCs w:val="17"/>
                <w:b w:val="1"/>
                <w:bCs w:val="1"/>
                <w:color w:val="auto"/>
              </w:rPr>
              <w:t>August 1,</w:t>
            </w:r>
          </w:p>
        </w:tc>
        <w:tc>
          <w:tcPr>
            <w:tcW w:w="380" w:type="dxa"/>
            <w:vAlign w:val="bottom"/>
          </w:tcPr>
          <w:p>
            <w:pPr>
              <w:spacing w:after="0"/>
              <w:rPr>
                <w:sz w:val="13"/>
                <w:szCs w:val="13"/>
                <w:color w:val="auto"/>
              </w:rPr>
            </w:pPr>
          </w:p>
        </w:tc>
        <w:tc>
          <w:tcPr>
            <w:tcW w:w="1020" w:type="dxa"/>
            <w:vAlign w:val="bottom"/>
          </w:tcPr>
          <w:p>
            <w:pPr>
              <w:jc w:val="right"/>
              <w:ind w:right="215"/>
              <w:spacing w:after="0" w:line="156" w:lineRule="exact"/>
              <w:rPr>
                <w:sz w:val="20"/>
                <w:szCs w:val="20"/>
                <w:color w:val="auto"/>
              </w:rPr>
            </w:pPr>
            <w:r>
              <w:rPr>
                <w:rFonts w:ascii="Arial" w:cs="Arial" w:eastAsia="Arial" w:hAnsi="Arial"/>
                <w:sz w:val="17"/>
                <w:szCs w:val="17"/>
                <w:b w:val="1"/>
                <w:bCs w:val="1"/>
                <w:color w:val="auto"/>
              </w:rPr>
              <w:t>July 31,</w:t>
            </w:r>
          </w:p>
        </w:tc>
        <w:tc>
          <w:tcPr>
            <w:tcW w:w="260" w:type="dxa"/>
            <w:vAlign w:val="bottom"/>
          </w:tcPr>
          <w:p>
            <w:pPr>
              <w:spacing w:after="0"/>
              <w:rPr>
                <w:sz w:val="13"/>
                <w:szCs w:val="13"/>
                <w:color w:val="auto"/>
              </w:rPr>
            </w:pPr>
          </w:p>
        </w:tc>
        <w:tc>
          <w:tcPr>
            <w:tcW w:w="1160" w:type="dxa"/>
            <w:vAlign w:val="bottom"/>
          </w:tcPr>
          <w:p>
            <w:pPr>
              <w:jc w:val="center"/>
              <w:ind w:right="21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r>
      <w:tr>
        <w:trPr>
          <w:trHeight w:val="183"/>
        </w:trPr>
        <w:tc>
          <w:tcPr>
            <w:tcW w:w="25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Corporate expense</w:t>
            </w: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32</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18</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61</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28</w:t>
            </w:r>
          </w:p>
        </w:tc>
      </w:tr>
      <w:tr>
        <w:trPr>
          <w:trHeight w:val="189"/>
        </w:trPr>
        <w:tc>
          <w:tcPr>
            <w:tcW w:w="25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 Change</w:t>
            </w: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14</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33</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 Depreciation and amortization included in corporate expense was $9 million and $6 million for the thirteen weeks ended July 31, 2021 and August 1, 2020, respectively, and $16 million and $11 million for the twenty-six weeks ended July 31, 2021 and August 1, 2020, respectively.</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allocation of corporate expense to the operating divisions is adjusted annually based upon an internal study; accordingly, the allocation increased by $ 5 million and $10 million for the thirteen and twenty-six weeks ended July 31, 2021, respectively, thus reducing corporate expense. Excluding the corporate allocation change, corporate expense increased by $19 million and $43 million for the thirteen and twenty-six weeks ended July 31, 2021, respectively, as compared with the prior-year periods. The increases for both periods were primarily due to higher information technology and support expenses and an increase in professional fees.</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Additionally, we recorded higher incentive compensation expense in the twenty-six weeks ended July 31, 2021, as compared to the prior-year period.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Results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jc w:val="right"/>
              <w:ind w:right="335"/>
              <w:spacing w:after="0" w:line="156" w:lineRule="exact"/>
              <w:rPr>
                <w:sz w:val="20"/>
                <w:szCs w:val="20"/>
                <w:color w:val="auto"/>
              </w:rPr>
            </w:pPr>
            <w:r>
              <w:rPr>
                <w:rFonts w:ascii="Arial" w:cs="Arial" w:eastAsia="Arial" w:hAnsi="Arial"/>
                <w:sz w:val="17"/>
                <w:szCs w:val="17"/>
                <w:b w:val="1"/>
                <w:bCs w:val="1"/>
                <w:color w:val="auto"/>
              </w:rPr>
              <w:t>July 31,</w:t>
            </w:r>
          </w:p>
        </w:tc>
        <w:tc>
          <w:tcPr>
            <w:tcW w:w="180" w:type="dxa"/>
            <w:vAlign w:val="bottom"/>
          </w:tcPr>
          <w:p>
            <w:pPr>
              <w:spacing w:after="0"/>
              <w:rPr>
                <w:sz w:val="13"/>
                <w:szCs w:val="13"/>
                <w:color w:val="auto"/>
              </w:rPr>
            </w:pPr>
          </w:p>
        </w:tc>
        <w:tc>
          <w:tcPr>
            <w:tcW w:w="1240" w:type="dxa"/>
            <w:vAlign w:val="bottom"/>
          </w:tcPr>
          <w:p>
            <w:pPr>
              <w:jc w:val="right"/>
              <w:ind w:right="355"/>
              <w:spacing w:after="0" w:line="156" w:lineRule="exact"/>
              <w:rPr>
                <w:sz w:val="20"/>
                <w:szCs w:val="20"/>
                <w:color w:val="auto"/>
              </w:rPr>
            </w:pPr>
            <w:r>
              <w:rPr>
                <w:rFonts w:ascii="Arial" w:cs="Arial" w:eastAsia="Arial" w:hAnsi="Arial"/>
                <w:sz w:val="17"/>
                <w:szCs w:val="17"/>
                <w:b w:val="1"/>
                <w:bCs w:val="1"/>
                <w:color w:val="auto"/>
              </w:rPr>
              <w:t>August 1,</w:t>
            </w:r>
          </w:p>
        </w:tc>
        <w:tc>
          <w:tcPr>
            <w:tcW w:w="280" w:type="dxa"/>
            <w:vAlign w:val="bottom"/>
          </w:tcPr>
          <w:p>
            <w:pPr>
              <w:spacing w:after="0"/>
              <w:rPr>
                <w:sz w:val="13"/>
                <w:szCs w:val="13"/>
                <w:color w:val="auto"/>
              </w:rPr>
            </w:pPr>
          </w:p>
        </w:tc>
        <w:tc>
          <w:tcPr>
            <w:tcW w:w="1120" w:type="dxa"/>
            <w:vAlign w:val="bottom"/>
          </w:tcPr>
          <w:p>
            <w:pPr>
              <w:jc w:val="right"/>
              <w:ind w:right="335"/>
              <w:spacing w:after="0" w:line="156" w:lineRule="exact"/>
              <w:rPr>
                <w:sz w:val="20"/>
                <w:szCs w:val="20"/>
                <w:color w:val="auto"/>
              </w:rPr>
            </w:pPr>
            <w:r>
              <w:rPr>
                <w:rFonts w:ascii="Arial" w:cs="Arial" w:eastAsia="Arial" w:hAnsi="Arial"/>
                <w:sz w:val="17"/>
                <w:szCs w:val="17"/>
                <w:b w:val="1"/>
                <w:bCs w:val="1"/>
                <w:color w:val="auto"/>
              </w:rPr>
              <w:t>July 31,</w:t>
            </w:r>
          </w:p>
        </w:tc>
        <w:tc>
          <w:tcPr>
            <w:tcW w:w="180" w:type="dxa"/>
            <w:vAlign w:val="bottom"/>
          </w:tcPr>
          <w:p>
            <w:pPr>
              <w:spacing w:after="0"/>
              <w:rPr>
                <w:sz w:val="13"/>
                <w:szCs w:val="13"/>
                <w:color w:val="auto"/>
              </w:rPr>
            </w:pPr>
          </w:p>
        </w:tc>
        <w:tc>
          <w:tcPr>
            <w:tcW w:w="1140" w:type="dxa"/>
            <w:vAlign w:val="bottom"/>
          </w:tcPr>
          <w:p>
            <w:pPr>
              <w:jc w:val="right"/>
              <w:ind w:right="25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r>
      <w:tr>
        <w:trPr>
          <w:trHeight w:val="196"/>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Division profit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332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125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647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46</w:t>
            </w:r>
          </w:p>
        </w:tc>
      </w:tr>
      <w:tr>
        <w:trPr>
          <w:trHeight w:val="203"/>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 margin</w:t>
            </w:r>
          </w:p>
        </w:tc>
        <w:tc>
          <w:tcPr>
            <w:tcW w:w="1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14.6 %</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6.0 %</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14.6 %</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1.4 %</w:t>
            </w: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Division profit margin as a percentage of sales increased to 14.6 percent of sales for both the thirteen and twenty-six weeks ended July 31, 2021, with both sales channels generating significant improvements in both gross margin and expense leverage. The results for prior year were negatively affected by the pandemic.</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5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580" w:type="dxa"/>
            <w:vAlign w:val="bottom"/>
          </w:tcPr>
          <w:p>
            <w:pPr>
              <w:spacing w:after="0"/>
              <w:rPr>
                <w:sz w:val="13"/>
                <w:szCs w:val="13"/>
                <w:color w:val="auto"/>
              </w:rPr>
            </w:pPr>
          </w:p>
        </w:tc>
        <w:tc>
          <w:tcPr>
            <w:tcW w:w="1880" w:type="dxa"/>
            <w:vAlign w:val="bottom"/>
          </w:tcPr>
          <w:p>
            <w:pPr>
              <w:jc w:val="right"/>
              <w:spacing w:after="0" w:line="156" w:lineRule="exact"/>
              <w:rPr>
                <w:sz w:val="20"/>
                <w:szCs w:val="20"/>
                <w:color w:val="auto"/>
              </w:rPr>
            </w:pPr>
            <w:r>
              <w:rPr>
                <w:rFonts w:ascii="Arial" w:cs="Arial" w:eastAsia="Arial" w:hAnsi="Arial"/>
                <w:sz w:val="17"/>
                <w:szCs w:val="17"/>
                <w:b w:val="1"/>
                <w:bCs w:val="1"/>
                <w:color w:val="auto"/>
              </w:rPr>
              <w:t>July 31,</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195"/>
              <w:spacing w:after="0" w:line="156" w:lineRule="exact"/>
              <w:rPr>
                <w:sz w:val="20"/>
                <w:szCs w:val="20"/>
                <w:color w:val="auto"/>
              </w:rPr>
            </w:pPr>
            <w:r>
              <w:rPr>
                <w:rFonts w:ascii="Arial" w:cs="Arial" w:eastAsia="Arial" w:hAnsi="Arial"/>
                <w:sz w:val="17"/>
                <w:szCs w:val="17"/>
                <w:b w:val="1"/>
                <w:bCs w:val="1"/>
                <w:color w:val="auto"/>
              </w:rPr>
              <w:t>August 1,</w:t>
            </w:r>
          </w:p>
        </w:tc>
        <w:tc>
          <w:tcPr>
            <w:tcW w:w="260" w:type="dxa"/>
            <w:vAlign w:val="bottom"/>
          </w:tcPr>
          <w:p>
            <w:pPr>
              <w:spacing w:after="0"/>
              <w:rPr>
                <w:sz w:val="13"/>
                <w:szCs w:val="13"/>
                <w:color w:val="auto"/>
              </w:rPr>
            </w:pPr>
          </w:p>
        </w:tc>
        <w:tc>
          <w:tcPr>
            <w:tcW w:w="1080" w:type="dxa"/>
            <w:vAlign w:val="bottom"/>
          </w:tcPr>
          <w:p>
            <w:pPr>
              <w:jc w:val="right"/>
              <w:ind w:right="275"/>
              <w:spacing w:after="0" w:line="156" w:lineRule="exact"/>
              <w:rPr>
                <w:sz w:val="20"/>
                <w:szCs w:val="20"/>
                <w:color w:val="auto"/>
              </w:rPr>
            </w:pPr>
            <w:r>
              <w:rPr>
                <w:rFonts w:ascii="Arial" w:cs="Arial" w:eastAsia="Arial" w:hAnsi="Arial"/>
                <w:sz w:val="17"/>
                <w:szCs w:val="17"/>
                <w:b w:val="1"/>
                <w:bCs w:val="1"/>
                <w:color w:val="auto"/>
              </w:rPr>
              <w:t>July 31,</w:t>
            </w:r>
          </w:p>
        </w:tc>
        <w:tc>
          <w:tcPr>
            <w:tcW w:w="240" w:type="dxa"/>
            <w:vAlign w:val="bottom"/>
          </w:tcPr>
          <w:p>
            <w:pPr>
              <w:spacing w:after="0"/>
              <w:rPr>
                <w:sz w:val="13"/>
                <w:szCs w:val="13"/>
                <w:color w:val="auto"/>
              </w:rPr>
            </w:pPr>
          </w:p>
        </w:tc>
        <w:tc>
          <w:tcPr>
            <w:tcW w:w="1200" w:type="dxa"/>
            <w:vAlign w:val="bottom"/>
          </w:tcPr>
          <w:p>
            <w:pPr>
              <w:jc w:val="right"/>
              <w:ind w:right="29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r>
      <w:tr>
        <w:trPr>
          <w:trHeight w:val="183"/>
        </w:trPr>
        <w:tc>
          <w:tcPr>
            <w:tcW w:w="2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Interest expense</w:t>
            </w:r>
          </w:p>
        </w:tc>
        <w:tc>
          <w:tcPr>
            <w:tcW w:w="1880" w:type="dxa"/>
            <w:vAlign w:val="bottom"/>
            <w:shd w:val="clear" w:color="auto" w:fill="CCEEFF"/>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(6)</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(7)</w:t>
            </w:r>
          </w:p>
        </w:tc>
      </w:tr>
      <w:tr>
        <w:trPr>
          <w:trHeight w:val="189"/>
        </w:trPr>
        <w:tc>
          <w:tcPr>
            <w:tcW w:w="25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18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4</w:t>
            </w:r>
          </w:p>
        </w:tc>
      </w:tr>
      <w:tr>
        <w:trPr>
          <w:trHeight w:val="183"/>
        </w:trPr>
        <w:tc>
          <w:tcPr>
            <w:tcW w:w="25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expense, net</w:t>
            </w:r>
          </w:p>
        </w:tc>
        <w:tc>
          <w:tcPr>
            <w:tcW w:w="1880" w:type="dxa"/>
            <w:vAlign w:val="bottom"/>
            <w:tcBorders>
              <w:bottom w:val="single" w:sz="8" w:color="auto"/>
            </w:tcBorders>
            <w:shd w:val="clear" w:color="auto" w:fill="CCEEFF"/>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(4)</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(3)</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recorded $ 2 million and $4 million of net interest expense for the thirteen and twenty-six weeks ended July 31, 2021, respectively, as compared with net interest expense of $2 million and $ 3 million for the corresponding prior-year periods. Interest expense decreased due to the lack of borrowings on the revolving credit facility, as compared to 2020, as well as the retirement of $20 million of our 8.5 percent debentures in the fourth quarter of 2020. Additionally, interest income decreased primarily as a result of lower average interest rates on our cash and cash equivalents.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Income, Net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Thirteen weeks ended</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jc w:val="center"/>
              <w:ind w:right="155"/>
              <w:spacing w:after="0" w:line="156" w:lineRule="exact"/>
              <w:rPr>
                <w:sz w:val="20"/>
                <w:szCs w:val="20"/>
                <w:color w:val="auto"/>
              </w:rPr>
            </w:pPr>
            <w:r>
              <w:rPr>
                <w:rFonts w:ascii="Arial" w:cs="Arial" w:eastAsia="Arial" w:hAnsi="Arial"/>
                <w:sz w:val="17"/>
                <w:szCs w:val="17"/>
                <w:b w:val="1"/>
                <w:bCs w:val="1"/>
                <w:color w:val="auto"/>
              </w:rPr>
              <w:t>July 31,</w:t>
            </w:r>
          </w:p>
        </w:tc>
        <w:tc>
          <w:tcPr>
            <w:tcW w:w="1080" w:type="dxa"/>
            <w:vAlign w:val="bottom"/>
          </w:tcPr>
          <w:p>
            <w:pPr>
              <w:jc w:val="center"/>
              <w:ind w:left="175"/>
              <w:spacing w:after="0" w:line="156" w:lineRule="exact"/>
              <w:rPr>
                <w:sz w:val="20"/>
                <w:szCs w:val="20"/>
                <w:color w:val="auto"/>
              </w:rPr>
            </w:pPr>
            <w:r>
              <w:rPr>
                <w:rFonts w:ascii="Arial" w:cs="Arial" w:eastAsia="Arial" w:hAnsi="Arial"/>
                <w:sz w:val="17"/>
                <w:szCs w:val="17"/>
                <w:b w:val="1"/>
                <w:bCs w:val="1"/>
                <w:color w:val="auto"/>
              </w:rPr>
              <w:t>August 1,</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center"/>
              <w:ind w:right="155"/>
              <w:spacing w:after="0" w:line="156" w:lineRule="exact"/>
              <w:rPr>
                <w:sz w:val="20"/>
                <w:szCs w:val="20"/>
                <w:color w:val="auto"/>
              </w:rPr>
            </w:pPr>
            <w:r>
              <w:rPr>
                <w:rFonts w:ascii="Arial" w:cs="Arial" w:eastAsia="Arial" w:hAnsi="Arial"/>
                <w:sz w:val="17"/>
                <w:szCs w:val="17"/>
                <w:b w:val="1"/>
                <w:bCs w:val="1"/>
                <w:color w:val="auto"/>
                <w:w w:val="99"/>
              </w:rPr>
              <w:t>July 31,</w:t>
            </w:r>
          </w:p>
        </w:tc>
        <w:tc>
          <w:tcPr>
            <w:tcW w:w="240" w:type="dxa"/>
            <w:vAlign w:val="bottom"/>
          </w:tcPr>
          <w:p>
            <w:pPr>
              <w:spacing w:after="0"/>
              <w:rPr>
                <w:sz w:val="13"/>
                <w:szCs w:val="13"/>
                <w:color w:val="auto"/>
              </w:rPr>
            </w:pPr>
          </w:p>
        </w:tc>
        <w:tc>
          <w:tcPr>
            <w:tcW w:w="1180" w:type="dxa"/>
            <w:vAlign w:val="bottom"/>
          </w:tcPr>
          <w:p>
            <w:pPr>
              <w:jc w:val="center"/>
              <w:ind w:right="23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r>
      <w:tr>
        <w:trPr>
          <w:trHeight w:val="183"/>
        </w:trPr>
        <w:tc>
          <w:tcPr>
            <w:tcW w:w="24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Other income, net</w:t>
            </w: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325</w:t>
            </w:r>
          </w:p>
        </w:tc>
        <w:tc>
          <w:tcPr>
            <w:tcW w:w="1080" w:type="dxa"/>
            <w:vAlign w:val="bottom"/>
            <w:tcBorders>
              <w:bottom w:val="single" w:sz="8" w:color="auto"/>
            </w:tcBorders>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3</w:t>
            </w: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329</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4</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Other income includes non-operating items, including franchise royalty income, changes in fair value of minority investments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change during the thirteen weeks ended July 31, 2021 was primarily due to a $290 million increase in the fair value of our minority investment in GOAT, which is measured using the fair value measurement alternative. GOAT received additional funding at a higher valuation than the investment amount previously on our balance sheet. Additionally, the Company invested $68 million to acquire a common stock minority stake in a public entity, which is re-measured to fair value each quarter. We recognized income of $24 million for this investment representing a discount in the initial purchase price of $9 million and appreciation in the value of stock of $15 million. Other income for thirteen weeks ended July 31, 2021 also includes $4 million related to our insurance recovery from the 2020 social unrest, which is the amount by which the recovery exceeded the book value of losses previously recorded.</w:t>
      </w: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8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Twenty-six weeks ended</w:t>
            </w:r>
          </w:p>
        </w:tc>
      </w:tr>
      <w:tr>
        <w:trPr>
          <w:trHeight w:val="183"/>
        </w:trPr>
        <w:tc>
          <w:tcPr>
            <w:tcW w:w="2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jc w:val="right"/>
              <w:ind w:right="355"/>
              <w:spacing w:after="0" w:line="184" w:lineRule="exact"/>
              <w:rPr>
                <w:sz w:val="20"/>
                <w:szCs w:val="20"/>
                <w:color w:val="auto"/>
              </w:rPr>
            </w:pPr>
            <w:r>
              <w:rPr>
                <w:rFonts w:ascii="Arial" w:cs="Arial" w:eastAsia="Arial" w:hAnsi="Arial"/>
                <w:sz w:val="17"/>
                <w:szCs w:val="17"/>
                <w:b w:val="1"/>
                <w:bCs w:val="1"/>
                <w:color w:val="auto"/>
              </w:rPr>
              <w:t>July 31,</w:t>
            </w:r>
          </w:p>
        </w:tc>
        <w:tc>
          <w:tcPr>
            <w:tcW w:w="160" w:type="dxa"/>
            <w:vAlign w:val="bottom"/>
          </w:tcPr>
          <w:p>
            <w:pPr>
              <w:spacing w:after="0"/>
              <w:rPr>
                <w:sz w:val="15"/>
                <w:szCs w:val="15"/>
                <w:color w:val="auto"/>
              </w:rPr>
            </w:pPr>
          </w:p>
        </w:tc>
        <w:tc>
          <w:tcPr>
            <w:tcW w:w="1160" w:type="dxa"/>
            <w:vAlign w:val="bottom"/>
          </w:tcPr>
          <w:p>
            <w:pPr>
              <w:jc w:val="right"/>
              <w:ind w:right="255"/>
              <w:spacing w:after="0" w:line="184" w:lineRule="exact"/>
              <w:rPr>
                <w:sz w:val="20"/>
                <w:szCs w:val="20"/>
                <w:color w:val="auto"/>
              </w:rPr>
            </w:pPr>
            <w:r>
              <w:rPr>
                <w:rFonts w:ascii="Arial" w:cs="Arial" w:eastAsia="Arial" w:hAnsi="Arial"/>
                <w:sz w:val="17"/>
                <w:szCs w:val="17"/>
                <w:b w:val="1"/>
                <w:bCs w:val="1"/>
                <w:color w:val="auto"/>
              </w:rPr>
              <w:t>August 1,</w:t>
            </w:r>
          </w:p>
        </w:tc>
        <w:tc>
          <w:tcPr>
            <w:tcW w:w="220" w:type="dxa"/>
            <w:vAlign w:val="bottom"/>
          </w:tcPr>
          <w:p>
            <w:pPr>
              <w:spacing w:after="0"/>
              <w:rPr>
                <w:sz w:val="15"/>
                <w:szCs w:val="15"/>
                <w:color w:val="auto"/>
              </w:rPr>
            </w:pPr>
          </w:p>
        </w:tc>
        <w:tc>
          <w:tcPr>
            <w:tcW w:w="1140" w:type="dxa"/>
            <w:vAlign w:val="bottom"/>
          </w:tcPr>
          <w:p>
            <w:pPr>
              <w:ind w:left="80"/>
              <w:spacing w:after="0" w:line="184" w:lineRule="exact"/>
              <w:rPr>
                <w:sz w:val="20"/>
                <w:szCs w:val="20"/>
                <w:color w:val="auto"/>
              </w:rPr>
            </w:pPr>
            <w:r>
              <w:rPr>
                <w:rFonts w:ascii="Arial" w:cs="Arial" w:eastAsia="Arial" w:hAnsi="Arial"/>
                <w:sz w:val="17"/>
                <w:szCs w:val="17"/>
                <w:b w:val="1"/>
                <w:bCs w:val="1"/>
                <w:color w:val="auto"/>
              </w:rPr>
              <w:t>July 31,</w:t>
            </w:r>
          </w:p>
        </w:tc>
        <w:tc>
          <w:tcPr>
            <w:tcW w:w="180" w:type="dxa"/>
            <w:vAlign w:val="bottom"/>
          </w:tcPr>
          <w:p>
            <w:pPr>
              <w:spacing w:after="0"/>
              <w:rPr>
                <w:sz w:val="15"/>
                <w:szCs w:val="15"/>
                <w:color w:val="auto"/>
              </w:rPr>
            </w:pPr>
          </w:p>
        </w:tc>
        <w:tc>
          <w:tcPr>
            <w:tcW w:w="1160" w:type="dxa"/>
            <w:vAlign w:val="bottom"/>
          </w:tcPr>
          <w:p>
            <w:pPr>
              <w:jc w:val="right"/>
              <w:ind w:right="255"/>
              <w:spacing w:after="0" w:line="184" w:lineRule="exact"/>
              <w:rPr>
                <w:sz w:val="20"/>
                <w:szCs w:val="20"/>
                <w:color w:val="auto"/>
              </w:rPr>
            </w:pPr>
            <w:r>
              <w:rPr>
                <w:rFonts w:ascii="Arial" w:cs="Arial" w:eastAsia="Arial" w:hAnsi="Arial"/>
                <w:sz w:val="17"/>
                <w:szCs w:val="17"/>
                <w:b w:val="1"/>
                <w:bCs w:val="1"/>
                <w:color w:val="auto"/>
              </w:rPr>
              <w:t>August 1,</w:t>
            </w:r>
          </w:p>
        </w:tc>
      </w:tr>
      <w:tr>
        <w:trPr>
          <w:trHeight w:val="215"/>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r>
      <w:tr>
        <w:trPr>
          <w:trHeight w:val="196"/>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239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30</w:t>
            </w:r>
          </w:p>
        </w:tc>
      </w:tr>
      <w:tr>
        <w:trPr>
          <w:trHeight w:val="203"/>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Effective tax rate</w:t>
            </w:r>
          </w:p>
        </w:tc>
        <w:tc>
          <w:tcPr>
            <w:tcW w:w="9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26.8 %</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35.4 %</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27.4 %</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current year interim provision for income taxes was measured using an estimated annual effective tax rate, which represented a blend of federal, state, and foreign taxes and included the effect of certain nondeductible items as well as changes in our mix of domestic and foreign earnings or losses, adjusted for discrete items that occur within the periods presented.</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 The changes in tax reserves were not significant for any of the periods presented.</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During the thirteen weeks and twenty-six weeks ended July 31, 2021, we recorded $1 million and $2 million, respectively, related to excess tax benefits from share-based compensation.</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tax rate for the twenty-six weeks ended August 1, 2020 was negatively affected by a $27 million tax charge related to the revaluation of certain intellectual property rights pursuant to a non-U.S. advance pricing agreement. During the thirteen weeks ended August 1, 2020, due to an improved financial outlook, we reduced this tax charge recognized in the first quarter of 2020 by $2 million. Partially offsetting the intellectual property rights charge, we recognized a $2 million tax benefit for the reversal of a withholding tax accrual that was no longer required in the year-to-date period of 2020.</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Excluding the above-mentioned discrete items, the effective tax rates for the current year periods declined, as compared with the corresponding prior-year periods, primarily due to the change in the mix of domestic and foreign earnings and losses. Further, our higher domestic income reduced the effect of non-deductible items.</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7"/>
          <w:szCs w:val="17"/>
          <w:color w:val="auto"/>
        </w:rPr>
        <w:t>We currently expect our full-year tax rate to approximate 29 percent excluding the effect of any nonrecurring items that may occur. The actual tax rate will vary depending on the level and mix of income earned in the various jurisdictions.</w:t>
      </w: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generally finance real estate with operating leases. We believe our cash, cash equivalents, future cash flow from operations, and amounts available under our credit agreement will be adequate to fund these requirements.</w:t>
      </w:r>
    </w:p>
    <w:p>
      <w:pPr>
        <w:spacing w:after="0" w:line="200" w:lineRule="exact"/>
        <w:rPr>
          <w:sz w:val="20"/>
          <w:szCs w:val="20"/>
          <w:color w:val="auto"/>
        </w:rPr>
      </w:pPr>
    </w:p>
    <w:p>
      <w:pPr>
        <w:spacing w:after="0" w:line="22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 xml:space="preserve">The Company may also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 </w:t>
      </w:r>
      <w:r>
        <w:rPr>
          <w:rFonts w:ascii="Arial" w:cs="Arial" w:eastAsia="Arial" w:hAnsi="Arial"/>
          <w:sz w:val="17"/>
          <w:szCs w:val="17"/>
          <w:color w:val="auto"/>
        </w:rPr>
        <w:t>As of July 31, 2021, approximately</w:t>
      </w:r>
      <w:r>
        <w:rPr>
          <w:rFonts w:ascii="Arial" w:cs="Arial" w:eastAsia="Arial" w:hAnsi="Arial"/>
          <w:sz w:val="18"/>
          <w:szCs w:val="18"/>
          <w:color w:val="auto"/>
        </w:rPr>
        <w:t xml:space="preserve"> </w:t>
      </w:r>
      <w:r>
        <w:rPr>
          <w:rFonts w:ascii="Arial" w:cs="Arial" w:eastAsia="Arial" w:hAnsi="Arial"/>
          <w:sz w:val="17"/>
          <w:szCs w:val="17"/>
          <w:color w:val="auto"/>
        </w:rPr>
        <w:t>$789 million remained available under our current $1.2 billion share repurchase program.</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January 2022, we will repay the $98 million principal outstanding of our 8.5 percent debentures.</w:t>
      </w:r>
    </w:p>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continued uncertainties caused by the COVID-19 pandemic, as well as other factors listed under the headings “Disclosure Regarding Forward-Looking Statements,” and “Risk Factors” could affect our ability to continue to fund our needs from business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Twenty-six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410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July 31,</w:t>
            </w:r>
          </w:p>
        </w:tc>
        <w:tc>
          <w:tcPr>
            <w:tcW w:w="5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47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2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4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200" w:type="dxa"/>
            <w:vAlign w:val="bottom"/>
            <w:shd w:val="clear" w:color="auto" w:fill="CCEEFF"/>
          </w:tcPr>
          <w:p>
            <w:pPr>
              <w:jc w:val="right"/>
              <w:ind w:right="975"/>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402</w:t>
            </w:r>
          </w:p>
        </w:tc>
        <w:tc>
          <w:tcPr>
            <w:tcW w:w="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606</w:t>
            </w:r>
          </w:p>
        </w:tc>
      </w:tr>
      <w:tr>
        <w:trPr>
          <w:trHeight w:val="189"/>
        </w:trPr>
        <w:tc>
          <w:tcPr>
            <w:tcW w:w="41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200" w:type="dxa"/>
            <w:vAlign w:val="bottom"/>
            <w:tcBorders>
              <w:bottom w:val="single" w:sz="8" w:color="auto"/>
            </w:tcBorders>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(204)</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Operating activities reflects net income (loss) adjusted for non-cash items and working capital changes. Adjustments to net income (loss) for non-cash items include gains, impairment charges, other charges, depreciation and amortization, deferred income taxes, and share-based compensation expense.</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decrease in cash provided by operating activities reflected higher merchandise purchases and payments on accounts payable and accrued and other liabilities, partially offset by higher net income, as compared with the same period last year. The increased merchandise purchases were necessitated by our higher sales results and that we ended the prior year with low levels due to supply chain disruptions. As of July 31, 2021, we have withheld approximately $24 million of lease and lease-related payments as we continue to negotiate rent deferrals or abatements with our landlords for the period that our stores were closed due to the COVID-19 pandemic.</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During the fourth quarter of 2020, we were notified by our property insurance carrier that it had approved, and in 2021 we collected, a $10 million partial settlement on our claim for losses sustained in connection with the social unrest of 2020. During the second quarter of 2021, we received an additional $11 million from our property insurance carrier for the remainder of the claim. The $21 million received during 2021 was classified in the statement of cash flows on the basis of the related insurance coverage. Accordingly, $18 million was related to inventory and other operating costs and was therefore classified in operating activities. The balance of $3 million was related to losses sustained on our property and equipment and was classified in investing activities. We are continuing to work with our insurers to determine if additional incurred losses under our property insurance policy will be covered; however, we do not expect that future recoveries will be significant.</w:t>
      </w: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Twenty-six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92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July 31,</w:t>
            </w:r>
          </w:p>
        </w:tc>
        <w:tc>
          <w:tcPr>
            <w:tcW w:w="5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47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2380" w:type="dxa"/>
            <w:vAlign w:val="bottom"/>
            <w:shd w:val="clear" w:color="auto" w:fill="CCEEFF"/>
          </w:tcPr>
          <w:p>
            <w:pPr>
              <w:jc w:val="right"/>
              <w:ind w:right="975"/>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(159)</w:t>
            </w:r>
          </w:p>
        </w:tc>
        <w:tc>
          <w:tcPr>
            <w:tcW w:w="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(91)</w:t>
            </w:r>
          </w:p>
        </w:tc>
      </w:tr>
      <w:tr>
        <w:trPr>
          <w:trHeight w:val="189"/>
        </w:trPr>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380" w:type="dxa"/>
            <w:vAlign w:val="bottom"/>
            <w:tcBorders>
              <w:bottom w:val="single" w:sz="8" w:color="auto"/>
            </w:tcBorders>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(68)</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the twenty-six weeks ended July 31, 2021, net cash used in investing activities increased by $68 million primarily due to a $70 million increase in minority investments. During the second quarter, we invested $68 million in a public entity and $6 million in various limited partner venture capital funds managed by Black fund managers, who are committed to advancing diverse-led business as part of our Leading in Education and Economic Development initiative.</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Capital expenditures increased by $ 4 million to $87 million, as compared with the corresponding prior-year period. Our full-year capital spending is expected to be $ 250 million. The revised forecast includes $158 million related to the remodeling or relocation of approximately 165 existing stores and the opening of approximately 120 new stores, as well as $92 million for the development of information systems, websites, and infrastructure, including supply chain initiatives. The capital expenditures forecast includes the anticipated costs related to the conversion of the Footaction stores to our other banners, although the timing of these expenditures is being evaluated.</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In connection with the shutdown of the Runners Point banner completed last year, during the first quarter of 2021, we sold the former headquarters resulting in proceeds of $3 million.</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As noted above, related to our insurance claim from the social unrest in 2020, we received proceeds of $3 million related to property and equipment loss.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Twenty-six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92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July 31,</w:t>
            </w:r>
          </w:p>
        </w:tc>
        <w:tc>
          <w:tcPr>
            <w:tcW w:w="5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47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2020</w:t>
            </w:r>
          </w:p>
        </w:tc>
      </w:tr>
      <w:tr>
        <w:trPr>
          <w:trHeight w:val="183"/>
        </w:trPr>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2440" w:type="dxa"/>
            <w:vAlign w:val="bottom"/>
            <w:shd w:val="clear" w:color="auto" w:fill="CCEEFF"/>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(79)</w:t>
            </w:r>
          </w:p>
        </w:tc>
        <w:tc>
          <w:tcPr>
            <w:tcW w:w="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(44)</w:t>
            </w:r>
          </w:p>
        </w:tc>
      </w:tr>
      <w:tr>
        <w:trPr>
          <w:trHeight w:val="189"/>
        </w:trPr>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440" w:type="dxa"/>
            <w:vAlign w:val="bottom"/>
            <w:tcBorders>
              <w:bottom w:val="single" w:sz="8" w:color="auto"/>
            </w:tcBorders>
          </w:tcPr>
          <w:p>
            <w:pPr>
              <w:jc w:val="right"/>
              <w:ind w:right="1035"/>
              <w:spacing w:after="0" w:line="189"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(35)</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bl>
    <w:p>
      <w:pPr>
        <w:spacing w:after="0" w:line="21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Cash used in financing activities consisted primarily of our return to shareholders initiatives, including our share repurchase program and cash dividends, as follows:</w:t>
      </w:r>
    </w:p>
    <w:p>
      <w:pPr>
        <w:spacing w:after="0" w:line="198"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Twenty-six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84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tcPr>
          <w:p>
            <w:pPr>
              <w:jc w:val="right"/>
              <w:ind w:right="35"/>
              <w:spacing w:after="0" w:line="156" w:lineRule="exact"/>
              <w:rPr>
                <w:sz w:val="20"/>
                <w:szCs w:val="20"/>
                <w:color w:val="auto"/>
              </w:rPr>
            </w:pPr>
            <w:r>
              <w:rPr>
                <w:rFonts w:ascii="Arial" w:cs="Arial" w:eastAsia="Arial" w:hAnsi="Arial"/>
                <w:sz w:val="17"/>
                <w:szCs w:val="17"/>
                <w:b w:val="1"/>
                <w:bCs w:val="1"/>
                <w:color w:val="auto"/>
              </w:rPr>
              <w:t>July 31,</w:t>
            </w:r>
          </w:p>
        </w:tc>
        <w:tc>
          <w:tcPr>
            <w:tcW w:w="4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right"/>
              <w:ind w:right="615"/>
              <w:spacing w:after="0" w:line="156" w:lineRule="exact"/>
              <w:rPr>
                <w:sz w:val="20"/>
                <w:szCs w:val="20"/>
                <w:color w:val="auto"/>
              </w:rPr>
            </w:pPr>
            <w:r>
              <w:rPr>
                <w:rFonts w:ascii="Arial" w:cs="Arial" w:eastAsia="Arial" w:hAnsi="Arial"/>
                <w:sz w:val="17"/>
                <w:szCs w:val="17"/>
                <w:b w:val="1"/>
                <w:bCs w:val="1"/>
                <w:color w:val="auto"/>
              </w:rPr>
              <w:t>August 1,</w:t>
            </w:r>
          </w:p>
        </w:tc>
      </w:tr>
      <w:tr>
        <w:trPr>
          <w:trHeight w:val="215"/>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5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2020</w:t>
            </w:r>
          </w:p>
        </w:tc>
      </w:tr>
      <w:tr>
        <w:trPr>
          <w:trHeight w:val="183"/>
        </w:trPr>
        <w:tc>
          <w:tcPr>
            <w:tcW w:w="38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Share repurchases</w:t>
            </w:r>
          </w:p>
        </w:tc>
        <w:tc>
          <w:tcPr>
            <w:tcW w:w="2540" w:type="dxa"/>
            <w:vAlign w:val="bottom"/>
            <w:shd w:val="clear" w:color="auto" w:fill="CCEEFF"/>
          </w:tcPr>
          <w:p>
            <w:pPr>
              <w:jc w:val="right"/>
              <w:ind w:right="1055"/>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41</w:t>
            </w:r>
          </w:p>
        </w:tc>
        <w:tc>
          <w:tcPr>
            <w:tcW w:w="4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w:t>
            </w:r>
          </w:p>
        </w:tc>
      </w:tr>
      <w:tr>
        <w:trPr>
          <w:trHeight w:val="189"/>
        </w:trPr>
        <w:tc>
          <w:tcPr>
            <w:tcW w:w="38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Dividends paid on common stock</w:t>
            </w:r>
          </w:p>
        </w:tc>
        <w:tc>
          <w:tcPr>
            <w:tcW w:w="25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42</w:t>
            </w: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5"/>
              <w:spacing w:after="0" w:line="189" w:lineRule="exact"/>
              <w:rPr>
                <w:sz w:val="20"/>
                <w:szCs w:val="20"/>
                <w:color w:val="auto"/>
              </w:rPr>
            </w:pPr>
            <w:r>
              <w:rPr>
                <w:rFonts w:ascii="Arial" w:cs="Arial" w:eastAsia="Arial" w:hAnsi="Arial"/>
                <w:sz w:val="17"/>
                <w:szCs w:val="17"/>
                <w:color w:val="auto"/>
              </w:rPr>
              <w:t>42</w:t>
            </w:r>
          </w:p>
        </w:tc>
      </w:tr>
      <w:tr>
        <w:trPr>
          <w:trHeight w:val="183"/>
        </w:trPr>
        <w:tc>
          <w:tcPr>
            <w:tcW w:w="38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returned to shareholders</w:t>
            </w:r>
          </w:p>
        </w:tc>
        <w:tc>
          <w:tcPr>
            <w:tcW w:w="2540" w:type="dxa"/>
            <w:vAlign w:val="bottom"/>
            <w:tcBorders>
              <w:bottom w:val="single" w:sz="8" w:color="auto"/>
            </w:tcBorders>
            <w:shd w:val="clear" w:color="auto" w:fill="CCEEFF"/>
          </w:tcPr>
          <w:p>
            <w:pPr>
              <w:jc w:val="right"/>
              <w:ind w:right="1055"/>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83</w:t>
            </w:r>
          </w:p>
        </w:tc>
        <w:tc>
          <w:tcPr>
            <w:tcW w:w="4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42</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twenty-six weeks ended July 31, 2021, we repurchased 745,544 shares of common stock for $41 million under our share repurchase program, whereas in the prior year we did not repurchase shares. We also declared and paid $42 million in dividends representing quarterly rates of $0.20 per share during the twenty-six weeks ended July 31, 2021. On August 16, 2021, our Board of Directors declared a quarterly dividend of $0.30 per share to be paid on October 29, 2021 representing an increase of $0.10 per share or 50 percent. In the prior-year period, we paid $42 million of dividends in the first quarter of 2020 and suspended the second quarter dividend as a result of the COVID-19 pandemic.</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paid $ 11 million to satisfy tax withholding obligations relating to the vesting of share-based equity awards during the twenty-six weeks ended July 31, 2021. Partially offsetting this amount were proceeds received in connection with employee stock programs of $17 million.</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In the first quarter of 2020, we borrowed $330 million of our then-existing revolving credit facility, which was repaid in full during the second quarter of 2020.</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January 30,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currently migrating our e-commerce order management system. All North American e-commerce apps and certain European countries were live on the new system as of July 31, 2021. In connection with this implementation and resulting business process changes, we may make changes to the design and operation of our internal control over financial reporting.</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the quarter ended July 31, 2021, there were no changes in the Company’s internal control over financial reporting, other than the implementation of the new e-commerce order management system (as defined in Rules 13a-15(f) of the Exchange Act), that materially affected or are reasonably likely to affect the Company’s internal control over financial reporting.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16"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 in 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2020 Annual Report on Form 10-K filed with the SEC on March 25, 2021 should be considered as they could materially affect our business, financial condition, or future results.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have not been any significant changes with respect to the risks described in our 2020 Form 10-K.</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table below provides information with respect to shares of the Company’s common stock for the thirteen weeks ended July 31, 2021:</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7"/>
                <w:szCs w:val="17"/>
                <w:b w:val="1"/>
                <w:bCs w:val="1"/>
                <w:color w:val="auto"/>
                <w:w w:val="99"/>
              </w:rPr>
              <w:t>Total Number of</w:t>
            </w:r>
          </w:p>
        </w:tc>
        <w:tc>
          <w:tcPr>
            <w:tcW w:w="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9"/>
              </w:rPr>
              <w:t>Dollar Value of</w:t>
            </w:r>
          </w:p>
        </w:tc>
      </w:tr>
      <w:tr>
        <w:trPr>
          <w:trHeight w:val="189"/>
        </w:trPr>
        <w:tc>
          <w:tcPr>
            <w:tcW w:w="2400" w:type="dxa"/>
            <w:vAlign w:val="bottom"/>
          </w:tcPr>
          <w:p>
            <w:pPr>
              <w:spacing w:after="0"/>
              <w:rPr>
                <w:sz w:val="16"/>
                <w:szCs w:val="16"/>
                <w:color w:val="auto"/>
              </w:rPr>
            </w:pPr>
          </w:p>
        </w:tc>
        <w:tc>
          <w:tcPr>
            <w:tcW w:w="1780" w:type="dxa"/>
            <w:vAlign w:val="bottom"/>
          </w:tcPr>
          <w:p>
            <w:pPr>
              <w:jc w:val="center"/>
              <w:ind w:left="415"/>
              <w:spacing w:after="0" w:line="189" w:lineRule="exact"/>
              <w:rPr>
                <w:sz w:val="20"/>
                <w:szCs w:val="20"/>
                <w:color w:val="auto"/>
              </w:rPr>
            </w:pPr>
            <w:r>
              <w:rPr>
                <w:rFonts w:ascii="Arial" w:cs="Arial" w:eastAsia="Arial" w:hAnsi="Arial"/>
                <w:sz w:val="17"/>
                <w:szCs w:val="17"/>
                <w:b w:val="1"/>
                <w:bCs w:val="1"/>
                <w:color w:val="auto"/>
                <w:w w:val="98"/>
              </w:rPr>
              <w:t>Total</w:t>
            </w:r>
          </w:p>
        </w:tc>
        <w:tc>
          <w:tcPr>
            <w:tcW w:w="240" w:type="dxa"/>
            <w:vAlign w:val="bottom"/>
          </w:tcPr>
          <w:p>
            <w:pPr>
              <w:spacing w:after="0"/>
              <w:rPr>
                <w:sz w:val="16"/>
                <w:szCs w:val="16"/>
                <w:color w:val="auto"/>
              </w:rPr>
            </w:pPr>
          </w:p>
        </w:tc>
        <w:tc>
          <w:tcPr>
            <w:tcW w:w="9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8"/>
              </w:rPr>
              <w:t>Average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Purchased as</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400" w:type="dxa"/>
            <w:vAlign w:val="bottom"/>
          </w:tcPr>
          <w:p>
            <w:pPr>
              <w:spacing w:after="0"/>
              <w:rPr>
                <w:sz w:val="16"/>
                <w:szCs w:val="16"/>
                <w:color w:val="auto"/>
              </w:rPr>
            </w:pPr>
          </w:p>
        </w:tc>
        <w:tc>
          <w:tcPr>
            <w:tcW w:w="1780" w:type="dxa"/>
            <w:vAlign w:val="bottom"/>
          </w:tcPr>
          <w:p>
            <w:pPr>
              <w:jc w:val="center"/>
              <w:ind w:left="435"/>
              <w:spacing w:after="0" w:line="189" w:lineRule="exact"/>
              <w:rPr>
                <w:sz w:val="20"/>
                <w:szCs w:val="20"/>
                <w:color w:val="auto"/>
              </w:rPr>
            </w:pPr>
            <w:r>
              <w:rPr>
                <w:rFonts w:ascii="Arial" w:cs="Arial" w:eastAsia="Arial" w:hAnsi="Arial"/>
                <w:sz w:val="17"/>
                <w:szCs w:val="17"/>
                <w:b w:val="1"/>
                <w:bCs w:val="1"/>
                <w:color w:val="auto"/>
              </w:rPr>
              <w:t>Number</w:t>
            </w:r>
          </w:p>
        </w:tc>
        <w:tc>
          <w:tcPr>
            <w:tcW w:w="240" w:type="dxa"/>
            <w:vAlign w:val="bottom"/>
          </w:tcPr>
          <w:p>
            <w:pPr>
              <w:spacing w:after="0"/>
              <w:rPr>
                <w:sz w:val="16"/>
                <w:szCs w:val="16"/>
                <w:color w:val="auto"/>
              </w:rPr>
            </w:pPr>
          </w:p>
        </w:tc>
        <w:tc>
          <w:tcPr>
            <w:tcW w:w="9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Price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400" w:type="dxa"/>
            <w:vAlign w:val="bottom"/>
          </w:tcPr>
          <w:p>
            <w:pPr>
              <w:spacing w:after="0"/>
              <w:rPr>
                <w:sz w:val="16"/>
                <w:szCs w:val="16"/>
                <w:color w:val="auto"/>
              </w:rPr>
            </w:pPr>
          </w:p>
        </w:tc>
        <w:tc>
          <w:tcPr>
            <w:tcW w:w="1780" w:type="dxa"/>
            <w:vAlign w:val="bottom"/>
          </w:tcPr>
          <w:p>
            <w:pPr>
              <w:jc w:val="center"/>
              <w:ind w:left="435"/>
              <w:spacing w:after="0" w:line="189" w:lineRule="exact"/>
              <w:rPr>
                <w:sz w:val="20"/>
                <w:szCs w:val="20"/>
                <w:color w:val="auto"/>
              </w:rPr>
            </w:pPr>
            <w:r>
              <w:rPr>
                <w:rFonts w:ascii="Arial" w:cs="Arial" w:eastAsia="Arial" w:hAnsi="Arial"/>
                <w:sz w:val="17"/>
                <w:szCs w:val="17"/>
                <w:b w:val="1"/>
                <w:bCs w:val="1"/>
                <w:color w:val="auto"/>
              </w:rPr>
              <w:t>of Shares</w:t>
            </w:r>
          </w:p>
        </w:tc>
        <w:tc>
          <w:tcPr>
            <w:tcW w:w="240" w:type="dxa"/>
            <w:vAlign w:val="bottom"/>
          </w:tcPr>
          <w:p>
            <w:pPr>
              <w:spacing w:after="0"/>
              <w:rPr>
                <w:sz w:val="16"/>
                <w:szCs w:val="16"/>
                <w:color w:val="auto"/>
              </w:rPr>
            </w:pPr>
          </w:p>
        </w:tc>
        <w:tc>
          <w:tcPr>
            <w:tcW w:w="9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Paid Per</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 the</w:t>
            </w:r>
          </w:p>
        </w:tc>
      </w:tr>
      <w:tr>
        <w:trPr>
          <w:trHeight w:val="21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Date Purchased</w:t>
            </w:r>
          </w:p>
        </w:tc>
        <w:tc>
          <w:tcPr>
            <w:tcW w:w="1780" w:type="dxa"/>
            <w:vAlign w:val="bottom"/>
            <w:tcBorders>
              <w:bottom w:val="single" w:sz="8" w:color="auto"/>
            </w:tcBorders>
          </w:tcPr>
          <w:p>
            <w:pPr>
              <w:jc w:val="center"/>
              <w:ind w:left="415"/>
              <w:spacing w:after="0" w:line="216"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5"/>
              <w:spacing w:after="0" w:line="216" w:lineRule="exact"/>
              <w:rPr>
                <w:sz w:val="20"/>
                <w:szCs w:val="20"/>
                <w:color w:val="auto"/>
              </w:rPr>
            </w:pPr>
            <w:r>
              <w:rPr>
                <w:rFonts w:ascii="Arial" w:cs="Arial" w:eastAsia="Arial" w:hAnsi="Arial"/>
                <w:sz w:val="16"/>
                <w:szCs w:val="16"/>
                <w:b w:val="1"/>
                <w:bCs w:val="1"/>
                <w:color w:val="auto"/>
                <w:w w:val="99"/>
              </w:rPr>
              <w:t xml:space="preserve">Share </w:t>
            </w:r>
            <w:r>
              <w:rPr>
                <w:rFonts w:ascii="Arial" w:cs="Arial" w:eastAsia="Arial" w:hAnsi="Arial"/>
                <w:sz w:val="24"/>
                <w:szCs w:val="24"/>
                <w:color w:val="auto"/>
                <w:w w:val="99"/>
                <w:vertAlign w:val="superscript"/>
              </w:rPr>
              <w:t>(1)</w:t>
            </w:r>
          </w:p>
        </w:tc>
        <w:tc>
          <w:tcPr>
            <w:tcW w:w="19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r>
      <w:tr>
        <w:trPr>
          <w:trHeight w:val="183"/>
        </w:trPr>
        <w:tc>
          <w:tcPr>
            <w:tcW w:w="24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May 2 to May 29, 2021</w:t>
            </w:r>
          </w:p>
        </w:tc>
        <w:tc>
          <w:tcPr>
            <w:tcW w:w="17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25,000</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63.44</w:t>
            </w:r>
          </w:p>
        </w:tc>
        <w:tc>
          <w:tcPr>
            <w:tcW w:w="19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25,000</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795,460,301</w:t>
            </w:r>
          </w:p>
        </w:tc>
      </w:tr>
      <w:tr>
        <w:trPr>
          <w:trHeight w:val="189"/>
        </w:trPr>
        <w:tc>
          <w:tcPr>
            <w:tcW w:w="2400" w:type="dxa"/>
            <w:vAlign w:val="bottom"/>
          </w:tcPr>
          <w:p>
            <w:pPr>
              <w:ind w:left="20"/>
              <w:spacing w:after="0" w:line="189" w:lineRule="exact"/>
              <w:rPr>
                <w:sz w:val="20"/>
                <w:szCs w:val="20"/>
                <w:color w:val="auto"/>
              </w:rPr>
            </w:pPr>
            <w:r>
              <w:rPr>
                <w:rFonts w:ascii="Arial" w:cs="Arial" w:eastAsia="Arial" w:hAnsi="Arial"/>
                <w:sz w:val="17"/>
                <w:szCs w:val="17"/>
                <w:color w:val="auto"/>
              </w:rPr>
              <w:t>May 30 to June 3, 2021</w:t>
            </w:r>
          </w:p>
        </w:tc>
        <w:tc>
          <w:tcPr>
            <w:tcW w:w="17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100,000</w:t>
            </w: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62.65</w:t>
            </w:r>
          </w:p>
        </w:tc>
        <w:tc>
          <w:tcPr>
            <w:tcW w:w="19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100,000</w:t>
            </w:r>
          </w:p>
        </w:tc>
        <w:tc>
          <w:tcPr>
            <w:tcW w:w="2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789,195,238</w:t>
            </w:r>
          </w:p>
        </w:tc>
      </w:tr>
      <w:tr>
        <w:trPr>
          <w:trHeight w:val="189"/>
        </w:trPr>
        <w:tc>
          <w:tcPr>
            <w:tcW w:w="24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June 4 to July 31, 2021</w:t>
            </w:r>
          </w:p>
        </w:tc>
        <w:tc>
          <w:tcPr>
            <w:tcW w:w="17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3,460</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57.73</w:t>
            </w:r>
          </w:p>
        </w:tc>
        <w:tc>
          <w:tcPr>
            <w:tcW w:w="19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789,195,238</w:t>
            </w:r>
          </w:p>
        </w:tc>
      </w:tr>
      <w:tr>
        <w:trPr>
          <w:trHeight w:val="183"/>
        </w:trPr>
        <w:tc>
          <w:tcPr>
            <w:tcW w:w="24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128,460</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62.67</w:t>
            </w:r>
          </w:p>
        </w:tc>
        <w:tc>
          <w:tcPr>
            <w:tcW w:w="19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125,000</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bl>
    <w:p>
      <w:pPr>
        <w:spacing w:after="0" w:line="113" w:lineRule="exact"/>
        <w:rPr>
          <w:sz w:val="20"/>
          <w:szCs w:val="20"/>
          <w:color w:val="auto"/>
        </w:rPr>
      </w:pPr>
    </w:p>
    <w:p>
      <w:pPr>
        <w:jc w:val="both"/>
        <w:ind w:left="380" w:right="79" w:hanging="330"/>
        <w:spacing w:after="0" w:line="249"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columns reflect shares acquired in satisfaction of the tax withholding obligations of holders of restricted stock unit awards, which vested during the quarter. The calculation of the average price paid per share includes all fees, commissions, and other costs associated with the repurchase of such shares.</w:t>
      </w:r>
    </w:p>
    <w:p>
      <w:pPr>
        <w:spacing w:after="0" w:line="92" w:lineRule="exact"/>
        <w:rPr>
          <w:rFonts w:ascii="Arial" w:cs="Arial" w:eastAsia="Arial" w:hAnsi="Arial"/>
          <w:sz w:val="14"/>
          <w:szCs w:val="14"/>
          <w:color w:val="auto"/>
        </w:rPr>
      </w:pPr>
    </w:p>
    <w:p>
      <w:pPr>
        <w:ind w:left="380" w:hanging="330"/>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current $1.2 billion share repurchase program extends through January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19"/>
          </w:cols>
          <w:pgMar w:left="1440" w:top="517" w:right="1440" w:bottom="1440" w:gutter="0" w:footer="0" w:header="0"/>
        </w:sectPr>
      </w:pPr>
    </w:p>
    <w:p>
      <w:pPr>
        <w:spacing w:after="0" w:line="237" w:lineRule="exact"/>
        <w:rPr>
          <w:sz w:val="20"/>
          <w:szCs w:val="20"/>
          <w:color w:val="auto"/>
        </w:rPr>
      </w:pPr>
    </w:p>
    <w:p>
      <w:pPr>
        <w:jc w:val="center"/>
        <w:ind w:left="60"/>
        <w:spacing w:after="0"/>
        <w:rPr>
          <w:sz w:val="20"/>
          <w:szCs w:val="20"/>
          <w:color w:val="auto"/>
        </w:rPr>
      </w:pPr>
      <w:r>
        <w:rPr>
          <w:rFonts w:ascii="Arial" w:cs="Arial" w:eastAsia="Arial" w:hAnsi="Arial"/>
          <w:sz w:val="17"/>
          <w:szCs w:val="17"/>
          <w:b w:val="1"/>
          <w:bCs w:val="1"/>
          <w:u w:val="single" w:color="auto"/>
          <w:color w:val="auto"/>
        </w:rPr>
        <w:t>Exhibit No.</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15*</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w:t>
      </w:r>
    </w:p>
    <w:p>
      <w:pPr>
        <w:spacing w:after="0" w:line="9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99*</w:t>
      </w:r>
    </w:p>
    <w:p>
      <w:pPr>
        <w:jc w:val="center"/>
        <w:ind w:left="60"/>
        <w:spacing w:after="0" w:line="234" w:lineRule="auto"/>
        <w:rPr>
          <w:sz w:val="20"/>
          <w:szCs w:val="20"/>
          <w:color w:val="auto"/>
        </w:rPr>
      </w:pPr>
      <w:r>
        <w:rPr>
          <w:rFonts w:ascii="Arial" w:cs="Arial" w:eastAsia="Arial" w:hAnsi="Arial"/>
          <w:sz w:val="18"/>
          <w:szCs w:val="18"/>
          <w:color w:val="auto"/>
        </w:rPr>
        <w:t>101.INS*</w:t>
      </w:r>
    </w:p>
    <w:p>
      <w:pPr>
        <w:jc w:val="center"/>
        <w:ind w:left="60"/>
        <w:spacing w:after="0" w:line="235" w:lineRule="auto"/>
        <w:rPr>
          <w:sz w:val="20"/>
          <w:szCs w:val="20"/>
          <w:color w:val="auto"/>
        </w:rPr>
      </w:pPr>
      <w:r>
        <w:rPr>
          <w:rFonts w:ascii="Arial" w:cs="Arial" w:eastAsia="Arial" w:hAnsi="Arial"/>
          <w:sz w:val="18"/>
          <w:szCs w:val="18"/>
          <w:color w:val="auto"/>
        </w:rPr>
        <w:t>101.SCH*</w:t>
      </w:r>
    </w:p>
    <w:p>
      <w:pPr>
        <w:jc w:val="center"/>
        <w:ind w:left="60"/>
        <w:spacing w:after="0" w:line="235" w:lineRule="auto"/>
        <w:rPr>
          <w:sz w:val="20"/>
          <w:szCs w:val="20"/>
          <w:color w:val="auto"/>
        </w:rPr>
      </w:pPr>
      <w:r>
        <w:rPr>
          <w:rFonts w:ascii="Arial" w:cs="Arial" w:eastAsia="Arial" w:hAnsi="Arial"/>
          <w:sz w:val="18"/>
          <w:szCs w:val="18"/>
          <w:color w:val="auto"/>
        </w:rPr>
        <w:t>101.CAL*</w:t>
      </w:r>
    </w:p>
    <w:p>
      <w:pPr>
        <w:jc w:val="center"/>
        <w:ind w:left="60"/>
        <w:spacing w:after="0" w:line="235" w:lineRule="auto"/>
        <w:rPr>
          <w:sz w:val="20"/>
          <w:szCs w:val="20"/>
          <w:color w:val="auto"/>
        </w:rPr>
      </w:pPr>
      <w:r>
        <w:rPr>
          <w:rFonts w:ascii="Arial" w:cs="Arial" w:eastAsia="Arial" w:hAnsi="Arial"/>
          <w:sz w:val="18"/>
          <w:szCs w:val="18"/>
          <w:color w:val="auto"/>
        </w:rPr>
        <w:t>101.DEF*</w:t>
      </w:r>
    </w:p>
    <w:p>
      <w:pPr>
        <w:jc w:val="center"/>
        <w:ind w:left="60"/>
        <w:spacing w:after="0" w:line="235" w:lineRule="auto"/>
        <w:rPr>
          <w:sz w:val="20"/>
          <w:szCs w:val="20"/>
          <w:color w:val="auto"/>
        </w:rPr>
      </w:pPr>
      <w:r>
        <w:rPr>
          <w:rFonts w:ascii="Arial" w:cs="Arial" w:eastAsia="Arial" w:hAnsi="Arial"/>
          <w:sz w:val="18"/>
          <w:szCs w:val="18"/>
          <w:color w:val="auto"/>
        </w:rPr>
        <w:t>101.LAB*</w:t>
      </w:r>
    </w:p>
    <w:p>
      <w:pPr>
        <w:jc w:val="center"/>
        <w:ind w:left="60"/>
        <w:spacing w:after="0" w:line="234" w:lineRule="auto"/>
        <w:rPr>
          <w:sz w:val="20"/>
          <w:szCs w:val="20"/>
          <w:color w:val="auto"/>
        </w:rPr>
      </w:pPr>
      <w:r>
        <w:rPr>
          <w:rFonts w:ascii="Arial" w:cs="Arial" w:eastAsia="Arial" w:hAnsi="Arial"/>
          <w:sz w:val="18"/>
          <w:szCs w:val="18"/>
          <w:color w:val="auto"/>
        </w:rPr>
        <w:t>101.PRE*</w:t>
      </w:r>
    </w:p>
    <w:p>
      <w:pPr>
        <w:spacing w:after="0" w:line="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11430</wp:posOffset>
            </wp:positionV>
            <wp:extent cx="5648960" cy="394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394335"/>
                    </a:xfrm>
                    <a:prstGeom prst="rect">
                      <a:avLst/>
                    </a:prstGeom>
                    <a:noFill/>
                  </pic:spPr>
                </pic:pic>
              </a:graphicData>
            </a:graphic>
          </wp:anchor>
        </w:drawing>
      </w:r>
    </w:p>
    <w:p>
      <w:pPr>
        <w:spacing w:after="0" w:line="11" w:lineRule="exact"/>
        <w:rPr>
          <w:sz w:val="20"/>
          <w:szCs w:val="20"/>
          <w:color w:val="auto"/>
        </w:rPr>
      </w:pPr>
    </w:p>
    <w:p>
      <w:pPr>
        <w:ind w:right="79"/>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Stock Purchase Agreement, dated August 1, 2021, among Foot Locker Retail, Inc., the Sellers,</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Eurostar, Inc., and the Seller Representatives (incorporated by reference to Exhibit 2.1 to the</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Form 8-K filed by Foot Locker, Inc. on August 2, 2021).</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Accountants’ Acknowledgement.</w:t>
        </w:r>
      </w:hyperlink>
    </w:p>
    <w:p>
      <w:pPr>
        <w:spacing w:after="0" w:line="189" w:lineRule="exact"/>
        <w:rPr>
          <w:rFonts w:ascii="Arial" w:cs="Arial" w:eastAsia="Arial" w:hAnsi="Arial"/>
          <w:sz w:val="18"/>
          <w:szCs w:val="18"/>
          <w:u w:val="single" w:color="auto"/>
          <w:color w:val="0000EE"/>
        </w:rPr>
      </w:pPr>
    </w:p>
    <w:p>
      <w:pPr>
        <w:jc w:val="both"/>
        <w:ind w:right="79"/>
        <w:spacing w:after="0" w:line="234"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Certification of Chief Executive Officer Pursuant to Rule 13a-14(a) or 15d-14(a), as adopted</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-255270</wp:posOffset>
            </wp:positionV>
            <wp:extent cx="5648960"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jc w:val="both"/>
        <w:ind w:right="79"/>
        <w:spacing w:after="0" w:line="234"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Certification of Chief Financial Officer Pursuant to Rule 13a-14(a) or 15d-14(a), as adopted</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pursuant to Section 302 of the Sarbanes-Oxley Act of 2002.</w:t>
        </w:r>
      </w:hyperlink>
    </w:p>
    <w:p>
      <w:pPr>
        <w:spacing w:after="0" w:line="236"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Certification of Chief Executive Officer and Chief Financial Officer Pursuant to 18 U.S.C.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235"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Section 1350, as adopted pursuant to Section 906 of the Sarbanes-Oxley Act of 2002.</w:t>
        </w:r>
      </w:hyperlink>
    </w:p>
    <w:p>
      <w:pPr>
        <w:spacing w:after="0" w:line="235"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Report of Independent Registered Public Accounting Firm.</w:t>
        </w:r>
      </w:hyperlink>
    </w:p>
    <w:p>
      <w:pPr>
        <w:spacing w:after="0" w:line="234" w:lineRule="auto"/>
        <w:rPr>
          <w:sz w:val="20"/>
          <w:szCs w:val="20"/>
          <w:color w:val="auto"/>
        </w:rPr>
      </w:pPr>
      <w:r>
        <w:rPr>
          <w:rFonts w:ascii="Arial" w:cs="Arial" w:eastAsia="Arial" w:hAnsi="Arial"/>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Schema.</w:t>
      </w:r>
    </w:p>
    <w:p>
      <w:pPr>
        <w:spacing w:after="0" w:line="235" w:lineRule="auto"/>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Definition Linkbase.</w:t>
      </w:r>
    </w:p>
    <w:p>
      <w:pPr>
        <w:spacing w:after="0" w:line="235" w:lineRule="auto"/>
        <w:rPr>
          <w:sz w:val="20"/>
          <w:szCs w:val="20"/>
          <w:color w:val="auto"/>
        </w:rPr>
      </w:pPr>
      <w:r>
        <w:rPr>
          <w:rFonts w:ascii="Arial" w:cs="Arial" w:eastAsia="Arial" w:hAnsi="Arial"/>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-127635</wp:posOffset>
            </wp:positionV>
            <wp:extent cx="564896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Inline XBRL Taxonomy Extension Presentation Linkbase.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datafile).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-130175</wp:posOffset>
            </wp:positionV>
            <wp:extent cx="56489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200"/>
            <w:col w:w="7819"/>
          </w:cols>
          <w:pgMar w:left="1440" w:top="517" w:right="1440" w:bottom="1440" w:gutter="0" w:footer="0" w:header="0"/>
          <w:type w:val="continuous"/>
        </w:sectPr>
      </w:pPr>
    </w:p>
    <w:p>
      <w:pPr>
        <w:spacing w:after="0" w:line="17" w:lineRule="exact"/>
        <w:rPr>
          <w:sz w:val="20"/>
          <w:szCs w:val="20"/>
          <w:color w:val="auto"/>
        </w:rPr>
      </w:pPr>
    </w:p>
    <w:p>
      <w:pPr>
        <w:ind w:left="260" w:hanging="21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05"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7"/>
          <w:szCs w:val="17"/>
          <w:color w:val="auto"/>
        </w:rPr>
        <w:t>Date: September 9, 2021</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820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ANDREW E. PAGE</w:t>
      </w:r>
    </w:p>
    <w:p>
      <w:pPr>
        <w:ind w:left="452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2021 Form 10-Q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rPr>
          <w:sz w:val="20"/>
          <w:szCs w:val="20"/>
          <w:color w:val="auto"/>
        </w:rPr>
      </w:pPr>
      <w:r>
        <w:rPr>
          <w:rFonts w:ascii="Arial" w:cs="Arial" w:eastAsia="Arial" w:hAnsi="Arial"/>
          <w:sz w:val="18"/>
          <w:szCs w:val="18"/>
          <w:color w:val="auto"/>
        </w:rPr>
        <w:t>Foot Locker, Inc.:</w:t>
      </w:r>
    </w:p>
    <w:p>
      <w:pPr>
        <w:spacing w:after="0" w:line="3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acknowledge our awareness of the use therein of our report dated September 9, 2021 related to our review of interim financial information in the following Registration Statements:</w:t>
      </w:r>
    </w:p>
    <w:p>
      <w:pPr>
        <w:spacing w:after="0" w:line="156" w:lineRule="exact"/>
        <w:rPr>
          <w:sz w:val="20"/>
          <w:szCs w:val="20"/>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Richard A. Johnson, certify that:</w:t>
      </w:r>
    </w:p>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September 9, 2021</w:t>
      </w: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Andrew E. Page, certify that:</w:t>
      </w:r>
    </w:p>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September 9, 2021</w:t>
      </w: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July 31, 2021, as filed with the Securities and Exchange Commission on the date hereof (the “Report”), Richard A. Johnson, as Chief Executive Officer of the Registrant and Andrew E. Page, as Chief Financial Officer of the Registrant, each hereby certifies, pursuant to 18 U.S.C. Section 1350, as adopted pursuant to Section 906 of the Sarbanes-Oxley Act of 2002, that:</w:t>
      </w:r>
    </w:p>
    <w:p>
      <w:pPr>
        <w:spacing w:after="0" w:line="191" w:lineRule="exact"/>
        <w:rPr>
          <w:sz w:val="20"/>
          <w:szCs w:val="20"/>
          <w:color w:val="auto"/>
        </w:rPr>
      </w:pPr>
    </w:p>
    <w:p>
      <w:pPr>
        <w:ind w:left="520" w:hanging="318"/>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18"/>
        <w:spacing w:after="0" w:line="246" w:lineRule="auto"/>
        <w:tabs>
          <w:tab w:leader="none" w:pos="5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9, 2021</w:t>
      </w: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Richard A. Johnson</w:t>
      </w:r>
    </w:p>
    <w:p>
      <w:pPr>
        <w:ind w:left="49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Andrew E. Page</w:t>
      </w:r>
    </w:p>
    <w:p>
      <w:pPr>
        <w:ind w:left="496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99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rPr>
          <w:sz w:val="20"/>
          <w:szCs w:val="20"/>
          <w:color w:val="auto"/>
        </w:rPr>
      </w:pPr>
      <w:r>
        <w:rPr>
          <w:rFonts w:ascii="Arial" w:cs="Arial" w:eastAsia="Arial" w:hAnsi="Arial"/>
          <w:sz w:val="18"/>
          <w:szCs w:val="18"/>
          <w:color w:val="auto"/>
        </w:rPr>
        <w:t>Foot Locker,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July 31, 2021 and August 1, 2020, the related condensed consolidated statements of operations, comprehensive income (loss), and changes in shareholders’ equity for the thirteen and twenty-six week periods ended July 31, 2021 and August 1, 2020, the related condensed consolidated statements of cash flows for the twenty-six week periods ended July 31, 2021 and August 1, 2020,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January 30, 2021, and the related consolidated statements of operations, comprehensive income, changes in shareholders’ equity, and cash flows for the year then ended (not presented herein); and in our report dated March 25, 2021, we expressed an unqualified opinion on those consolidated financial statements. In our opinion, the information set forth in the accompanying condensed consolidated balance sheet as of January 30, 2021,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68" Type="http://schemas.openxmlformats.org/officeDocument/2006/relationships/hyperlink" Target="https://www.sec.gov/Archives/edgar/data/850209/000153949721001156/exhibit2-1_stockpurch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2021-09-09T15:24:49Z</dcterms:created>
  <dcterms:modified xsi:type="dcterms:W3CDTF">2021-09-09T15:24:49Z</dcterms:modified>
</cp:coreProperties>
</file>