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9"/>
        <w:spacing w:after="0"/>
        <w:rPr>
          <w:sz w:val="20"/>
          <w:szCs w:val="20"/>
          <w:color w:val="auto"/>
        </w:rPr>
      </w:pPr>
      <w:r>
        <w:rPr>
          <w:rFonts w:ascii="Arial" w:cs="Arial" w:eastAsia="Arial" w:hAnsi="Arial"/>
          <w:sz w:val="25"/>
          <w:szCs w:val="25"/>
          <w:color w:val="auto"/>
        </w:rPr>
        <w:t>UNITED STATES</w:t>
      </w:r>
    </w:p>
    <w:p>
      <w:pPr>
        <w:jc w:val="center"/>
        <w:ind w:right="459"/>
        <w:spacing w:after="0"/>
        <w:rPr>
          <w:sz w:val="20"/>
          <w:szCs w:val="20"/>
          <w:color w:val="auto"/>
        </w:rPr>
      </w:pPr>
      <w:r>
        <w:rPr>
          <w:rFonts w:ascii="Arial" w:cs="Arial" w:eastAsia="Arial" w:hAnsi="Arial"/>
          <w:sz w:val="25"/>
          <w:szCs w:val="25"/>
          <w:color w:val="auto"/>
        </w:rPr>
        <w:t>SECURITIES AND EXCHANGE COMMISSION</w:t>
      </w:r>
    </w:p>
    <w:p>
      <w:pPr>
        <w:spacing w:after="0" w:line="37" w:lineRule="exact"/>
        <w:rPr>
          <w:sz w:val="24"/>
          <w:szCs w:val="24"/>
          <w:color w:val="auto"/>
        </w:rPr>
      </w:pPr>
    </w:p>
    <w:p>
      <w:pPr>
        <w:ind w:left="3940"/>
        <w:spacing w:after="0"/>
        <w:rPr>
          <w:sz w:val="20"/>
          <w:szCs w:val="20"/>
          <w:color w:val="auto"/>
        </w:rPr>
      </w:pPr>
      <w:r>
        <w:rPr>
          <w:rFonts w:ascii="Arial" w:cs="Arial" w:eastAsia="Arial" w:hAnsi="Arial"/>
          <w:sz w:val="16"/>
          <w:szCs w:val="16"/>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40640</wp:posOffset>
            </wp:positionH>
            <wp:positionV relativeFrom="paragraph">
              <wp:posOffset>104775</wp:posOffset>
            </wp:positionV>
            <wp:extent cx="60375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37580" cy="17145"/>
                    </a:xfrm>
                    <a:prstGeom prst="rect">
                      <a:avLst/>
                    </a:prstGeom>
                    <a:noFill/>
                  </pic:spPr>
                </pic:pic>
              </a:graphicData>
            </a:graphic>
          </wp:anchor>
        </w:drawing>
      </w:r>
    </w:p>
    <w:p>
      <w:pPr>
        <w:spacing w:after="0" w:line="347" w:lineRule="exact"/>
        <w:rPr>
          <w:sz w:val="24"/>
          <w:szCs w:val="24"/>
          <w:color w:val="auto"/>
        </w:rPr>
      </w:pPr>
    </w:p>
    <w:p>
      <w:pPr>
        <w:ind w:left="3880"/>
        <w:spacing w:after="0"/>
        <w:rPr>
          <w:sz w:val="20"/>
          <w:szCs w:val="20"/>
          <w:color w:val="auto"/>
        </w:rPr>
      </w:pPr>
      <w:r>
        <w:rPr>
          <w:rFonts w:ascii="Arial" w:cs="Arial" w:eastAsia="Arial" w:hAnsi="Arial"/>
          <w:sz w:val="34"/>
          <w:szCs w:val="3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40640</wp:posOffset>
            </wp:positionH>
            <wp:positionV relativeFrom="paragraph">
              <wp:posOffset>86360</wp:posOffset>
            </wp:positionV>
            <wp:extent cx="6037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37580" cy="8890"/>
                    </a:xfrm>
                    <a:prstGeom prst="rect">
                      <a:avLst/>
                    </a:prstGeom>
                    <a:noFill/>
                  </pic:spPr>
                </pic:pic>
              </a:graphicData>
            </a:graphic>
          </wp:anchor>
        </w:drawing>
      </w:r>
    </w:p>
    <w:p>
      <w:pPr>
        <w:spacing w:after="0" w:line="237" w:lineRule="exact"/>
        <w:rPr>
          <w:sz w:val="24"/>
          <w:szCs w:val="24"/>
          <w:color w:val="auto"/>
        </w:rPr>
      </w:pPr>
    </w:p>
    <w:p>
      <w:pPr>
        <w:ind w:left="60"/>
        <w:spacing w:after="0"/>
        <w:rPr>
          <w:sz w:val="20"/>
          <w:szCs w:val="20"/>
          <w:color w:val="auto"/>
        </w:rPr>
      </w:pPr>
      <w:r>
        <w:rPr>
          <w:rFonts w:ascii="Arial" w:cs="Arial" w:eastAsia="Arial" w:hAnsi="Arial"/>
          <w:sz w:val="18"/>
          <w:szCs w:val="18"/>
          <w:color w:val="auto"/>
        </w:rPr>
        <w:t>(Mark One)</w:t>
      </w:r>
    </w:p>
    <w:p>
      <w:pPr>
        <w:spacing w:after="0" w:line="120" w:lineRule="exact"/>
        <w:rPr>
          <w:sz w:val="24"/>
          <w:szCs w:val="24"/>
          <w:color w:val="auto"/>
        </w:rPr>
      </w:pPr>
    </w:p>
    <w:p>
      <w:pPr>
        <w:ind w:left="3300" w:right="1739" w:hanging="3272"/>
        <w:spacing w:after="0" w:line="387" w:lineRule="auto"/>
        <w:tabs>
          <w:tab w:leader="none" w:pos="442" w:val="left"/>
        </w:tabs>
        <w:numPr>
          <w:ilvl w:val="0"/>
          <w:numId w:val="1"/>
        </w:numPr>
        <w:rPr>
          <w:rFonts w:ascii="Arial" w:cs="Arial" w:eastAsia="Arial" w:hAnsi="Arial"/>
          <w:sz w:val="16"/>
          <w:szCs w:val="16"/>
          <w:color w:val="auto"/>
        </w:rPr>
      </w:pPr>
      <w:r>
        <w:rPr>
          <w:rFonts w:ascii="Arial" w:cs="Arial" w:eastAsia="Arial" w:hAnsi="Arial"/>
          <w:sz w:val="16"/>
          <w:szCs w:val="16"/>
          <w:color w:val="auto"/>
        </w:rPr>
        <w:t>ANNUAL REPORT PURSUANT TO SECTION 13 OR 15(d) OF THE SECURITIES EXCHANGE ACT OF 1934 For the fiscal year ended February 1, 2014</w:t>
      </w:r>
    </w:p>
    <w:p>
      <w:pPr>
        <w:ind w:left="4700"/>
        <w:spacing w:after="0"/>
        <w:rPr>
          <w:rFonts w:ascii="Arial" w:cs="Arial" w:eastAsia="Arial" w:hAnsi="Arial"/>
          <w:sz w:val="16"/>
          <w:szCs w:val="16"/>
          <w:color w:val="auto"/>
        </w:rPr>
      </w:pPr>
      <w:r>
        <w:rPr>
          <w:rFonts w:ascii="Arial" w:cs="Arial" w:eastAsia="Arial" w:hAnsi="Arial"/>
          <w:sz w:val="16"/>
          <w:szCs w:val="16"/>
          <w:color w:val="auto"/>
        </w:rPr>
        <w:t>OR</w:t>
      </w:r>
    </w:p>
    <w:p>
      <w:pPr>
        <w:spacing w:after="0" w:line="113" w:lineRule="exact"/>
        <w:rPr>
          <w:sz w:val="24"/>
          <w:szCs w:val="24"/>
          <w:color w:val="auto"/>
        </w:rPr>
      </w:pPr>
    </w:p>
    <w:p>
      <w:pPr>
        <w:ind w:left="440" w:hanging="412"/>
        <w:spacing w:after="0"/>
        <w:tabs>
          <w:tab w:leader="none" w:pos="4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TRANSITION REPORT PURSUANT TO SECTION 13 OR 15(d) OF THE SECURITIES EXCHANGE ACT OF 1934</w:t>
      </w:r>
    </w:p>
    <w:p>
      <w:pPr>
        <w:spacing w:after="0" w:line="62" w:lineRule="exact"/>
        <w:rPr>
          <w:sz w:val="24"/>
          <w:szCs w:val="24"/>
          <w:color w:val="auto"/>
        </w:rPr>
      </w:pPr>
    </w:p>
    <w:tbl>
      <w:tblPr>
        <w:tblLayout w:type="fixed"/>
        <w:tblInd w:w="380" w:type="dxa"/>
        <w:tblCellMar>
          <w:top w:w="0" w:type="dxa"/>
          <w:left w:w="0" w:type="dxa"/>
          <w:bottom w:w="0" w:type="dxa"/>
          <w:right w:w="0" w:type="dxa"/>
        </w:tblCellMar>
      </w:tblPr>
      <w:tr>
        <w:trPr>
          <w:trHeight w:val="184"/>
        </w:trPr>
        <w:tc>
          <w:tcPr>
            <w:tcW w:w="10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20" w:type="dxa"/>
            <w:vAlign w:val="bottom"/>
            <w:gridSpan w:val="3"/>
          </w:tcPr>
          <w:p>
            <w:pPr>
              <w:ind w:left="280"/>
              <w:spacing w:after="0"/>
              <w:rPr>
                <w:sz w:val="20"/>
                <w:szCs w:val="20"/>
                <w:color w:val="auto"/>
              </w:rPr>
            </w:pPr>
            <w:r>
              <w:rPr>
                <w:rFonts w:ascii="Arial" w:cs="Arial" w:eastAsia="Arial" w:hAnsi="Arial"/>
                <w:sz w:val="16"/>
                <w:szCs w:val="16"/>
                <w:color w:val="auto"/>
              </w:rPr>
              <w:t>For the transition period from</w:t>
            </w:r>
          </w:p>
        </w:tc>
        <w:tc>
          <w:tcPr>
            <w:tcW w:w="480" w:type="dxa"/>
            <w:vAlign w:val="bottom"/>
            <w:tcBorders>
              <w:bottom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rPr>
              <w:t>to</w:t>
            </w:r>
          </w:p>
        </w:tc>
        <w:tc>
          <w:tcPr>
            <w:tcW w:w="480" w:type="dxa"/>
            <w:vAlign w:val="bottom"/>
            <w:tcBorders>
              <w:bottom w:val="single" w:sz="8" w:color="auto"/>
            </w:tcBorders>
          </w:tcPr>
          <w:p>
            <w:pPr>
              <w:spacing w:after="0"/>
              <w:rPr>
                <w:sz w:val="16"/>
                <w:szCs w:val="16"/>
                <w:color w:val="auto"/>
              </w:rPr>
            </w:pPr>
          </w:p>
        </w:tc>
        <w:tc>
          <w:tcPr>
            <w:tcW w:w="1920" w:type="dxa"/>
            <w:vAlign w:val="bottom"/>
          </w:tcPr>
          <w:p>
            <w:pPr>
              <w:spacing w:after="0"/>
              <w:rPr>
                <w:sz w:val="16"/>
                <w:szCs w:val="16"/>
                <w:color w:val="auto"/>
              </w:rPr>
            </w:pPr>
          </w:p>
        </w:tc>
      </w:tr>
      <w:tr>
        <w:trPr>
          <w:trHeight w:val="339"/>
        </w:trPr>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520" w:type="dxa"/>
            <w:vAlign w:val="bottom"/>
            <w:gridSpan w:val="7"/>
          </w:tcPr>
          <w:p>
            <w:pPr>
              <w:jc w:val="center"/>
              <w:ind w:right="1640"/>
              <w:spacing w:after="0"/>
              <w:rPr>
                <w:sz w:val="20"/>
                <w:szCs w:val="20"/>
                <w:color w:val="auto"/>
              </w:rPr>
            </w:pPr>
            <w:r>
              <w:rPr>
                <w:rFonts w:ascii="Arial" w:cs="Arial" w:eastAsia="Arial" w:hAnsi="Arial"/>
                <w:sz w:val="16"/>
                <w:szCs w:val="16"/>
                <w:color w:val="auto"/>
              </w:rPr>
              <w:t>Commission File No. 1-10299</w:t>
            </w:r>
          </w:p>
        </w:tc>
      </w:tr>
      <w:tr>
        <w:trPr>
          <w:trHeight w:val="708"/>
        </w:trPr>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520" w:type="dxa"/>
            <w:vAlign w:val="bottom"/>
            <w:gridSpan w:val="7"/>
          </w:tcPr>
          <w:p>
            <w:pPr>
              <w:jc w:val="center"/>
              <w:ind w:right="1640"/>
              <w:spacing w:after="0"/>
              <w:rPr>
                <w:sz w:val="20"/>
                <w:szCs w:val="20"/>
                <w:color w:val="auto"/>
              </w:rPr>
            </w:pPr>
            <w:r>
              <w:rPr>
                <w:rFonts w:ascii="Arial" w:cs="Arial" w:eastAsia="Arial" w:hAnsi="Arial"/>
                <w:sz w:val="16"/>
                <w:szCs w:val="16"/>
                <w:color w:val="auto"/>
              </w:rPr>
              <w:t>(Exact name of Registrant as specified in its charter)</w:t>
            </w:r>
          </w:p>
        </w:tc>
      </w:tr>
      <w:tr>
        <w:trPr>
          <w:trHeight w:val="193"/>
        </w:trPr>
        <w:tc>
          <w:tcPr>
            <w:tcW w:w="1060" w:type="dxa"/>
            <w:vAlign w:val="bottom"/>
          </w:tcPr>
          <w:p>
            <w:pPr>
              <w:spacing w:after="0"/>
              <w:rPr>
                <w:sz w:val="16"/>
                <w:szCs w:val="16"/>
                <w:color w:val="auto"/>
              </w:rPr>
            </w:pPr>
          </w:p>
        </w:tc>
        <w:tc>
          <w:tcPr>
            <w:tcW w:w="2940" w:type="dxa"/>
            <w:vAlign w:val="bottom"/>
            <w:gridSpan w:val="2"/>
          </w:tcPr>
          <w:p>
            <w:pPr>
              <w:jc w:val="center"/>
              <w:ind w:right="1419"/>
              <w:spacing w:after="0" w:line="194" w:lineRule="exact"/>
              <w:rPr>
                <w:sz w:val="20"/>
                <w:szCs w:val="20"/>
                <w:color w:val="auto"/>
              </w:rPr>
            </w:pPr>
            <w:r>
              <w:rPr>
                <w:rFonts w:ascii="Arial" w:cs="Arial" w:eastAsia="Arial" w:hAnsi="Arial"/>
                <w:sz w:val="18"/>
                <w:szCs w:val="18"/>
                <w:b w:val="1"/>
                <w:bCs w:val="1"/>
                <w:color w:val="auto"/>
                <w:w w:val="97"/>
              </w:rPr>
              <w:t>New York</w:t>
            </w: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100" w:type="dxa"/>
            <w:vAlign w:val="bottom"/>
            <w:gridSpan w:val="4"/>
          </w:tcPr>
          <w:p>
            <w:pPr>
              <w:jc w:val="right"/>
              <w:ind w:right="1300"/>
              <w:spacing w:after="0" w:line="194" w:lineRule="exact"/>
              <w:rPr>
                <w:sz w:val="20"/>
                <w:szCs w:val="20"/>
                <w:color w:val="auto"/>
              </w:rPr>
            </w:pPr>
            <w:r>
              <w:rPr>
                <w:rFonts w:ascii="Arial" w:cs="Arial" w:eastAsia="Arial" w:hAnsi="Arial"/>
                <w:sz w:val="18"/>
                <w:szCs w:val="18"/>
                <w:b w:val="1"/>
                <w:bCs w:val="1"/>
                <w:color w:val="auto"/>
              </w:rPr>
              <w:t>13-3513936</w:t>
            </w:r>
          </w:p>
        </w:tc>
      </w:tr>
      <w:tr>
        <w:trPr>
          <w:trHeight w:val="162"/>
        </w:trPr>
        <w:tc>
          <w:tcPr>
            <w:tcW w:w="4000" w:type="dxa"/>
            <w:vAlign w:val="bottom"/>
            <w:gridSpan w:val="3"/>
          </w:tcPr>
          <w:p>
            <w:pPr>
              <w:jc w:val="center"/>
              <w:ind w:right="359"/>
              <w:spacing w:after="0"/>
              <w:rPr>
                <w:sz w:val="20"/>
                <w:szCs w:val="20"/>
                <w:color w:val="auto"/>
              </w:rPr>
            </w:pPr>
            <w:r>
              <w:rPr>
                <w:rFonts w:ascii="Arial" w:cs="Arial" w:eastAsia="Arial" w:hAnsi="Arial"/>
                <w:sz w:val="14"/>
                <w:szCs w:val="14"/>
                <w:i w:val="1"/>
                <w:iCs w:val="1"/>
                <w:color w:val="auto"/>
              </w:rPr>
              <w:t>(State or other jurisdiction of</w:t>
            </w: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100" w:type="dxa"/>
            <w:vAlign w:val="bottom"/>
            <w:gridSpan w:val="4"/>
          </w:tcPr>
          <w:p>
            <w:pPr>
              <w:jc w:val="center"/>
              <w:ind w:right="440"/>
              <w:spacing w:after="0"/>
              <w:rPr>
                <w:sz w:val="20"/>
                <w:szCs w:val="20"/>
                <w:color w:val="auto"/>
              </w:rPr>
            </w:pPr>
            <w:r>
              <w:rPr>
                <w:rFonts w:ascii="Arial" w:cs="Arial" w:eastAsia="Arial" w:hAnsi="Arial"/>
                <w:sz w:val="14"/>
                <w:szCs w:val="14"/>
                <w:i w:val="1"/>
                <w:iCs w:val="1"/>
                <w:color w:val="auto"/>
              </w:rPr>
              <w:t>(I.R.S. Employer Identification No.)</w:t>
            </w:r>
          </w:p>
        </w:tc>
      </w:tr>
      <w:tr>
        <w:trPr>
          <w:trHeight w:val="144"/>
        </w:trPr>
        <w:tc>
          <w:tcPr>
            <w:tcW w:w="4000" w:type="dxa"/>
            <w:vAlign w:val="bottom"/>
            <w:gridSpan w:val="3"/>
          </w:tcPr>
          <w:p>
            <w:pPr>
              <w:jc w:val="center"/>
              <w:ind w:right="359"/>
              <w:spacing w:after="0" w:line="145" w:lineRule="exact"/>
              <w:rPr>
                <w:sz w:val="20"/>
                <w:szCs w:val="20"/>
                <w:color w:val="auto"/>
              </w:rPr>
            </w:pPr>
            <w:r>
              <w:rPr>
                <w:rFonts w:ascii="Arial" w:cs="Arial" w:eastAsia="Arial" w:hAnsi="Arial"/>
                <w:sz w:val="14"/>
                <w:szCs w:val="14"/>
                <w:i w:val="1"/>
                <w:iCs w:val="1"/>
                <w:color w:val="auto"/>
              </w:rPr>
              <w:t>incorporation or organization)</w:t>
            </w: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20" w:type="dxa"/>
            <w:vAlign w:val="bottom"/>
          </w:tcPr>
          <w:p>
            <w:pPr>
              <w:spacing w:after="0"/>
              <w:rPr>
                <w:sz w:val="12"/>
                <w:szCs w:val="12"/>
                <w:color w:val="auto"/>
              </w:rPr>
            </w:pPr>
          </w:p>
        </w:tc>
      </w:tr>
      <w:tr>
        <w:trPr>
          <w:trHeight w:val="247"/>
        </w:trPr>
        <w:tc>
          <w:tcPr>
            <w:tcW w:w="4000" w:type="dxa"/>
            <w:vAlign w:val="bottom"/>
            <w:gridSpan w:val="3"/>
          </w:tcPr>
          <w:p>
            <w:pPr>
              <w:jc w:val="center"/>
              <w:ind w:right="359"/>
              <w:spacing w:after="0" w:line="247" w:lineRule="exact"/>
              <w:rPr>
                <w:sz w:val="20"/>
                <w:szCs w:val="20"/>
                <w:color w:val="auto"/>
              </w:rPr>
            </w:pPr>
            <w:r>
              <w:rPr>
                <w:rFonts w:ascii="Arial" w:cs="Arial" w:eastAsia="Arial" w:hAnsi="Arial"/>
                <w:sz w:val="17"/>
                <w:szCs w:val="17"/>
                <w:b w:val="1"/>
                <w:bCs w:val="1"/>
                <w:color w:val="auto"/>
              </w:rPr>
              <w:t>112 West 34</w:t>
            </w:r>
            <w:r>
              <w:rPr>
                <w:rFonts w:ascii="Arial" w:cs="Arial" w:eastAsia="Arial" w:hAnsi="Arial"/>
                <w:sz w:val="28"/>
                <w:szCs w:val="28"/>
                <w:b w:val="1"/>
                <w:bCs w:val="1"/>
                <w:color w:val="auto"/>
                <w:vertAlign w:val="superscript"/>
              </w:rPr>
              <w:t>th</w:t>
            </w:r>
            <w:r>
              <w:rPr>
                <w:rFonts w:ascii="Arial" w:cs="Arial" w:eastAsia="Arial" w:hAnsi="Arial"/>
                <w:sz w:val="17"/>
                <w:szCs w:val="17"/>
                <w:b w:val="1"/>
                <w:bCs w:val="1"/>
                <w:color w:val="auto"/>
              </w:rPr>
              <w:t xml:space="preserve"> Street, New York, New York</w:t>
            </w: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100" w:type="dxa"/>
            <w:vAlign w:val="bottom"/>
            <w:gridSpan w:val="4"/>
          </w:tcPr>
          <w:p>
            <w:pPr>
              <w:jc w:val="right"/>
              <w:ind w:right="1520"/>
              <w:spacing w:after="0"/>
              <w:rPr>
                <w:sz w:val="20"/>
                <w:szCs w:val="20"/>
                <w:color w:val="auto"/>
              </w:rPr>
            </w:pPr>
            <w:r>
              <w:rPr>
                <w:rFonts w:ascii="Arial" w:cs="Arial" w:eastAsia="Arial" w:hAnsi="Arial"/>
                <w:sz w:val="18"/>
                <w:szCs w:val="18"/>
                <w:b w:val="1"/>
                <w:bCs w:val="1"/>
                <w:color w:val="auto"/>
              </w:rPr>
              <w:t>10120</w:t>
            </w:r>
          </w:p>
        </w:tc>
      </w:tr>
      <w:tr>
        <w:trPr>
          <w:trHeight w:val="186"/>
        </w:trPr>
        <w:tc>
          <w:tcPr>
            <w:tcW w:w="4000" w:type="dxa"/>
            <w:vAlign w:val="bottom"/>
            <w:gridSpan w:val="3"/>
          </w:tcPr>
          <w:p>
            <w:pPr>
              <w:jc w:val="center"/>
              <w:ind w:right="359"/>
              <w:spacing w:after="0"/>
              <w:rPr>
                <w:sz w:val="20"/>
                <w:szCs w:val="20"/>
                <w:color w:val="auto"/>
              </w:rPr>
            </w:pPr>
            <w:r>
              <w:rPr>
                <w:rFonts w:ascii="Arial" w:cs="Arial" w:eastAsia="Arial" w:hAnsi="Arial"/>
                <w:sz w:val="14"/>
                <w:szCs w:val="14"/>
                <w:i w:val="1"/>
                <w:iCs w:val="1"/>
                <w:color w:val="auto"/>
              </w:rPr>
              <w:t>(Address of principal executive offices)</w:t>
            </w: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2"/>
          </w:tcPr>
          <w:p>
            <w:pPr>
              <w:jc w:val="center"/>
              <w:ind w:right="1160"/>
              <w:spacing w:after="0"/>
              <w:rPr>
                <w:sz w:val="20"/>
                <w:szCs w:val="20"/>
                <w:color w:val="auto"/>
              </w:rPr>
            </w:pPr>
            <w:r>
              <w:rPr>
                <w:rFonts w:ascii="Arial" w:cs="Arial" w:eastAsia="Arial" w:hAnsi="Arial"/>
                <w:sz w:val="14"/>
                <w:szCs w:val="14"/>
                <w:i w:val="1"/>
                <w:iCs w:val="1"/>
                <w:color w:val="auto"/>
              </w:rPr>
              <w:t>(Zip Code)</w:t>
            </w:r>
          </w:p>
        </w:tc>
      </w:tr>
      <w:tr>
        <w:trPr>
          <w:trHeight w:val="290"/>
        </w:trPr>
        <w:tc>
          <w:tcPr>
            <w:tcW w:w="1060" w:type="dxa"/>
            <w:vAlign w:val="bottom"/>
          </w:tcPr>
          <w:p>
            <w:pPr>
              <w:spacing w:after="0"/>
              <w:rPr>
                <w:sz w:val="24"/>
                <w:szCs w:val="24"/>
                <w:color w:val="auto"/>
              </w:rPr>
            </w:pPr>
          </w:p>
        </w:tc>
        <w:tc>
          <w:tcPr>
            <w:tcW w:w="6960" w:type="dxa"/>
            <w:vAlign w:val="bottom"/>
            <w:gridSpan w:val="8"/>
          </w:tcPr>
          <w:p>
            <w:pPr>
              <w:jc w:val="center"/>
              <w:ind w:right="200"/>
              <w:spacing w:after="0"/>
              <w:rPr>
                <w:sz w:val="20"/>
                <w:szCs w:val="20"/>
                <w:color w:val="auto"/>
              </w:rPr>
            </w:pPr>
            <w:r>
              <w:rPr>
                <w:rFonts w:ascii="Arial" w:cs="Arial" w:eastAsia="Arial" w:hAnsi="Arial"/>
                <w:sz w:val="16"/>
                <w:szCs w:val="16"/>
                <w:color w:val="auto"/>
              </w:rPr>
              <w:t>Registrant’s telephone number, including area code: (212) 720-3700</w:t>
            </w:r>
          </w:p>
        </w:tc>
      </w:tr>
      <w:tr>
        <w:trPr>
          <w:trHeight w:val="275"/>
        </w:trPr>
        <w:tc>
          <w:tcPr>
            <w:tcW w:w="1060" w:type="dxa"/>
            <w:vAlign w:val="bottom"/>
          </w:tcPr>
          <w:p>
            <w:pPr>
              <w:spacing w:after="0"/>
              <w:rPr>
                <w:sz w:val="23"/>
                <w:szCs w:val="23"/>
                <w:color w:val="auto"/>
              </w:rPr>
            </w:pPr>
          </w:p>
        </w:tc>
        <w:tc>
          <w:tcPr>
            <w:tcW w:w="6960" w:type="dxa"/>
            <w:vAlign w:val="bottom"/>
            <w:gridSpan w:val="8"/>
          </w:tcPr>
          <w:p>
            <w:pPr>
              <w:jc w:val="center"/>
              <w:ind w:right="200"/>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176"/>
        </w:trPr>
        <w:tc>
          <w:tcPr>
            <w:tcW w:w="1060" w:type="dxa"/>
            <w:vAlign w:val="bottom"/>
          </w:tcPr>
          <w:p>
            <w:pPr>
              <w:spacing w:after="0"/>
              <w:rPr>
                <w:sz w:val="15"/>
                <w:szCs w:val="15"/>
                <w:color w:val="auto"/>
              </w:rPr>
            </w:pPr>
          </w:p>
        </w:tc>
        <w:tc>
          <w:tcPr>
            <w:tcW w:w="14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8"/>
                <w:szCs w:val="18"/>
                <w:color w:val="auto"/>
                <w:w w:val="99"/>
              </w:rPr>
              <w:t>Title of each class</w:t>
            </w:r>
          </w:p>
        </w:tc>
        <w:tc>
          <w:tcPr>
            <w:tcW w:w="1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560" w:type="dxa"/>
            <w:vAlign w:val="bottom"/>
            <w:tcBorders>
              <w:bottom w:val="single" w:sz="8" w:color="auto"/>
            </w:tcBorders>
            <w:gridSpan w:val="5"/>
          </w:tcPr>
          <w:p>
            <w:pPr>
              <w:jc w:val="center"/>
              <w:spacing w:after="0" w:line="176" w:lineRule="exact"/>
              <w:rPr>
                <w:sz w:val="20"/>
                <w:szCs w:val="20"/>
                <w:color w:val="auto"/>
              </w:rPr>
            </w:pPr>
            <w:r>
              <w:rPr>
                <w:rFonts w:ascii="Arial" w:cs="Arial" w:eastAsia="Arial" w:hAnsi="Arial"/>
                <w:sz w:val="18"/>
                <w:szCs w:val="18"/>
                <w:color w:val="auto"/>
                <w:w w:val="99"/>
              </w:rPr>
              <w:t>Name of each exchange on which registered</w:t>
            </w:r>
          </w:p>
        </w:tc>
      </w:tr>
      <w:tr>
        <w:trPr>
          <w:trHeight w:val="223"/>
        </w:trPr>
        <w:tc>
          <w:tcPr>
            <w:tcW w:w="4000" w:type="dxa"/>
            <w:vAlign w:val="bottom"/>
            <w:gridSpan w:val="3"/>
          </w:tcPr>
          <w:p>
            <w:pPr>
              <w:jc w:val="center"/>
              <w:ind w:right="359"/>
              <w:spacing w:after="0"/>
              <w:rPr>
                <w:sz w:val="20"/>
                <w:szCs w:val="20"/>
                <w:color w:val="auto"/>
              </w:rPr>
            </w:pPr>
            <w:r>
              <w:rPr>
                <w:rFonts w:ascii="Arial" w:cs="Arial" w:eastAsia="Arial" w:hAnsi="Arial"/>
                <w:sz w:val="18"/>
                <w:szCs w:val="18"/>
                <w:color w:val="auto"/>
                <w:w w:val="99"/>
              </w:rPr>
              <w:t>Common Stock, par value $0.01</w:t>
            </w: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100" w:type="dxa"/>
            <w:vAlign w:val="bottom"/>
            <w:gridSpan w:val="4"/>
          </w:tcPr>
          <w:p>
            <w:pPr>
              <w:jc w:val="center"/>
              <w:ind w:right="460"/>
              <w:spacing w:after="0"/>
              <w:rPr>
                <w:sz w:val="20"/>
                <w:szCs w:val="20"/>
                <w:color w:val="auto"/>
              </w:rPr>
            </w:pPr>
            <w:r>
              <w:rPr>
                <w:rFonts w:ascii="Arial" w:cs="Arial" w:eastAsia="Arial" w:hAnsi="Arial"/>
                <w:sz w:val="18"/>
                <w:szCs w:val="18"/>
                <w:color w:val="auto"/>
                <w:w w:val="99"/>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2064385</wp:posOffset>
            </wp:positionH>
            <wp:positionV relativeFrom="paragraph">
              <wp:posOffset>-1602740</wp:posOffset>
            </wp:positionV>
            <wp:extent cx="1998345" cy="222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98345" cy="2228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-1285875</wp:posOffset>
            </wp:positionV>
            <wp:extent cx="5539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3974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-977265</wp:posOffset>
            </wp:positionV>
            <wp:extent cx="55397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3974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-334010</wp:posOffset>
            </wp:positionV>
            <wp:extent cx="55397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39740" cy="8890"/>
                    </a:xfrm>
                    <a:prstGeom prst="rect">
                      <a:avLst/>
                    </a:prstGeom>
                    <a:noFill/>
                  </pic:spPr>
                </pic:pic>
              </a:graphicData>
            </a:graphic>
          </wp:anchor>
        </w:drawing>
      </w:r>
    </w:p>
    <w:p>
      <w:pPr>
        <w:spacing w:after="0" w:line="74" w:lineRule="exact"/>
        <w:rPr>
          <w:sz w:val="24"/>
          <w:szCs w:val="24"/>
          <w:color w:val="auto"/>
        </w:rPr>
      </w:pPr>
    </w:p>
    <w:p>
      <w:pPr>
        <w:ind w:left="2300"/>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40640</wp:posOffset>
            </wp:positionH>
            <wp:positionV relativeFrom="paragraph">
              <wp:posOffset>6350</wp:posOffset>
            </wp:positionV>
            <wp:extent cx="60375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37580" cy="8890"/>
                    </a:xfrm>
                    <a:prstGeom prst="rect">
                      <a:avLst/>
                    </a:prstGeom>
                    <a:noFill/>
                  </pic:spPr>
                </pic:pic>
              </a:graphicData>
            </a:graphic>
          </wp:anchor>
        </w:drawing>
      </w:r>
    </w:p>
    <w:p>
      <w:pPr>
        <w:spacing w:after="0" w:line="106" w:lineRule="exact"/>
        <w:rPr>
          <w:sz w:val="24"/>
          <w:szCs w:val="24"/>
          <w:color w:val="auto"/>
        </w:rPr>
      </w:pPr>
    </w:p>
    <w:p>
      <w:pPr>
        <w:ind w:left="60" w:right="1839"/>
        <w:spacing w:after="0" w:line="430" w:lineRule="auto"/>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Act.Yes x No o Indicate by check mark if the registrant is not required to file reports pursuant to Section 13 or Section 15(d) of the Act.Yes o No x</w:t>
      </w:r>
    </w:p>
    <w:p>
      <w:pPr>
        <w:jc w:val="both"/>
        <w:ind w:left="60" w:right="519"/>
        <w:spacing w:after="0" w:line="270"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days.Yes x No o</w:t>
      </w:r>
    </w:p>
    <w:p>
      <w:pPr>
        <w:spacing w:after="0" w:line="91" w:lineRule="exact"/>
        <w:rPr>
          <w:sz w:val="24"/>
          <w:szCs w:val="24"/>
          <w:color w:val="auto"/>
        </w:rPr>
      </w:pPr>
    </w:p>
    <w:p>
      <w:pPr>
        <w:jc w:val="both"/>
        <w:ind w:left="60" w:right="519"/>
        <w:spacing w:after="0" w:line="270"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files).Yes x No o</w:t>
      </w:r>
    </w:p>
    <w:p>
      <w:pPr>
        <w:spacing w:after="0" w:line="91" w:lineRule="exact"/>
        <w:rPr>
          <w:sz w:val="24"/>
          <w:szCs w:val="24"/>
          <w:color w:val="auto"/>
        </w:rPr>
      </w:pPr>
    </w:p>
    <w:p>
      <w:pPr>
        <w:jc w:val="both"/>
        <w:ind w:left="60" w:right="539"/>
        <w:spacing w:after="0" w:line="270"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60" w:type="dxa"/>
            <w:vAlign w:val="bottom"/>
          </w:tcPr>
          <w:p>
            <w:pPr>
              <w:spacing w:after="0"/>
              <w:rPr>
                <w:sz w:val="14"/>
                <w:szCs w:val="14"/>
                <w:color w:val="auto"/>
              </w:rPr>
            </w:pPr>
          </w:p>
        </w:tc>
        <w:tc>
          <w:tcPr>
            <w:tcW w:w="9520" w:type="dxa"/>
            <w:vAlign w:val="bottom"/>
            <w:gridSpan w:val="7"/>
          </w:tcPr>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w:t>
            </w:r>
          </w:p>
        </w:tc>
        <w:tc>
          <w:tcPr>
            <w:tcW w:w="0" w:type="dxa"/>
            <w:vAlign w:val="bottom"/>
          </w:tcPr>
          <w:p>
            <w:pPr>
              <w:spacing w:after="0"/>
              <w:rPr>
                <w:sz w:val="1"/>
                <w:szCs w:val="1"/>
                <w:color w:val="auto"/>
              </w:rPr>
            </w:pPr>
          </w:p>
        </w:tc>
      </w:tr>
      <w:tr>
        <w:trPr>
          <w:trHeight w:val="134"/>
        </w:trPr>
        <w:tc>
          <w:tcPr>
            <w:tcW w:w="60" w:type="dxa"/>
            <w:vAlign w:val="bottom"/>
          </w:tcPr>
          <w:p>
            <w:pPr>
              <w:spacing w:after="0"/>
              <w:rPr>
                <w:sz w:val="11"/>
                <w:szCs w:val="11"/>
                <w:color w:val="auto"/>
              </w:rPr>
            </w:pPr>
          </w:p>
        </w:tc>
        <w:tc>
          <w:tcPr>
            <w:tcW w:w="9520" w:type="dxa"/>
            <w:vAlign w:val="bottom"/>
            <w:gridSpan w:val="7"/>
          </w:tcPr>
          <w:p>
            <w:pPr>
              <w:spacing w:after="0" w:line="134" w:lineRule="exact"/>
              <w:rPr>
                <w:sz w:val="20"/>
                <w:szCs w:val="20"/>
                <w:color w:val="auto"/>
              </w:rPr>
            </w:pPr>
            <w:r>
              <w:rPr>
                <w:rFonts w:ascii="Arial" w:cs="Arial" w:eastAsia="Arial" w:hAnsi="Arial"/>
                <w:sz w:val="14"/>
                <w:szCs w:val="14"/>
                <w:color w:val="auto"/>
              </w:rPr>
              <w:t>See the definitions of “large accelerated filer,” “accelerated filer,” and “smaller reporting company” in Rule 12b-2 of the Exchange Act.</w:t>
            </w: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Large accelerated filer x</w:t>
            </w:r>
          </w:p>
        </w:tc>
        <w:tc>
          <w:tcPr>
            <w:tcW w:w="1760" w:type="dxa"/>
            <w:vAlign w:val="bottom"/>
          </w:tcPr>
          <w:p>
            <w:pPr>
              <w:ind w:left="240"/>
              <w:spacing w:after="0"/>
              <w:rPr>
                <w:sz w:val="20"/>
                <w:szCs w:val="20"/>
                <w:color w:val="auto"/>
              </w:rPr>
            </w:pPr>
            <w:r>
              <w:rPr>
                <w:rFonts w:ascii="Arial" w:cs="Arial" w:eastAsia="Arial" w:hAnsi="Arial"/>
                <w:sz w:val="14"/>
                <w:szCs w:val="14"/>
                <w:color w:val="auto"/>
              </w:rPr>
              <w:t>Accelerated filer o</w:t>
            </w:r>
          </w:p>
        </w:tc>
        <w:tc>
          <w:tcPr>
            <w:tcW w:w="2060" w:type="dxa"/>
            <w:vAlign w:val="bottom"/>
          </w:tcPr>
          <w:p>
            <w:pPr>
              <w:ind w:left="380"/>
              <w:spacing w:after="0"/>
              <w:rPr>
                <w:sz w:val="20"/>
                <w:szCs w:val="20"/>
                <w:color w:val="auto"/>
              </w:rPr>
            </w:pPr>
            <w:r>
              <w:rPr>
                <w:rFonts w:ascii="Arial" w:cs="Arial" w:eastAsia="Arial" w:hAnsi="Arial"/>
                <w:sz w:val="14"/>
                <w:szCs w:val="14"/>
                <w:color w:val="auto"/>
              </w:rPr>
              <w:t>Non-accelerated filer o</w:t>
            </w:r>
          </w:p>
        </w:tc>
        <w:tc>
          <w:tcPr>
            <w:tcW w:w="2100" w:type="dxa"/>
            <w:vAlign w:val="bottom"/>
            <w:gridSpan w:val="2"/>
          </w:tcPr>
          <w:p>
            <w:pPr>
              <w:jc w:val="right"/>
              <w:spacing w:after="0"/>
              <w:rPr>
                <w:sz w:val="20"/>
                <w:szCs w:val="20"/>
                <w:color w:val="auto"/>
              </w:rPr>
            </w:pPr>
            <w:r>
              <w:rPr>
                <w:rFonts w:ascii="Arial" w:cs="Arial" w:eastAsia="Arial" w:hAnsi="Arial"/>
                <w:sz w:val="14"/>
                <w:szCs w:val="14"/>
                <w:color w:val="auto"/>
              </w:rPr>
              <w:t>Smaller reporting company o</w:t>
            </w: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7320" w:type="dxa"/>
            <w:vAlign w:val="bottom"/>
            <w:gridSpan w:val="4"/>
          </w:tcPr>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Act).Yes o No x</w:t>
            </w:r>
          </w:p>
        </w:tc>
        <w:tc>
          <w:tcPr>
            <w:tcW w:w="34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145,645,546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562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Number of shares of Common Stock outstanding at March 17, 2014:</w:t>
            </w:r>
          </w:p>
        </w:tc>
        <w:tc>
          <w:tcPr>
            <w:tcW w:w="1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380" w:type="dxa"/>
            <w:vAlign w:val="bottom"/>
            <w:gridSpan w:val="5"/>
            <w:shd w:val="clear" w:color="auto" w:fill="C0C0C0"/>
          </w:tcPr>
          <w:p>
            <w:pPr>
              <w:ind w:left="20"/>
              <w:spacing w:after="0"/>
              <w:rPr>
                <w:sz w:val="20"/>
                <w:szCs w:val="20"/>
                <w:color w:val="auto"/>
              </w:rPr>
            </w:pPr>
            <w:r>
              <w:rPr>
                <w:rFonts w:ascii="Arial" w:cs="Arial" w:eastAsia="Arial" w:hAnsi="Arial"/>
                <w:sz w:val="14"/>
                <w:szCs w:val="14"/>
                <w:color w:val="auto"/>
              </w:rPr>
              <w:t>The aggregate market value of voting stock held by non-affiliates of the Registrant computed by reference to the</w:t>
            </w:r>
          </w:p>
        </w:tc>
        <w:tc>
          <w:tcPr>
            <w:tcW w:w="340" w:type="dxa"/>
            <w:vAlign w:val="bottom"/>
            <w:shd w:val="clear" w:color="auto" w:fill="C0C0C0"/>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4,072,929,174*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80" w:type="dxa"/>
            <w:vAlign w:val="bottom"/>
            <w:gridSpan w:val="5"/>
            <w:shd w:val="clear" w:color="auto" w:fill="C0C0C0"/>
          </w:tcPr>
          <w:p>
            <w:pPr>
              <w:ind w:left="20"/>
              <w:spacing w:after="0"/>
              <w:rPr>
                <w:sz w:val="20"/>
                <w:szCs w:val="20"/>
                <w:color w:val="auto"/>
              </w:rPr>
            </w:pPr>
            <w:r>
              <w:rPr>
                <w:rFonts w:ascii="Arial" w:cs="Arial" w:eastAsia="Arial" w:hAnsi="Arial"/>
                <w:sz w:val="14"/>
                <w:szCs w:val="14"/>
                <w:color w:val="auto"/>
              </w:rPr>
              <w:t>closing price as of the last business day of the Registrant’s most recently completed second fiscal quarter,</w:t>
            </w:r>
          </w:p>
        </w:tc>
        <w:tc>
          <w:tcPr>
            <w:tcW w:w="340" w:type="dxa"/>
            <w:vAlign w:val="bottom"/>
            <w:shd w:val="clear" w:color="auto" w:fill="C0C0C0"/>
          </w:tcPr>
          <w:p>
            <w:pPr>
              <w:spacing w:after="0"/>
              <w:rPr>
                <w:sz w:val="14"/>
                <w:szCs w:val="14"/>
                <w:color w:val="auto"/>
              </w:rPr>
            </w:pPr>
          </w:p>
        </w:tc>
        <w:tc>
          <w:tcPr>
            <w:tcW w:w="1060" w:type="dxa"/>
            <w:vAlign w:val="bottom"/>
            <w:shd w:val="clear" w:color="auto" w:fill="C0C0C0"/>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560" w:type="dxa"/>
            <w:vAlign w:val="bottom"/>
            <w:gridSpan w:val="3"/>
            <w:shd w:val="clear" w:color="auto" w:fill="C0C0C0"/>
          </w:tcPr>
          <w:p>
            <w:pPr>
              <w:ind w:left="20"/>
              <w:spacing w:after="0" w:line="157" w:lineRule="exact"/>
              <w:rPr>
                <w:sz w:val="20"/>
                <w:szCs w:val="20"/>
                <w:color w:val="auto"/>
              </w:rPr>
            </w:pPr>
            <w:r>
              <w:rPr>
                <w:rFonts w:ascii="Arial" w:cs="Arial" w:eastAsia="Arial" w:hAnsi="Arial"/>
                <w:sz w:val="14"/>
                <w:szCs w:val="14"/>
                <w:color w:val="auto"/>
              </w:rPr>
              <w:t>August 3, 2013, was approximately:</w:t>
            </w:r>
          </w:p>
        </w:tc>
        <w:tc>
          <w:tcPr>
            <w:tcW w:w="2060" w:type="dxa"/>
            <w:vAlign w:val="bottom"/>
            <w:shd w:val="clear" w:color="auto" w:fill="C0C0C0"/>
          </w:tcPr>
          <w:p>
            <w:pPr>
              <w:spacing w:after="0"/>
              <w:rPr>
                <w:sz w:val="13"/>
                <w:szCs w:val="13"/>
                <w:color w:val="auto"/>
              </w:rPr>
            </w:pPr>
          </w:p>
        </w:tc>
        <w:tc>
          <w:tcPr>
            <w:tcW w:w="1760" w:type="dxa"/>
            <w:vAlign w:val="bottom"/>
            <w:shd w:val="clear" w:color="auto" w:fill="C0C0C0"/>
          </w:tcPr>
          <w:p>
            <w:pPr>
              <w:spacing w:after="0"/>
              <w:rPr>
                <w:sz w:val="13"/>
                <w:szCs w:val="13"/>
                <w:color w:val="auto"/>
              </w:rPr>
            </w:pPr>
          </w:p>
        </w:tc>
        <w:tc>
          <w:tcPr>
            <w:tcW w:w="340" w:type="dxa"/>
            <w:vAlign w:val="bottom"/>
            <w:shd w:val="clear" w:color="auto" w:fill="C0C0C0"/>
          </w:tcPr>
          <w:p>
            <w:pPr>
              <w:spacing w:after="0"/>
              <w:rPr>
                <w:sz w:val="13"/>
                <w:szCs w:val="13"/>
                <w:color w:val="auto"/>
              </w:rPr>
            </w:pPr>
          </w:p>
        </w:tc>
        <w:tc>
          <w:tcPr>
            <w:tcW w:w="1060" w:type="dxa"/>
            <w:vAlign w:val="bottom"/>
            <w:shd w:val="clear" w:color="auto" w:fill="C0C0C0"/>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60" w:type="dxa"/>
            <w:vAlign w:val="bottom"/>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-805180</wp:posOffset>
            </wp:positionV>
            <wp:extent cx="52914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9145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-556895</wp:posOffset>
            </wp:positionV>
            <wp:extent cx="55657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93" w:lineRule="exact"/>
        <w:rPr>
          <w:sz w:val="24"/>
          <w:szCs w:val="24"/>
          <w:color w:val="auto"/>
        </w:rPr>
      </w:pPr>
    </w:p>
    <w:p>
      <w:pPr>
        <w:jc w:val="both"/>
        <w:ind w:left="240" w:right="519" w:hanging="212"/>
        <w:spacing w:after="0" w:line="270" w:lineRule="auto"/>
        <w:tabs>
          <w:tab w:leader="none" w:pos="240" w:val="left"/>
        </w:tabs>
        <w:numPr>
          <w:ilvl w:val="0"/>
          <w:numId w:val="3"/>
        </w:numPr>
        <w:rPr>
          <w:rFonts w:ascii="Arial" w:cs="Arial" w:eastAsia="Arial" w:hAnsi="Arial"/>
          <w:sz w:val="14"/>
          <w:szCs w:val="14"/>
          <w:color w:val="auto"/>
        </w:rPr>
      </w:pPr>
      <w:r>
        <w:rPr>
          <w:rFonts w:ascii="Arial" w:cs="Arial" w:eastAsia="Arial" w:hAnsi="Arial"/>
          <w:sz w:val="14"/>
          <w:szCs w:val="14"/>
          <w:color w:val="auto"/>
        </w:rPr>
        <w:t>For purposes of this calculation only (a) all directors plus three executive officers and owners of five percent or more of the Registrant are deemed to be affiliates of the Registrant and (b) shares deemed to be “held” by such persons include only outstanding shares of the Registrant’s voting stock with respect to which such persons had, on such date, voting or investment power.</w:t>
      </w:r>
    </w:p>
    <w:p>
      <w:pPr>
        <w:spacing w:after="0" w:line="64"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45" w:lineRule="exact"/>
        <w:rPr>
          <w:sz w:val="24"/>
          <w:szCs w:val="24"/>
          <w:color w:val="auto"/>
        </w:rPr>
      </w:pPr>
    </w:p>
    <w:p>
      <w:pPr>
        <w:ind w:left="60" w:right="519"/>
        <w:spacing w:after="0" w:line="278" w:lineRule="auto"/>
        <w:rPr>
          <w:sz w:val="20"/>
          <w:szCs w:val="20"/>
          <w:color w:val="auto"/>
        </w:rPr>
      </w:pPr>
      <w:r>
        <w:rPr>
          <w:rFonts w:ascii="Arial" w:cs="Arial" w:eastAsia="Arial" w:hAnsi="Arial"/>
          <w:sz w:val="14"/>
          <w:szCs w:val="14"/>
          <w:color w:val="auto"/>
        </w:rPr>
        <w:t>Portions of the Registrant’s definitive Proxy Statement (the “Proxy Statement”) to be filed in connection with the Annual Meeting of Shareholders to be held on May 21, 2014: Parts III and IV.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499110</wp:posOffset>
            </wp:positionH>
            <wp:positionV relativeFrom="paragraph">
              <wp:posOffset>424815</wp:posOffset>
            </wp:positionV>
            <wp:extent cx="6114415"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475" w:right="1440"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-62230</wp:posOffset>
            </wp:positionV>
            <wp:extent cx="50768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7682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80" w:type="dxa"/>
            <w:vAlign w:val="bottom"/>
            <w:gridSpan w:val="4"/>
          </w:tcPr>
          <w:p>
            <w:pPr>
              <w:spacing w:after="0"/>
              <w:rPr>
                <w:sz w:val="20"/>
                <w:szCs w:val="20"/>
                <w:color w:val="auto"/>
              </w:rPr>
            </w:pPr>
            <w:r>
              <w:rPr>
                <w:rFonts w:ascii="Arial" w:cs="Arial" w:eastAsia="Arial" w:hAnsi="Arial"/>
                <w:sz w:val="18"/>
                <w:szCs w:val="18"/>
                <w:b w:val="1"/>
                <w:bCs w:val="1"/>
                <w:color w:val="auto"/>
              </w:rPr>
              <w:t>PART I</w:t>
            </w:r>
          </w:p>
        </w:tc>
        <w:tc>
          <w:tcPr>
            <w:tcW w:w="6840" w:type="dxa"/>
            <w:vAlign w:val="bottom"/>
            <w:gridSpan w:val="22"/>
            <w:vMerge w:val="restart"/>
          </w:tcPr>
          <w:p>
            <w:pPr>
              <w:ind w:left="200"/>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0" w:type="dxa"/>
            <w:vAlign w:val="bottom"/>
          </w:tcPr>
          <w:p>
            <w:pPr>
              <w:spacing w:after="0"/>
              <w:rPr>
                <w:sz w:val="1"/>
                <w:szCs w:val="1"/>
                <w:color w:val="auto"/>
              </w:rPr>
            </w:pPr>
          </w:p>
        </w:tc>
      </w:tr>
      <w:tr>
        <w:trPr>
          <w:trHeight w:val="163"/>
        </w:trPr>
        <w:tc>
          <w:tcPr>
            <w:tcW w:w="880" w:type="dxa"/>
            <w:vAlign w:val="bottom"/>
            <w:gridSpan w:val="4"/>
          </w:tcPr>
          <w:p>
            <w:pPr>
              <w:spacing w:after="0" w:line="143" w:lineRule="exact"/>
              <w:rPr>
                <w:rFonts w:ascii="Arial" w:cs="Arial" w:eastAsia="Arial" w:hAnsi="Arial"/>
                <w:sz w:val="16"/>
                <w:szCs w:val="16"/>
                <w:color w:val="0000EE"/>
              </w:rPr>
            </w:pPr>
            <w:hyperlink w:anchor="page3">
              <w:r>
                <w:rPr>
                  <w:rFonts w:ascii="Arial" w:cs="Arial" w:eastAsia="Arial" w:hAnsi="Arial"/>
                  <w:sz w:val="16"/>
                  <w:szCs w:val="16"/>
                  <w:color w:val="0000EE"/>
                </w:rPr>
                <w:t>Item 1</w:t>
              </w:r>
            </w:hyperlink>
          </w:p>
        </w:tc>
        <w:tc>
          <w:tcPr>
            <w:tcW w:w="6840" w:type="dxa"/>
            <w:vAlign w:val="bottom"/>
            <w:gridSpan w:val="2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80" w:type="dxa"/>
            <w:vAlign w:val="bottom"/>
            <w:gridSpan w:val="4"/>
          </w:tcPr>
          <w:p>
            <w:pPr>
              <w:spacing w:after="0" w:line="156" w:lineRule="exact"/>
              <w:rPr>
                <w:rFonts w:ascii="Arial" w:cs="Arial" w:eastAsia="Arial" w:hAnsi="Arial"/>
                <w:sz w:val="18"/>
                <w:szCs w:val="18"/>
                <w:color w:val="0000EE"/>
              </w:rPr>
            </w:pPr>
            <w:hyperlink w:anchor="page4">
              <w:r>
                <w:rPr>
                  <w:rFonts w:ascii="Arial" w:cs="Arial" w:eastAsia="Arial" w:hAnsi="Arial"/>
                  <w:sz w:val="18"/>
                  <w:szCs w:val="18"/>
                  <w:color w:val="0000EE"/>
                </w:rPr>
                <w:t>Item 1A</w:t>
              </w:r>
            </w:hyperlink>
          </w:p>
        </w:tc>
        <w:tc>
          <w:tcPr>
            <w:tcW w:w="6840" w:type="dxa"/>
            <w:vAlign w:val="bottom"/>
            <w:gridSpan w:val="22"/>
          </w:tcPr>
          <w:p>
            <w:pPr>
              <w:ind w:left="200"/>
              <w:spacing w:after="0" w:line="150" w:lineRule="exact"/>
              <w:rPr>
                <w:rFonts w:ascii="Arial" w:cs="Arial" w:eastAsia="Arial" w:hAnsi="Arial"/>
                <w:sz w:val="17"/>
                <w:szCs w:val="17"/>
                <w:color w:val="0000EE"/>
              </w:rPr>
            </w:pPr>
            <w:hyperlink w:anchor="page4">
              <w:r>
                <w:rPr>
                  <w:rFonts w:ascii="Arial" w:cs="Arial" w:eastAsia="Arial" w:hAnsi="Arial"/>
                  <w:sz w:val="17"/>
                  <w:szCs w:val="17"/>
                  <w:color w:val="0000EE"/>
                </w:rPr>
                <w:t>Risk Factors</w:t>
              </w:r>
            </w:hyperlink>
          </w:p>
        </w:tc>
        <w:tc>
          <w:tcPr>
            <w:tcW w:w="0" w:type="dxa"/>
            <w:vAlign w:val="bottom"/>
          </w:tcPr>
          <w:p>
            <w:pPr>
              <w:spacing w:after="0"/>
              <w:rPr>
                <w:sz w:val="1"/>
                <w:szCs w:val="1"/>
                <w:color w:val="auto"/>
              </w:rPr>
            </w:pPr>
          </w:p>
        </w:tc>
      </w:tr>
      <w:tr>
        <w:trPr>
          <w:trHeight w:val="20"/>
        </w:trPr>
        <w:tc>
          <w:tcPr>
            <w:tcW w:w="50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80" w:type="dxa"/>
            <w:vAlign w:val="bottom"/>
            <w:gridSpan w:val="4"/>
          </w:tcPr>
          <w:p>
            <w:pPr>
              <w:spacing w:after="0" w:line="156" w:lineRule="exact"/>
              <w:rPr>
                <w:rFonts w:ascii="Arial" w:cs="Arial" w:eastAsia="Arial" w:hAnsi="Arial"/>
                <w:sz w:val="18"/>
                <w:szCs w:val="18"/>
                <w:color w:val="0000EE"/>
              </w:rPr>
            </w:pPr>
            <w:hyperlink w:anchor="page11">
              <w:r>
                <w:rPr>
                  <w:rFonts w:ascii="Arial" w:cs="Arial" w:eastAsia="Arial" w:hAnsi="Arial"/>
                  <w:sz w:val="18"/>
                  <w:szCs w:val="18"/>
                  <w:color w:val="0000EE"/>
                </w:rPr>
                <w:t>Item 1B</w:t>
              </w:r>
            </w:hyperlink>
          </w:p>
        </w:tc>
        <w:tc>
          <w:tcPr>
            <w:tcW w:w="6840" w:type="dxa"/>
            <w:vAlign w:val="bottom"/>
            <w:gridSpan w:val="22"/>
          </w:tcPr>
          <w:p>
            <w:pPr>
              <w:ind w:left="200"/>
              <w:spacing w:after="0" w:line="150" w:lineRule="exact"/>
              <w:rPr>
                <w:rFonts w:ascii="Arial" w:cs="Arial" w:eastAsia="Arial" w:hAnsi="Arial"/>
                <w:sz w:val="17"/>
                <w:szCs w:val="17"/>
                <w:color w:val="0000EE"/>
              </w:rPr>
            </w:pPr>
            <w:hyperlink w:anchor="page11">
              <w:r>
                <w:rPr>
                  <w:rFonts w:ascii="Arial" w:cs="Arial" w:eastAsia="Arial" w:hAnsi="Arial"/>
                  <w:sz w:val="17"/>
                  <w:szCs w:val="17"/>
                  <w:color w:val="0000EE"/>
                </w:rPr>
                <w:t>Unresolved Staff Comments</w:t>
              </w:r>
            </w:hyperlink>
          </w:p>
        </w:tc>
        <w:tc>
          <w:tcPr>
            <w:tcW w:w="0" w:type="dxa"/>
            <w:vAlign w:val="bottom"/>
          </w:tcPr>
          <w:p>
            <w:pPr>
              <w:spacing w:after="0"/>
              <w:rPr>
                <w:sz w:val="1"/>
                <w:szCs w:val="1"/>
                <w:color w:val="auto"/>
              </w:rPr>
            </w:pPr>
          </w:p>
        </w:tc>
      </w:tr>
      <w:tr>
        <w:trPr>
          <w:trHeight w:val="20"/>
        </w:trPr>
        <w:tc>
          <w:tcPr>
            <w:tcW w:w="50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80" w:type="dxa"/>
            <w:vAlign w:val="bottom"/>
            <w:gridSpan w:val="4"/>
          </w:tcPr>
          <w:p>
            <w:pPr>
              <w:spacing w:after="0" w:line="156" w:lineRule="exact"/>
              <w:rPr>
                <w:rFonts w:ascii="Arial" w:cs="Arial" w:eastAsia="Arial" w:hAnsi="Arial"/>
                <w:sz w:val="18"/>
                <w:szCs w:val="18"/>
                <w:color w:val="0000EE"/>
              </w:rPr>
            </w:pPr>
            <w:hyperlink w:anchor="page11">
              <w:r>
                <w:rPr>
                  <w:rFonts w:ascii="Arial" w:cs="Arial" w:eastAsia="Arial" w:hAnsi="Arial"/>
                  <w:sz w:val="18"/>
                  <w:szCs w:val="18"/>
                  <w:color w:val="0000EE"/>
                </w:rPr>
                <w:t>Item 2</w:t>
              </w:r>
            </w:hyperlink>
          </w:p>
        </w:tc>
        <w:tc>
          <w:tcPr>
            <w:tcW w:w="6840" w:type="dxa"/>
            <w:vAlign w:val="bottom"/>
            <w:gridSpan w:val="22"/>
          </w:tcPr>
          <w:p>
            <w:pPr>
              <w:ind w:left="200"/>
              <w:spacing w:after="0" w:line="150" w:lineRule="exact"/>
              <w:rPr>
                <w:rFonts w:ascii="Arial" w:cs="Arial" w:eastAsia="Arial" w:hAnsi="Arial"/>
                <w:sz w:val="17"/>
                <w:szCs w:val="17"/>
                <w:color w:val="0000EE"/>
              </w:rPr>
            </w:pPr>
            <w:hyperlink w:anchor="page11">
              <w:r>
                <w:rPr>
                  <w:rFonts w:ascii="Arial" w:cs="Arial" w:eastAsia="Arial" w:hAnsi="Arial"/>
                  <w:sz w:val="17"/>
                  <w:szCs w:val="17"/>
                  <w:color w:val="0000EE"/>
                </w:rPr>
                <w:t>Properties</w:t>
              </w:r>
            </w:hyperlink>
          </w:p>
        </w:tc>
        <w:tc>
          <w:tcPr>
            <w:tcW w:w="0" w:type="dxa"/>
            <w:vAlign w:val="bottom"/>
          </w:tcPr>
          <w:p>
            <w:pPr>
              <w:spacing w:after="0"/>
              <w:rPr>
                <w:sz w:val="1"/>
                <w:szCs w:val="1"/>
                <w:color w:val="auto"/>
              </w:rPr>
            </w:pPr>
          </w:p>
        </w:tc>
      </w:tr>
      <w:tr>
        <w:trPr>
          <w:trHeight w:val="20"/>
        </w:trPr>
        <w:tc>
          <w:tcPr>
            <w:tcW w:w="50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80" w:type="dxa"/>
            <w:vAlign w:val="bottom"/>
            <w:gridSpan w:val="4"/>
          </w:tcPr>
          <w:p>
            <w:pPr>
              <w:spacing w:after="0" w:line="156" w:lineRule="exact"/>
              <w:rPr>
                <w:rFonts w:ascii="Arial" w:cs="Arial" w:eastAsia="Arial" w:hAnsi="Arial"/>
                <w:sz w:val="18"/>
                <w:szCs w:val="18"/>
                <w:color w:val="0000EE"/>
              </w:rPr>
            </w:pPr>
            <w:hyperlink w:anchor="page11">
              <w:r>
                <w:rPr>
                  <w:rFonts w:ascii="Arial" w:cs="Arial" w:eastAsia="Arial" w:hAnsi="Arial"/>
                  <w:sz w:val="18"/>
                  <w:szCs w:val="18"/>
                  <w:color w:val="0000EE"/>
                </w:rPr>
                <w:t>Item 3</w:t>
              </w:r>
            </w:hyperlink>
          </w:p>
        </w:tc>
        <w:tc>
          <w:tcPr>
            <w:tcW w:w="6840" w:type="dxa"/>
            <w:vAlign w:val="bottom"/>
            <w:gridSpan w:val="22"/>
          </w:tcPr>
          <w:p>
            <w:pPr>
              <w:ind w:left="200"/>
              <w:spacing w:after="0" w:line="150" w:lineRule="exact"/>
              <w:rPr>
                <w:rFonts w:ascii="Arial" w:cs="Arial" w:eastAsia="Arial" w:hAnsi="Arial"/>
                <w:sz w:val="17"/>
                <w:szCs w:val="17"/>
                <w:color w:val="0000EE"/>
              </w:rPr>
            </w:pPr>
            <w:hyperlink w:anchor="page11">
              <w:r>
                <w:rPr>
                  <w:rFonts w:ascii="Arial" w:cs="Arial" w:eastAsia="Arial" w:hAnsi="Arial"/>
                  <w:sz w:val="17"/>
                  <w:szCs w:val="17"/>
                  <w:color w:val="0000EE"/>
                </w:rPr>
                <w:t>Legal Proceedings</w:t>
              </w:r>
            </w:hyperlink>
          </w:p>
        </w:tc>
        <w:tc>
          <w:tcPr>
            <w:tcW w:w="0" w:type="dxa"/>
            <w:vAlign w:val="bottom"/>
          </w:tcPr>
          <w:p>
            <w:pPr>
              <w:spacing w:after="0"/>
              <w:rPr>
                <w:sz w:val="1"/>
                <w:szCs w:val="1"/>
                <w:color w:val="auto"/>
              </w:rPr>
            </w:pPr>
          </w:p>
        </w:tc>
      </w:tr>
      <w:tr>
        <w:trPr>
          <w:trHeight w:val="20"/>
        </w:trPr>
        <w:tc>
          <w:tcPr>
            <w:tcW w:w="50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00" w:type="dxa"/>
            <w:vAlign w:val="bottom"/>
          </w:tcPr>
          <w:p>
            <w:pPr>
              <w:spacing w:after="0" w:line="156" w:lineRule="exact"/>
              <w:rPr>
                <w:rFonts w:ascii="Arial" w:cs="Arial" w:eastAsia="Arial" w:hAnsi="Arial"/>
                <w:sz w:val="18"/>
                <w:szCs w:val="18"/>
                <w:color w:val="0000EE"/>
                <w:w w:val="95"/>
              </w:rPr>
            </w:pPr>
            <w:hyperlink w:anchor="page11">
              <w:r>
                <w:rPr>
                  <w:rFonts w:ascii="Arial" w:cs="Arial" w:eastAsia="Arial" w:hAnsi="Arial"/>
                  <w:sz w:val="18"/>
                  <w:szCs w:val="18"/>
                  <w:color w:val="0000EE"/>
                  <w:w w:val="95"/>
                </w:rPr>
                <w:t>Item 4</w:t>
              </w:r>
            </w:hyperlink>
          </w:p>
        </w:tc>
        <w:tc>
          <w:tcPr>
            <w:tcW w:w="380" w:type="dxa"/>
            <w:vAlign w:val="bottom"/>
            <w:gridSpan w:val="3"/>
          </w:tcPr>
          <w:p>
            <w:pPr>
              <w:spacing w:after="0"/>
              <w:rPr>
                <w:sz w:val="14"/>
                <w:szCs w:val="14"/>
                <w:color w:val="auto"/>
              </w:rPr>
            </w:pPr>
          </w:p>
        </w:tc>
        <w:tc>
          <w:tcPr>
            <w:tcW w:w="6840" w:type="dxa"/>
            <w:vAlign w:val="bottom"/>
            <w:gridSpan w:val="22"/>
          </w:tcPr>
          <w:p>
            <w:pPr>
              <w:ind w:left="200"/>
              <w:spacing w:after="0" w:line="150" w:lineRule="exact"/>
              <w:rPr>
                <w:rFonts w:ascii="Arial" w:cs="Arial" w:eastAsia="Arial" w:hAnsi="Arial"/>
                <w:sz w:val="17"/>
                <w:szCs w:val="17"/>
                <w:color w:val="0000EE"/>
              </w:rPr>
            </w:pPr>
            <w:hyperlink w:anchor="page11">
              <w:r>
                <w:rPr>
                  <w:rFonts w:ascii="Arial" w:cs="Arial" w:eastAsia="Arial" w:hAnsi="Arial"/>
                  <w:sz w:val="17"/>
                  <w:szCs w:val="17"/>
                  <w:color w:val="0000EE"/>
                </w:rPr>
                <w:t>Mine Safety Disclosures</w:t>
              </w:r>
            </w:hyperlink>
          </w:p>
        </w:tc>
        <w:tc>
          <w:tcPr>
            <w:tcW w:w="0" w:type="dxa"/>
            <w:vAlign w:val="bottom"/>
          </w:tcPr>
          <w:p>
            <w:pPr>
              <w:spacing w:after="0"/>
              <w:rPr>
                <w:sz w:val="1"/>
                <w:szCs w:val="1"/>
                <w:color w:val="auto"/>
              </w:rPr>
            </w:pPr>
          </w:p>
        </w:tc>
      </w:tr>
      <w:tr>
        <w:trPr>
          <w:trHeight w:val="27"/>
        </w:trPr>
        <w:tc>
          <w:tcPr>
            <w:tcW w:w="500" w:type="dxa"/>
            <w:vAlign w:val="bottom"/>
            <w:shd w:val="clear" w:color="auto" w:fill="0000EE"/>
          </w:tcPr>
          <w:p>
            <w:pPr>
              <w:spacing w:after="0"/>
              <w:rPr>
                <w:sz w:val="2"/>
                <w:szCs w:val="2"/>
                <w:color w:val="auto"/>
              </w:rPr>
            </w:pPr>
          </w:p>
        </w:tc>
        <w:tc>
          <w:tcPr>
            <w:tcW w:w="3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II</w:t>
            </w:r>
          </w:p>
        </w:tc>
        <w:tc>
          <w:tcPr>
            <w:tcW w:w="200" w:type="dxa"/>
            <w:vAlign w:val="bottom"/>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500" w:type="dxa"/>
            <w:vAlign w:val="bottom"/>
          </w:tcPr>
          <w:p>
            <w:pPr>
              <w:spacing w:after="0"/>
              <w:rPr>
                <w:sz w:val="20"/>
                <w:szCs w:val="20"/>
                <w:color w:val="auto"/>
              </w:rPr>
            </w:pPr>
            <w:r>
              <w:rPr>
                <w:rFonts w:ascii="Arial" w:cs="Arial" w:eastAsia="Arial" w:hAnsi="Arial"/>
                <w:sz w:val="18"/>
                <w:szCs w:val="18"/>
                <w:b w:val="1"/>
                <w:bCs w:val="1"/>
                <w:color w:val="auto"/>
                <w:w w:val="97"/>
              </w:rPr>
              <w:t>PART</w:t>
            </w:r>
          </w:p>
        </w:tc>
        <w:tc>
          <w:tcPr>
            <w:tcW w:w="380" w:type="dxa"/>
            <w:vAlign w:val="bottom"/>
            <w:gridSpan w:val="3"/>
            <w:vMerge w:val="continue"/>
          </w:tcPr>
          <w:p>
            <w:pPr>
              <w:spacing w:after="0"/>
              <w:rPr>
                <w:sz w:val="18"/>
                <w:szCs w:val="18"/>
                <w:color w:val="auto"/>
              </w:rPr>
            </w:pPr>
          </w:p>
        </w:tc>
        <w:tc>
          <w:tcPr>
            <w:tcW w:w="6840" w:type="dxa"/>
            <w:vAlign w:val="bottom"/>
            <w:gridSpan w:val="22"/>
            <w:vMerge w:val="restart"/>
          </w:tcPr>
          <w:p>
            <w:pPr>
              <w:ind w:left="200"/>
              <w:spacing w:after="0"/>
              <w:rPr>
                <w:rFonts w:ascii="Arial" w:cs="Arial" w:eastAsia="Arial" w:hAnsi="Arial"/>
                <w:sz w:val="18"/>
                <w:szCs w:val="18"/>
                <w:color w:val="0000EE"/>
                <w:w w:val="99"/>
              </w:rPr>
            </w:pPr>
            <w:hyperlink w:anchor="page13">
              <w:r>
                <w:rPr>
                  <w:rFonts w:ascii="Arial" w:cs="Arial" w:eastAsia="Arial" w:hAnsi="Arial"/>
                  <w:sz w:val="18"/>
                  <w:szCs w:val="18"/>
                  <w:color w:val="0000EE"/>
                  <w:w w:val="99"/>
                </w:rPr>
                <w:t>Market for the Company’s Common Equity, Related Stockholder Matters and Issuer</w:t>
              </w:r>
            </w:hyperlink>
          </w:p>
        </w:tc>
        <w:tc>
          <w:tcPr>
            <w:tcW w:w="0" w:type="dxa"/>
            <w:vAlign w:val="bottom"/>
          </w:tcPr>
          <w:p>
            <w:pPr>
              <w:spacing w:after="0"/>
              <w:rPr>
                <w:sz w:val="1"/>
                <w:szCs w:val="1"/>
                <w:color w:val="auto"/>
              </w:rPr>
            </w:pPr>
          </w:p>
        </w:tc>
      </w:tr>
      <w:tr>
        <w:trPr>
          <w:trHeight w:val="163"/>
        </w:trPr>
        <w:tc>
          <w:tcPr>
            <w:tcW w:w="880" w:type="dxa"/>
            <w:vAlign w:val="bottom"/>
            <w:gridSpan w:val="4"/>
          </w:tcPr>
          <w:p>
            <w:pPr>
              <w:spacing w:after="0" w:line="143" w:lineRule="exact"/>
              <w:rPr>
                <w:rFonts w:ascii="Arial" w:cs="Arial" w:eastAsia="Arial" w:hAnsi="Arial"/>
                <w:sz w:val="16"/>
                <w:szCs w:val="16"/>
                <w:color w:val="0000EE"/>
              </w:rPr>
            </w:pPr>
            <w:hyperlink w:anchor="page13">
              <w:r>
                <w:rPr>
                  <w:rFonts w:ascii="Arial" w:cs="Arial" w:eastAsia="Arial" w:hAnsi="Arial"/>
                  <w:sz w:val="16"/>
                  <w:szCs w:val="16"/>
                  <w:color w:val="0000EE"/>
                </w:rPr>
                <w:t>Item 5</w:t>
              </w:r>
            </w:hyperlink>
          </w:p>
        </w:tc>
        <w:tc>
          <w:tcPr>
            <w:tcW w:w="6840" w:type="dxa"/>
            <w:vAlign w:val="bottom"/>
            <w:gridSpan w:val="2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40" w:type="dxa"/>
            <w:vAlign w:val="bottom"/>
            <w:gridSpan w:val="22"/>
          </w:tcPr>
          <w:p>
            <w:pPr>
              <w:ind w:left="200"/>
              <w:spacing w:after="0" w:line="163" w:lineRule="exact"/>
              <w:rPr>
                <w:rFonts w:ascii="Arial" w:cs="Arial" w:eastAsia="Arial" w:hAnsi="Arial"/>
                <w:sz w:val="18"/>
                <w:szCs w:val="18"/>
                <w:color w:val="0000EE"/>
              </w:rPr>
            </w:pPr>
            <w:hyperlink w:anchor="page13">
              <w:r>
                <w:rPr>
                  <w:rFonts w:ascii="Arial" w:cs="Arial" w:eastAsia="Arial" w:hAnsi="Arial"/>
                  <w:sz w:val="18"/>
                  <w:szCs w:val="18"/>
                  <w:color w:val="0000EE"/>
                </w:rPr>
                <w:t>Purchases of Equity Securities</w:t>
              </w:r>
            </w:hyperlink>
          </w:p>
        </w:tc>
        <w:tc>
          <w:tcPr>
            <w:tcW w:w="0" w:type="dxa"/>
            <w:vAlign w:val="bottom"/>
          </w:tcPr>
          <w:p>
            <w:pPr>
              <w:spacing w:after="0"/>
              <w:rPr>
                <w:sz w:val="1"/>
                <w:szCs w:val="1"/>
                <w:color w:val="auto"/>
              </w:rPr>
            </w:pPr>
          </w:p>
        </w:tc>
      </w:tr>
      <w:tr>
        <w:trPr>
          <w:trHeight w:val="189"/>
        </w:trPr>
        <w:tc>
          <w:tcPr>
            <w:tcW w:w="520" w:type="dxa"/>
            <w:vAlign w:val="bottom"/>
            <w:tcBorders>
              <w:bottom w:val="single" w:sz="8" w:color="0000EE"/>
            </w:tcBorders>
            <w:gridSpan w:val="2"/>
          </w:tcPr>
          <w:p>
            <w:pPr>
              <w:spacing w:after="0" w:line="156" w:lineRule="exact"/>
              <w:rPr>
                <w:rFonts w:ascii="Arial" w:cs="Arial" w:eastAsia="Arial" w:hAnsi="Arial"/>
                <w:sz w:val="18"/>
                <w:szCs w:val="18"/>
                <w:color w:val="0000EE"/>
                <w:w w:val="99"/>
              </w:rPr>
            </w:pPr>
            <w:hyperlink w:anchor="page15">
              <w:r>
                <w:rPr>
                  <w:rFonts w:ascii="Arial" w:cs="Arial" w:eastAsia="Arial" w:hAnsi="Arial"/>
                  <w:sz w:val="18"/>
                  <w:szCs w:val="18"/>
                  <w:color w:val="0000EE"/>
                  <w:w w:val="99"/>
                </w:rPr>
                <w:t>Item 6</w:t>
              </w:r>
            </w:hyperlink>
          </w:p>
        </w:tc>
        <w:tc>
          <w:tcPr>
            <w:tcW w:w="36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Borders>
              <w:top w:val="single" w:sz="8" w:color="0000EE"/>
              <w:bottom w:val="single" w:sz="8" w:color="0000EE"/>
            </w:tcBorders>
            <w:gridSpan w:val="9"/>
          </w:tcPr>
          <w:p>
            <w:pPr>
              <w:spacing w:after="0" w:line="156" w:lineRule="exact"/>
              <w:rPr>
                <w:rFonts w:ascii="Arial" w:cs="Arial" w:eastAsia="Arial" w:hAnsi="Arial"/>
                <w:sz w:val="18"/>
                <w:szCs w:val="18"/>
                <w:color w:val="0000EE"/>
                <w:w w:val="98"/>
              </w:rPr>
            </w:pPr>
            <w:hyperlink w:anchor="page15">
              <w:r>
                <w:rPr>
                  <w:rFonts w:ascii="Arial" w:cs="Arial" w:eastAsia="Arial" w:hAnsi="Arial"/>
                  <w:sz w:val="18"/>
                  <w:szCs w:val="18"/>
                  <w:color w:val="0000EE"/>
                  <w:w w:val="98"/>
                </w:rPr>
                <w:t>Selected Financial Data</w:t>
              </w:r>
            </w:hyperlink>
          </w:p>
        </w:tc>
        <w:tc>
          <w:tcPr>
            <w:tcW w:w="520" w:type="dxa"/>
            <w:vAlign w:val="bottom"/>
            <w:tcBorders>
              <w:top w:val="single" w:sz="8" w:color="0000EE"/>
            </w:tcBorders>
            <w:gridSpan w:val="3"/>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880" w:type="dxa"/>
            <w:vAlign w:val="bottom"/>
            <w:gridSpan w:val="4"/>
          </w:tcPr>
          <w:p>
            <w:pPr>
              <w:spacing w:after="0" w:line="156" w:lineRule="exact"/>
              <w:rPr>
                <w:rFonts w:ascii="Arial" w:cs="Arial" w:eastAsia="Arial" w:hAnsi="Arial"/>
                <w:sz w:val="18"/>
                <w:szCs w:val="18"/>
                <w:color w:val="0000EE"/>
              </w:rPr>
            </w:pPr>
            <w:hyperlink w:anchor="page16">
              <w:r>
                <w:rPr>
                  <w:rFonts w:ascii="Arial" w:cs="Arial" w:eastAsia="Arial" w:hAnsi="Arial"/>
                  <w:sz w:val="18"/>
                  <w:szCs w:val="18"/>
                  <w:color w:val="0000EE"/>
                </w:rPr>
                <w:t>Item 7</w:t>
              </w:r>
            </w:hyperlink>
          </w:p>
        </w:tc>
        <w:tc>
          <w:tcPr>
            <w:tcW w:w="6840" w:type="dxa"/>
            <w:vAlign w:val="bottom"/>
            <w:gridSpan w:val="22"/>
          </w:tcPr>
          <w:p>
            <w:pPr>
              <w:ind w:left="200"/>
              <w:spacing w:after="0" w:line="150" w:lineRule="exact"/>
              <w:rPr>
                <w:rFonts w:ascii="Arial" w:cs="Arial" w:eastAsia="Arial" w:hAnsi="Arial"/>
                <w:sz w:val="17"/>
                <w:szCs w:val="17"/>
                <w:color w:val="0000EE"/>
              </w:rPr>
            </w:pPr>
            <w:hyperlink w:anchor="page16">
              <w:r>
                <w:rPr>
                  <w:rFonts w:ascii="Arial" w:cs="Arial" w:eastAsia="Arial" w:hAnsi="Arial"/>
                  <w:sz w:val="17"/>
                  <w:szCs w:val="17"/>
                  <w:color w:val="0000EE"/>
                </w:rPr>
                <w:t>Management’s Discussion and Analysis of Financial Condition and Results of</w:t>
              </w:r>
            </w:hyperlink>
          </w:p>
        </w:tc>
        <w:tc>
          <w:tcPr>
            <w:tcW w:w="0" w:type="dxa"/>
            <w:vAlign w:val="bottom"/>
          </w:tcPr>
          <w:p>
            <w:pPr>
              <w:spacing w:after="0"/>
              <w:rPr>
                <w:sz w:val="1"/>
                <w:szCs w:val="1"/>
                <w:color w:val="auto"/>
              </w:rPr>
            </w:pPr>
          </w:p>
        </w:tc>
      </w:tr>
      <w:tr>
        <w:trPr>
          <w:trHeight w:val="20"/>
        </w:trPr>
        <w:tc>
          <w:tcPr>
            <w:tcW w:w="50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40" w:type="dxa"/>
            <w:vAlign w:val="bottom"/>
            <w:gridSpan w:val="22"/>
          </w:tcPr>
          <w:p>
            <w:pPr>
              <w:ind w:left="200"/>
              <w:spacing w:after="0" w:line="163" w:lineRule="exact"/>
              <w:rPr>
                <w:rFonts w:ascii="Arial" w:cs="Arial" w:eastAsia="Arial" w:hAnsi="Arial"/>
                <w:sz w:val="18"/>
                <w:szCs w:val="18"/>
                <w:color w:val="0000EE"/>
              </w:rPr>
            </w:pPr>
            <w:hyperlink w:anchor="page16">
              <w:r>
                <w:rPr>
                  <w:rFonts w:ascii="Arial" w:cs="Arial" w:eastAsia="Arial" w:hAnsi="Arial"/>
                  <w:sz w:val="18"/>
                  <w:szCs w:val="18"/>
                  <w:color w:val="0000EE"/>
                </w:rPr>
                <w:t>Operations</w:t>
              </w:r>
            </w:hyperlink>
          </w:p>
        </w:tc>
        <w:tc>
          <w:tcPr>
            <w:tcW w:w="0" w:type="dxa"/>
            <w:vAlign w:val="bottom"/>
          </w:tcPr>
          <w:p>
            <w:pPr>
              <w:spacing w:after="0"/>
              <w:rPr>
                <w:sz w:val="1"/>
                <w:szCs w:val="1"/>
                <w:color w:val="auto"/>
              </w:rPr>
            </w:pPr>
          </w:p>
        </w:tc>
      </w:tr>
      <w:tr>
        <w:trPr>
          <w:trHeight w:val="169"/>
        </w:trPr>
        <w:tc>
          <w:tcPr>
            <w:tcW w:w="880" w:type="dxa"/>
            <w:vAlign w:val="bottom"/>
            <w:gridSpan w:val="4"/>
          </w:tcPr>
          <w:p>
            <w:pPr>
              <w:spacing w:after="0" w:line="156" w:lineRule="exact"/>
              <w:rPr>
                <w:rFonts w:ascii="Arial" w:cs="Arial" w:eastAsia="Arial" w:hAnsi="Arial"/>
                <w:sz w:val="18"/>
                <w:szCs w:val="18"/>
                <w:color w:val="0000EE"/>
              </w:rPr>
            </w:pPr>
            <w:hyperlink w:anchor="page34">
              <w:r>
                <w:rPr>
                  <w:rFonts w:ascii="Arial" w:cs="Arial" w:eastAsia="Arial" w:hAnsi="Arial"/>
                  <w:sz w:val="18"/>
                  <w:szCs w:val="18"/>
                  <w:color w:val="0000EE"/>
                </w:rPr>
                <w:t>Item 7A</w:t>
              </w:r>
            </w:hyperlink>
          </w:p>
        </w:tc>
        <w:tc>
          <w:tcPr>
            <w:tcW w:w="200" w:type="dxa"/>
            <w:vAlign w:val="bottom"/>
          </w:tcPr>
          <w:p>
            <w:pPr>
              <w:spacing w:after="0"/>
              <w:rPr>
                <w:sz w:val="14"/>
                <w:szCs w:val="14"/>
                <w:color w:val="auto"/>
              </w:rPr>
            </w:pPr>
          </w:p>
        </w:tc>
        <w:tc>
          <w:tcPr>
            <w:tcW w:w="880" w:type="dxa"/>
            <w:vAlign w:val="bottom"/>
            <w:tcBorders>
              <w:top w:val="single" w:sz="8" w:color="0000EE"/>
            </w:tcBorders>
            <w:gridSpan w:val="4"/>
          </w:tcPr>
          <w:p>
            <w:pPr>
              <w:spacing w:after="0" w:line="15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Quantitative</w:t>
              </w:r>
            </w:hyperlink>
          </w:p>
        </w:tc>
        <w:tc>
          <w:tcPr>
            <w:tcW w:w="5760" w:type="dxa"/>
            <w:vAlign w:val="bottom"/>
            <w:gridSpan w:val="17"/>
          </w:tcPr>
          <w:p>
            <w:pPr>
              <w:ind w:left="120"/>
              <w:spacing w:after="0" w:line="150" w:lineRule="exact"/>
              <w:rPr>
                <w:rFonts w:ascii="Arial" w:cs="Arial" w:eastAsia="Arial" w:hAnsi="Arial"/>
                <w:sz w:val="17"/>
                <w:szCs w:val="17"/>
                <w:color w:val="0000EE"/>
              </w:rPr>
            </w:pPr>
            <w:hyperlink w:anchor="page34">
              <w:r>
                <w:rPr>
                  <w:rFonts w:ascii="Arial" w:cs="Arial" w:eastAsia="Arial" w:hAnsi="Arial"/>
                  <w:sz w:val="17"/>
                  <w:szCs w:val="17"/>
                  <w:color w:val="0000EE"/>
                </w:rPr>
                <w:t>and Qualitative Disclosures About Market Risk</w:t>
              </w:r>
            </w:hyperlink>
          </w:p>
        </w:tc>
        <w:tc>
          <w:tcPr>
            <w:tcW w:w="0" w:type="dxa"/>
            <w:vAlign w:val="bottom"/>
          </w:tcPr>
          <w:p>
            <w:pPr>
              <w:spacing w:after="0"/>
              <w:rPr>
                <w:sz w:val="1"/>
                <w:szCs w:val="1"/>
                <w:color w:val="auto"/>
              </w:rPr>
            </w:pPr>
          </w:p>
        </w:tc>
      </w:tr>
      <w:tr>
        <w:trPr>
          <w:trHeight w:val="20"/>
        </w:trPr>
        <w:tc>
          <w:tcPr>
            <w:tcW w:w="600" w:type="dxa"/>
            <w:vAlign w:val="bottom"/>
            <w:tcBorders>
              <w:bottom w:val="single" w:sz="8" w:color="0000EE"/>
            </w:tcBorders>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80" w:type="dxa"/>
            <w:vAlign w:val="bottom"/>
            <w:gridSpan w:val="4"/>
          </w:tcPr>
          <w:p>
            <w:pPr>
              <w:spacing w:after="0" w:line="156" w:lineRule="exact"/>
              <w:rPr>
                <w:rFonts w:ascii="Arial" w:cs="Arial" w:eastAsia="Arial" w:hAnsi="Arial"/>
                <w:sz w:val="18"/>
                <w:szCs w:val="18"/>
                <w:color w:val="0000EE"/>
              </w:rPr>
            </w:pPr>
            <w:hyperlink w:anchor="page34">
              <w:r>
                <w:rPr>
                  <w:rFonts w:ascii="Arial" w:cs="Arial" w:eastAsia="Arial" w:hAnsi="Arial"/>
                  <w:sz w:val="18"/>
                  <w:szCs w:val="18"/>
                  <w:color w:val="0000EE"/>
                </w:rPr>
                <w:t>Item 8</w:t>
              </w:r>
            </w:hyperlink>
          </w:p>
        </w:tc>
        <w:tc>
          <w:tcPr>
            <w:tcW w:w="6840" w:type="dxa"/>
            <w:vAlign w:val="bottom"/>
            <w:gridSpan w:val="22"/>
          </w:tcPr>
          <w:p>
            <w:pPr>
              <w:ind w:left="200"/>
              <w:spacing w:after="0" w:line="150" w:lineRule="exact"/>
              <w:rPr>
                <w:rFonts w:ascii="Arial" w:cs="Arial" w:eastAsia="Arial" w:hAnsi="Arial"/>
                <w:sz w:val="17"/>
                <w:szCs w:val="17"/>
                <w:color w:val="0000EE"/>
              </w:rPr>
            </w:pPr>
            <w:hyperlink w:anchor="page34">
              <w:r>
                <w:rPr>
                  <w:rFonts w:ascii="Arial" w:cs="Arial" w:eastAsia="Arial" w:hAnsi="Arial"/>
                  <w:sz w:val="17"/>
                  <w:szCs w:val="17"/>
                  <w:color w:val="0000EE"/>
                </w:rPr>
                <w:t>Consolidated Financial Statements and Supplementary Data</w:t>
              </w:r>
            </w:hyperlink>
          </w:p>
        </w:tc>
        <w:tc>
          <w:tcPr>
            <w:tcW w:w="0" w:type="dxa"/>
            <w:vAlign w:val="bottom"/>
          </w:tcPr>
          <w:p>
            <w:pPr>
              <w:spacing w:after="0"/>
              <w:rPr>
                <w:sz w:val="1"/>
                <w:szCs w:val="1"/>
                <w:color w:val="auto"/>
              </w:rPr>
            </w:pPr>
          </w:p>
        </w:tc>
      </w:tr>
      <w:tr>
        <w:trPr>
          <w:trHeight w:val="20"/>
        </w:trPr>
        <w:tc>
          <w:tcPr>
            <w:tcW w:w="520" w:type="dxa"/>
            <w:vAlign w:val="bottom"/>
            <w:tcBorders>
              <w:bottom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80" w:type="dxa"/>
            <w:vAlign w:val="bottom"/>
            <w:gridSpan w:val="4"/>
          </w:tcPr>
          <w:p>
            <w:pPr>
              <w:spacing w:after="0" w:line="156" w:lineRule="exact"/>
              <w:rPr>
                <w:rFonts w:ascii="Arial" w:cs="Arial" w:eastAsia="Arial" w:hAnsi="Arial"/>
                <w:sz w:val="18"/>
                <w:szCs w:val="18"/>
                <w:color w:val="0000EE"/>
              </w:rPr>
            </w:pPr>
            <w:hyperlink w:anchor="page74">
              <w:r>
                <w:rPr>
                  <w:rFonts w:ascii="Arial" w:cs="Arial" w:eastAsia="Arial" w:hAnsi="Arial"/>
                  <w:sz w:val="18"/>
                  <w:szCs w:val="18"/>
                  <w:color w:val="0000EE"/>
                </w:rPr>
                <w:t>Item 9</w:t>
              </w:r>
            </w:hyperlink>
          </w:p>
        </w:tc>
        <w:tc>
          <w:tcPr>
            <w:tcW w:w="6840" w:type="dxa"/>
            <w:vAlign w:val="bottom"/>
            <w:gridSpan w:val="22"/>
          </w:tcPr>
          <w:p>
            <w:pPr>
              <w:ind w:left="200"/>
              <w:spacing w:after="0" w:line="150" w:lineRule="exact"/>
              <w:rPr>
                <w:rFonts w:ascii="Arial" w:cs="Arial" w:eastAsia="Arial" w:hAnsi="Arial"/>
                <w:sz w:val="17"/>
                <w:szCs w:val="17"/>
                <w:color w:val="0000EE"/>
              </w:rPr>
            </w:pPr>
            <w:hyperlink w:anchor="page74">
              <w:r>
                <w:rPr>
                  <w:rFonts w:ascii="Arial" w:cs="Arial" w:eastAsia="Arial" w:hAnsi="Arial"/>
                  <w:sz w:val="17"/>
                  <w:szCs w:val="17"/>
                  <w:color w:val="0000EE"/>
                </w:rPr>
                <w:t>Changes in and Disagreements with Accountants on Accounting and Financial</w:t>
              </w:r>
            </w:hyperlink>
          </w:p>
        </w:tc>
        <w:tc>
          <w:tcPr>
            <w:tcW w:w="0" w:type="dxa"/>
            <w:vAlign w:val="bottom"/>
          </w:tcPr>
          <w:p>
            <w:pPr>
              <w:spacing w:after="0"/>
              <w:rPr>
                <w:sz w:val="1"/>
                <w:szCs w:val="1"/>
                <w:color w:val="auto"/>
              </w:rPr>
            </w:pPr>
          </w:p>
        </w:tc>
      </w:tr>
      <w:tr>
        <w:trPr>
          <w:trHeight w:val="20"/>
        </w:trPr>
        <w:tc>
          <w:tcPr>
            <w:tcW w:w="50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64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40" w:type="dxa"/>
            <w:vAlign w:val="bottom"/>
            <w:gridSpan w:val="22"/>
          </w:tcPr>
          <w:p>
            <w:pPr>
              <w:ind w:left="200"/>
              <w:spacing w:after="0" w:line="163" w:lineRule="exact"/>
              <w:rPr>
                <w:rFonts w:ascii="Arial" w:cs="Arial" w:eastAsia="Arial" w:hAnsi="Arial"/>
                <w:sz w:val="18"/>
                <w:szCs w:val="18"/>
                <w:color w:val="0000EE"/>
              </w:rPr>
            </w:pPr>
            <w:hyperlink w:anchor="page74">
              <w:r>
                <w:rPr>
                  <w:rFonts w:ascii="Arial" w:cs="Arial" w:eastAsia="Arial" w:hAnsi="Arial"/>
                  <w:sz w:val="18"/>
                  <w:szCs w:val="18"/>
                  <w:color w:val="0000EE"/>
                </w:rPr>
                <w:t>Disclosure</w:t>
              </w:r>
            </w:hyperlink>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80" w:type="dxa"/>
            <w:vAlign w:val="bottom"/>
            <w:gridSpan w:val="4"/>
          </w:tcPr>
          <w:p>
            <w:pPr>
              <w:spacing w:after="0" w:line="156" w:lineRule="exact"/>
              <w:rPr>
                <w:rFonts w:ascii="Arial" w:cs="Arial" w:eastAsia="Arial" w:hAnsi="Arial"/>
                <w:sz w:val="18"/>
                <w:szCs w:val="18"/>
                <w:color w:val="0000EE"/>
              </w:rPr>
            </w:pPr>
            <w:hyperlink w:anchor="page74">
              <w:r>
                <w:rPr>
                  <w:rFonts w:ascii="Arial" w:cs="Arial" w:eastAsia="Arial" w:hAnsi="Arial"/>
                  <w:sz w:val="18"/>
                  <w:szCs w:val="18"/>
                  <w:color w:val="0000EE"/>
                </w:rPr>
                <w:t>Item 9A</w:t>
              </w:r>
            </w:hyperlink>
          </w:p>
        </w:tc>
        <w:tc>
          <w:tcPr>
            <w:tcW w:w="200" w:type="dxa"/>
            <w:vAlign w:val="bottom"/>
            <w:vMerge w:val="continue"/>
          </w:tcPr>
          <w:p>
            <w:pPr>
              <w:spacing w:after="0"/>
              <w:rPr>
                <w:sz w:val="14"/>
                <w:szCs w:val="14"/>
                <w:color w:val="auto"/>
              </w:rPr>
            </w:pPr>
          </w:p>
        </w:tc>
        <w:tc>
          <w:tcPr>
            <w:tcW w:w="6640" w:type="dxa"/>
            <w:vAlign w:val="bottom"/>
            <w:gridSpan w:val="21"/>
          </w:tcPr>
          <w:p>
            <w:pPr>
              <w:spacing w:after="0" w:line="156" w:lineRule="exact"/>
              <w:rPr>
                <w:rFonts w:ascii="Arial" w:cs="Arial" w:eastAsia="Arial" w:hAnsi="Arial"/>
                <w:sz w:val="18"/>
                <w:szCs w:val="18"/>
                <w:color w:val="0000EE"/>
              </w:rPr>
            </w:pPr>
            <w:hyperlink w:anchor="page74">
              <w:r>
                <w:rPr>
                  <w:rFonts w:ascii="Arial" w:cs="Arial" w:eastAsia="Arial" w:hAnsi="Arial"/>
                  <w:sz w:val="18"/>
                  <w:szCs w:val="18"/>
                  <w:color w:val="0000EE"/>
                </w:rPr>
                <w:t>Controls and Procedures</w:t>
              </w:r>
            </w:hyperlink>
          </w:p>
        </w:tc>
        <w:tc>
          <w:tcPr>
            <w:tcW w:w="0" w:type="dxa"/>
            <w:vAlign w:val="bottom"/>
          </w:tcPr>
          <w:p>
            <w:pPr>
              <w:spacing w:after="0"/>
              <w:rPr>
                <w:sz w:val="1"/>
                <w:szCs w:val="1"/>
                <w:color w:val="auto"/>
              </w:rPr>
            </w:pPr>
          </w:p>
        </w:tc>
      </w:tr>
      <w:tr>
        <w:trPr>
          <w:trHeight w:val="20"/>
        </w:trPr>
        <w:tc>
          <w:tcPr>
            <w:tcW w:w="600" w:type="dxa"/>
            <w:vAlign w:val="bottom"/>
            <w:tcBorders>
              <w:bottom w:val="single" w:sz="8" w:color="0000EE"/>
            </w:tcBorders>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0" w:type="dxa"/>
            <w:vAlign w:val="bottom"/>
            <w:gridSpan w:val="3"/>
          </w:tcPr>
          <w:p>
            <w:pPr>
              <w:spacing w:after="0" w:line="156" w:lineRule="exact"/>
              <w:rPr>
                <w:rFonts w:ascii="Arial" w:cs="Arial" w:eastAsia="Arial" w:hAnsi="Arial"/>
                <w:sz w:val="18"/>
                <w:szCs w:val="18"/>
                <w:color w:val="0000EE"/>
                <w:w w:val="90"/>
              </w:rPr>
            </w:pPr>
            <w:hyperlink w:anchor="page76">
              <w:r>
                <w:rPr>
                  <w:rFonts w:ascii="Arial" w:cs="Arial" w:eastAsia="Arial" w:hAnsi="Arial"/>
                  <w:sz w:val="18"/>
                  <w:szCs w:val="18"/>
                  <w:color w:val="0000EE"/>
                  <w:w w:val="90"/>
                </w:rPr>
                <w:t>Item 9B</w:t>
              </w:r>
            </w:hyperlink>
          </w:p>
        </w:tc>
        <w:tc>
          <w:tcPr>
            <w:tcW w:w="280" w:type="dxa"/>
            <w:vAlign w:val="bottom"/>
          </w:tcPr>
          <w:p>
            <w:pPr>
              <w:spacing w:after="0"/>
              <w:rPr>
                <w:sz w:val="14"/>
                <w:szCs w:val="14"/>
                <w:color w:val="auto"/>
              </w:rPr>
            </w:pPr>
          </w:p>
        </w:tc>
        <w:tc>
          <w:tcPr>
            <w:tcW w:w="6840" w:type="dxa"/>
            <w:vAlign w:val="bottom"/>
            <w:gridSpan w:val="22"/>
          </w:tcPr>
          <w:p>
            <w:pPr>
              <w:ind w:left="200"/>
              <w:spacing w:after="0" w:line="150" w:lineRule="exact"/>
              <w:rPr>
                <w:rFonts w:ascii="Arial" w:cs="Arial" w:eastAsia="Arial" w:hAnsi="Arial"/>
                <w:sz w:val="17"/>
                <w:szCs w:val="17"/>
                <w:color w:val="0000EE"/>
              </w:rPr>
            </w:pPr>
            <w:hyperlink w:anchor="page76">
              <w:r>
                <w:rPr>
                  <w:rFonts w:ascii="Arial" w:cs="Arial" w:eastAsia="Arial" w:hAnsi="Arial"/>
                  <w:sz w:val="17"/>
                  <w:szCs w:val="17"/>
                  <w:color w:val="0000EE"/>
                </w:rPr>
                <w:t>Other Information</w:t>
              </w:r>
            </w:hyperlink>
          </w:p>
        </w:tc>
        <w:tc>
          <w:tcPr>
            <w:tcW w:w="0" w:type="dxa"/>
            <w:vAlign w:val="bottom"/>
          </w:tcPr>
          <w:p>
            <w:pPr>
              <w:spacing w:after="0"/>
              <w:rPr>
                <w:sz w:val="1"/>
                <w:szCs w:val="1"/>
                <w:color w:val="auto"/>
              </w:rPr>
            </w:pPr>
          </w:p>
        </w:tc>
      </w:tr>
      <w:tr>
        <w:trPr>
          <w:trHeight w:val="27"/>
        </w:trPr>
        <w:tc>
          <w:tcPr>
            <w:tcW w:w="600" w:type="dxa"/>
            <w:vAlign w:val="bottom"/>
            <w:gridSpan w:val="3"/>
            <w:shd w:val="clear" w:color="auto" w:fill="0000EE"/>
          </w:tcPr>
          <w:p>
            <w:pPr>
              <w:spacing w:after="0"/>
              <w:rPr>
                <w:sz w:val="2"/>
                <w:szCs w:val="2"/>
                <w:color w:val="auto"/>
              </w:rPr>
            </w:pPr>
          </w:p>
        </w:tc>
        <w:tc>
          <w:tcPr>
            <w:tcW w:w="280" w:type="dxa"/>
            <w:vAlign w:val="bottom"/>
            <w:tcBorders>
              <w:left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880" w:type="dxa"/>
            <w:vAlign w:val="bottom"/>
            <w:gridSpan w:val="4"/>
          </w:tcPr>
          <w:p>
            <w:pPr>
              <w:spacing w:after="0"/>
              <w:rPr>
                <w:sz w:val="20"/>
                <w:szCs w:val="20"/>
                <w:color w:val="auto"/>
              </w:rPr>
            </w:pPr>
            <w:r>
              <w:rPr>
                <w:rFonts w:ascii="Arial" w:cs="Arial" w:eastAsia="Arial" w:hAnsi="Arial"/>
                <w:sz w:val="18"/>
                <w:szCs w:val="18"/>
                <w:b w:val="1"/>
                <w:bCs w:val="1"/>
                <w:color w:val="auto"/>
              </w:rPr>
              <w:t>PART III</w:t>
            </w:r>
          </w:p>
        </w:tc>
        <w:tc>
          <w:tcPr>
            <w:tcW w:w="6840" w:type="dxa"/>
            <w:vAlign w:val="bottom"/>
            <w:gridSpan w:val="22"/>
            <w:vMerge w:val="restart"/>
          </w:tcPr>
          <w:p>
            <w:pPr>
              <w:ind w:left="200"/>
              <w:spacing w:after="0"/>
              <w:rPr>
                <w:rFonts w:ascii="Arial" w:cs="Arial" w:eastAsia="Arial" w:hAnsi="Arial"/>
                <w:sz w:val="18"/>
                <w:szCs w:val="18"/>
                <w:color w:val="0000EE"/>
              </w:rPr>
            </w:pPr>
            <w:hyperlink w:anchor="page76">
              <w:r>
                <w:rPr>
                  <w:rFonts w:ascii="Arial" w:cs="Arial" w:eastAsia="Arial" w:hAnsi="Arial"/>
                  <w:sz w:val="18"/>
                  <w:szCs w:val="18"/>
                  <w:color w:val="0000EE"/>
                </w:rPr>
                <w:t>Directors, Executive Officers and Corporate Governance</w:t>
              </w:r>
            </w:hyperlink>
          </w:p>
        </w:tc>
        <w:tc>
          <w:tcPr>
            <w:tcW w:w="0" w:type="dxa"/>
            <w:vAlign w:val="bottom"/>
          </w:tcPr>
          <w:p>
            <w:pPr>
              <w:spacing w:after="0"/>
              <w:rPr>
                <w:sz w:val="1"/>
                <w:szCs w:val="1"/>
                <w:color w:val="auto"/>
              </w:rPr>
            </w:pPr>
          </w:p>
        </w:tc>
      </w:tr>
      <w:tr>
        <w:trPr>
          <w:trHeight w:val="163"/>
        </w:trPr>
        <w:tc>
          <w:tcPr>
            <w:tcW w:w="880" w:type="dxa"/>
            <w:vAlign w:val="bottom"/>
            <w:gridSpan w:val="4"/>
          </w:tcPr>
          <w:p>
            <w:pPr>
              <w:spacing w:after="0" w:line="143" w:lineRule="exact"/>
              <w:rPr>
                <w:rFonts w:ascii="Arial" w:cs="Arial" w:eastAsia="Arial" w:hAnsi="Arial"/>
                <w:sz w:val="16"/>
                <w:szCs w:val="16"/>
                <w:color w:val="0000EE"/>
              </w:rPr>
            </w:pPr>
            <w:hyperlink w:anchor="page76">
              <w:r>
                <w:rPr>
                  <w:rFonts w:ascii="Arial" w:cs="Arial" w:eastAsia="Arial" w:hAnsi="Arial"/>
                  <w:sz w:val="16"/>
                  <w:szCs w:val="16"/>
                  <w:color w:val="0000EE"/>
                </w:rPr>
                <w:t>Item 10</w:t>
              </w:r>
            </w:hyperlink>
          </w:p>
        </w:tc>
        <w:tc>
          <w:tcPr>
            <w:tcW w:w="6840" w:type="dxa"/>
            <w:vAlign w:val="bottom"/>
            <w:gridSpan w:val="2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tcBorders>
              <w:bottom w:val="single" w:sz="8" w:color="0000EE"/>
            </w:tcBorders>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gridSpan w:val="8"/>
            <w:shd w:val="clear" w:color="auto" w:fill="0000EE"/>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80" w:type="dxa"/>
            <w:vAlign w:val="bottom"/>
            <w:gridSpan w:val="4"/>
          </w:tcPr>
          <w:p>
            <w:pPr>
              <w:spacing w:after="0" w:line="156" w:lineRule="exact"/>
              <w:rPr>
                <w:rFonts w:ascii="Arial" w:cs="Arial" w:eastAsia="Arial" w:hAnsi="Arial"/>
                <w:sz w:val="18"/>
                <w:szCs w:val="18"/>
                <w:color w:val="0000EE"/>
              </w:rPr>
            </w:pPr>
            <w:hyperlink w:anchor="page76">
              <w:r>
                <w:rPr>
                  <w:rFonts w:ascii="Arial" w:cs="Arial" w:eastAsia="Arial" w:hAnsi="Arial"/>
                  <w:sz w:val="18"/>
                  <w:szCs w:val="18"/>
                  <w:color w:val="0000EE"/>
                </w:rPr>
                <w:t>Item 11</w:t>
              </w:r>
            </w:hyperlink>
          </w:p>
        </w:tc>
        <w:tc>
          <w:tcPr>
            <w:tcW w:w="6840" w:type="dxa"/>
            <w:vAlign w:val="bottom"/>
            <w:gridSpan w:val="22"/>
          </w:tcPr>
          <w:p>
            <w:pPr>
              <w:ind w:left="200"/>
              <w:spacing w:after="0" w:line="150" w:lineRule="exact"/>
              <w:rPr>
                <w:rFonts w:ascii="Arial" w:cs="Arial" w:eastAsia="Arial" w:hAnsi="Arial"/>
                <w:sz w:val="17"/>
                <w:szCs w:val="17"/>
                <w:color w:val="0000EE"/>
              </w:rPr>
            </w:pPr>
            <w:hyperlink w:anchor="page76">
              <w:r>
                <w:rPr>
                  <w:rFonts w:ascii="Arial" w:cs="Arial" w:eastAsia="Arial" w:hAnsi="Arial"/>
                  <w:sz w:val="17"/>
                  <w:szCs w:val="17"/>
                  <w:color w:val="0000EE"/>
                </w:rPr>
                <w:t>Executive Compensation</w:t>
              </w:r>
            </w:hyperlink>
          </w:p>
        </w:tc>
        <w:tc>
          <w:tcPr>
            <w:tcW w:w="0" w:type="dxa"/>
            <w:vAlign w:val="bottom"/>
          </w:tcPr>
          <w:p>
            <w:pPr>
              <w:spacing w:after="0"/>
              <w:rPr>
                <w:sz w:val="1"/>
                <w:szCs w:val="1"/>
                <w:color w:val="auto"/>
              </w:rPr>
            </w:pPr>
          </w:p>
        </w:tc>
      </w:tr>
      <w:tr>
        <w:trPr>
          <w:trHeight w:val="20"/>
        </w:trPr>
        <w:tc>
          <w:tcPr>
            <w:tcW w:w="600" w:type="dxa"/>
            <w:vAlign w:val="bottom"/>
            <w:tcBorders>
              <w:bottom w:val="single" w:sz="8" w:color="0000EE"/>
            </w:tcBorders>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gridSpan w:val="8"/>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80" w:type="dxa"/>
            <w:vAlign w:val="bottom"/>
            <w:gridSpan w:val="4"/>
          </w:tcPr>
          <w:p>
            <w:pPr>
              <w:spacing w:after="0" w:line="156" w:lineRule="exact"/>
              <w:rPr>
                <w:rFonts w:ascii="Arial" w:cs="Arial" w:eastAsia="Arial" w:hAnsi="Arial"/>
                <w:sz w:val="18"/>
                <w:szCs w:val="18"/>
                <w:color w:val="0000EE"/>
              </w:rPr>
            </w:pPr>
            <w:hyperlink w:anchor="page76">
              <w:r>
                <w:rPr>
                  <w:rFonts w:ascii="Arial" w:cs="Arial" w:eastAsia="Arial" w:hAnsi="Arial"/>
                  <w:sz w:val="18"/>
                  <w:szCs w:val="18"/>
                  <w:color w:val="0000EE"/>
                </w:rPr>
                <w:t>Item 12</w:t>
              </w:r>
            </w:hyperlink>
          </w:p>
        </w:tc>
        <w:tc>
          <w:tcPr>
            <w:tcW w:w="6840" w:type="dxa"/>
            <w:vAlign w:val="bottom"/>
            <w:gridSpan w:val="22"/>
          </w:tcPr>
          <w:p>
            <w:pPr>
              <w:ind w:left="200"/>
              <w:spacing w:after="0" w:line="150" w:lineRule="exact"/>
              <w:rPr>
                <w:rFonts w:ascii="Arial" w:cs="Arial" w:eastAsia="Arial" w:hAnsi="Arial"/>
                <w:sz w:val="17"/>
                <w:szCs w:val="17"/>
                <w:color w:val="0000EE"/>
              </w:rPr>
            </w:pPr>
            <w:hyperlink w:anchor="page76">
              <w:r>
                <w:rPr>
                  <w:rFonts w:ascii="Arial" w:cs="Arial" w:eastAsia="Arial" w:hAnsi="Arial"/>
                  <w:sz w:val="17"/>
                  <w:szCs w:val="17"/>
                  <w:color w:val="0000EE"/>
                </w:rPr>
                <w:t>Security Ownership of Certain Beneficial Owners and Management and Related</w:t>
              </w:r>
            </w:hyperlink>
          </w:p>
        </w:tc>
        <w:tc>
          <w:tcPr>
            <w:tcW w:w="0" w:type="dxa"/>
            <w:vAlign w:val="bottom"/>
          </w:tcPr>
          <w:p>
            <w:pPr>
              <w:spacing w:after="0"/>
              <w:rPr>
                <w:sz w:val="1"/>
                <w:szCs w:val="1"/>
                <w:color w:val="auto"/>
              </w:rPr>
            </w:pPr>
          </w:p>
        </w:tc>
      </w:tr>
      <w:tr>
        <w:trPr>
          <w:trHeight w:val="20"/>
        </w:trPr>
        <w:tc>
          <w:tcPr>
            <w:tcW w:w="50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gridSpan w:val="8"/>
            <w:shd w:val="clear" w:color="auto" w:fill="0000EE"/>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40" w:type="dxa"/>
            <w:vAlign w:val="bottom"/>
            <w:gridSpan w:val="22"/>
          </w:tcPr>
          <w:p>
            <w:pPr>
              <w:ind w:left="200"/>
              <w:spacing w:after="0" w:line="163" w:lineRule="exact"/>
              <w:rPr>
                <w:rFonts w:ascii="Arial" w:cs="Arial" w:eastAsia="Arial" w:hAnsi="Arial"/>
                <w:sz w:val="18"/>
                <w:szCs w:val="18"/>
                <w:color w:val="0000EE"/>
              </w:rPr>
            </w:pPr>
            <w:hyperlink w:anchor="page76">
              <w:r>
                <w:rPr>
                  <w:rFonts w:ascii="Arial" w:cs="Arial" w:eastAsia="Arial" w:hAnsi="Arial"/>
                  <w:sz w:val="18"/>
                  <w:szCs w:val="18"/>
                  <w:color w:val="0000EE"/>
                </w:rPr>
                <w:t>Stockholder Matters</w:t>
              </w:r>
            </w:hyperlink>
          </w:p>
        </w:tc>
        <w:tc>
          <w:tcPr>
            <w:tcW w:w="0" w:type="dxa"/>
            <w:vAlign w:val="bottom"/>
          </w:tcPr>
          <w:p>
            <w:pPr>
              <w:spacing w:after="0"/>
              <w:rPr>
                <w:sz w:val="1"/>
                <w:szCs w:val="1"/>
                <w:color w:val="auto"/>
              </w:rPr>
            </w:pPr>
          </w:p>
        </w:tc>
      </w:tr>
      <w:tr>
        <w:trPr>
          <w:trHeight w:val="189"/>
        </w:trPr>
        <w:tc>
          <w:tcPr>
            <w:tcW w:w="600" w:type="dxa"/>
            <w:vAlign w:val="bottom"/>
            <w:tcBorders>
              <w:bottom w:val="single" w:sz="8" w:color="0000EE"/>
            </w:tcBorders>
            <w:gridSpan w:val="3"/>
          </w:tcPr>
          <w:p>
            <w:pPr>
              <w:spacing w:after="0" w:line="156" w:lineRule="exact"/>
              <w:rPr>
                <w:rFonts w:ascii="Arial" w:cs="Arial" w:eastAsia="Arial" w:hAnsi="Arial"/>
                <w:sz w:val="18"/>
                <w:szCs w:val="18"/>
                <w:color w:val="0000EE"/>
                <w:w w:val="93"/>
              </w:rPr>
            </w:pPr>
            <w:hyperlink w:anchor="page76">
              <w:r>
                <w:rPr>
                  <w:rFonts w:ascii="Arial" w:cs="Arial" w:eastAsia="Arial" w:hAnsi="Arial"/>
                  <w:sz w:val="18"/>
                  <w:szCs w:val="18"/>
                  <w:color w:val="0000EE"/>
                  <w:w w:val="93"/>
                </w:rPr>
                <w:t>Item 13</w:t>
              </w:r>
            </w:hyperlink>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Borders>
              <w:top w:val="single" w:sz="8" w:color="0000EE"/>
              <w:bottom w:val="single" w:sz="8" w:color="0000EE"/>
            </w:tcBorders>
            <w:gridSpan w:val="8"/>
          </w:tcPr>
          <w:p>
            <w:pPr>
              <w:spacing w:after="0" w:line="156" w:lineRule="exact"/>
              <w:rPr>
                <w:rFonts w:ascii="Arial" w:cs="Arial" w:eastAsia="Arial" w:hAnsi="Arial"/>
                <w:sz w:val="18"/>
                <w:szCs w:val="18"/>
                <w:color w:val="0000EE"/>
                <w:w w:val="92"/>
              </w:rPr>
            </w:pPr>
            <w:hyperlink w:anchor="page76">
              <w:r>
                <w:rPr>
                  <w:rFonts w:ascii="Arial" w:cs="Arial" w:eastAsia="Arial" w:hAnsi="Arial"/>
                  <w:sz w:val="18"/>
                  <w:szCs w:val="18"/>
                  <w:color w:val="0000EE"/>
                  <w:w w:val="92"/>
                </w:rPr>
                <w:t>Certain Relationships</w:t>
              </w:r>
            </w:hyperlink>
          </w:p>
        </w:tc>
        <w:tc>
          <w:tcPr>
            <w:tcW w:w="4540" w:type="dxa"/>
            <w:vAlign w:val="bottom"/>
            <w:tcBorders>
              <w:bottom w:val="single" w:sz="8" w:color="0000EE"/>
            </w:tcBorders>
            <w:gridSpan w:val="10"/>
          </w:tcPr>
          <w:p>
            <w:pPr>
              <w:ind w:left="160"/>
              <w:spacing w:after="0" w:line="150" w:lineRule="exact"/>
              <w:rPr>
                <w:rFonts w:ascii="Arial" w:cs="Arial" w:eastAsia="Arial" w:hAnsi="Arial"/>
                <w:sz w:val="17"/>
                <w:szCs w:val="17"/>
                <w:color w:val="0000EE"/>
              </w:rPr>
            </w:pPr>
            <w:hyperlink w:anchor="page76">
              <w:r>
                <w:rPr>
                  <w:rFonts w:ascii="Arial" w:cs="Arial" w:eastAsia="Arial" w:hAnsi="Arial"/>
                  <w:sz w:val="17"/>
                  <w:szCs w:val="17"/>
                  <w:color w:val="0000EE"/>
                </w:rPr>
                <w:t>and Related Transactions, and Director Independence</w:t>
              </w:r>
            </w:hyperlink>
          </w:p>
        </w:tc>
        <w:tc>
          <w:tcPr>
            <w:tcW w:w="50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600" w:type="dxa"/>
            <w:vAlign w:val="bottom"/>
            <w:gridSpan w:val="3"/>
          </w:tcPr>
          <w:p>
            <w:pPr>
              <w:spacing w:after="0" w:line="156" w:lineRule="exact"/>
              <w:rPr>
                <w:rFonts w:ascii="Arial" w:cs="Arial" w:eastAsia="Arial" w:hAnsi="Arial"/>
                <w:sz w:val="18"/>
                <w:szCs w:val="18"/>
                <w:color w:val="0000EE"/>
                <w:w w:val="93"/>
              </w:rPr>
            </w:pPr>
            <w:hyperlink w:anchor="page76">
              <w:r>
                <w:rPr>
                  <w:rFonts w:ascii="Arial" w:cs="Arial" w:eastAsia="Arial" w:hAnsi="Arial"/>
                  <w:sz w:val="18"/>
                  <w:szCs w:val="18"/>
                  <w:color w:val="0000EE"/>
                  <w:w w:val="93"/>
                </w:rPr>
                <w:t>Item 14</w:t>
              </w:r>
            </w:hyperlink>
          </w:p>
        </w:tc>
        <w:tc>
          <w:tcPr>
            <w:tcW w:w="280" w:type="dxa"/>
            <w:vAlign w:val="bottom"/>
          </w:tcPr>
          <w:p>
            <w:pPr>
              <w:spacing w:after="0"/>
              <w:rPr>
                <w:sz w:val="14"/>
                <w:szCs w:val="14"/>
                <w:color w:val="auto"/>
              </w:rPr>
            </w:pPr>
          </w:p>
        </w:tc>
        <w:tc>
          <w:tcPr>
            <w:tcW w:w="6840" w:type="dxa"/>
            <w:vAlign w:val="bottom"/>
            <w:gridSpan w:val="22"/>
          </w:tcPr>
          <w:p>
            <w:pPr>
              <w:ind w:left="200"/>
              <w:spacing w:after="0" w:line="150" w:lineRule="exact"/>
              <w:rPr>
                <w:rFonts w:ascii="Arial" w:cs="Arial" w:eastAsia="Arial" w:hAnsi="Arial"/>
                <w:sz w:val="17"/>
                <w:szCs w:val="17"/>
                <w:color w:val="0000EE"/>
              </w:rPr>
            </w:pPr>
            <w:hyperlink w:anchor="page76">
              <w:r>
                <w:rPr>
                  <w:rFonts w:ascii="Arial" w:cs="Arial" w:eastAsia="Arial" w:hAnsi="Arial"/>
                  <w:sz w:val="17"/>
                  <w:szCs w:val="17"/>
                  <w:color w:val="0000EE"/>
                </w:rPr>
                <w:t>Principal Accounting Fees and Services</w:t>
              </w:r>
            </w:hyperlink>
          </w:p>
        </w:tc>
        <w:tc>
          <w:tcPr>
            <w:tcW w:w="0" w:type="dxa"/>
            <w:vAlign w:val="bottom"/>
          </w:tcPr>
          <w:p>
            <w:pPr>
              <w:spacing w:after="0"/>
              <w:rPr>
                <w:sz w:val="1"/>
                <w:szCs w:val="1"/>
                <w:color w:val="auto"/>
              </w:rPr>
            </w:pPr>
          </w:p>
        </w:tc>
      </w:tr>
      <w:tr>
        <w:trPr>
          <w:trHeight w:val="27"/>
        </w:trPr>
        <w:tc>
          <w:tcPr>
            <w:tcW w:w="600" w:type="dxa"/>
            <w:vAlign w:val="bottom"/>
            <w:gridSpan w:val="3"/>
            <w:shd w:val="clear" w:color="auto" w:fill="0000EE"/>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880" w:type="dxa"/>
            <w:vAlign w:val="bottom"/>
            <w:gridSpan w:val="4"/>
          </w:tcPr>
          <w:p>
            <w:pPr>
              <w:spacing w:after="0"/>
              <w:rPr>
                <w:sz w:val="20"/>
                <w:szCs w:val="20"/>
                <w:color w:val="auto"/>
              </w:rPr>
            </w:pPr>
            <w:r>
              <w:rPr>
                <w:rFonts w:ascii="Arial" w:cs="Arial" w:eastAsia="Arial" w:hAnsi="Arial"/>
                <w:sz w:val="18"/>
                <w:szCs w:val="18"/>
                <w:b w:val="1"/>
                <w:bCs w:val="1"/>
                <w:color w:val="auto"/>
              </w:rPr>
              <w:t>PART IV</w:t>
            </w:r>
          </w:p>
        </w:tc>
        <w:tc>
          <w:tcPr>
            <w:tcW w:w="6840" w:type="dxa"/>
            <w:vAlign w:val="bottom"/>
            <w:gridSpan w:val="22"/>
            <w:vMerge w:val="restart"/>
          </w:tcPr>
          <w:p>
            <w:pPr>
              <w:ind w:left="200"/>
              <w:spacing w:after="0"/>
              <w:rPr>
                <w:rFonts w:ascii="Arial" w:cs="Arial" w:eastAsia="Arial" w:hAnsi="Arial"/>
                <w:sz w:val="18"/>
                <w:szCs w:val="18"/>
                <w:color w:val="0000EE"/>
              </w:rPr>
            </w:pPr>
            <w:hyperlink w:anchor="page77">
              <w:r>
                <w:rPr>
                  <w:rFonts w:ascii="Arial" w:cs="Arial" w:eastAsia="Arial" w:hAnsi="Arial"/>
                  <w:sz w:val="18"/>
                  <w:szCs w:val="18"/>
                  <w:color w:val="0000EE"/>
                </w:rPr>
                <w:t>Exhibits and Financial Statement Schedules</w:t>
              </w:r>
            </w:hyperlink>
          </w:p>
        </w:tc>
        <w:tc>
          <w:tcPr>
            <w:tcW w:w="0" w:type="dxa"/>
            <w:vAlign w:val="bottom"/>
          </w:tcPr>
          <w:p>
            <w:pPr>
              <w:spacing w:after="0"/>
              <w:rPr>
                <w:sz w:val="1"/>
                <w:szCs w:val="1"/>
                <w:color w:val="auto"/>
              </w:rPr>
            </w:pPr>
          </w:p>
        </w:tc>
      </w:tr>
      <w:tr>
        <w:trPr>
          <w:trHeight w:val="163"/>
        </w:trPr>
        <w:tc>
          <w:tcPr>
            <w:tcW w:w="600" w:type="dxa"/>
            <w:vAlign w:val="bottom"/>
            <w:gridSpan w:val="3"/>
          </w:tcPr>
          <w:p>
            <w:pPr>
              <w:spacing w:after="0" w:line="143" w:lineRule="exact"/>
              <w:rPr>
                <w:rFonts w:ascii="Arial" w:cs="Arial" w:eastAsia="Arial" w:hAnsi="Arial"/>
                <w:sz w:val="16"/>
                <w:szCs w:val="16"/>
                <w:color w:val="0000EE"/>
              </w:rPr>
            </w:pPr>
            <w:hyperlink w:anchor="page77">
              <w:r>
                <w:rPr>
                  <w:rFonts w:ascii="Arial" w:cs="Arial" w:eastAsia="Arial" w:hAnsi="Arial"/>
                  <w:sz w:val="16"/>
                  <w:szCs w:val="16"/>
                  <w:color w:val="0000EE"/>
                </w:rPr>
                <w:t>Item 15</w:t>
              </w:r>
            </w:hyperlink>
          </w:p>
        </w:tc>
        <w:tc>
          <w:tcPr>
            <w:tcW w:w="280" w:type="dxa"/>
            <w:vAlign w:val="bottom"/>
          </w:tcPr>
          <w:p>
            <w:pPr>
              <w:spacing w:after="0"/>
              <w:rPr>
                <w:sz w:val="14"/>
                <w:szCs w:val="14"/>
                <w:color w:val="auto"/>
              </w:rPr>
            </w:pPr>
          </w:p>
        </w:tc>
        <w:tc>
          <w:tcPr>
            <w:tcW w:w="6840" w:type="dxa"/>
            <w:vAlign w:val="bottom"/>
            <w:gridSpan w:val="2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-3429635</wp:posOffset>
            </wp:positionV>
            <wp:extent cx="553148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1289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-3172460</wp:posOffset>
            </wp:positionV>
            <wp:extent cx="553148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1485" cy="1289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-2915285</wp:posOffset>
            </wp:positionV>
            <wp:extent cx="553148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31485" cy="1289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-2658110</wp:posOffset>
            </wp:positionV>
            <wp:extent cx="556577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65775" cy="1289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-2280285</wp:posOffset>
            </wp:positionV>
            <wp:extent cx="553148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31485" cy="1289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-1903095</wp:posOffset>
            </wp:positionV>
            <wp:extent cx="553148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31485" cy="1289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-1645920</wp:posOffset>
            </wp:positionV>
            <wp:extent cx="5531485" cy="2489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31485" cy="2489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-1268730</wp:posOffset>
            </wp:positionV>
            <wp:extent cx="553148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31485" cy="1289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-1011555</wp:posOffset>
            </wp:positionV>
            <wp:extent cx="553148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31485" cy="1289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-753745</wp:posOffset>
            </wp:positionV>
            <wp:extent cx="5531485" cy="2489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31485" cy="2489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-376555</wp:posOffset>
            </wp:positionV>
            <wp:extent cx="553148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31485" cy="1289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-119380</wp:posOffset>
            </wp:positionV>
            <wp:extent cx="553148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31485" cy="128905"/>
                    </a:xfrm>
                    <a:prstGeom prst="rect">
                      <a:avLst/>
                    </a:prstGeom>
                    <a:noFill/>
                  </pic:spPr>
                </pic:pic>
              </a:graphicData>
            </a:graphic>
          </wp:anchor>
        </w:drawing>
        <w:drawing>
          <wp:anchor simplePos="0" relativeHeight="251657728" behindDoc="1" locked="0" layoutInCell="0" allowOverlap="1">
            <wp:simplePos x="0" y="0"/>
            <wp:positionH relativeFrom="column">
              <wp:posOffset>486410</wp:posOffset>
            </wp:positionH>
            <wp:positionV relativeFrom="paragraph">
              <wp:posOffset>459105</wp:posOffset>
            </wp:positionV>
            <wp:extent cx="6114415"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0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-320040</wp:posOffset>
            </wp:positionV>
            <wp:extent cx="3346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ind w:left="100"/>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2</w:t>
        </w:r>
      </w:hyperlink>
    </w:p>
    <w:p>
      <w:pPr>
        <w:spacing w:after="0" w:line="7" w:lineRule="exact"/>
        <w:rPr>
          <w:sz w:val="20"/>
          <w:szCs w:val="20"/>
          <w:color w:val="auto"/>
        </w:rPr>
      </w:pPr>
    </w:p>
    <w:p>
      <w:pPr>
        <w:ind w:left="100"/>
        <w:spacing w:after="0"/>
        <w:rPr>
          <w:rFonts w:ascii="Arial" w:cs="Arial" w:eastAsia="Arial" w:hAnsi="Arial"/>
          <w:sz w:val="17"/>
          <w:szCs w:val="17"/>
          <w:u w:val="single" w:color="auto"/>
          <w:color w:val="0000EE"/>
        </w:rPr>
      </w:pPr>
      <w:hyperlink w:anchor="page11">
        <w:r>
          <w:rPr>
            <w:rFonts w:ascii="Arial" w:cs="Arial" w:eastAsia="Arial" w:hAnsi="Arial"/>
            <w:sz w:val="17"/>
            <w:szCs w:val="17"/>
            <w:u w:val="single" w:color="auto"/>
            <w:color w:val="0000EE"/>
          </w:rPr>
          <w:t>9</w:t>
        </w:r>
      </w:hyperlink>
    </w:p>
    <w:p>
      <w:pPr>
        <w:spacing w:after="0" w:line="7" w:lineRule="exact"/>
        <w:rPr>
          <w:sz w:val="20"/>
          <w:szCs w:val="20"/>
          <w:color w:val="auto"/>
        </w:rPr>
      </w:pPr>
    </w:p>
    <w:p>
      <w:pPr>
        <w:ind w:left="100"/>
        <w:spacing w:after="0"/>
        <w:rPr>
          <w:rFonts w:ascii="Arial" w:cs="Arial" w:eastAsia="Arial" w:hAnsi="Arial"/>
          <w:sz w:val="17"/>
          <w:szCs w:val="17"/>
          <w:u w:val="single" w:color="auto"/>
          <w:color w:val="0000EE"/>
        </w:rPr>
      </w:pPr>
      <w:hyperlink w:anchor="page11">
        <w:r>
          <w:rPr>
            <w:rFonts w:ascii="Arial" w:cs="Arial" w:eastAsia="Arial" w:hAnsi="Arial"/>
            <w:sz w:val="17"/>
            <w:szCs w:val="17"/>
            <w:u w:val="single" w:color="auto"/>
            <w:color w:val="0000EE"/>
          </w:rPr>
          <w:t>9</w:t>
        </w:r>
      </w:hyperlink>
    </w:p>
    <w:p>
      <w:pPr>
        <w:spacing w:after="0" w:line="7" w:lineRule="exact"/>
        <w:rPr>
          <w:sz w:val="20"/>
          <w:szCs w:val="20"/>
          <w:color w:val="auto"/>
        </w:rPr>
      </w:pPr>
    </w:p>
    <w:p>
      <w:pPr>
        <w:ind w:left="100"/>
        <w:spacing w:after="0"/>
        <w:rPr>
          <w:rFonts w:ascii="Arial" w:cs="Arial" w:eastAsia="Arial" w:hAnsi="Arial"/>
          <w:sz w:val="17"/>
          <w:szCs w:val="17"/>
          <w:u w:val="single" w:color="auto"/>
          <w:color w:val="0000EE"/>
        </w:rPr>
      </w:pPr>
      <w:hyperlink w:anchor="page11">
        <w:r>
          <w:rPr>
            <w:rFonts w:ascii="Arial" w:cs="Arial" w:eastAsia="Arial" w:hAnsi="Arial"/>
            <w:sz w:val="17"/>
            <w:szCs w:val="17"/>
            <w:u w:val="single" w:color="auto"/>
            <w:color w:val="0000EE"/>
          </w:rPr>
          <w:t>9</w:t>
        </w:r>
      </w:hyperlink>
    </w:p>
    <w:p>
      <w:pPr>
        <w:spacing w:after="0" w:line="7" w:lineRule="exact"/>
        <w:rPr>
          <w:sz w:val="20"/>
          <w:szCs w:val="20"/>
          <w:color w:val="auto"/>
        </w:rPr>
      </w:pPr>
    </w:p>
    <w:p>
      <w:pPr>
        <w:ind w:left="100"/>
        <w:spacing w:after="0"/>
        <w:rPr>
          <w:rFonts w:ascii="Arial" w:cs="Arial" w:eastAsia="Arial" w:hAnsi="Arial"/>
          <w:sz w:val="17"/>
          <w:szCs w:val="17"/>
          <w:u w:val="single" w:color="auto"/>
          <w:color w:val="0000EE"/>
        </w:rPr>
      </w:pPr>
      <w:hyperlink w:anchor="page11">
        <w:r>
          <w:rPr>
            <w:rFonts w:ascii="Arial" w:cs="Arial" w:eastAsia="Arial" w:hAnsi="Arial"/>
            <w:sz w:val="17"/>
            <w:szCs w:val="17"/>
            <w:u w:val="single" w:color="auto"/>
            <w:color w:val="0000EE"/>
          </w:rPr>
          <w:t>9</w:t>
        </w:r>
      </w:hyperlink>
    </w:p>
    <w:p>
      <w:pPr>
        <w:spacing w:after="0" w:line="210" w:lineRule="exact"/>
        <w:rPr>
          <w:sz w:val="20"/>
          <w:szCs w:val="20"/>
          <w:color w:val="auto"/>
        </w:rPr>
      </w:pPr>
    </w:p>
    <w:p>
      <w:pPr>
        <w:spacing w:after="0"/>
        <w:rPr>
          <w:rFonts w:ascii="Arial" w:cs="Arial" w:eastAsia="Arial" w:hAnsi="Arial"/>
          <w:sz w:val="17"/>
          <w:szCs w:val="17"/>
          <w:u w:val="single" w:color="auto"/>
          <w:color w:val="0000EE"/>
        </w:rPr>
      </w:pPr>
      <w:hyperlink w:anchor="page13">
        <w:r>
          <w:rPr>
            <w:rFonts w:ascii="Arial" w:cs="Arial" w:eastAsia="Arial" w:hAnsi="Arial"/>
            <w:sz w:val="17"/>
            <w:szCs w:val="17"/>
            <w:u w:val="single" w:color="auto"/>
            <w:color w:val="0000EE"/>
          </w:rPr>
          <w:t>11</w:t>
        </w:r>
      </w:hyperlink>
    </w:p>
    <w:p>
      <w:pPr>
        <w:spacing w:after="0" w:line="196" w:lineRule="exact"/>
        <w:rPr>
          <w:sz w:val="20"/>
          <w:szCs w:val="20"/>
          <w:color w:val="auto"/>
        </w:rPr>
      </w:pPr>
    </w:p>
    <w:p>
      <w:pPr>
        <w:spacing w:after="0"/>
        <w:rPr>
          <w:rFonts w:ascii="Arial" w:cs="Arial" w:eastAsia="Arial" w:hAnsi="Arial"/>
          <w:sz w:val="17"/>
          <w:szCs w:val="17"/>
          <w:u w:val="single" w:color="auto"/>
          <w:color w:val="0000EE"/>
        </w:rPr>
      </w:pPr>
      <w:hyperlink w:anchor="page15">
        <w:r>
          <w:rPr>
            <w:rFonts w:ascii="Arial" w:cs="Arial" w:eastAsia="Arial" w:hAnsi="Arial"/>
            <w:sz w:val="17"/>
            <w:szCs w:val="17"/>
            <w:u w:val="single" w:color="auto"/>
            <w:color w:val="0000EE"/>
          </w:rPr>
          <w:t>13</w:t>
        </w:r>
      </w:hyperlink>
    </w:p>
    <w:p>
      <w:pPr>
        <w:spacing w:after="0" w:line="7" w:lineRule="exact"/>
        <w:rPr>
          <w:sz w:val="20"/>
          <w:szCs w:val="20"/>
          <w:color w:val="auto"/>
        </w:rPr>
      </w:pPr>
    </w:p>
    <w:p>
      <w:pPr>
        <w:spacing w:after="0"/>
        <w:rPr>
          <w:rFonts w:ascii="Arial" w:cs="Arial" w:eastAsia="Arial" w:hAnsi="Arial"/>
          <w:sz w:val="17"/>
          <w:szCs w:val="17"/>
          <w:u w:val="single" w:color="auto"/>
          <w:color w:val="0000EE"/>
        </w:rPr>
      </w:pPr>
      <w:hyperlink w:anchor="page16">
        <w:r>
          <w:rPr>
            <w:rFonts w:ascii="Arial" w:cs="Arial" w:eastAsia="Arial" w:hAnsi="Arial"/>
            <w:sz w:val="17"/>
            <w:szCs w:val="17"/>
            <w:u w:val="single" w:color="auto"/>
            <w:color w:val="0000EE"/>
          </w:rPr>
          <w:t>14</w:t>
        </w:r>
      </w:hyperlink>
    </w:p>
    <w:p>
      <w:pPr>
        <w:spacing w:after="0" w:line="196" w:lineRule="exact"/>
        <w:rPr>
          <w:sz w:val="20"/>
          <w:szCs w:val="20"/>
          <w:color w:val="auto"/>
        </w:rPr>
      </w:pPr>
    </w:p>
    <w:p>
      <w:pPr>
        <w:spacing w:after="0"/>
        <w:rPr>
          <w:rFonts w:ascii="Arial" w:cs="Arial" w:eastAsia="Arial" w:hAnsi="Arial"/>
          <w:sz w:val="17"/>
          <w:szCs w:val="17"/>
          <w:u w:val="single" w:color="auto"/>
          <w:color w:val="0000EE"/>
        </w:rPr>
      </w:pPr>
      <w:hyperlink w:anchor="page34">
        <w:r>
          <w:rPr>
            <w:rFonts w:ascii="Arial" w:cs="Arial" w:eastAsia="Arial" w:hAnsi="Arial"/>
            <w:sz w:val="17"/>
            <w:szCs w:val="17"/>
            <w:u w:val="single" w:color="auto"/>
            <w:color w:val="0000EE"/>
          </w:rPr>
          <w:t>32</w:t>
        </w:r>
      </w:hyperlink>
    </w:p>
    <w:p>
      <w:pPr>
        <w:spacing w:after="0" w:line="7" w:lineRule="exact"/>
        <w:rPr>
          <w:sz w:val="20"/>
          <w:szCs w:val="20"/>
          <w:color w:val="auto"/>
        </w:rPr>
      </w:pPr>
    </w:p>
    <w:p>
      <w:pPr>
        <w:spacing w:after="0"/>
        <w:rPr>
          <w:rFonts w:ascii="Arial" w:cs="Arial" w:eastAsia="Arial" w:hAnsi="Arial"/>
          <w:sz w:val="17"/>
          <w:szCs w:val="17"/>
          <w:u w:val="single" w:color="auto"/>
          <w:color w:val="0000EE"/>
        </w:rPr>
      </w:pPr>
      <w:hyperlink w:anchor="page34">
        <w:r>
          <w:rPr>
            <w:rFonts w:ascii="Arial" w:cs="Arial" w:eastAsia="Arial" w:hAnsi="Arial"/>
            <w:sz w:val="17"/>
            <w:szCs w:val="17"/>
            <w:u w:val="single" w:color="auto"/>
            <w:color w:val="0000EE"/>
          </w:rPr>
          <w:t>32</w:t>
        </w:r>
      </w:hyperlink>
    </w:p>
    <w:p>
      <w:pPr>
        <w:spacing w:after="0" w:line="7" w:lineRule="exact"/>
        <w:rPr>
          <w:sz w:val="20"/>
          <w:szCs w:val="20"/>
          <w:color w:val="auto"/>
        </w:rPr>
      </w:pPr>
    </w:p>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72</w:t>
        </w:r>
      </w:hyperlink>
    </w:p>
    <w:p>
      <w:pPr>
        <w:spacing w:after="0" w:line="196" w:lineRule="exact"/>
        <w:rPr>
          <w:sz w:val="20"/>
          <w:szCs w:val="20"/>
          <w:color w:val="auto"/>
        </w:rPr>
      </w:pPr>
    </w:p>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72</w:t>
        </w:r>
      </w:hyperlink>
    </w:p>
    <w:p>
      <w:pPr>
        <w:spacing w:after="0" w:line="7" w:lineRule="exact"/>
        <w:rPr>
          <w:sz w:val="20"/>
          <w:szCs w:val="20"/>
          <w:color w:val="auto"/>
        </w:rPr>
      </w:pPr>
    </w:p>
    <w:p>
      <w:pPr>
        <w:spacing w:after="0"/>
        <w:rPr>
          <w:rFonts w:ascii="Arial" w:cs="Arial" w:eastAsia="Arial" w:hAnsi="Arial"/>
          <w:sz w:val="17"/>
          <w:szCs w:val="17"/>
          <w:u w:val="single" w:color="auto"/>
          <w:color w:val="0000EE"/>
        </w:rPr>
      </w:pPr>
      <w:hyperlink w:anchor="page76">
        <w:r>
          <w:rPr>
            <w:rFonts w:ascii="Arial" w:cs="Arial" w:eastAsia="Arial" w:hAnsi="Arial"/>
            <w:sz w:val="17"/>
            <w:szCs w:val="17"/>
            <w:u w:val="single" w:color="auto"/>
            <w:color w:val="0000EE"/>
          </w:rPr>
          <w:t>74</w:t>
        </w:r>
      </w:hyperlink>
    </w:p>
    <w:p>
      <w:pPr>
        <w:spacing w:after="0" w:line="210" w:lineRule="exact"/>
        <w:rPr>
          <w:sz w:val="20"/>
          <w:szCs w:val="20"/>
          <w:color w:val="auto"/>
        </w:rPr>
      </w:pPr>
    </w:p>
    <w:p>
      <w:pPr>
        <w:spacing w:after="0"/>
        <w:rPr>
          <w:rFonts w:ascii="Arial" w:cs="Arial" w:eastAsia="Arial" w:hAnsi="Arial"/>
          <w:sz w:val="17"/>
          <w:szCs w:val="17"/>
          <w:u w:val="single" w:color="auto"/>
          <w:color w:val="0000EE"/>
        </w:rPr>
      </w:pPr>
      <w:hyperlink w:anchor="page76">
        <w:r>
          <w:rPr>
            <w:rFonts w:ascii="Arial" w:cs="Arial" w:eastAsia="Arial" w:hAnsi="Arial"/>
            <w:sz w:val="17"/>
            <w:szCs w:val="17"/>
            <w:u w:val="single" w:color="auto"/>
            <w:color w:val="0000EE"/>
          </w:rPr>
          <w:t>74</w:t>
        </w:r>
      </w:hyperlink>
    </w:p>
    <w:p>
      <w:pPr>
        <w:spacing w:after="0" w:line="7" w:lineRule="exact"/>
        <w:rPr>
          <w:sz w:val="20"/>
          <w:szCs w:val="20"/>
          <w:color w:val="auto"/>
        </w:rPr>
      </w:pPr>
    </w:p>
    <w:p>
      <w:pPr>
        <w:spacing w:after="0"/>
        <w:rPr>
          <w:rFonts w:ascii="Arial" w:cs="Arial" w:eastAsia="Arial" w:hAnsi="Arial"/>
          <w:sz w:val="17"/>
          <w:szCs w:val="17"/>
          <w:u w:val="single" w:color="auto"/>
          <w:color w:val="0000EE"/>
        </w:rPr>
      </w:pPr>
      <w:hyperlink w:anchor="page76">
        <w:r>
          <w:rPr>
            <w:rFonts w:ascii="Arial" w:cs="Arial" w:eastAsia="Arial" w:hAnsi="Arial"/>
            <w:sz w:val="17"/>
            <w:szCs w:val="17"/>
            <w:u w:val="single" w:color="auto"/>
            <w:color w:val="0000EE"/>
          </w:rPr>
          <w:t>74</w:t>
        </w:r>
      </w:hyperlink>
    </w:p>
    <w:p>
      <w:pPr>
        <w:spacing w:after="0" w:line="7" w:lineRule="exact"/>
        <w:rPr>
          <w:sz w:val="20"/>
          <w:szCs w:val="20"/>
          <w:color w:val="auto"/>
        </w:rPr>
      </w:pPr>
    </w:p>
    <w:p>
      <w:pPr>
        <w:spacing w:after="0"/>
        <w:rPr>
          <w:rFonts w:ascii="Arial" w:cs="Arial" w:eastAsia="Arial" w:hAnsi="Arial"/>
          <w:sz w:val="17"/>
          <w:szCs w:val="17"/>
          <w:u w:val="single" w:color="auto"/>
          <w:color w:val="0000EE"/>
        </w:rPr>
      </w:pPr>
      <w:hyperlink w:anchor="page76">
        <w:r>
          <w:rPr>
            <w:rFonts w:ascii="Arial" w:cs="Arial" w:eastAsia="Arial" w:hAnsi="Arial"/>
            <w:sz w:val="17"/>
            <w:szCs w:val="17"/>
            <w:u w:val="single" w:color="auto"/>
            <w:color w:val="0000EE"/>
          </w:rPr>
          <w:t>74</w:t>
        </w:r>
      </w:hyperlink>
    </w:p>
    <w:p>
      <w:pPr>
        <w:spacing w:after="0" w:line="196" w:lineRule="exact"/>
        <w:rPr>
          <w:sz w:val="20"/>
          <w:szCs w:val="20"/>
          <w:color w:val="auto"/>
        </w:rPr>
      </w:pPr>
    </w:p>
    <w:p>
      <w:pPr>
        <w:spacing w:after="0"/>
        <w:rPr>
          <w:rFonts w:ascii="Arial" w:cs="Arial" w:eastAsia="Arial" w:hAnsi="Arial"/>
          <w:sz w:val="17"/>
          <w:szCs w:val="17"/>
          <w:u w:val="single" w:color="auto"/>
          <w:color w:val="0000EE"/>
        </w:rPr>
      </w:pPr>
      <w:hyperlink w:anchor="page76">
        <w:r>
          <w:rPr>
            <w:rFonts w:ascii="Arial" w:cs="Arial" w:eastAsia="Arial" w:hAnsi="Arial"/>
            <w:sz w:val="17"/>
            <w:szCs w:val="17"/>
            <w:u w:val="single" w:color="auto"/>
            <w:color w:val="0000EE"/>
          </w:rPr>
          <w:t>74</w:t>
        </w:r>
      </w:hyperlink>
    </w:p>
    <w:p>
      <w:pPr>
        <w:spacing w:after="0" w:line="7" w:lineRule="exact"/>
        <w:rPr>
          <w:sz w:val="20"/>
          <w:szCs w:val="20"/>
          <w:color w:val="auto"/>
        </w:rPr>
      </w:pPr>
    </w:p>
    <w:p>
      <w:pPr>
        <w:spacing w:after="0"/>
        <w:rPr>
          <w:rFonts w:ascii="Arial" w:cs="Arial" w:eastAsia="Arial" w:hAnsi="Arial"/>
          <w:sz w:val="17"/>
          <w:szCs w:val="17"/>
          <w:u w:val="single" w:color="auto"/>
          <w:color w:val="0000EE"/>
        </w:rPr>
      </w:pPr>
      <w:hyperlink w:anchor="page76">
        <w:r>
          <w:rPr>
            <w:rFonts w:ascii="Arial" w:cs="Arial" w:eastAsia="Arial" w:hAnsi="Arial"/>
            <w:sz w:val="17"/>
            <w:szCs w:val="17"/>
            <w:u w:val="single" w:color="auto"/>
            <w:color w:val="0000EE"/>
          </w:rPr>
          <w:t>74</w:t>
        </w:r>
      </w:hyperlink>
    </w:p>
    <w:p>
      <w:pPr>
        <w:spacing w:after="0" w:line="210" w:lineRule="exact"/>
        <w:rPr>
          <w:sz w:val="20"/>
          <w:szCs w:val="20"/>
          <w:color w:val="auto"/>
        </w:rPr>
      </w:pPr>
    </w:p>
    <w:p>
      <w:pPr>
        <w:spacing w:after="0"/>
        <w:rPr>
          <w:rFonts w:ascii="Arial" w:cs="Arial" w:eastAsia="Arial" w:hAnsi="Arial"/>
          <w:sz w:val="17"/>
          <w:szCs w:val="17"/>
          <w:u w:val="single" w:color="auto"/>
          <w:color w:val="0000EE"/>
        </w:rPr>
      </w:pPr>
      <w:hyperlink w:anchor="page77">
        <w:r>
          <w:rPr>
            <w:rFonts w:ascii="Arial" w:cs="Arial" w:eastAsia="Arial" w:hAnsi="Arial"/>
            <w:sz w:val="17"/>
            <w:szCs w:val="17"/>
            <w:u w:val="single" w:color="auto"/>
            <w:color w:val="0000EE"/>
          </w:rPr>
          <w:t>75</w:t>
        </w:r>
      </w:hyperlink>
    </w:p>
    <w:p>
      <w:pPr>
        <w:sectPr>
          <w:pgSz w:w="11900" w:h="16838" w:orient="portrait"/>
          <w:cols w:equalWidth="0" w:num="2">
            <w:col w:w="7720" w:space="700"/>
            <w:col w:w="1659"/>
          </w:cols>
          <w:pgMar w:left="380" w:top="802" w:right="1440"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Item 1. Business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General</w:t>
      </w:r>
    </w:p>
    <w:p>
      <w:pPr>
        <w:spacing w:after="0" w:line="139"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Foot Locker, Inc., incorporated under the laws of the State of New York in 1989, is a leading global retailer of athletically inspired shoes and apparel, operating 3,473 primarily mall-based stores in the United States, Canada, Europe, Australia, and New Zealand as of February 1, 2014. Foot Locker, Inc. and its subsidiaries hereafter are referred to as the “Registrant,” “Company,” “we,” “our,” or “us.” Information regarding the business is contained under the “Business Overview” section in “Item 7. Management’s Discussion and Analysis of Financial Condition and Results of Operations.”</w:t>
      </w:r>
    </w:p>
    <w:p>
      <w:pPr>
        <w:spacing w:after="0" w:line="83" w:lineRule="exact"/>
        <w:rPr>
          <w:sz w:val="20"/>
          <w:szCs w:val="20"/>
          <w:color w:val="auto"/>
        </w:rPr>
      </w:pPr>
    </w:p>
    <w:p>
      <w:pPr>
        <w:jc w:val="both"/>
        <w:ind w:left="40" w:right="519"/>
        <w:spacing w:after="0" w:line="255" w:lineRule="auto"/>
        <w:rPr>
          <w:sz w:val="20"/>
          <w:szCs w:val="20"/>
          <w:color w:val="auto"/>
        </w:rPr>
      </w:pPr>
      <w:r>
        <w:rPr>
          <w:rFonts w:ascii="Arial" w:cs="Arial" w:eastAsia="Arial" w:hAnsi="Arial"/>
          <w:sz w:val="18"/>
          <w:szCs w:val="18"/>
          <w:color w:val="auto"/>
        </w:rPr>
        <w:t xml:space="preserve">The Company maintains a website on the Internet at </w:t>
      </w:r>
      <w:r>
        <w:rPr>
          <w:rFonts w:ascii="Arial" w:cs="Arial" w:eastAsia="Arial" w:hAnsi="Arial"/>
          <w:sz w:val="18"/>
          <w:szCs w:val="18"/>
          <w:i w:val="1"/>
          <w:iCs w:val="1"/>
          <w:color w:val="auto"/>
        </w:rPr>
        <w:t>www.footlocker-inc.com</w:t>
      </w:r>
      <w:r>
        <w:rPr>
          <w:rFonts w:ascii="Arial" w:cs="Arial" w:eastAsia="Arial" w:hAnsi="Arial"/>
          <w:sz w:val="18"/>
          <w:szCs w:val="18"/>
          <w:color w:val="auto"/>
        </w:rPr>
        <w:t>. The Company’s filings with the Securities and Exchange Commission, including its annual reports on Form 10-K, quarterly reports on Form 10-Q, current reports on Form 8-K, and all amendments to those reports are available free of charge through this website as soon as reasonably practicable after they are filed with or furnished to the SEC by clicking on the “SEC Filings” link. The Corporate Governance section of the Company’s corporate website contains the Company’s Corporate Governance Guidelines, Committee Charters, and the Company’s Code of Business Conduct for directors, officers and employees, including the Chief Executive Officer, Chief Financial Officer, and Chief Accounting Officer. Copies of these documents</w:t>
      </w:r>
    </w:p>
    <w:p>
      <w:pPr>
        <w:spacing w:after="0" w:line="18" w:lineRule="exact"/>
        <w:rPr>
          <w:sz w:val="20"/>
          <w:szCs w:val="20"/>
          <w:color w:val="auto"/>
        </w:rPr>
      </w:pPr>
    </w:p>
    <w:p>
      <w:pPr>
        <w:jc w:val="both"/>
        <w:ind w:left="40" w:right="539"/>
        <w:spacing w:after="0" w:line="225" w:lineRule="auto"/>
        <w:rPr>
          <w:sz w:val="20"/>
          <w:szCs w:val="20"/>
          <w:color w:val="auto"/>
        </w:rPr>
      </w:pPr>
      <w:r>
        <w:rPr>
          <w:rFonts w:ascii="Arial" w:cs="Arial" w:eastAsia="Arial" w:hAnsi="Arial"/>
          <w:sz w:val="18"/>
          <w:szCs w:val="18"/>
          <w:color w:val="auto"/>
        </w:rPr>
        <w:t>may also be obtained free of charge upon written request to the Company’s Corporate Secretary at 112 West 34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New York, N.Y. 10120. The Company intends to promptly disclose amendments to the Code of Business Conduct and waivers of the Code for directors and executive officers on the Corporate Governance section of the Company’s corporate website.</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Information Regarding Business Segments and Geographic Areas</w:t>
      </w:r>
    </w:p>
    <w:p>
      <w:pPr>
        <w:spacing w:after="0" w:line="139"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 xml:space="preserve">The financial information concerning business segments, divisions and geographic areas is contained under the “Business Overview” and “Segment Information” sections in “Item 7. Management’s Discussion and Analysis of Financial Condition and Results of Operations.” Information regarding sales, operating results and identifiable assets of the Company by business segment and by geographic area is contained under the </w:t>
      </w:r>
      <w:r>
        <w:rPr>
          <w:rFonts w:ascii="Arial" w:cs="Arial" w:eastAsia="Arial" w:hAnsi="Arial"/>
          <w:sz w:val="18"/>
          <w:szCs w:val="18"/>
          <w:i w:val="1"/>
          <w:iCs w:val="1"/>
          <w:color w:val="auto"/>
        </w:rPr>
        <w:t>Segment Information</w:t>
      </w:r>
      <w:r>
        <w:rPr>
          <w:rFonts w:ascii="Arial" w:cs="Arial" w:eastAsia="Arial" w:hAnsi="Arial"/>
          <w:sz w:val="18"/>
          <w:szCs w:val="18"/>
          <w:color w:val="auto"/>
        </w:rPr>
        <w:t xml:space="preserve"> note in “Item 8. Consolidated Financial Statements and Supplementary Data.”</w:t>
      </w:r>
    </w:p>
    <w:p>
      <w:pPr>
        <w:spacing w:after="0" w:line="97" w:lineRule="exact"/>
        <w:rPr>
          <w:sz w:val="20"/>
          <w:szCs w:val="20"/>
          <w:color w:val="auto"/>
        </w:rPr>
      </w:pPr>
    </w:p>
    <w:p>
      <w:pPr>
        <w:jc w:val="both"/>
        <w:ind w:left="40" w:right="519"/>
        <w:spacing w:after="0" w:line="262" w:lineRule="auto"/>
        <w:rPr>
          <w:sz w:val="20"/>
          <w:szCs w:val="20"/>
          <w:color w:val="auto"/>
        </w:rPr>
      </w:pPr>
      <w:r>
        <w:rPr>
          <w:rFonts w:ascii="Arial" w:cs="Arial" w:eastAsia="Arial" w:hAnsi="Arial"/>
          <w:sz w:val="18"/>
          <w:szCs w:val="18"/>
          <w:color w:val="auto"/>
        </w:rPr>
        <w:t>The service marks and trademarks appearing in this report (except for Nike, Inc. and Alshaya Trading Co. W.L.L.) are owned by Foot Locker, Inc. or its subsidiaries.</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Employees</w:t>
      </w:r>
    </w:p>
    <w:p>
      <w:pPr>
        <w:spacing w:after="0" w:line="139" w:lineRule="exact"/>
        <w:rPr>
          <w:sz w:val="20"/>
          <w:szCs w:val="20"/>
          <w:color w:val="auto"/>
        </w:rPr>
      </w:pPr>
    </w:p>
    <w:p>
      <w:pPr>
        <w:jc w:val="both"/>
        <w:ind w:left="40" w:right="519"/>
        <w:spacing w:after="0" w:line="262" w:lineRule="auto"/>
        <w:rPr>
          <w:sz w:val="20"/>
          <w:szCs w:val="20"/>
          <w:color w:val="auto"/>
        </w:rPr>
      </w:pPr>
      <w:r>
        <w:rPr>
          <w:rFonts w:ascii="Arial" w:cs="Arial" w:eastAsia="Arial" w:hAnsi="Arial"/>
          <w:sz w:val="18"/>
          <w:szCs w:val="18"/>
          <w:color w:val="auto"/>
        </w:rPr>
        <w:t>The Company and its consolidated subsidiaries had 14,267 full-time and 29,251 part-time employees at February 1, 2014. The Company considers employee relations to be satisfactory.</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left="40" w:right="539"/>
        <w:spacing w:after="0" w:line="282" w:lineRule="auto"/>
        <w:rPr>
          <w:sz w:val="20"/>
          <w:szCs w:val="20"/>
          <w:color w:val="auto"/>
        </w:rPr>
      </w:pPr>
      <w:r>
        <w:rPr>
          <w:rFonts w:ascii="Arial" w:cs="Arial" w:eastAsia="Arial" w:hAnsi="Arial"/>
          <w:sz w:val="18"/>
          <w:szCs w:val="18"/>
          <w:color w:val="auto"/>
        </w:rPr>
        <w:t xml:space="preserve">Financial information concerning competition is contained under the “Business Risk” section in the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and Risk Management </w:t>
      </w:r>
      <w:r>
        <w:rPr>
          <w:rFonts w:ascii="Arial" w:cs="Arial" w:eastAsia="Arial" w:hAnsi="Arial"/>
          <w:sz w:val="18"/>
          <w:szCs w:val="18"/>
          <w:color w:val="auto"/>
        </w:rPr>
        <w:t>note in “Item 8. Consolidated Financial Statements and Supplementary Data.”</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Merchandise Purchases</w:t>
      </w:r>
    </w:p>
    <w:p>
      <w:pPr>
        <w:spacing w:after="0" w:line="139"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 xml:space="preserve">Financial information concerning merchandise purchases is contained under the “Liquidity” section in “Item 7. Management’s Discussion and Analysis of Financial Condition and Results of Operations” and under the “Business Risk” section in the </w:t>
      </w:r>
      <w:r>
        <w:rPr>
          <w:rFonts w:ascii="Arial" w:cs="Arial" w:eastAsia="Arial" w:hAnsi="Arial"/>
          <w:sz w:val="18"/>
          <w:szCs w:val="18"/>
          <w:i w:val="1"/>
          <w:iCs w:val="1"/>
          <w:color w:val="auto"/>
        </w:rPr>
        <w:t>Financial Instruments and Risk Management</w:t>
      </w:r>
      <w:r>
        <w:rPr>
          <w:rFonts w:ascii="Arial" w:cs="Arial" w:eastAsia="Arial" w:hAnsi="Arial"/>
          <w:sz w:val="18"/>
          <w:szCs w:val="18"/>
          <w:color w:val="auto"/>
        </w:rPr>
        <w:t xml:space="preserve"> note in “Item 8. Consolidated Financial Statements and Supplementary Data.”</w:t>
      </w:r>
    </w:p>
    <w:p>
      <w:pPr>
        <w:spacing w:after="0" w:line="200" w:lineRule="exact"/>
        <w:rPr>
          <w:sz w:val="20"/>
          <w:szCs w:val="20"/>
          <w:color w:val="auto"/>
        </w:rPr>
      </w:pPr>
    </w:p>
    <w:p>
      <w:pPr>
        <w:spacing w:after="0" w:line="35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96520</wp:posOffset>
            </wp:positionV>
            <wp:extent cx="6114415"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139"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The statements contained in this Annual Report on Form 10-K (“Annual Report”) that are not historical facts, including, but not limited to, statements regarding our expected financial position, business and financing plans found in “Item 1. Business” and “Item 7. Management’s Discussion and Analysis of Financial Condition and Results of Operations,” constitute “forward-looking statements” within the meaning of the Private Securities Litigation Reform Act of 1995. Please also see “Disclosure Regarding Forward-Looking Statements.” Our actual results may differ materially due to the risks and uncertainties discussed in this Annual Report, including those discussed below. Additional risks and uncertainties that we do not presently know about or that we currently consider to be insignificant may also affect our business operations and financial performance.</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inability to implement our strategic long range plan may adversely affect our future results.</w:t>
      </w:r>
    </w:p>
    <w:p>
      <w:pPr>
        <w:spacing w:after="0" w:line="139"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Our ability to successfully implement and execute our long range plan is dependent on many factors. Our strategies may require significant capital investment and management attention, which may result in the diversion of these resources from our core business and other business issues and opportunities. Additionally, any new initiative is subject to certain risks including customer acceptance of our products and renovated store design, competition, product differentiation, and the ability to attract and retain qualified personnel. If we cannot successfully execute our strategic growth initiatives or if the long range plan does not adequately address the challenges or opportunities we face, our financial condition and results of operations may be adversely affected. Additionally, failure to meet market expectations, particularly with respect to sales, operating margins, and earnings per share, would likely result in volatility in the market value of our stock.</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The retail athletic footwear and apparel business is highly competitive with relatively low barriers to entry.</w:t>
      </w:r>
    </w:p>
    <w:p>
      <w:pPr>
        <w:spacing w:after="0" w:line="139" w:lineRule="exact"/>
        <w:rPr>
          <w:sz w:val="20"/>
          <w:szCs w:val="20"/>
          <w:color w:val="auto"/>
        </w:rPr>
      </w:pPr>
    </w:p>
    <w:p>
      <w:pPr>
        <w:jc w:val="both"/>
        <w:ind w:left="40" w:right="539"/>
        <w:spacing w:after="0" w:line="251" w:lineRule="auto"/>
        <w:rPr>
          <w:sz w:val="20"/>
          <w:szCs w:val="20"/>
          <w:color w:val="auto"/>
        </w:rPr>
      </w:pPr>
      <w:r>
        <w:rPr>
          <w:rFonts w:ascii="Arial" w:cs="Arial" w:eastAsia="Arial" w:hAnsi="Arial"/>
          <w:sz w:val="18"/>
          <w:szCs w:val="18"/>
          <w:color w:val="auto"/>
        </w:rPr>
        <w:t>Our athletic footwear and apparel operations compete primarily with athletic footwear specialty stores, sporting goods stores and superstores, department stores, discount stores, traditional shoe stores, and mass merchandisers, many of which are units of national or regional chains that have significant financial and marketing resources. The principal competitive factors in our markets are selection of merchandise, reputation, store location, price, quality, advertising, and customer service. Our success also depends on our ability to differentiate ourselves from our competitors with respect to shopping convenience, a quality assortment of available merchandise and superior customer service. We cannot assure that we will continue to be able to compete successfully against existing or future competitors. Our expansion into markets served by our competitors and entry of new competitors or expansion of existing competitors into our markets could have a material adverse effect on our business, financial condition, and results of operations.</w:t>
      </w:r>
    </w:p>
    <w:p>
      <w:pPr>
        <w:spacing w:after="0" w:line="105"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Although we sell merchandise via the Internet, a significant shift in customer buying patterns to purchasing athletic footwear, athletic apparel, and sporting goods via the Internet could have a material adverse effect on our business results. In addition, all of our significant vendors distribute products directly through the Internet and others may follow. Some vendors operate retail stores and some have indicated that further retail stores and venues will open. Should this continue to occur, and if our customers decide to purchase directly from our vendors, it could have a material adverse effect on our business, financial condition, and results of operations.</w:t>
      </w:r>
    </w:p>
    <w:p>
      <w:pPr>
        <w:spacing w:after="0" w:line="106" w:lineRule="exact"/>
        <w:rPr>
          <w:sz w:val="20"/>
          <w:szCs w:val="20"/>
          <w:color w:val="auto"/>
        </w:rPr>
      </w:pPr>
    </w:p>
    <w:p>
      <w:pPr>
        <w:jc w:val="both"/>
        <w:ind w:left="40" w:right="519"/>
        <w:spacing w:after="0" w:line="287" w:lineRule="auto"/>
        <w:rPr>
          <w:sz w:val="20"/>
          <w:szCs w:val="20"/>
          <w:color w:val="auto"/>
        </w:rPr>
      </w:pPr>
      <w:r>
        <w:rPr>
          <w:rFonts w:ascii="Arial" w:cs="Arial" w:eastAsia="Arial" w:hAnsi="Arial"/>
          <w:sz w:val="18"/>
          <w:szCs w:val="18"/>
          <w:b w:val="1"/>
          <w:bCs w:val="1"/>
          <w:color w:val="auto"/>
        </w:rPr>
        <w:t>The industry in which we operate is dependent upon fashion trends, customer preferences, product innovations, and other fashion-related factors.</w:t>
      </w:r>
    </w:p>
    <w:p>
      <w:pPr>
        <w:spacing w:after="0" w:line="67"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The athletic footwear and apparel industry is subject to changing fashion trends and customer preferences. In addition, retailers in the athletic industry rely on their vendors to maintain innovation in the products they develop. We cannot guarantee that our merchandise selection will accurately reflect customer preferences when it is offered for sale or that we will be able to identify and respond quickly to fashion changes, particularly given the long lead times for ordering much of our merchandise from vendors. A substantial portion of our highest margin sales are to young males (ages 12 – 25), many of whom we believe purchase athletic footwear and athletic and licensed apparel as a fashion statement and are frequent purchasers. Our failure to anticipate, identify or react appropriately in a timely manner to changes in fashion trends that would make athletic footwear or athletic and licensed apparel less attractive to these customers could have a material adverse effect on our business, financial condition, and results of operations.</w:t>
      </w:r>
    </w:p>
    <w:p>
      <w:pPr>
        <w:spacing w:after="0" w:line="200" w:lineRule="exact"/>
        <w:rPr>
          <w:sz w:val="20"/>
          <w:szCs w:val="20"/>
          <w:color w:val="auto"/>
        </w:rPr>
      </w:pPr>
    </w:p>
    <w:p>
      <w:pPr>
        <w:spacing w:after="0" w:line="36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96520</wp:posOffset>
            </wp:positionV>
            <wp:extent cx="6114415"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If we do not successfully manage our inventory levels, our operating results will be adversely affected.</w:t>
      </w:r>
    </w:p>
    <w:p>
      <w:pPr>
        <w:spacing w:after="0" w:line="139"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We must maintain sufficient inventory levels to operate our business successfully. However, we also must guard against accumulating excess inventory. For example, we order the bulk of our athletic footwear four to six months prior to delivery to our stores. If we fail to anticipate accurately either the market for the merchandise in our stores or our customers’ purchasing habits, we may be forced to rely on markdowns or promotional sales to dispose of excess or slow moving inventory, which could have a material adverse effect on our business, financial condition, and results of operations.</w:t>
      </w:r>
    </w:p>
    <w:p>
      <w:pPr>
        <w:spacing w:after="0" w:line="119" w:lineRule="exact"/>
        <w:rPr>
          <w:sz w:val="20"/>
          <w:szCs w:val="20"/>
          <w:color w:val="auto"/>
        </w:rPr>
      </w:pPr>
    </w:p>
    <w:p>
      <w:pPr>
        <w:jc w:val="both"/>
        <w:ind w:left="40" w:right="519"/>
        <w:spacing w:after="0" w:line="287" w:lineRule="auto"/>
        <w:rPr>
          <w:sz w:val="20"/>
          <w:szCs w:val="20"/>
          <w:color w:val="auto"/>
        </w:rPr>
      </w:pPr>
      <w:r>
        <w:rPr>
          <w:rFonts w:ascii="Arial" w:cs="Arial" w:eastAsia="Arial" w:hAnsi="Arial"/>
          <w:sz w:val="18"/>
          <w:szCs w:val="18"/>
          <w:b w:val="1"/>
          <w:bCs w:val="1"/>
          <w:color w:val="auto"/>
        </w:rPr>
        <w:t>A change in the relationship with any of our key vendors or the unavailability of our key products at competitive prices could affect our financial health.</w:t>
      </w:r>
    </w:p>
    <w:p>
      <w:pPr>
        <w:spacing w:after="0" w:line="67"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Our business is dependent to a significant degree upon our ability to obtain exclusive product and the ability to purchase brand-name merchandise at competitive prices from a limited number of vendors. In addition, our vendors provide volume discounts, cooperative advertising, and markdown allowances, as well as the ability to negotiate returns of excess or unneeded merchandise. We cannot be certain that such assistance from our vendors will continue in the future.</w:t>
      </w:r>
    </w:p>
    <w:p>
      <w:pPr>
        <w:spacing w:after="0" w:line="97"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The Company purchased approximately 88 percent of its merchandise in 2013 from its top five vendors and expects to continue to obtain a significant percentage of its athletic product from these vendors in future periods. Approximately 68 percent was purchased from one vendor — Nike, Inc. (“Nike”). Each of our operating divisions is highly dependent on Nike; they individually purchased 39 to 80 percent of their merchandise from Nike. Merchandise that is high profile and in high demand is allocated by our vendors based upon their internal criteria. Although we have generally been able to purchase sufficient quantities of this merchandise in the past, we cannot be certain that our vendors will continue to allocate sufficient amounts of such merchandise to us in the future. Our inability to obtain merchandise in a timely manner from major suppliers (particularly Nike) as a result of business decisions by our suppliers or any disruption in the supply chain could have a material adverse effect on our business, financial condition, and results of operations. Because of our strong dependence on Nike, any adverse development in Nike’s reputation, financial condition or results of operations or the inability of Nike to develop and manufacture products that appeal to our target customers could also have an adverse effect on our business, financial condition, and results of operations. We cannot be certain that we will be able to acquire merchandise at competitive prices or on competitive terms in the future. These risks could have a material adverse effect on our business, financial condition, and results of operations.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We depend on mall traffic and our ability to secure suitable store locations.</w:t>
      </w:r>
    </w:p>
    <w:p>
      <w:pPr>
        <w:spacing w:after="0" w:line="139"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Our stores are located primarily in enclosed regional and neighborhood malls. Our sales are dependent, in part, on the volume of mall traffic. Mall traffic may be adversely affected by, among other factors, economic downturns, the closing of anchor department stores and/or specialty stores, and a decline in the popularity of mall shopping among our target customers. Further, any terrorist act, natural disaster, or public health or safety concern that decreases the level of mall traffic, or that affects our ability to open and operate stores in affected areas, could have a material adverse effect on our business.</w:t>
      </w:r>
    </w:p>
    <w:p>
      <w:pPr>
        <w:spacing w:after="0" w:line="101"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To take advantage of customer traffic and the shopping preferences of our customers, we need to maintain or acquire stores in desirable locations such as in regional and neighborhood malls anchored by major department stores. We cannot be certain that desirable mall locations will continue to be available at favorable rates. Some traditional enclosed malls are experiencing significantly lower levels of customer traffic, driven by the overall poor economic conditions as well as the closure of certain mall anchor tenants.</w:t>
      </w:r>
    </w:p>
    <w:p>
      <w:pPr>
        <w:spacing w:after="0" w:line="97"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Several large landlords dominate the ownership of prime malls, particularly in the United States and Canada, and because of our dependence upon these landlords for a substantial number of our locations, any significant erosion of their financial condition or our relationships with these landlords would negatively affect our ability to obtain and retain store locations. Additionally, further landlord consolidation may negatively affect our ability to negotiate favorable lease terms.</w:t>
      </w:r>
    </w:p>
    <w:p>
      <w:pPr>
        <w:spacing w:after="0" w:line="200" w:lineRule="exact"/>
        <w:rPr>
          <w:sz w:val="20"/>
          <w:szCs w:val="20"/>
          <w:color w:val="auto"/>
        </w:rPr>
      </w:pPr>
    </w:p>
    <w:p>
      <w:pPr>
        <w:spacing w:after="0" w:line="34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96520</wp:posOffset>
            </wp:positionV>
            <wp:extent cx="6114415"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We may experience fluctuations in and cyclicality of our comparable-store sales results.</w:t>
      </w:r>
    </w:p>
    <w:p>
      <w:pPr>
        <w:spacing w:after="0" w:line="139" w:lineRule="exact"/>
        <w:rPr>
          <w:sz w:val="20"/>
          <w:szCs w:val="20"/>
          <w:color w:val="auto"/>
        </w:rPr>
      </w:pPr>
    </w:p>
    <w:p>
      <w:pPr>
        <w:jc w:val="both"/>
        <w:ind w:left="40" w:right="539"/>
        <w:spacing w:after="0" w:line="252" w:lineRule="auto"/>
        <w:rPr>
          <w:sz w:val="20"/>
          <w:szCs w:val="20"/>
          <w:color w:val="auto"/>
        </w:rPr>
      </w:pPr>
      <w:r>
        <w:rPr>
          <w:rFonts w:ascii="Arial" w:cs="Arial" w:eastAsia="Arial" w:hAnsi="Arial"/>
          <w:sz w:val="18"/>
          <w:szCs w:val="18"/>
          <w:color w:val="auto"/>
        </w:rPr>
        <w:t>Our comparable-store sales have fluctuated significantly in the past, on both an annual and a quarterly basis, and we expect them to continue to fluctuate in the future. A variety of factors affect our comparable-store sales results, including, among others, fashion trends, product innovation, the highly competitive retail sales environment, economic conditions, timing of promotional events, changes in our merchandise mix, calendar shifts of holiday periods, and weather conditions. Many of our products represent discretionary purchases. Accordingly, customer demand for these products could decline in a recession or if our customers develop other priorities for their discretionary spending. These risks could have a material adverse effect on our business, financial condition, and results of operations.</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operations may be adversely affected by economic or political conditions in other countries.</w:t>
      </w:r>
    </w:p>
    <w:p>
      <w:pPr>
        <w:spacing w:after="0" w:line="139"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A significant portion of our sales and operating income for 2013 was attributable to our operations in Europe, Canada, Australia, and New Zealand. As a result, our business is subject to the risks associated with doing business outside of the United States such as foreign customer preferences, political unrest, disruptions or delays in shipments, changes in economic conditions in countries in which we operate, foreign currency fluctuations, real estate costs, and labor and employment practices in non-U.S. jurisdictions that may differ significantly from those that prevail in the United States. In addition, because we and our suppliers have a substantial amount of our products manufactured in foreign countries, our ability to obtain sufficient quantities of merchandise on favorable terms may be affected by governmental regulations, trade restrictions, and economic, labor, and other conditions in the countries from which our suppliers obtain their product.</w:t>
      </w:r>
    </w:p>
    <w:p>
      <w:pPr>
        <w:spacing w:after="0" w:line="105" w:lineRule="exact"/>
        <w:rPr>
          <w:sz w:val="20"/>
          <w:szCs w:val="20"/>
          <w:color w:val="auto"/>
        </w:rPr>
      </w:pPr>
    </w:p>
    <w:p>
      <w:pPr>
        <w:jc w:val="both"/>
        <w:ind w:left="40" w:right="539"/>
        <w:spacing w:after="0" w:line="256" w:lineRule="auto"/>
        <w:rPr>
          <w:sz w:val="20"/>
          <w:szCs w:val="20"/>
          <w:color w:val="auto"/>
        </w:rPr>
      </w:pPr>
      <w:r>
        <w:rPr>
          <w:rFonts w:ascii="Arial" w:cs="Arial" w:eastAsia="Arial" w:hAnsi="Arial"/>
          <w:sz w:val="18"/>
          <w:szCs w:val="18"/>
          <w:color w:val="auto"/>
        </w:rPr>
        <w:t>Our products are subject to import and excise duties and/or sales or value-added taxes in many jurisdictions. Fluctuations in tax rates and duties and changes in tax legislation or regulation could have a material adverse effect on our results of operations and financial condition.</w:t>
      </w:r>
    </w:p>
    <w:p>
      <w:pPr>
        <w:spacing w:after="0" w:line="94"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Fluctuations in the value of the euro may affect the value of our European earnings when translated into U.S. dollars. Although we enter into foreign exchange forward contracts and option contracts to reduce the effect of foreign currency exchange rate fluctuations, our operations may be adversely affected by significant changes in the foreign currencies relative to the U.S. dollar.</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Macroeconomic developments may adversely affect our business.</w:t>
      </w:r>
    </w:p>
    <w:p>
      <w:pPr>
        <w:spacing w:after="0" w:line="139"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Our performance is subject to global economic conditions and the related impact on consumer spending levels. Continued uncertainty about global economic conditions poses a risk as consumers and businesses postpone spending in response to tighter credit, unemployment, negative financial news, and/or declines in income or asset values, which could have a material negative effect on demand for our products.</w:t>
      </w:r>
    </w:p>
    <w:p>
      <w:pPr>
        <w:spacing w:after="0" w:line="96"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As a retailer that is dependent upon consumer discretionary spending, our results of operations are sensitive to changes in macroeconomic conditions. Our customers may have less money for discretionary purchases as a result of job losses, foreclosures, bankruptcies, increased fuel and energy costs, higher interest rates, higher taxes, reduced access to credit, and lower home prices. There is also a risk that if negative economic conditions persist for a long period of time or worsen, consumers may make long-lasting reductions to their discretionary purchasing behavior. These and other economic factors could adversely affect demand for our products and services and our financial condition and operating results.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Instability in the financial markets may adversely affect our business.</w:t>
      </w:r>
    </w:p>
    <w:p>
      <w:pPr>
        <w:spacing w:after="0" w:line="139"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Past disruptions in the U.S. and global credit and equity markets made it difficult for many businesses to obtain financing on acceptable terms. Although we currently have a revolving credit agreement in place until January 27, 2017, and other than amounts used for standby letters of credit, do not have any borrowings under it, tightening of credit markets could make it more difficult for us to access funds, refinance our existing indebtedness, enter into agreements for new indebtedness or obtain funding through the issuance of the Company’s securities. Additionally, our borrowing costs can be affected by independent rating agencies’ ratings, which are based largely on our performance as measured by credit metrics, including lease-adjusted leverage ratios.</w:t>
      </w:r>
    </w:p>
    <w:p>
      <w:pPr>
        <w:spacing w:after="0" w:line="200" w:lineRule="exact"/>
        <w:rPr>
          <w:sz w:val="20"/>
          <w:szCs w:val="20"/>
          <w:color w:val="auto"/>
        </w:rPr>
      </w:pPr>
    </w:p>
    <w:p>
      <w:pPr>
        <w:spacing w:after="0" w:line="35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96520</wp:posOffset>
            </wp:positionV>
            <wp:extent cx="6114415"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We rely on a few key vendors for a majority of our merchandise purchases (including a significant portion from one key vendor). The inability of key suppliers to access liquidity, or the insolvency of key suppliers, could lead to their failure to deliver merchandise to us. Our inability to obtain merchandise in a timely manner from major suppliers could have a material adverse effect on our business, financial condition, and results of operations.</w:t>
      </w:r>
    </w:p>
    <w:p>
      <w:pPr>
        <w:spacing w:after="0" w:line="101" w:lineRule="exact"/>
        <w:rPr>
          <w:sz w:val="20"/>
          <w:szCs w:val="20"/>
          <w:color w:val="auto"/>
        </w:rPr>
      </w:pPr>
    </w:p>
    <w:p>
      <w:pPr>
        <w:jc w:val="both"/>
        <w:ind w:left="40" w:right="539"/>
        <w:spacing w:after="0" w:line="287" w:lineRule="auto"/>
        <w:rPr>
          <w:sz w:val="20"/>
          <w:szCs w:val="20"/>
          <w:color w:val="auto"/>
        </w:rPr>
      </w:pPr>
      <w:r>
        <w:rPr>
          <w:rFonts w:ascii="Arial" w:cs="Arial" w:eastAsia="Arial" w:hAnsi="Arial"/>
          <w:sz w:val="18"/>
          <w:szCs w:val="18"/>
          <w:b w:val="1"/>
          <w:bCs w:val="1"/>
          <w:color w:val="auto"/>
        </w:rPr>
        <w:t>Material changes in the market value of the securities we hold may adversely affect our results of operations and financial condition.</w:t>
      </w:r>
    </w:p>
    <w:p>
      <w:pPr>
        <w:spacing w:after="0" w:line="67"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At February 1, 2014, our cash, cash equivalents, and short-term investments totaled $867 million. The majority of our investments were short-term deposits in highly-rated banking institutions. As of February 1, 2014, we had $426 million of cash and cash equivalents held in foreign jurisdictions. We regularly monitor our counterparty credit risk and mitigate our exposure by making short-term investments only in highly-rated institutions and by limiting the amount we invest in any one institution. We continually monitor the creditworthiness of our counterparties. At February 1, 2014, almost all of the investments were in institutions rated A or better from a major credit rating agency. Despite those ratings, it is possible that the value or liquidity of our investments may decline due to any number of factors, including general market conditions and bank-specific credit issues.</w:t>
      </w:r>
    </w:p>
    <w:p>
      <w:pPr>
        <w:spacing w:after="0" w:line="98"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Our U.S. pension plan trust holds assets totaling $575 million at February 1, 2014. The fair values of these assets held in the trust are compared to the plan’s projected benefit obligation to determine the pension funding liability. We attempt to mitigate funding risk through asset diversification, and we regularly monitor investment risk of our portfolio through quarterly investment portfolio reviews and periodic asset and liability studies. Despite these measures, it is possible that the value of our portfolio may decline in the future due to any number of factors, including general market conditions and credit issues. Such declines could have an impact on the funded status of our pension plans and future funding requirements.</w:t>
      </w:r>
    </w:p>
    <w:p>
      <w:pPr>
        <w:spacing w:after="0" w:line="118" w:lineRule="exact"/>
        <w:rPr>
          <w:sz w:val="20"/>
          <w:szCs w:val="20"/>
          <w:color w:val="auto"/>
        </w:rPr>
      </w:pPr>
    </w:p>
    <w:p>
      <w:pPr>
        <w:jc w:val="both"/>
        <w:ind w:left="40" w:right="519"/>
        <w:spacing w:after="0" w:line="287" w:lineRule="auto"/>
        <w:rPr>
          <w:sz w:val="20"/>
          <w:szCs w:val="20"/>
          <w:color w:val="auto"/>
        </w:rPr>
      </w:pPr>
      <w:r>
        <w:rPr>
          <w:rFonts w:ascii="Arial" w:cs="Arial" w:eastAsia="Arial" w:hAnsi="Arial"/>
          <w:sz w:val="18"/>
          <w:szCs w:val="18"/>
          <w:b w:val="1"/>
          <w:bCs w:val="1"/>
          <w:color w:val="auto"/>
        </w:rPr>
        <w:t>If our long-lived assets, goodwill or other intangible assets become impaired, we may need to record significant non-cash impairment charges.</w:t>
      </w:r>
    </w:p>
    <w:p>
      <w:pPr>
        <w:spacing w:after="0" w:line="67"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We review our long-lived assets, goodwill and other intangible assets when events indicate that the carrying value of such assets may be impaired. Goodwill and other indefinite lived intangible assets are reviewed for impairment if impairment indicators arise and, at a minimum, annually. As of February 1, 2014, we have $163 million of goodwill; this asset is not amortized but is subject to an impairment test, which consists of either a qualitative assessment on a reporting unit level, or a two-step impairment test, if necessary. The determination of impairment losses are significantly affected by estimates of future operating cash flows and estimates of fair value. Our estimates of future operating cash flows are identified from our strategic long-range plans, which are based upon our experience, knowledge, and expectations; however, these estimates can be affected by such factors as our future operating results, future store profitability, and future economic conditions, all of which can be difficult to predict accurately. Any significant deterioration in macroeconomic conditions could affect the fair value of our long-lived assets, goodwill and other intangible assets and could result in future impairment charges, which would adversely affect our results of operations.</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financial results may be adversely affected by tax rates or exposure to additional tax liabilities.</w:t>
      </w:r>
    </w:p>
    <w:p>
      <w:pPr>
        <w:spacing w:after="0" w:line="139"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provision for income taxes is based on a jurisdictional mix of earnings, statutory rates, and enacted tax rules, including transfer pricing. Significant judgment is required in determining our provision for income taxes and in evaluating our tax positions on a worldwide basis. Our effective tax rate could be adversely affected by a number of factors, including shifts in the mix of pretax results by tax jurisdiction, changes in tax laws or related interpretations in the jurisdictions in which we operate, and tax assessments and related interest and penalties resulting from income tax audits.</w:t>
      </w:r>
    </w:p>
    <w:p>
      <w:pPr>
        <w:spacing w:after="0" w:line="101" w:lineRule="exact"/>
        <w:rPr>
          <w:sz w:val="20"/>
          <w:szCs w:val="20"/>
          <w:color w:val="auto"/>
        </w:rPr>
      </w:pPr>
    </w:p>
    <w:p>
      <w:pPr>
        <w:jc w:val="both"/>
        <w:ind w:left="40" w:right="539"/>
        <w:spacing w:after="0" w:line="252" w:lineRule="auto"/>
        <w:rPr>
          <w:sz w:val="20"/>
          <w:szCs w:val="20"/>
          <w:color w:val="auto"/>
        </w:rPr>
      </w:pPr>
      <w:r>
        <w:rPr>
          <w:rFonts w:ascii="Arial" w:cs="Arial" w:eastAsia="Arial" w:hAnsi="Arial"/>
          <w:sz w:val="18"/>
          <w:szCs w:val="18"/>
          <w:color w:val="auto"/>
        </w:rPr>
        <w:t>A substantial portion of our cash and investments is invested outside of the U.S. As we plan to permanently reinvest our foreign earnings outside the U.S., in accordance with U.S. GAAP, we have not provided for U.S. federal and state income taxes or foreign withholding taxes that may result from future remittances of undistributed earnings of foreign subsidiaries. Recent proposals to reform U.S. tax rules may result in a reduction or elimination of the deferral of U.S. income tax on our foreign earnings, which could adversely affect our effective tax rate. Any of these changes could have an adverse effect on our results of operations and financial condition.</w:t>
      </w:r>
    </w:p>
    <w:p>
      <w:pPr>
        <w:spacing w:after="0" w:line="200" w:lineRule="exact"/>
        <w:rPr>
          <w:sz w:val="20"/>
          <w:szCs w:val="20"/>
          <w:color w:val="auto"/>
        </w:rPr>
      </w:pPr>
    </w:p>
    <w:p>
      <w:pPr>
        <w:spacing w:after="0" w:line="34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96520</wp:posOffset>
            </wp:positionV>
            <wp:extent cx="6114415"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both"/>
        <w:ind w:left="40" w:right="539"/>
        <w:spacing w:after="0" w:line="287" w:lineRule="auto"/>
        <w:rPr>
          <w:sz w:val="20"/>
          <w:szCs w:val="20"/>
          <w:color w:val="auto"/>
        </w:rPr>
      </w:pPr>
      <w:r>
        <w:rPr>
          <w:rFonts w:ascii="Arial" w:cs="Arial" w:eastAsia="Arial" w:hAnsi="Arial"/>
          <w:sz w:val="18"/>
          <w:szCs w:val="18"/>
          <w:b w:val="1"/>
          <w:bCs w:val="1"/>
          <w:color w:val="auto"/>
        </w:rPr>
        <w:t>The effects of natural disasters, terrorism, acts of war, and public health issues may adversely affect our business.</w:t>
      </w:r>
    </w:p>
    <w:p>
      <w:pPr>
        <w:spacing w:after="0" w:line="67"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Natural disasters, including earthquakes, hurricanes, floods, and tornados may affect store and distribution center operations. In addition, acts of terrorism, acts of war, and military action both in the United States and abroad can have a significant effect on economic conditions and may negatively affect our ability to purchase merchandise from vendors for sale to our customers. Public health issues, such as flu or other pandemics, whether occurring in the United States or abroad, could disrupt our operations and result in a significant part of our workforce being unable to operate or maintain our infrastructure or perform other tasks necessary to conduct our business. Additionally, public health issues may disrupt the operations of our suppliers, our operations, our customers, or have an adverse effect on customer demand. Our ability to mitigate the adverse impact of these events depends, in part, upon the effectiveness of our disaster preparedness and response planning as well as business continuity planning. However, we cannot be certain that our plans will be adequate or implemented properly in the event of an actual disaster. We may be required to suspend operations in some or all of our locations, which could have a material adverse effect on our business, financial condition, and results of operations. Any significant declines in public safety or uncertainties regarding future economic prospects that affect customer spending habits could have a material adverse effect on customer purchases of our products.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Manufacturer compliance with our social compliance program requirements.</w:t>
      </w:r>
    </w:p>
    <w:p>
      <w:pPr>
        <w:spacing w:after="0" w:line="139"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We require our independent manufacturers to comply with our policies and procedures, which cover many areas including labor, health and safety, and environmental standards. We monitor compliance with our policies and procedures using internal resources, as well as third-party monitoring firms. Although we monitor their compliance with these policies and procedures, we do not control the manufacturers or their practices. Any failure of our independent manufacturers to comply with our policies and procedures or local laws in the country of manufacture could disrupt the shipment of merchandise to us, force us to locate alternate manufacturing sources, reduce demand for our merchandise, or damage our reputation.</w:t>
      </w:r>
    </w:p>
    <w:p>
      <w:pPr>
        <w:spacing w:after="0" w:line="118" w:lineRule="exact"/>
        <w:rPr>
          <w:sz w:val="20"/>
          <w:szCs w:val="20"/>
          <w:color w:val="auto"/>
        </w:rPr>
      </w:pPr>
    </w:p>
    <w:p>
      <w:pPr>
        <w:jc w:val="both"/>
        <w:ind w:left="40" w:right="519"/>
        <w:spacing w:after="0" w:line="287" w:lineRule="auto"/>
        <w:rPr>
          <w:sz w:val="20"/>
          <w:szCs w:val="20"/>
          <w:color w:val="auto"/>
        </w:rPr>
      </w:pPr>
      <w:r>
        <w:rPr>
          <w:rFonts w:ascii="Arial" w:cs="Arial" w:eastAsia="Arial" w:hAnsi="Arial"/>
          <w:sz w:val="18"/>
          <w:szCs w:val="18"/>
          <w:b w:val="1"/>
          <w:bCs w:val="1"/>
          <w:color w:val="auto"/>
        </w:rPr>
        <w:t>Complications in our distribution centers and other factors affecting the distribution of merchandise may affect our business.</w:t>
      </w:r>
    </w:p>
    <w:p>
      <w:pPr>
        <w:spacing w:after="0" w:line="67"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We operate six distribution centers worldwide to support our businesses. In addition to the distribution centers that we operate, we have third-party arrangements to support our operations in the U.S., Canada, Australia, and New Zealand. If complications arise with any facility or any facility is severely damaged or destroyed, our other distribution centers may not be able to support the resulting additional distribution demands. This may adversely affect our ability to deliver inventory on a timely basis. We depend upon third-party carriers for shipment of a significant amount of merchandise. An interruption in service by these carriers for any reason could cause temporary disruptions in our business, a loss of sales and profits, and other material adverse effects.</w:t>
      </w:r>
    </w:p>
    <w:p>
      <w:pPr>
        <w:spacing w:after="0" w:line="99" w:lineRule="exact"/>
        <w:rPr>
          <w:sz w:val="20"/>
          <w:szCs w:val="20"/>
          <w:color w:val="auto"/>
        </w:rPr>
      </w:pPr>
    </w:p>
    <w:p>
      <w:pPr>
        <w:jc w:val="both"/>
        <w:ind w:left="40" w:right="519"/>
        <w:spacing w:after="0" w:line="256" w:lineRule="auto"/>
        <w:rPr>
          <w:sz w:val="20"/>
          <w:szCs w:val="20"/>
          <w:color w:val="auto"/>
        </w:rPr>
      </w:pPr>
      <w:r>
        <w:rPr>
          <w:rFonts w:ascii="Arial" w:cs="Arial" w:eastAsia="Arial" w:hAnsi="Arial"/>
          <w:sz w:val="18"/>
          <w:szCs w:val="18"/>
          <w:color w:val="auto"/>
        </w:rPr>
        <w:t>Our freight cost is affected by changes in fuel prices through surcharges. Increases in fuel prices and surcharges and other factors may increase freight costs and thereby increase our cost of sales. We enter into diesel fuel forward and option contracts to mitigate a portion of the risk associated with the variability caused by these surcharges.</w:t>
      </w:r>
    </w:p>
    <w:p>
      <w:pPr>
        <w:spacing w:after="0" w:line="99" w:lineRule="exact"/>
        <w:rPr>
          <w:sz w:val="20"/>
          <w:szCs w:val="20"/>
          <w:color w:val="auto"/>
        </w:rPr>
      </w:pPr>
    </w:p>
    <w:p>
      <w:pPr>
        <w:jc w:val="both"/>
        <w:ind w:left="40" w:right="519"/>
        <w:spacing w:after="0" w:line="269" w:lineRule="auto"/>
        <w:rPr>
          <w:sz w:val="20"/>
          <w:szCs w:val="20"/>
          <w:color w:val="auto"/>
        </w:rPr>
      </w:pPr>
      <w:r>
        <w:rPr>
          <w:rFonts w:ascii="Arial" w:cs="Arial" w:eastAsia="Arial" w:hAnsi="Arial"/>
          <w:sz w:val="18"/>
          <w:szCs w:val="18"/>
          <w:b w:val="1"/>
          <w:bCs w:val="1"/>
          <w:color w:val="auto"/>
        </w:rPr>
        <w:t>Disruptions, failures or security breaches of our information technology infrastructure or unauthorized disclosure of sensitive or confidential customer information could harm our business and standing with our customers.</w:t>
      </w:r>
    </w:p>
    <w:p>
      <w:pPr>
        <w:spacing w:after="0" w:line="82"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Information technology is a critically important part of our business operations. We depend on information systems to process transactions, manage inventory, operate our websites, purchase, sell and ship goods on a timely basis, and maintain cost-efficient operations. There is a risk that we could experience a business interruption, theft of information, or reputational damage as a result of a cyber-attack, such as an infiltration of a data center, or data leakage of confidential information either internally or at our third-party providers. We may experience operational problems with our information systems as a result of system failures, system implementation issues, viruses, malicious hackers, sabotage, or other causes.</w:t>
      </w:r>
    </w:p>
    <w:p>
      <w:pPr>
        <w:spacing w:after="0" w:line="200" w:lineRule="exact"/>
        <w:rPr>
          <w:sz w:val="20"/>
          <w:szCs w:val="20"/>
          <w:color w:val="auto"/>
        </w:rPr>
      </w:pPr>
    </w:p>
    <w:p>
      <w:pPr>
        <w:spacing w:after="0" w:line="35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96520</wp:posOffset>
            </wp:positionV>
            <wp:extent cx="6114415"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Our business involves the storage and transmission of customers’ personal information, such as consumer preferences and credit card information. We invest in security technology to protect the Company’s data and business processes against the risk of data security breaches and cyber-attacks. Our data security management program includes enforcement of standard data protection policies such as Payment Card Industry compliance. Additionally, we certify our major technology suppliers and any outsourced services through accepted security certification measures. We maintain and routinely test backup systems and disaster recovery, along with external network security penetration testing by an independent third party as part of our business continuity preparedness.</w:t>
      </w:r>
    </w:p>
    <w:p>
      <w:pPr>
        <w:spacing w:after="0" w:line="99"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While we believe that our security technology and processes are adequate in preventing security breaches and in reducing cyber security risks, given the ever-increasing abilities of those intent on breaching cyber security measures and given our reliance on the security and other efforts of third-party vendors, the total security effort at any point in time may not be completely effective, and any such security breaches and cyber incidents could adversely affect our business. Failure of our systems, including failures due to cyber-attacks that would prevent the ability of systems to function as intended, could cause transaction errors, loss of customers and sales, and could have negative consequences to us, our employees, and those with whom we do business. Any security breach involving the misappropriation, loss, or other unauthorized disclosure of confidential information by us could also severely damage our reputation, expose us to the risks of litigation and liability, and harm our business. While we carry insurance that would mitigate the losses to an extent, such insurance may be insufficient to compensate us for potentially significant losses.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associated with digital operations.</w:t>
      </w:r>
    </w:p>
    <w:p>
      <w:pPr>
        <w:spacing w:after="0" w:line="139"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Our digital operations are subject to numerous risks, including risks related to the failure of the computer systems that operate our websites and mobile sites and their related support systems, computer viruses, telecommunications failures, and similar disruptions. Also, we may require additional capital in the future to sustain or grow our digital commerce. Business risks related to digital commerce include risks associated with the need to keep pace with rapid technological change, Internet security risks, risks of system failure or inadequacy, governmental regulation, legal uncertainties with respect to the Internet, and collection of sales or other taxes by additional states or foreign jurisdictions. If any of these risks materializes, it could have a material adverse effect on our business.</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reliance on key management.</w:t>
      </w:r>
    </w:p>
    <w:p>
      <w:pPr>
        <w:spacing w:after="0" w:line="139"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Future performance will depend upon our ability to attract, retain, and motivate our executive and senior management team. Our executives and senior management team have substantial experience and expertise in our business and have made significant contributions to our growth and success. Our success depends to a significant extent both upon the continued services of our current executive and senior management team, as well as our ability to attract, hire, motivate, and retain additional qualified management in the future. While we feel that we have adequate succession planning and executive development programs, competition for key executives in the retail industry is intense, and our operations could be adversely affected if we cannot retain and attract qualified executives.</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associated with attracting and retaining store and field associates.</w:t>
      </w:r>
    </w:p>
    <w:p>
      <w:pPr>
        <w:spacing w:after="0" w:line="139"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Many of the store and field associates are in entry level or part-time positions with historically high rates of turnover. If we are unable to attract and retain quality associates, our ability to meet our growth goals or to sustain expected levels of profitability may be compromised. Our ability to meet our labor needs while controlling costs is subject to external factors such as unemployment levels, prevailing wage rates, minimum wage legislation, overtime regulations, and changing demographics. In addition, a large number of our retail employees are paid the prevailing minimum wage which, if increased, would negatively affect our profitability.</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We face risks arising from recent activity by the National Labor Relations Board in the United States.</w:t>
      </w:r>
    </w:p>
    <w:p>
      <w:pPr>
        <w:spacing w:after="0" w:line="139"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The National Labor Relations Board continually considers changes to labor regulations, many of which could significantly affect the nature of labor relations in the U.S. and how union elections and contract negotiations are conducted. In 2011, the National Labor Relations Board’s definition of a bargaining unit changed, making it possible for smaller groups of employees to organize labor unions.</w:t>
      </w:r>
    </w:p>
    <w:p>
      <w:pPr>
        <w:spacing w:after="0" w:line="200" w:lineRule="exact"/>
        <w:rPr>
          <w:sz w:val="20"/>
          <w:szCs w:val="20"/>
          <w:color w:val="auto"/>
        </w:rPr>
      </w:pPr>
    </w:p>
    <w:p>
      <w:pPr>
        <w:spacing w:after="0" w:line="35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96520</wp:posOffset>
            </wp:positionV>
            <wp:extent cx="6114415"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jc w:val="both"/>
        <w:ind w:left="40" w:right="539"/>
        <w:spacing w:after="0" w:line="254" w:lineRule="auto"/>
        <w:rPr>
          <w:sz w:val="20"/>
          <w:szCs w:val="20"/>
          <w:color w:val="auto"/>
        </w:rPr>
      </w:pPr>
      <w:r>
        <w:rPr>
          <w:rFonts w:ascii="Arial" w:cs="Arial" w:eastAsia="Arial" w:hAnsi="Arial"/>
          <w:sz w:val="18"/>
          <w:szCs w:val="18"/>
          <w:color w:val="auto"/>
        </w:rPr>
        <w:t>Furthermore, recent proposed regulations may streamline the election process, shortening the time between the filing of a petition and an election being held. These regulations and recent decisions could impose more labor relations requirements and union activity on our business conducted in the United States, thereby potentially increasing our costs, which could negatively affect our profitability.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Health care reform could adversely affect our business.</w:t>
      </w:r>
    </w:p>
    <w:p>
      <w:pPr>
        <w:spacing w:after="0" w:line="139"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In 2010, Congress enacted comprehensive health care reform legislation which, among other things, includes guaranteed coverage requirements, eliminates pre-existing condition exclusions and annual and lifetime maximum limits, restricts the extent to which policies can be rescinded, and imposes new and significant taxes on health insurers and health care benefits. Due to the breadth and complexity of the health reform legislation and the large number of eligible employees who currently choose not to participate in our plans, it is difficult to predict the overall effect of the statute and related regulations on our business over the coming years. Due to the health care law changes some eligible employees who had historically not chosen to participate in our health care plans have found it more advantageous to participate in our plans effective January 1, 2014. Such changes include tax penalties to persons for not obtaining healthcare coverage and being ineligible for certain health care subsidies if an employee is eligible for health care coverage under an employer’s plan. If a larger number of current eligible employees, who currently choose not to participate in our plans, choose to enroll over the next few years it may significantly increase our health care coverage costs and negatively affect our financial results.</w:t>
      </w:r>
    </w:p>
    <w:p>
      <w:pPr>
        <w:spacing w:after="0" w:line="122" w:lineRule="exact"/>
        <w:rPr>
          <w:sz w:val="20"/>
          <w:szCs w:val="20"/>
          <w:color w:val="auto"/>
        </w:rPr>
      </w:pPr>
    </w:p>
    <w:p>
      <w:pPr>
        <w:jc w:val="both"/>
        <w:ind w:left="40" w:right="519"/>
        <w:spacing w:after="0" w:line="287" w:lineRule="auto"/>
        <w:rPr>
          <w:sz w:val="20"/>
          <w:szCs w:val="20"/>
          <w:color w:val="auto"/>
        </w:rPr>
      </w:pPr>
      <w:r>
        <w:rPr>
          <w:rFonts w:ascii="Arial" w:cs="Arial" w:eastAsia="Arial" w:hAnsi="Arial"/>
          <w:sz w:val="18"/>
          <w:szCs w:val="18"/>
          <w:b w:val="1"/>
          <w:bCs w:val="1"/>
          <w:color w:val="auto"/>
        </w:rPr>
        <w:t>Legislative or regulatory initiatives related to global warming/climate change concerns may negatively affect our business.</w:t>
      </w:r>
    </w:p>
    <w:p>
      <w:pPr>
        <w:spacing w:after="0" w:line="67"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There has been an increasing focus and significant debate on global climate change recently, including increased attention from regulatory agencies and legislative bodies. This increased focus may lead to new initiatives directed at regulating an as-yet unspecified array of environmental matters. Legislative, regulatory, or other efforts in the United States to combat climate change could result in future increases in taxes or in the cost of transportation and utilities, which could decrease our operating profits and could necessitate future additional investments in facilities and equipment. We are unable to predict the potential effects that any such future environmental initiatives may have on our business.</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We may be adversely affected by regulatory and litigation developments.</w:t>
      </w:r>
    </w:p>
    <w:p>
      <w:pPr>
        <w:spacing w:after="0" w:line="139"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We are exposed to the risk that federal or state legislation may negatively impact our operations. Changes in federal or state wage requirements, employee rights, health care, social welfare or entitlement programs such as health insurance, paid leave programs, or other changes in workplace regulation could increase our cost of doing business or otherwise adversely affect our operations. Additionally, we are regularly involved in various litigation matters, including class actions and patent infringement claims, which arise in the ordinary course of our business. Litigation or regulatory developments could adversely affect our business operations and financial performance.</w:t>
      </w:r>
    </w:p>
    <w:p>
      <w:pPr>
        <w:spacing w:after="0" w:line="106" w:lineRule="exact"/>
        <w:rPr>
          <w:sz w:val="20"/>
          <w:szCs w:val="20"/>
          <w:color w:val="auto"/>
        </w:rPr>
      </w:pPr>
    </w:p>
    <w:p>
      <w:pPr>
        <w:jc w:val="both"/>
        <w:ind w:left="40" w:right="539"/>
        <w:spacing w:after="0" w:line="287" w:lineRule="auto"/>
        <w:rPr>
          <w:sz w:val="20"/>
          <w:szCs w:val="20"/>
          <w:color w:val="auto"/>
        </w:rPr>
      </w:pPr>
      <w:r>
        <w:rPr>
          <w:rFonts w:ascii="Arial" w:cs="Arial" w:eastAsia="Arial" w:hAnsi="Arial"/>
          <w:sz w:val="18"/>
          <w:szCs w:val="18"/>
          <w:b w:val="1"/>
          <w:bCs w:val="1"/>
          <w:color w:val="auto"/>
        </w:rPr>
        <w:t>We operate in many different jurisdictions and we could be adversely affected by violations of the U.S. Foreign Corrupt Practices Act and similar worldwide anti-corruption laws.</w:t>
      </w:r>
    </w:p>
    <w:p>
      <w:pPr>
        <w:spacing w:after="0" w:line="67"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The U.S. Foreign Corrupt Practices Act (“FCPA”) and similar worldwide anti-corruption laws, including the U.K. Bribery Act of 2010, which is broader in scope than the FCPA, generally prohibit companies and their intermediaries from making improper payments to non-U.S. officials for the purpose of obtaining or retaining business. Our internal policies mandate compliance with these anti-corruption laws. Despite our training and compliance programs, we cannot be assured that our internal control policies and procedures will always protect us from reckless or criminal acts committed by our employees or agents.</w:t>
      </w:r>
    </w:p>
    <w:p>
      <w:pPr>
        <w:spacing w:after="0" w:line="101" w:lineRule="exact"/>
        <w:rPr>
          <w:sz w:val="20"/>
          <w:szCs w:val="20"/>
          <w:color w:val="auto"/>
        </w:rPr>
      </w:pPr>
    </w:p>
    <w:p>
      <w:pPr>
        <w:jc w:val="both"/>
        <w:ind w:left="40" w:right="519"/>
        <w:spacing w:after="0" w:line="256" w:lineRule="auto"/>
        <w:rPr>
          <w:sz w:val="20"/>
          <w:szCs w:val="20"/>
          <w:color w:val="auto"/>
        </w:rPr>
      </w:pPr>
      <w:r>
        <w:rPr>
          <w:rFonts w:ascii="Arial" w:cs="Arial" w:eastAsia="Arial" w:hAnsi="Arial"/>
          <w:sz w:val="18"/>
          <w:szCs w:val="18"/>
          <w:color w:val="auto"/>
        </w:rPr>
        <w:t>Our continued expansion outside the U.S., including in developing countries, could increase the risk of such violations in the future. Violations of these laws, or allegations of such violations, could disrupt our business and result in a material adverse effect on our results of operations or financial condition.</w:t>
      </w:r>
    </w:p>
    <w:p>
      <w:pPr>
        <w:spacing w:after="0" w:line="200" w:lineRule="exact"/>
        <w:rPr>
          <w:sz w:val="20"/>
          <w:szCs w:val="20"/>
          <w:color w:val="auto"/>
        </w:rPr>
      </w:pPr>
    </w:p>
    <w:p>
      <w:pPr>
        <w:spacing w:after="0" w:line="35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96520</wp:posOffset>
            </wp:positionV>
            <wp:extent cx="6114415"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both"/>
        <w:ind w:left="40" w:right="539"/>
        <w:spacing w:after="0" w:line="287" w:lineRule="auto"/>
        <w:rPr>
          <w:sz w:val="20"/>
          <w:szCs w:val="20"/>
          <w:color w:val="auto"/>
        </w:rPr>
      </w:pPr>
      <w:r>
        <w:rPr>
          <w:rFonts w:ascii="Arial" w:cs="Arial" w:eastAsia="Arial" w:hAnsi="Arial"/>
          <w:sz w:val="18"/>
          <w:szCs w:val="18"/>
          <w:b w:val="1"/>
          <w:bCs w:val="1"/>
          <w:color w:val="auto"/>
        </w:rPr>
        <w:t>Failure to fully comply with Section 404 of the Sarbanes-Oxley Act of 2002 could negatively affect our business, the price of our common stock and market confidence in our reported financial information.</w:t>
      </w:r>
    </w:p>
    <w:p>
      <w:pPr>
        <w:spacing w:after="0" w:line="67"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We continue to document, test, and monitor our internal controls over financial reporting in order to satisfy all of the requirements of Section 404 of the Sarbanes-Oxley Act of 2002; however we cannot be assured that our disclosure controls and procedures and our internal controls over financial reporting will prove to be completely adequate in the future. Failure to fully comply with Section 404 of the Sarbanes-Oxley Act of 2002 could negatively affect our business, the price of our common stock, and market confidence in our reported financial information.</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 associated with our recent acquisition.</w:t>
      </w:r>
    </w:p>
    <w:p>
      <w:pPr>
        <w:spacing w:after="0" w:line="139" w:lineRule="exact"/>
        <w:rPr>
          <w:sz w:val="20"/>
          <w:szCs w:val="20"/>
          <w:color w:val="auto"/>
        </w:rPr>
      </w:pPr>
    </w:p>
    <w:p>
      <w:pPr>
        <w:jc w:val="both"/>
        <w:ind w:left="40" w:right="519"/>
        <w:spacing w:after="0" w:line="256" w:lineRule="auto"/>
        <w:rPr>
          <w:sz w:val="20"/>
          <w:szCs w:val="20"/>
          <w:color w:val="auto"/>
        </w:rPr>
      </w:pPr>
      <w:r>
        <w:rPr>
          <w:rFonts w:ascii="Arial" w:cs="Arial" w:eastAsia="Arial" w:hAnsi="Arial"/>
          <w:sz w:val="18"/>
          <w:szCs w:val="18"/>
          <w:color w:val="auto"/>
        </w:rPr>
        <w:t>During the second quarter of 2013, the Company acquired Runners Point Group, a specialty athletic store and online retailer based in Recklinghausen, Germany. The acquisition of Runners Point Group involves a number of risks, which could significantly and adversely affect our business, financial condition, and results of operations, including:</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failure of Runners Point Group to achieve the results that we expect;</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diversion of management’s attention from operational matters;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difficulties integrating the operations and personnel;</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potential difficulties associated with the retention of key personnel; and</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increased business concentration in Germany.</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Item 1B. Unresolved Staff Comments</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None.</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Item 2. Properties</w:t>
      </w:r>
    </w:p>
    <w:p>
      <w:pPr>
        <w:spacing w:after="0" w:line="139" w:lineRule="exact"/>
        <w:rPr>
          <w:sz w:val="20"/>
          <w:szCs w:val="20"/>
          <w:color w:val="auto"/>
        </w:rPr>
      </w:pPr>
    </w:p>
    <w:p>
      <w:pPr>
        <w:jc w:val="both"/>
        <w:ind w:left="40" w:right="539"/>
        <w:spacing w:after="0" w:line="254" w:lineRule="auto"/>
        <w:rPr>
          <w:sz w:val="20"/>
          <w:szCs w:val="20"/>
          <w:color w:val="auto"/>
        </w:rPr>
      </w:pPr>
      <w:r>
        <w:rPr>
          <w:rFonts w:ascii="Arial" w:cs="Arial" w:eastAsia="Arial" w:hAnsi="Arial"/>
          <w:sz w:val="18"/>
          <w:szCs w:val="18"/>
          <w:color w:val="auto"/>
        </w:rPr>
        <w:t>The properties of the Company and its consolidated subsidiaries consist of land, leased stores, administrative facilities, and distribution centers. Gross square footage and total selling area for the Athletic Stores segment at the end of 2013 were approximately 12.71 and 7.47 million square feet, respectively. These properties, which are primarily leased, are located in the United States, Canada, various European countries, Australia, and New Zealand.</w:t>
      </w:r>
    </w:p>
    <w:p>
      <w:pPr>
        <w:spacing w:after="0" w:line="96"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The Company currently operates six distribution centers, of which three are owned and three are leased, occupying an aggregate of 2.6 million square feet. Three distribution centers are located in the United States, two in Germany, and one in the Netherlands. The two locations in Germany relate to the central warehouse distribution center for the Runners Point Group store locations as well as the distribution center for its direct-to-customer business. We also own a cross-dock facility and operate a leased manufacturing facility in the U.S., both of which we operate in support of our Team Edition apparel business.</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Item 3. Legal Proceedings</w:t>
      </w:r>
    </w:p>
    <w:p>
      <w:pPr>
        <w:spacing w:after="0" w:line="121" w:lineRule="exact"/>
        <w:rPr>
          <w:sz w:val="20"/>
          <w:szCs w:val="20"/>
          <w:color w:val="auto"/>
        </w:rPr>
      </w:pPr>
    </w:p>
    <w:p>
      <w:pPr>
        <w:jc w:val="both"/>
        <w:ind w:left="40" w:right="519"/>
        <w:spacing w:after="0" w:line="282" w:lineRule="auto"/>
        <w:rPr>
          <w:sz w:val="20"/>
          <w:szCs w:val="20"/>
          <w:color w:val="auto"/>
        </w:rPr>
      </w:pPr>
      <w:r>
        <w:rPr>
          <w:rFonts w:ascii="Arial" w:cs="Arial" w:eastAsia="Arial" w:hAnsi="Arial"/>
          <w:sz w:val="18"/>
          <w:szCs w:val="18"/>
          <w:color w:val="auto"/>
        </w:rPr>
        <w:t xml:space="preserve">Information regarding the Company’s legal proceedings is contained in the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note under “Item 8. Consolidated Financial Statements and Supplementary Data.”</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Item 4. Mine Safety Disclosures</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96520</wp:posOffset>
            </wp:positionV>
            <wp:extent cx="6114415" cy="59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Information with respect to Executive Officers of the Company, as of March 31, 2014,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-67310</wp:posOffset>
            </wp:positionV>
            <wp:extent cx="55486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48630" cy="8890"/>
                    </a:xfrm>
                    <a:prstGeom prst="rect">
                      <a:avLst/>
                    </a:prstGeom>
                    <a:noFill/>
                  </pic:spPr>
                </pic:pic>
              </a:graphicData>
            </a:graphic>
          </wp:anchor>
        </w:drawing>
      </w:r>
    </w:p>
    <w:p>
      <w:pPr>
        <w:ind w:right="2259"/>
        <w:spacing w:after="0"/>
        <w:rPr>
          <w:sz w:val="20"/>
          <w:szCs w:val="20"/>
          <w:color w:val="auto"/>
        </w:rPr>
      </w:pPr>
      <w:r>
        <w:rPr>
          <w:rFonts w:ascii="Arial" w:cs="Arial" w:eastAsia="Arial" w:hAnsi="Arial"/>
          <w:sz w:val="18"/>
          <w:szCs w:val="18"/>
          <w:color w:val="auto"/>
        </w:rPr>
        <w:t>Chairman of the Board, President and Chief Executive Officer Ken C. Hicks Executive Vice President and Chief Operating Officer Richard A. Johnson Executive Vice President — Operations Support Robert W. McHugh Executive Vice President and Chief Financial Officer Lauren B. Peters Senior Vice President and Chief Human Resources Officer Paulette R. Alviti Senior Vice President, General Counsel and Secretary Gary M. Bahler Senior Vice President — Real Estate Jeffrey L. Berk Senior Vice President and Chief Information Officer Peter D. Brown Senior Vice President and Chief Accounting Officer Giovanna Cipriano Vice President, Treasurer and Investor Relations John A. Maurer</w:t>
      </w:r>
    </w:p>
    <w:p>
      <w:pPr>
        <w:spacing w:after="0" w:line="200" w:lineRule="exact"/>
        <w:rPr>
          <w:sz w:val="20"/>
          <w:szCs w:val="20"/>
          <w:color w:val="auto"/>
        </w:rPr>
      </w:pPr>
    </w:p>
    <w:p>
      <w:pPr>
        <w:spacing w:after="0" w:line="260" w:lineRule="exact"/>
        <w:rPr>
          <w:sz w:val="20"/>
          <w:szCs w:val="20"/>
          <w:color w:val="auto"/>
        </w:rPr>
      </w:pPr>
    </w:p>
    <w:p>
      <w:pPr>
        <w:jc w:val="both"/>
        <w:ind w:left="40" w:right="539"/>
        <w:spacing w:after="0" w:line="258" w:lineRule="auto"/>
        <w:rPr>
          <w:sz w:val="20"/>
          <w:szCs w:val="20"/>
          <w:color w:val="auto"/>
        </w:rPr>
      </w:pPr>
      <w:r>
        <w:rPr>
          <w:rFonts w:ascii="Arial" w:cs="Arial" w:eastAsia="Arial" w:hAnsi="Arial"/>
          <w:sz w:val="18"/>
          <w:szCs w:val="18"/>
          <w:i w:val="1"/>
          <w:iCs w:val="1"/>
          <w:color w:val="auto"/>
        </w:rPr>
        <w:t xml:space="preserve">Ken C. Hicks, </w:t>
      </w:r>
      <w:r>
        <w:rPr>
          <w:rFonts w:ascii="Arial" w:cs="Arial" w:eastAsia="Arial" w:hAnsi="Arial"/>
          <w:sz w:val="18"/>
          <w:szCs w:val="18"/>
          <w:color w:val="auto"/>
        </w:rPr>
        <w:t>age 61, has served as Chairman of the Board since January 31, 2010 and President and Chief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since August 17, 2009. Mr. Hicks served as President and Chief Merchandising Officer of J.C. Penney Company, Inc. (“JC Penney”) from 2005 through 2009. He was President and Chief Operating Officer of Stores and Merchandise Operations of JC Penney from 2002 through 2004, and he served as President of Payless ShoeSource, Inc. from 1999 to 2002. Mr. Hicks is also a director of Avery Dennison Corporation.</w:t>
      </w:r>
    </w:p>
    <w:p>
      <w:pPr>
        <w:spacing w:after="0" w:line="76" w:lineRule="exact"/>
        <w:rPr>
          <w:sz w:val="20"/>
          <w:szCs w:val="20"/>
          <w:color w:val="auto"/>
        </w:rPr>
      </w:pPr>
    </w:p>
    <w:p>
      <w:pPr>
        <w:jc w:val="both"/>
        <w:ind w:left="40" w:right="519"/>
        <w:spacing w:after="0" w:line="257" w:lineRule="auto"/>
        <w:rPr>
          <w:sz w:val="20"/>
          <w:szCs w:val="20"/>
          <w:color w:val="auto"/>
        </w:rPr>
      </w:pPr>
      <w:r>
        <w:rPr>
          <w:rFonts w:ascii="Arial" w:cs="Arial" w:eastAsia="Arial" w:hAnsi="Arial"/>
          <w:sz w:val="18"/>
          <w:szCs w:val="18"/>
          <w:i w:val="1"/>
          <w:iCs w:val="1"/>
          <w:color w:val="auto"/>
        </w:rPr>
        <w:t xml:space="preserve">Richard A. Johnson, </w:t>
      </w:r>
      <w:r>
        <w:rPr>
          <w:rFonts w:ascii="Arial" w:cs="Arial" w:eastAsia="Arial" w:hAnsi="Arial"/>
          <w:sz w:val="18"/>
          <w:szCs w:val="18"/>
          <w:color w:val="auto"/>
        </w:rPr>
        <w:t>age 56, has served as Executive Vice President and Chief Operating Officer since May 16, 2012.</w:t>
      </w:r>
      <w:r>
        <w:rPr>
          <w:rFonts w:ascii="Arial" w:cs="Arial" w:eastAsia="Arial" w:hAnsi="Arial"/>
          <w:sz w:val="18"/>
          <w:szCs w:val="18"/>
          <w:i w:val="1"/>
          <w:iCs w:val="1"/>
          <w:color w:val="auto"/>
        </w:rPr>
        <w:t xml:space="preserve"> </w:t>
      </w:r>
      <w:r>
        <w:rPr>
          <w:rFonts w:ascii="Arial" w:cs="Arial" w:eastAsia="Arial" w:hAnsi="Arial"/>
          <w:sz w:val="18"/>
          <w:szCs w:val="18"/>
          <w:color w:val="auto"/>
        </w:rPr>
        <w:t>He served as Executive Vice President and Group President from July 2011 to May 15, 2012; President and Chief Executive Officer of Foot Locker U.S., Lady Foot Locker, Kids Foot Locker, and Footaction from January 2010 to July 2011; President and Chief Executive Officer of Foot Locker Europe from August 2007 to January 2010; and President and Chief Executive Officer of Footlocker.com/Eastbay from April 2003 to August 2007. Mr. Johnson was a director of Maidenform Brands, Inc. from January 2013 to October 2013.</w:t>
      </w:r>
    </w:p>
    <w:p>
      <w:pPr>
        <w:spacing w:after="0" w:line="75" w:lineRule="exact"/>
        <w:rPr>
          <w:sz w:val="20"/>
          <w:szCs w:val="20"/>
          <w:color w:val="auto"/>
        </w:rPr>
      </w:pPr>
    </w:p>
    <w:p>
      <w:pPr>
        <w:jc w:val="both"/>
        <w:ind w:left="40" w:right="519"/>
        <w:spacing w:after="0" w:line="266" w:lineRule="auto"/>
        <w:rPr>
          <w:sz w:val="20"/>
          <w:szCs w:val="20"/>
          <w:color w:val="auto"/>
        </w:rPr>
      </w:pPr>
      <w:r>
        <w:rPr>
          <w:rFonts w:ascii="Arial" w:cs="Arial" w:eastAsia="Arial" w:hAnsi="Arial"/>
          <w:sz w:val="18"/>
          <w:szCs w:val="18"/>
          <w:i w:val="1"/>
          <w:iCs w:val="1"/>
          <w:color w:val="auto"/>
        </w:rPr>
        <w:t xml:space="preserve">Robert W. McHugh, </w:t>
      </w:r>
      <w:r>
        <w:rPr>
          <w:rFonts w:ascii="Arial" w:cs="Arial" w:eastAsia="Arial" w:hAnsi="Arial"/>
          <w:sz w:val="18"/>
          <w:szCs w:val="18"/>
          <w:color w:val="auto"/>
        </w:rPr>
        <w:t>age 55, has served as Executive Vice President — Operations Support since July 2011. He served</w:t>
      </w:r>
      <w:r>
        <w:rPr>
          <w:rFonts w:ascii="Arial" w:cs="Arial" w:eastAsia="Arial" w:hAnsi="Arial"/>
          <w:sz w:val="18"/>
          <w:szCs w:val="18"/>
          <w:i w:val="1"/>
          <w:iCs w:val="1"/>
          <w:color w:val="auto"/>
        </w:rPr>
        <w:t xml:space="preserve"> </w:t>
      </w:r>
      <w:r>
        <w:rPr>
          <w:rFonts w:ascii="Arial" w:cs="Arial" w:eastAsia="Arial" w:hAnsi="Arial"/>
          <w:sz w:val="18"/>
          <w:szCs w:val="18"/>
          <w:color w:val="auto"/>
        </w:rPr>
        <w:t>as Executive Vice President and Chief Financial Officer from May 2009 to July 2011; and Senior Vice President and Chief Financial Officer from November 2005 through April 2009.</w:t>
      </w:r>
    </w:p>
    <w:p>
      <w:pPr>
        <w:spacing w:after="0" w:line="68" w:lineRule="exact"/>
        <w:rPr>
          <w:sz w:val="20"/>
          <w:szCs w:val="20"/>
          <w:color w:val="auto"/>
        </w:rPr>
      </w:pPr>
    </w:p>
    <w:p>
      <w:pPr>
        <w:jc w:val="both"/>
        <w:ind w:left="40" w:right="519"/>
        <w:spacing w:after="0" w:line="282" w:lineRule="auto"/>
        <w:rPr>
          <w:sz w:val="20"/>
          <w:szCs w:val="20"/>
          <w:color w:val="auto"/>
        </w:rPr>
      </w:pPr>
      <w:r>
        <w:rPr>
          <w:rFonts w:ascii="Arial" w:cs="Arial" w:eastAsia="Arial" w:hAnsi="Arial"/>
          <w:sz w:val="18"/>
          <w:szCs w:val="18"/>
          <w:i w:val="1"/>
          <w:iCs w:val="1"/>
          <w:color w:val="auto"/>
        </w:rPr>
        <w:t xml:space="preserve">Lauren B. Peters, </w:t>
      </w:r>
      <w:r>
        <w:rPr>
          <w:rFonts w:ascii="Arial" w:cs="Arial" w:eastAsia="Arial" w:hAnsi="Arial"/>
          <w:sz w:val="18"/>
          <w:szCs w:val="18"/>
          <w:color w:val="auto"/>
        </w:rPr>
        <w:t>age 52, has served as Executive Vice President and Chief Financial Officer since July 2011. She</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Senior Vice President — Strategic Planning from April 2002 to July 2011.</w:t>
      </w:r>
    </w:p>
    <w:p>
      <w:pPr>
        <w:spacing w:after="0" w:line="54" w:lineRule="exact"/>
        <w:rPr>
          <w:sz w:val="20"/>
          <w:szCs w:val="20"/>
          <w:color w:val="auto"/>
        </w:rPr>
      </w:pPr>
    </w:p>
    <w:p>
      <w:pPr>
        <w:jc w:val="both"/>
        <w:ind w:left="40" w:right="519"/>
        <w:spacing w:after="0" w:line="257" w:lineRule="auto"/>
        <w:rPr>
          <w:sz w:val="20"/>
          <w:szCs w:val="20"/>
          <w:color w:val="auto"/>
        </w:rPr>
      </w:pPr>
      <w:r>
        <w:rPr>
          <w:rFonts w:ascii="Arial" w:cs="Arial" w:eastAsia="Arial" w:hAnsi="Arial"/>
          <w:sz w:val="18"/>
          <w:szCs w:val="18"/>
          <w:i w:val="1"/>
          <w:iCs w:val="1"/>
          <w:color w:val="auto"/>
        </w:rPr>
        <w:t xml:space="preserve">Paulette R. Alviti, </w:t>
      </w:r>
      <w:r>
        <w:rPr>
          <w:rFonts w:ascii="Arial" w:cs="Arial" w:eastAsia="Arial" w:hAnsi="Arial"/>
          <w:sz w:val="18"/>
          <w:szCs w:val="18"/>
          <w:color w:val="auto"/>
        </w:rPr>
        <w:t>age 43, has served as Senior Vice President and Chief Human Resources Officer since June 2013.</w:t>
      </w:r>
      <w:r>
        <w:rPr>
          <w:rFonts w:ascii="Arial" w:cs="Arial" w:eastAsia="Arial" w:hAnsi="Arial"/>
          <w:sz w:val="18"/>
          <w:szCs w:val="18"/>
          <w:i w:val="1"/>
          <w:iCs w:val="1"/>
          <w:color w:val="auto"/>
        </w:rPr>
        <w:t xml:space="preserve"> </w:t>
      </w:r>
      <w:r>
        <w:rPr>
          <w:rFonts w:ascii="Arial" w:cs="Arial" w:eastAsia="Arial" w:hAnsi="Arial"/>
          <w:sz w:val="18"/>
          <w:szCs w:val="18"/>
          <w:color w:val="auto"/>
        </w:rPr>
        <w:t>Ms. Alviti served as Senior Vice President and Chief Human Resources Officer Asia, Middle East, Africa at PepsiCo, Inc. from February to May 2013. From July 2012 to February 2013 she served as Senior Vice President Global Talent Acquisition and Deployment at PepsiCo, Inc. From March 2010 to July 2012, she served as Senior Vice President — Human Resources of Pepsi Beverages Company at PepsiCo, Inc. and from March 2008 to March 2010 as Vice President — Human Resources of The Pepsi Bottling Group, Inc.</w:t>
      </w:r>
    </w:p>
    <w:p>
      <w:pPr>
        <w:spacing w:after="0" w:line="75" w:lineRule="exact"/>
        <w:rPr>
          <w:sz w:val="20"/>
          <w:szCs w:val="20"/>
          <w:color w:val="auto"/>
        </w:rPr>
      </w:pPr>
    </w:p>
    <w:p>
      <w:pPr>
        <w:jc w:val="both"/>
        <w:ind w:left="40" w:right="519"/>
        <w:spacing w:after="0" w:line="282" w:lineRule="auto"/>
        <w:rPr>
          <w:sz w:val="20"/>
          <w:szCs w:val="20"/>
          <w:color w:val="auto"/>
        </w:rPr>
      </w:pPr>
      <w:r>
        <w:rPr>
          <w:rFonts w:ascii="Arial" w:cs="Arial" w:eastAsia="Arial" w:hAnsi="Arial"/>
          <w:sz w:val="18"/>
          <w:szCs w:val="18"/>
          <w:i w:val="1"/>
          <w:iCs w:val="1"/>
          <w:color w:val="auto"/>
        </w:rPr>
        <w:t xml:space="preserve">Gary M. Bahler, </w:t>
      </w:r>
      <w:r>
        <w:rPr>
          <w:rFonts w:ascii="Arial" w:cs="Arial" w:eastAsia="Arial" w:hAnsi="Arial"/>
          <w:sz w:val="18"/>
          <w:szCs w:val="18"/>
          <w:color w:val="auto"/>
        </w:rPr>
        <w:t>age 62, has served as Senior Vice President since August 1998, General Counsel since February</w:t>
      </w:r>
      <w:r>
        <w:rPr>
          <w:rFonts w:ascii="Arial" w:cs="Arial" w:eastAsia="Arial" w:hAnsi="Arial"/>
          <w:sz w:val="18"/>
          <w:szCs w:val="18"/>
          <w:i w:val="1"/>
          <w:iCs w:val="1"/>
          <w:color w:val="auto"/>
        </w:rPr>
        <w:t xml:space="preserve"> </w:t>
      </w:r>
      <w:r>
        <w:rPr>
          <w:rFonts w:ascii="Arial" w:cs="Arial" w:eastAsia="Arial" w:hAnsi="Arial"/>
          <w:sz w:val="18"/>
          <w:szCs w:val="18"/>
          <w:color w:val="auto"/>
        </w:rPr>
        <w:t>1993 and Secretary since February 1990.</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xml:space="preserve">Jeffrey L. Berk, </w:t>
      </w:r>
      <w:r>
        <w:rPr>
          <w:rFonts w:ascii="Arial" w:cs="Arial" w:eastAsia="Arial" w:hAnsi="Arial"/>
          <w:sz w:val="18"/>
          <w:szCs w:val="18"/>
          <w:color w:val="auto"/>
        </w:rPr>
        <w:t>age 58, has served as Senior Vice President — Real Estate since February 2000.</w:t>
      </w:r>
    </w:p>
    <w:p>
      <w:pPr>
        <w:spacing w:after="0" w:line="117" w:lineRule="exact"/>
        <w:rPr>
          <w:sz w:val="20"/>
          <w:szCs w:val="20"/>
          <w:color w:val="auto"/>
        </w:rPr>
      </w:pPr>
    </w:p>
    <w:p>
      <w:pPr>
        <w:jc w:val="both"/>
        <w:ind w:left="40" w:right="519"/>
        <w:spacing w:after="0" w:line="266" w:lineRule="auto"/>
        <w:rPr>
          <w:sz w:val="20"/>
          <w:szCs w:val="20"/>
          <w:color w:val="auto"/>
        </w:rPr>
      </w:pPr>
      <w:r>
        <w:rPr>
          <w:rFonts w:ascii="Arial" w:cs="Arial" w:eastAsia="Arial" w:hAnsi="Arial"/>
          <w:sz w:val="18"/>
          <w:szCs w:val="18"/>
          <w:i w:val="1"/>
          <w:iCs w:val="1"/>
          <w:color w:val="auto"/>
        </w:rPr>
        <w:t xml:space="preserve">Peter D. Brown, </w:t>
      </w:r>
      <w:r>
        <w:rPr>
          <w:rFonts w:ascii="Arial" w:cs="Arial" w:eastAsia="Arial" w:hAnsi="Arial"/>
          <w:sz w:val="18"/>
          <w:szCs w:val="18"/>
          <w:color w:val="auto"/>
        </w:rPr>
        <w:t>age 59, has served as Senior Vice President and Chief Information Officer since February 2011. He</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Senior Vice President, Chief Information Officer and Investor Relations from September 2006 to February 2011; and as Vice President — Investor Relations and Treasurer from October 2001 to September 2006.</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xml:space="preserve">Giovanna Cipriano, </w:t>
      </w:r>
      <w:r>
        <w:rPr>
          <w:rFonts w:ascii="Arial" w:cs="Arial" w:eastAsia="Arial" w:hAnsi="Arial"/>
          <w:sz w:val="18"/>
          <w:szCs w:val="18"/>
          <w:color w:val="auto"/>
        </w:rPr>
        <w:t>age 44, has served as Senior Vice President and Chief Accounting Officer since May 2009. Ms.</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Cipriano served as Vice President and Chief Accounting Officer from November 2005 through April 2009.</w:t>
      </w:r>
    </w:p>
    <w:p>
      <w:pPr>
        <w:spacing w:after="0" w:line="99" w:lineRule="exact"/>
        <w:rPr>
          <w:sz w:val="20"/>
          <w:szCs w:val="20"/>
          <w:color w:val="auto"/>
        </w:rPr>
      </w:pPr>
    </w:p>
    <w:p>
      <w:pPr>
        <w:jc w:val="both"/>
        <w:ind w:left="40" w:right="519"/>
        <w:spacing w:after="0" w:line="266" w:lineRule="auto"/>
        <w:rPr>
          <w:sz w:val="20"/>
          <w:szCs w:val="20"/>
          <w:color w:val="auto"/>
        </w:rPr>
      </w:pPr>
      <w:r>
        <w:rPr>
          <w:rFonts w:ascii="Arial" w:cs="Arial" w:eastAsia="Arial" w:hAnsi="Arial"/>
          <w:sz w:val="18"/>
          <w:szCs w:val="18"/>
          <w:i w:val="1"/>
          <w:iCs w:val="1"/>
          <w:color w:val="auto"/>
        </w:rPr>
        <w:t xml:space="preserve">John A. Maurer, </w:t>
      </w:r>
      <w:r>
        <w:rPr>
          <w:rFonts w:ascii="Arial" w:cs="Arial" w:eastAsia="Arial" w:hAnsi="Arial"/>
          <w:sz w:val="18"/>
          <w:szCs w:val="18"/>
          <w:color w:val="auto"/>
        </w:rPr>
        <w:t>age 54, has served as Vice President, Treasurer and Investor Relations since February 2011. Mr.</w:t>
      </w:r>
      <w:r>
        <w:rPr>
          <w:rFonts w:ascii="Arial" w:cs="Arial" w:eastAsia="Arial" w:hAnsi="Arial"/>
          <w:sz w:val="18"/>
          <w:szCs w:val="18"/>
          <w:i w:val="1"/>
          <w:iCs w:val="1"/>
          <w:color w:val="auto"/>
        </w:rPr>
        <w:t xml:space="preserve"> </w:t>
      </w:r>
      <w:r>
        <w:rPr>
          <w:rFonts w:ascii="Arial" w:cs="Arial" w:eastAsia="Arial" w:hAnsi="Arial"/>
          <w:sz w:val="18"/>
          <w:szCs w:val="18"/>
          <w:color w:val="auto"/>
        </w:rPr>
        <w:t>Maurer served as Vice President and Treasurer from September 2006 to February 2011. He served as Divisional Vice President and Assistant Treasurer from April 2006 to September 2006.</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There are no family relationships among the executive officers or directors of the Company.</w:t>
      </w:r>
    </w:p>
    <w:p>
      <w:pPr>
        <w:spacing w:after="0" w:line="200" w:lineRule="exact"/>
        <w:rPr>
          <w:sz w:val="20"/>
          <w:szCs w:val="20"/>
          <w:color w:val="auto"/>
        </w:rPr>
      </w:pPr>
    </w:p>
    <w:p>
      <w:pPr>
        <w:spacing w:after="0" w:line="37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96520</wp:posOffset>
            </wp:positionV>
            <wp:extent cx="6114415"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12" w:name="page13"/>
    <w:bookmarkEnd w:id="12"/>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w:t>
      </w:r>
    </w:p>
    <w:p>
      <w:pPr>
        <w:spacing w:after="0" w:line="121" w:lineRule="exact"/>
        <w:rPr>
          <w:sz w:val="20"/>
          <w:szCs w:val="20"/>
          <w:color w:val="auto"/>
        </w:rPr>
      </w:pPr>
    </w:p>
    <w:p>
      <w:pPr>
        <w:ind w:left="840" w:right="519" w:hanging="809"/>
        <w:spacing w:after="0" w:line="282" w:lineRule="auto"/>
        <w:tabs>
          <w:tab w:leader="none" w:pos="820" w:val="left"/>
        </w:tabs>
        <w:rPr>
          <w:sz w:val="20"/>
          <w:szCs w:val="20"/>
          <w:color w:val="auto"/>
        </w:rPr>
      </w:pPr>
      <w:r>
        <w:rPr>
          <w:rFonts w:ascii="Arial" w:cs="Arial" w:eastAsia="Arial" w:hAnsi="Arial"/>
          <w:sz w:val="18"/>
          <w:szCs w:val="18"/>
          <w:i w:val="1"/>
          <w:iCs w:val="1"/>
          <w:color w:val="auto"/>
        </w:rPr>
        <w:t>Item 5.</w:t>
        <w:tab/>
        <w:t>Market for the Company’s Common Equity, Related Stockholder Matters and Issuer Purchases of Equity Securities</w:t>
      </w:r>
    </w:p>
    <w:p>
      <w:pPr>
        <w:spacing w:after="0" w:line="72" w:lineRule="exact"/>
        <w:rPr>
          <w:sz w:val="20"/>
          <w:szCs w:val="20"/>
          <w:color w:val="auto"/>
        </w:rPr>
      </w:pPr>
    </w:p>
    <w:p>
      <w:pPr>
        <w:jc w:val="both"/>
        <w:ind w:left="60" w:right="519"/>
        <w:spacing w:after="0" w:line="256" w:lineRule="auto"/>
        <w:rPr>
          <w:sz w:val="20"/>
          <w:szCs w:val="20"/>
          <w:color w:val="auto"/>
        </w:rPr>
      </w:pPr>
      <w:r>
        <w:rPr>
          <w:rFonts w:ascii="Arial" w:cs="Arial" w:eastAsia="Arial" w:hAnsi="Arial"/>
          <w:sz w:val="18"/>
          <w:szCs w:val="18"/>
          <w:color w:val="auto"/>
        </w:rPr>
        <w:t>Foot Locker, Inc. common stock (ticker symbol “FL”) is listed on The New York Stock Exchange as well as on the Börse Stuttgart stock exchange in Germany. As of February 1, 2014, the Company had 16,207 shareholders of record owning 145,426,822 common shares.</w:t>
      </w:r>
    </w:p>
    <w:p>
      <w:pPr>
        <w:spacing w:after="0" w:line="94" w:lineRule="exact"/>
        <w:rPr>
          <w:sz w:val="20"/>
          <w:szCs w:val="20"/>
          <w:color w:val="auto"/>
        </w:rPr>
      </w:pPr>
    </w:p>
    <w:p>
      <w:pPr>
        <w:jc w:val="both"/>
        <w:ind w:left="60" w:right="519"/>
        <w:spacing w:after="0" w:line="251" w:lineRule="auto"/>
        <w:rPr>
          <w:sz w:val="20"/>
          <w:szCs w:val="20"/>
          <w:color w:val="auto"/>
        </w:rPr>
      </w:pPr>
      <w:r>
        <w:rPr>
          <w:rFonts w:ascii="Arial" w:cs="Arial" w:eastAsia="Arial" w:hAnsi="Arial"/>
          <w:sz w:val="18"/>
          <w:szCs w:val="18"/>
          <w:color w:val="auto"/>
        </w:rPr>
        <w:t>The following table provides, for the period indicated, the intra-day high and low sales prices for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-76200</wp:posOffset>
            </wp:positionV>
            <wp:extent cx="5565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38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2013</w:t>
            </w:r>
          </w:p>
        </w:tc>
        <w:tc>
          <w:tcPr>
            <w:tcW w:w="8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2012</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80" w:type="dxa"/>
            <w:vAlign w:val="bottom"/>
            <w:vMerge w:val="restart"/>
          </w:tcPr>
          <w:p>
            <w:pPr>
              <w:ind w:left="20"/>
              <w:spacing w:after="0"/>
              <w:rPr>
                <w:sz w:val="20"/>
                <w:szCs w:val="20"/>
                <w:color w:val="auto"/>
              </w:rPr>
            </w:pPr>
            <w:r>
              <w:rPr>
                <w:rFonts w:ascii="Arial" w:cs="Arial" w:eastAsia="Arial" w:hAnsi="Arial"/>
                <w:sz w:val="18"/>
                <w:szCs w:val="18"/>
                <w:color w:val="auto"/>
              </w:rPr>
              <w:t>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Quarter</w:t>
            </w: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Low</w:t>
            </w: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High</w:t>
            </w:r>
          </w:p>
        </w:tc>
        <w:tc>
          <w:tcPr>
            <w:tcW w:w="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37"/>
        </w:trPr>
        <w:tc>
          <w:tcPr>
            <w:tcW w:w="3880" w:type="dxa"/>
            <w:vAlign w:val="bottom"/>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35.64</w:t>
            </w:r>
          </w:p>
        </w:tc>
        <w:tc>
          <w:tcPr>
            <w:tcW w:w="5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4"/>
              <w:spacing w:after="0"/>
              <w:rPr>
                <w:sz w:val="20"/>
                <w:szCs w:val="20"/>
                <w:color w:val="auto"/>
              </w:rPr>
            </w:pPr>
            <w:r>
              <w:rPr>
                <w:rFonts w:ascii="Arial" w:cs="Arial" w:eastAsia="Arial" w:hAnsi="Arial"/>
                <w:sz w:val="18"/>
                <w:szCs w:val="18"/>
                <w:b w:val="1"/>
                <w:bCs w:val="1"/>
                <w:color w:val="auto"/>
              </w:rPr>
              <w:t>31.30</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32.27</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43"/>
        </w:trPr>
        <w:tc>
          <w:tcPr>
            <w:tcW w:w="3880" w:type="dxa"/>
            <w:vAlign w:val="bottom"/>
            <w:shd w:val="clear" w:color="auto" w:fill="C0C0C0"/>
          </w:tcPr>
          <w:p>
            <w:pPr>
              <w:ind w:left="20"/>
              <w:spacing w:after="0" w:line="243" w:lineRule="exact"/>
              <w:rPr>
                <w:sz w:val="20"/>
                <w:szCs w:val="20"/>
                <w:color w:val="auto"/>
              </w:rPr>
            </w:pPr>
            <w:r>
              <w:rPr>
                <w:rFonts w:ascii="Arial" w:cs="Arial" w:eastAsia="Arial" w:hAnsi="Arial"/>
                <w:sz w:val="17"/>
                <w:szCs w:val="17"/>
                <w:color w:val="auto"/>
              </w:rPr>
              <w:t>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Quarter</w:t>
            </w:r>
          </w:p>
        </w:tc>
        <w:tc>
          <w:tcPr>
            <w:tcW w:w="24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37.70</w:t>
            </w:r>
          </w:p>
        </w:tc>
        <w:tc>
          <w:tcPr>
            <w:tcW w:w="1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4"/>
              <w:spacing w:after="0"/>
              <w:rPr>
                <w:sz w:val="20"/>
                <w:szCs w:val="20"/>
                <w:color w:val="auto"/>
              </w:rPr>
            </w:pPr>
            <w:r>
              <w:rPr>
                <w:rFonts w:ascii="Arial" w:cs="Arial" w:eastAsia="Arial" w:hAnsi="Arial"/>
                <w:sz w:val="18"/>
                <w:szCs w:val="18"/>
                <w:b w:val="1"/>
                <w:bCs w:val="1"/>
                <w:color w:val="auto"/>
              </w:rPr>
              <w:t>32.61</w:t>
            </w:r>
          </w:p>
        </w:tc>
        <w:tc>
          <w:tcPr>
            <w:tcW w:w="1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34.00</w:t>
            </w:r>
          </w:p>
        </w:tc>
        <w:tc>
          <w:tcPr>
            <w:tcW w:w="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34"/>
              <w:spacing w:after="0"/>
              <w:rPr>
                <w:sz w:val="20"/>
                <w:szCs w:val="20"/>
                <w:color w:val="auto"/>
              </w:rPr>
            </w:pPr>
            <w:r>
              <w:rPr>
                <w:rFonts w:ascii="Arial" w:cs="Arial" w:eastAsia="Arial" w:hAnsi="Arial"/>
                <w:sz w:val="18"/>
                <w:szCs w:val="18"/>
                <w:color w:val="auto"/>
              </w:rPr>
              <w:t>27.86</w:t>
            </w: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line="243" w:lineRule="exact"/>
              <w:rPr>
                <w:sz w:val="20"/>
                <w:szCs w:val="20"/>
                <w:color w:val="auto"/>
              </w:rPr>
            </w:pPr>
            <w:r>
              <w:rPr>
                <w:rFonts w:ascii="Arial" w:cs="Arial" w:eastAsia="Arial" w:hAnsi="Arial"/>
                <w:sz w:val="17"/>
                <w:szCs w:val="17"/>
                <w:color w:val="auto"/>
              </w:rPr>
              <w:t>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Quarter</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37.85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b w:val="1"/>
                <w:bCs w:val="1"/>
                <w:color w:val="auto"/>
              </w:rPr>
              <w:t>31.91</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37.65</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32.51</w:t>
            </w:r>
          </w:p>
        </w:tc>
        <w:tc>
          <w:tcPr>
            <w:tcW w:w="0" w:type="dxa"/>
            <w:vAlign w:val="bottom"/>
          </w:tcPr>
          <w:p>
            <w:pPr>
              <w:spacing w:after="0"/>
              <w:rPr>
                <w:sz w:val="1"/>
                <w:szCs w:val="1"/>
                <w:color w:val="auto"/>
              </w:rPr>
            </w:pPr>
          </w:p>
        </w:tc>
      </w:tr>
      <w:tr>
        <w:trPr>
          <w:trHeight w:val="243"/>
        </w:trPr>
        <w:tc>
          <w:tcPr>
            <w:tcW w:w="3880" w:type="dxa"/>
            <w:vAlign w:val="bottom"/>
            <w:shd w:val="clear" w:color="auto" w:fill="C0C0C0"/>
          </w:tcPr>
          <w:p>
            <w:pPr>
              <w:ind w:left="20"/>
              <w:spacing w:after="0" w:line="243" w:lineRule="exact"/>
              <w:rPr>
                <w:sz w:val="20"/>
                <w:szCs w:val="20"/>
                <w:color w:val="auto"/>
              </w:rPr>
            </w:pPr>
            <w:r>
              <w:rPr>
                <w:rFonts w:ascii="Arial" w:cs="Arial" w:eastAsia="Arial" w:hAnsi="Arial"/>
                <w:sz w:val="17"/>
                <w:szCs w:val="17"/>
                <w:color w:val="auto"/>
              </w:rPr>
              <w:t>4</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Quarter</w:t>
            </w:r>
          </w:p>
        </w:tc>
        <w:tc>
          <w:tcPr>
            <w:tcW w:w="24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41.73</w:t>
            </w:r>
          </w:p>
        </w:tc>
        <w:tc>
          <w:tcPr>
            <w:tcW w:w="1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4"/>
              <w:spacing w:after="0"/>
              <w:rPr>
                <w:sz w:val="20"/>
                <w:szCs w:val="20"/>
                <w:color w:val="auto"/>
              </w:rPr>
            </w:pPr>
            <w:r>
              <w:rPr>
                <w:rFonts w:ascii="Arial" w:cs="Arial" w:eastAsia="Arial" w:hAnsi="Arial"/>
                <w:sz w:val="18"/>
                <w:szCs w:val="18"/>
                <w:b w:val="1"/>
                <w:bCs w:val="1"/>
                <w:color w:val="auto"/>
              </w:rPr>
              <w:t>34.09</w:t>
            </w:r>
          </w:p>
        </w:tc>
        <w:tc>
          <w:tcPr>
            <w:tcW w:w="1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36.09</w:t>
            </w:r>
          </w:p>
        </w:tc>
        <w:tc>
          <w:tcPr>
            <w:tcW w:w="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34"/>
              <w:spacing w:after="0"/>
              <w:rPr>
                <w:sz w:val="20"/>
                <w:szCs w:val="20"/>
                <w:color w:val="auto"/>
              </w:rPr>
            </w:pPr>
            <w:r>
              <w:rPr>
                <w:rFonts w:ascii="Arial" w:cs="Arial" w:eastAsia="Arial" w:hAnsi="Arial"/>
                <w:sz w:val="18"/>
                <w:szCs w:val="18"/>
                <w:color w:val="auto"/>
              </w:rPr>
              <w:t>31.07</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60" w:right="519"/>
        <w:spacing w:after="0" w:line="253" w:lineRule="auto"/>
        <w:rPr>
          <w:sz w:val="20"/>
          <w:szCs w:val="20"/>
          <w:color w:val="auto"/>
        </w:rPr>
      </w:pPr>
      <w:r>
        <w:rPr>
          <w:rFonts w:ascii="Arial" w:cs="Arial" w:eastAsia="Arial" w:hAnsi="Arial"/>
          <w:sz w:val="18"/>
          <w:szCs w:val="18"/>
          <w:color w:val="auto"/>
        </w:rPr>
        <w:t>During each of the quarters of 2013 the Company declared a dividend of $ 0.20 per share. The Board of Directors reviews the dividend policy and rate, taking into consideration the overall financial and strategic outlook for our earnings, liquidity, and cash flow projections. On February 18, 2014, the Board of Directors declared a quarterly dividend of $0.22 per share to be paid on May 2, 2014. This dividend represents a 10 percent increase over the Company’s previous quarterly per share amount.</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is a summary of our fourth quarter share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565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3620" w:type="dxa"/>
            <w:vAlign w:val="bottom"/>
          </w:tcPr>
          <w:p>
            <w:pPr>
              <w:ind w:left="20"/>
              <w:spacing w:after="0"/>
              <w:rPr>
                <w:sz w:val="20"/>
                <w:szCs w:val="20"/>
                <w:color w:val="auto"/>
              </w:rPr>
            </w:pPr>
            <w:r>
              <w:rPr>
                <w:rFonts w:ascii="Arial" w:cs="Arial" w:eastAsia="Arial" w:hAnsi="Arial"/>
                <w:sz w:val="14"/>
                <w:szCs w:val="14"/>
                <w:b w:val="1"/>
                <w:bCs w:val="1"/>
                <w:color w:val="auto"/>
              </w:rPr>
              <w:t>Date Purchased</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rPr>
              <w:t>Total Number of</w:t>
            </w:r>
          </w:p>
        </w:tc>
        <w:tc>
          <w:tcPr>
            <w:tcW w:w="1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Approximate</w:t>
            </w:r>
          </w:p>
        </w:tc>
      </w:tr>
      <w:tr>
        <w:trPr>
          <w:trHeight w:val="161"/>
        </w:trPr>
        <w:tc>
          <w:tcPr>
            <w:tcW w:w="362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Price Paid</w:t>
            </w:r>
          </w:p>
        </w:tc>
        <w:tc>
          <w:tcPr>
            <w:tcW w:w="160" w:type="dxa"/>
            <w:vAlign w:val="bottom"/>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Dollar Value of</w:t>
            </w:r>
          </w:p>
        </w:tc>
      </w:tr>
      <w:tr>
        <w:trPr>
          <w:trHeight w:val="177"/>
        </w:trPr>
        <w:tc>
          <w:tcPr>
            <w:tcW w:w="36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120"/>
              <w:spacing w:after="0" w:line="177" w:lineRule="exact"/>
              <w:rPr>
                <w:sz w:val="20"/>
                <w:szCs w:val="20"/>
                <w:color w:val="auto"/>
              </w:rPr>
            </w:pPr>
            <w:r>
              <w:rPr>
                <w:rFonts w:ascii="Arial" w:cs="Arial" w:eastAsia="Arial" w:hAnsi="Arial"/>
                <w:sz w:val="13"/>
                <w:szCs w:val="13"/>
                <w:b w:val="1"/>
                <w:bCs w:val="1"/>
                <w:color w:val="auto"/>
              </w:rPr>
              <w:t>per Share</w:t>
            </w:r>
            <w:r>
              <w:rPr>
                <w:rFonts w:ascii="Arial" w:cs="Arial" w:eastAsia="Arial" w:hAnsi="Arial"/>
                <w:sz w:val="20"/>
                <w:szCs w:val="20"/>
                <w:b w:val="1"/>
                <w:bCs w:val="1"/>
                <w:color w:val="auto"/>
                <w:vertAlign w:val="superscript"/>
              </w:rPr>
              <w:t>(1)</w:t>
            </w:r>
          </w:p>
        </w:tc>
        <w:tc>
          <w:tcPr>
            <w:tcW w:w="160" w:type="dxa"/>
            <w:vAlign w:val="bottom"/>
          </w:tcPr>
          <w:p>
            <w:pPr>
              <w:spacing w:after="0"/>
              <w:rPr>
                <w:sz w:val="15"/>
                <w:szCs w:val="15"/>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rPr>
              <w:t>Purchased as</w:t>
            </w:r>
          </w:p>
        </w:tc>
        <w:tc>
          <w:tcPr>
            <w:tcW w:w="16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Shares that may</w:t>
            </w:r>
          </w:p>
        </w:tc>
      </w:tr>
      <w:tr>
        <w:trPr>
          <w:trHeight w:val="162"/>
        </w:trPr>
        <w:tc>
          <w:tcPr>
            <w:tcW w:w="3620" w:type="dxa"/>
            <w:vAlign w:val="bottom"/>
          </w:tcPr>
          <w:p>
            <w:pPr>
              <w:spacing w:after="0"/>
              <w:rPr>
                <w:sz w:val="14"/>
                <w:szCs w:val="14"/>
                <w:color w:val="auto"/>
              </w:rPr>
            </w:pPr>
          </w:p>
        </w:tc>
        <w:tc>
          <w:tcPr>
            <w:tcW w:w="108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rPr>
              <w:t>Purchased</w:t>
            </w:r>
            <w:r>
              <w:rPr>
                <w:rFonts w:ascii="Arial" w:cs="Arial" w:eastAsia="Arial" w:hAnsi="Arial"/>
                <w:sz w:val="18"/>
                <w:szCs w:val="18"/>
                <w:b w:val="1"/>
                <w:bCs w:val="1"/>
                <w:color w:val="auto"/>
                <w:vertAlign w:val="superscript"/>
              </w:rPr>
              <w:t>(1)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rPr>
              <w:t>Part of Publicly</w:t>
            </w:r>
          </w:p>
        </w:tc>
        <w:tc>
          <w:tcPr>
            <w:tcW w:w="1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yet be</w:t>
            </w:r>
          </w:p>
        </w:tc>
      </w:tr>
      <w:tr>
        <w:trPr>
          <w:trHeight w:val="148"/>
        </w:trPr>
        <w:tc>
          <w:tcPr>
            <w:tcW w:w="36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Announced</w:t>
            </w:r>
          </w:p>
        </w:tc>
        <w:tc>
          <w:tcPr>
            <w:tcW w:w="160" w:type="dxa"/>
            <w:vAlign w:val="bottom"/>
          </w:tcPr>
          <w:p>
            <w:pPr>
              <w:spacing w:after="0"/>
              <w:rPr>
                <w:sz w:val="12"/>
                <w:szCs w:val="12"/>
                <w:color w:val="auto"/>
              </w:rPr>
            </w:pPr>
          </w:p>
        </w:tc>
        <w:tc>
          <w:tcPr>
            <w:tcW w:w="11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Purchased</w:t>
            </w:r>
          </w:p>
        </w:tc>
      </w:tr>
      <w:tr>
        <w:trPr>
          <w:trHeight w:val="177"/>
        </w:trPr>
        <w:tc>
          <w:tcPr>
            <w:tcW w:w="3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spacing w:after="0" w:line="177" w:lineRule="exact"/>
              <w:rPr>
                <w:sz w:val="20"/>
                <w:szCs w:val="20"/>
                <w:color w:val="auto"/>
              </w:rPr>
            </w:pPr>
            <w:r>
              <w:rPr>
                <w:rFonts w:ascii="Arial" w:cs="Arial" w:eastAsia="Arial" w:hAnsi="Arial"/>
                <w:sz w:val="13"/>
                <w:szCs w:val="13"/>
                <w:b w:val="1"/>
                <w:bCs w:val="1"/>
                <w:color w:val="auto"/>
              </w:rPr>
              <w:t>Program</w:t>
            </w:r>
            <w:r>
              <w:rPr>
                <w:rFonts w:ascii="Arial" w:cs="Arial" w:eastAsia="Arial" w:hAnsi="Arial"/>
                <w:sz w:val="20"/>
                <w:szCs w:val="20"/>
                <w:b w:val="1"/>
                <w:bCs w:val="1"/>
                <w:color w:val="auto"/>
                <w:vertAlign w:val="superscript"/>
              </w:rPr>
              <w:t>(2)</w:t>
            </w:r>
          </w:p>
        </w:tc>
        <w:tc>
          <w:tcPr>
            <w:tcW w:w="16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Under the</w:t>
            </w:r>
          </w:p>
        </w:tc>
      </w:tr>
      <w:tr>
        <w:trPr>
          <w:trHeight w:val="189"/>
        </w:trPr>
        <w:tc>
          <w:tcPr>
            <w:tcW w:w="36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rPr>
              <w:t>Program</w:t>
            </w:r>
            <w:r>
              <w:rPr>
                <w:rFonts w:ascii="Arial" w:cs="Arial" w:eastAsia="Arial" w:hAnsi="Arial"/>
                <w:sz w:val="21"/>
                <w:szCs w:val="21"/>
                <w:b w:val="1"/>
                <w:bCs w:val="1"/>
                <w:color w:val="auto"/>
                <w:vertAlign w:val="superscript"/>
              </w:rPr>
              <w:t>(2)</w:t>
            </w:r>
          </w:p>
        </w:tc>
      </w:tr>
      <w:tr>
        <w:trPr>
          <w:trHeight w:val="196"/>
        </w:trPr>
        <w:tc>
          <w:tcPr>
            <w:tcW w:w="3620" w:type="dxa"/>
            <w:vAlign w:val="bottom"/>
            <w:shd w:val="clear" w:color="auto" w:fill="C0C0C0"/>
          </w:tcPr>
          <w:p>
            <w:pPr>
              <w:ind w:left="20"/>
              <w:spacing w:after="0" w:line="196" w:lineRule="exact"/>
              <w:rPr>
                <w:sz w:val="20"/>
                <w:szCs w:val="20"/>
                <w:color w:val="auto"/>
              </w:rPr>
            </w:pPr>
            <w:r>
              <w:rPr>
                <w:rFonts w:ascii="Arial" w:cs="Arial" w:eastAsia="Arial" w:hAnsi="Arial"/>
                <w:sz w:val="18"/>
                <w:szCs w:val="18"/>
                <w:color w:val="auto"/>
              </w:rPr>
              <w:t>Nov. 3, 2013 – Nov. 30, 2013</w:t>
            </w:r>
          </w:p>
        </w:tc>
        <w:tc>
          <w:tcPr>
            <w:tcW w:w="1080" w:type="dxa"/>
            <w:vAlign w:val="bottom"/>
            <w:tcBorders>
              <w:right w:val="single" w:sz="8" w:color="C0C0C0"/>
            </w:tcBorders>
            <w:shd w:val="clear" w:color="auto" w:fill="C0C0C0"/>
          </w:tcPr>
          <w:p>
            <w:pPr>
              <w:jc w:val="right"/>
              <w:spacing w:after="0" w:line="196" w:lineRule="exact"/>
              <w:rPr>
                <w:sz w:val="20"/>
                <w:szCs w:val="20"/>
                <w:color w:val="auto"/>
              </w:rPr>
            </w:pPr>
            <w:r>
              <w:rPr>
                <w:rFonts w:ascii="Arial" w:cs="Arial" w:eastAsia="Arial" w:hAnsi="Arial"/>
                <w:sz w:val="18"/>
                <w:szCs w:val="18"/>
                <w:color w:val="auto"/>
              </w:rPr>
              <w:t>164,322</w:t>
            </w:r>
          </w:p>
        </w:tc>
        <w:tc>
          <w:tcPr>
            <w:tcW w:w="300" w:type="dxa"/>
            <w:vAlign w:val="bottom"/>
            <w:gridSpan w:val="2"/>
            <w:shd w:val="clear" w:color="auto" w:fill="C0C0C0"/>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0C0C0"/>
          </w:tcPr>
          <w:p>
            <w:pPr>
              <w:jc w:val="right"/>
              <w:ind w:right="120"/>
              <w:spacing w:after="0" w:line="196" w:lineRule="exact"/>
              <w:rPr>
                <w:sz w:val="20"/>
                <w:szCs w:val="20"/>
                <w:color w:val="auto"/>
              </w:rPr>
            </w:pPr>
            <w:r>
              <w:rPr>
                <w:rFonts w:ascii="Arial" w:cs="Arial" w:eastAsia="Arial" w:hAnsi="Arial"/>
                <w:sz w:val="18"/>
                <w:szCs w:val="18"/>
                <w:color w:val="auto"/>
              </w:rPr>
              <w:t>38.96</w:t>
            </w:r>
          </w:p>
        </w:tc>
        <w:tc>
          <w:tcPr>
            <w:tcW w:w="1480" w:type="dxa"/>
            <w:vAlign w:val="bottom"/>
            <w:gridSpan w:val="3"/>
            <w:shd w:val="clear" w:color="auto" w:fill="C0C0C0"/>
          </w:tcPr>
          <w:p>
            <w:pPr>
              <w:jc w:val="right"/>
              <w:ind w:right="80"/>
              <w:spacing w:after="0" w:line="196" w:lineRule="exact"/>
              <w:rPr>
                <w:sz w:val="20"/>
                <w:szCs w:val="20"/>
                <w:color w:val="auto"/>
              </w:rPr>
            </w:pPr>
            <w:r>
              <w:rPr>
                <w:rFonts w:ascii="Arial" w:cs="Arial" w:eastAsia="Arial" w:hAnsi="Arial"/>
                <w:sz w:val="18"/>
                <w:szCs w:val="18"/>
                <w:color w:val="auto"/>
              </w:rPr>
              <w:t>164,322</w:t>
            </w:r>
          </w:p>
        </w:tc>
        <w:tc>
          <w:tcPr>
            <w:tcW w:w="1340" w:type="dxa"/>
            <w:vAlign w:val="bottom"/>
            <w:tcBorders>
              <w:right w:val="single" w:sz="8" w:color="C0C0C0"/>
            </w:tcBorders>
            <w:gridSpan w:val="2"/>
            <w:shd w:val="clear" w:color="auto" w:fill="C0C0C0"/>
          </w:tcPr>
          <w:p>
            <w:pPr>
              <w:jc w:val="right"/>
              <w:spacing w:after="0" w:line="196" w:lineRule="exact"/>
              <w:rPr>
                <w:sz w:val="20"/>
                <w:szCs w:val="20"/>
                <w:color w:val="auto"/>
              </w:rPr>
            </w:pPr>
            <w:r>
              <w:rPr>
                <w:rFonts w:ascii="Arial" w:cs="Arial" w:eastAsia="Arial" w:hAnsi="Arial"/>
                <w:sz w:val="18"/>
                <w:szCs w:val="18"/>
                <w:color w:val="auto"/>
              </w:rPr>
              <w:t>$ 426,826,201</w:t>
            </w:r>
          </w:p>
        </w:tc>
      </w:tr>
      <w:tr>
        <w:trPr>
          <w:trHeight w:val="203"/>
        </w:trPr>
        <w:tc>
          <w:tcPr>
            <w:tcW w:w="3620" w:type="dxa"/>
            <w:vAlign w:val="bottom"/>
          </w:tcPr>
          <w:p>
            <w:pPr>
              <w:ind w:left="20"/>
              <w:spacing w:after="0" w:line="202" w:lineRule="exact"/>
              <w:rPr>
                <w:sz w:val="20"/>
                <w:szCs w:val="20"/>
                <w:color w:val="auto"/>
              </w:rPr>
            </w:pPr>
            <w:r>
              <w:rPr>
                <w:rFonts w:ascii="Arial" w:cs="Arial" w:eastAsia="Arial" w:hAnsi="Arial"/>
                <w:sz w:val="18"/>
                <w:szCs w:val="18"/>
                <w:color w:val="auto"/>
              </w:rPr>
              <w:t>Dec. 1, 2013 – Jan. 4, 2014</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1,411,993</w:t>
            </w:r>
          </w:p>
        </w:tc>
        <w:tc>
          <w:tcPr>
            <w:tcW w:w="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39.87</w:t>
            </w:r>
          </w:p>
        </w:tc>
        <w:tc>
          <w:tcPr>
            <w:tcW w:w="14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1,410,713</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$ 370,576,339</w:t>
            </w:r>
          </w:p>
        </w:tc>
      </w:tr>
      <w:tr>
        <w:trPr>
          <w:trHeight w:val="203"/>
        </w:trPr>
        <w:tc>
          <w:tcPr>
            <w:tcW w:w="362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Jan. 5, 2014 – Feb. 1, 2014</w:t>
            </w:r>
          </w:p>
        </w:tc>
        <w:tc>
          <w:tcPr>
            <w:tcW w:w="1080" w:type="dxa"/>
            <w:vAlign w:val="bottom"/>
            <w:tcBorders>
              <w:right w:val="single" w:sz="8" w:color="C0C0C0"/>
            </w:tcBorders>
            <w:shd w:val="clear" w:color="auto" w:fill="C0C0C0"/>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0C0C0"/>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0C0C0"/>
          </w:tcPr>
          <w:p>
            <w:pPr>
              <w:spacing w:after="0"/>
              <w:rPr>
                <w:sz w:val="17"/>
                <w:szCs w:val="17"/>
                <w:color w:val="auto"/>
              </w:rPr>
            </w:pPr>
          </w:p>
        </w:tc>
        <w:tc>
          <w:tcPr>
            <w:tcW w:w="1320" w:type="dxa"/>
            <w:vAlign w:val="bottom"/>
            <w:gridSpan w:val="2"/>
            <w:shd w:val="clear" w:color="auto" w:fill="C0C0C0"/>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right w:val="single" w:sz="8" w:color="C0C0C0"/>
            </w:tcBorders>
            <w:gridSpan w:val="2"/>
            <w:shd w:val="clear" w:color="auto" w:fill="C0C0C0"/>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370,576,339</w:t>
            </w:r>
          </w:p>
        </w:tc>
      </w:tr>
      <w:tr>
        <w:trPr>
          <w:trHeight w:val="20"/>
        </w:trPr>
        <w:tc>
          <w:tcPr>
            <w:tcW w:w="3620" w:type="dxa"/>
            <w:vAlign w:val="bottom"/>
            <w:shd w:val="clear" w:color="auto" w:fill="C0C0C0"/>
          </w:tcPr>
          <w:p>
            <w:pPr>
              <w:spacing w:after="0" w:line="20" w:lineRule="exact"/>
              <w:rPr>
                <w:sz w:val="1"/>
                <w:szCs w:val="1"/>
                <w:color w:val="auto"/>
              </w:rPr>
            </w:pPr>
          </w:p>
        </w:tc>
        <w:tc>
          <w:tcPr>
            <w:tcW w:w="1080" w:type="dxa"/>
            <w:vAlign w:val="bottom"/>
            <w:tcBorders>
              <w:right w:val="single" w:sz="8" w:color="C0C0C0"/>
            </w:tcBorders>
            <w:shd w:val="clear" w:color="auto" w:fill="000000"/>
          </w:tcPr>
          <w:p>
            <w:pPr>
              <w:spacing w:after="0" w:line="20" w:lineRule="exact"/>
              <w:rPr>
                <w:sz w:val="1"/>
                <w:szCs w:val="1"/>
                <w:color w:val="auto"/>
              </w:rPr>
            </w:pPr>
          </w:p>
        </w:tc>
        <w:tc>
          <w:tcPr>
            <w:tcW w:w="18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180" w:type="dxa"/>
            <w:vAlign w:val="bottom"/>
            <w:tcBorders>
              <w:right w:val="single" w:sz="8" w:color="C0C0C0"/>
            </w:tcBorders>
            <w:shd w:val="clear" w:color="auto" w:fill="000000"/>
          </w:tcPr>
          <w:p>
            <w:pPr>
              <w:spacing w:after="0" w:line="20" w:lineRule="exact"/>
              <w:rPr>
                <w:sz w:val="1"/>
                <w:szCs w:val="1"/>
                <w:color w:val="auto"/>
              </w:rPr>
            </w:pPr>
          </w:p>
        </w:tc>
      </w:tr>
      <w:tr>
        <w:trPr>
          <w:trHeight w:val="210"/>
        </w:trPr>
        <w:tc>
          <w:tcPr>
            <w:tcW w:w="36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1,576,315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39.78</w:t>
            </w:r>
          </w:p>
        </w:tc>
        <w:tc>
          <w:tcPr>
            <w:tcW w:w="1480" w:type="dxa"/>
            <w:vAlign w:val="bottom"/>
            <w:gridSpan w:val="3"/>
          </w:tcPr>
          <w:p>
            <w:pPr>
              <w:jc w:val="right"/>
              <w:ind w:right="80"/>
              <w:spacing w:after="0"/>
              <w:rPr>
                <w:sz w:val="20"/>
                <w:szCs w:val="20"/>
                <w:color w:val="auto"/>
              </w:rPr>
            </w:pPr>
            <w:r>
              <w:rPr>
                <w:rFonts w:ascii="Arial" w:cs="Arial" w:eastAsia="Arial" w:hAnsi="Arial"/>
                <w:sz w:val="18"/>
                <w:szCs w:val="18"/>
                <w:color w:val="auto"/>
              </w:rPr>
              <w:t>1,575,035</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-145415</wp:posOffset>
            </wp:positionV>
            <wp:extent cx="556577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65775" cy="137160"/>
                    </a:xfrm>
                    <a:prstGeom prst="rect">
                      <a:avLst/>
                    </a:prstGeom>
                    <a:noFill/>
                  </pic:spPr>
                </pic:pic>
              </a:graphicData>
            </a:graphic>
          </wp:anchor>
        </w:drawing>
      </w:r>
    </w:p>
    <w:p>
      <w:pPr>
        <w:spacing w:after="0" w:line="78" w:lineRule="exact"/>
        <w:rPr>
          <w:sz w:val="20"/>
          <w:szCs w:val="20"/>
          <w:color w:val="auto"/>
        </w:rPr>
      </w:pPr>
    </w:p>
    <w:p>
      <w:pPr>
        <w:ind w:left="300" w:right="519" w:hanging="272"/>
        <w:spacing w:after="0" w:line="278" w:lineRule="auto"/>
        <w:tabs>
          <w:tab w:leader="none" w:pos="3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These columns also reflect shares purchased in connection with stock swaps. The calculation of the average price paid per share includes all fees, commissions, and other costs associated with the repurchase of such shares.</w:t>
      </w:r>
    </w:p>
    <w:p>
      <w:pPr>
        <w:spacing w:after="0" w:line="86" w:lineRule="exact"/>
        <w:rPr>
          <w:rFonts w:ascii="Arial" w:cs="Arial" w:eastAsia="Arial" w:hAnsi="Arial"/>
          <w:sz w:val="14"/>
          <w:szCs w:val="14"/>
          <w:color w:val="auto"/>
        </w:rPr>
      </w:pPr>
    </w:p>
    <w:p>
      <w:pPr>
        <w:jc w:val="both"/>
        <w:ind w:left="300" w:right="519" w:hanging="272"/>
        <w:spacing w:after="0" w:line="270" w:lineRule="auto"/>
        <w:tabs>
          <w:tab w:leader="none" w:pos="300" w:val="left"/>
        </w:tabs>
        <w:numPr>
          <w:ilvl w:val="0"/>
          <w:numId w:val="5"/>
        </w:numPr>
        <w:rPr>
          <w:rFonts w:ascii="Arial" w:cs="Arial" w:eastAsia="Arial" w:hAnsi="Arial"/>
          <w:sz w:val="14"/>
          <w:szCs w:val="14"/>
          <w:color w:val="auto"/>
        </w:rPr>
      </w:pPr>
      <w:r>
        <w:rPr>
          <w:rFonts w:ascii="Arial" w:cs="Arial" w:eastAsia="Arial" w:hAnsi="Arial"/>
          <w:sz w:val="14"/>
          <w:szCs w:val="14"/>
          <w:color w:val="auto"/>
        </w:rPr>
        <w:t>On February 20, 2013, the Board of Directors approved a new 3-year, $600 million share repurchase program extending through January 2016, replacing the Company’s previous $400 million program which terminated on that date. Through February 1, 2014, 6.4 million shares of common stock were purchased under the current program, for an aggregate cost of $229 million.</w:t>
      </w:r>
    </w:p>
    <w:p>
      <w:pPr>
        <w:spacing w:after="0" w:line="200" w:lineRule="exact"/>
        <w:rPr>
          <w:sz w:val="20"/>
          <w:szCs w:val="20"/>
          <w:color w:val="auto"/>
        </w:rPr>
      </w:pPr>
    </w:p>
    <w:p>
      <w:pPr>
        <w:spacing w:after="0" w:line="34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96520</wp:posOffset>
            </wp:positionV>
            <wp:extent cx="6114415"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13" w:name="page14"/>
    <w:bookmarkEnd w:id="1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PERFORMANCE GRAPH</w:t>
      </w:r>
    </w:p>
    <w:p>
      <w:pPr>
        <w:spacing w:after="0" w:line="139" w:lineRule="exact"/>
        <w:rPr>
          <w:sz w:val="20"/>
          <w:szCs w:val="20"/>
          <w:color w:val="auto"/>
        </w:rPr>
      </w:pPr>
    </w:p>
    <w:p>
      <w:pPr>
        <w:jc w:val="both"/>
        <w:ind w:left="60" w:right="820"/>
        <w:spacing w:after="0" w:line="262" w:lineRule="auto"/>
        <w:rPr>
          <w:sz w:val="20"/>
          <w:szCs w:val="20"/>
          <w:color w:val="auto"/>
        </w:rPr>
      </w:pPr>
      <w:r>
        <w:rPr>
          <w:rFonts w:ascii="Arial" w:cs="Arial" w:eastAsia="Arial" w:hAnsi="Arial"/>
          <w:sz w:val="18"/>
          <w:szCs w:val="18"/>
          <w:color w:val="auto"/>
        </w:rPr>
        <w:t>The following graph compares the cumulative five-year total return to shareholders on Foot Locker, Inc.’s common stock relative to the total returns of the S&amp;P 400 Retailing Index and the Russell Midcap Index.</w:t>
      </w:r>
    </w:p>
    <w:p>
      <w:pPr>
        <w:spacing w:after="0" w:line="88" w:lineRule="exact"/>
        <w:rPr>
          <w:sz w:val="20"/>
          <w:szCs w:val="20"/>
          <w:color w:val="auto"/>
        </w:rPr>
      </w:pPr>
    </w:p>
    <w:p>
      <w:pPr>
        <w:jc w:val="both"/>
        <w:ind w:left="60" w:right="820"/>
        <w:spacing w:after="0" w:line="254" w:lineRule="auto"/>
        <w:rPr>
          <w:sz w:val="20"/>
          <w:szCs w:val="20"/>
          <w:color w:val="auto"/>
        </w:rPr>
      </w:pPr>
      <w:r>
        <w:rPr>
          <w:rFonts w:ascii="Arial" w:cs="Arial" w:eastAsia="Arial" w:hAnsi="Arial"/>
          <w:sz w:val="18"/>
          <w:szCs w:val="18"/>
          <w:color w:val="auto"/>
        </w:rPr>
        <w:t>The following Performance Graph and related information shall not be deemed “soliciting material” or to be filed with the SEC, nor shall such information be incorporated by reference into any future filing under the Securities Act of 1933 or Securities Exchange Act of 1934, each as amended, except to the extent that we specifically incorporate it by reference into such filing.</w:t>
      </w:r>
    </w:p>
    <w:p>
      <w:pPr>
        <w:spacing w:after="0" w:line="18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Indexed Share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88900</wp:posOffset>
            </wp:positionV>
            <wp:extent cx="5642610" cy="3576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42610" cy="357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1/31/2009</w:t>
            </w:r>
          </w:p>
        </w:tc>
        <w:tc>
          <w:tcPr>
            <w:tcW w:w="160" w:type="dxa"/>
            <w:vAlign w:val="bottom"/>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1/30/2010</w:t>
            </w:r>
          </w:p>
        </w:tc>
        <w:tc>
          <w:tcPr>
            <w:tcW w:w="160" w:type="dxa"/>
            <w:vAlign w:val="bottom"/>
          </w:tcPr>
          <w:p>
            <w:pPr>
              <w:spacing w:after="0"/>
              <w:rPr>
                <w:sz w:val="15"/>
                <w:szCs w:val="15"/>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1/29/2011</w:t>
            </w:r>
          </w:p>
        </w:tc>
        <w:tc>
          <w:tcPr>
            <w:tcW w:w="160" w:type="dxa"/>
            <w:vAlign w:val="bottom"/>
          </w:tcPr>
          <w:p>
            <w:pPr>
              <w:spacing w:after="0"/>
              <w:rPr>
                <w:sz w:val="15"/>
                <w:szCs w:val="15"/>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1/28/2012</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9"/>
              </w:rPr>
              <w:t>2/2/2013</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2/1/2014</w:t>
            </w:r>
          </w:p>
        </w:tc>
        <w:tc>
          <w:tcPr>
            <w:tcW w:w="1620" w:type="dxa"/>
            <w:vAlign w:val="bottom"/>
          </w:tcPr>
          <w:p>
            <w:pPr>
              <w:spacing w:after="0"/>
              <w:rPr>
                <w:sz w:val="15"/>
                <w:szCs w:val="15"/>
                <w:color w:val="auto"/>
              </w:rPr>
            </w:pPr>
          </w:p>
        </w:tc>
      </w:tr>
      <w:tr>
        <w:trPr>
          <w:trHeight w:val="196"/>
        </w:trPr>
        <w:tc>
          <w:tcPr>
            <w:tcW w:w="2920" w:type="dxa"/>
            <w:vAlign w:val="bottom"/>
            <w:gridSpan w:val="2"/>
            <w:shd w:val="clear" w:color="auto" w:fill="C0C0C0"/>
          </w:tcPr>
          <w:p>
            <w:pPr>
              <w:ind w:left="20"/>
              <w:spacing w:after="0" w:line="196" w:lineRule="exact"/>
              <w:rPr>
                <w:sz w:val="20"/>
                <w:szCs w:val="20"/>
                <w:color w:val="auto"/>
              </w:rPr>
            </w:pPr>
            <w:r>
              <w:rPr>
                <w:rFonts w:ascii="Arial" w:cs="Arial" w:eastAsia="Arial" w:hAnsi="Arial"/>
                <w:sz w:val="18"/>
                <w:szCs w:val="18"/>
                <w:b w:val="1"/>
                <w:bCs w:val="1"/>
                <w:color w:val="auto"/>
              </w:rPr>
              <w:t>Foot Locker, Inc.</w:t>
            </w:r>
          </w:p>
        </w:tc>
        <w:tc>
          <w:tcPr>
            <w:tcW w:w="80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color w:val="auto"/>
              </w:rPr>
              <w:t>$ 100.00</w:t>
            </w:r>
          </w:p>
        </w:tc>
        <w:tc>
          <w:tcPr>
            <w:tcW w:w="980" w:type="dxa"/>
            <w:vAlign w:val="bottom"/>
            <w:gridSpan w:val="2"/>
            <w:shd w:val="clear" w:color="auto" w:fill="C0C0C0"/>
          </w:tcPr>
          <w:p>
            <w:pPr>
              <w:jc w:val="right"/>
              <w:spacing w:after="0" w:line="196" w:lineRule="exact"/>
              <w:rPr>
                <w:sz w:val="20"/>
                <w:szCs w:val="20"/>
                <w:color w:val="auto"/>
              </w:rPr>
            </w:pPr>
            <w:r>
              <w:rPr>
                <w:rFonts w:ascii="Arial" w:cs="Arial" w:eastAsia="Arial" w:hAnsi="Arial"/>
                <w:sz w:val="18"/>
                <w:szCs w:val="18"/>
                <w:color w:val="auto"/>
              </w:rPr>
              <w:t>$ 153.40</w:t>
            </w: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color w:val="auto"/>
              </w:rPr>
              <w:t>241.44</w:t>
            </w:r>
          </w:p>
        </w:tc>
        <w:tc>
          <w:tcPr>
            <w:tcW w:w="320" w:type="dxa"/>
            <w:vAlign w:val="bottom"/>
            <w:gridSpan w:val="2"/>
            <w:shd w:val="clear" w:color="auto" w:fill="C0C0C0"/>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color w:val="auto"/>
              </w:rPr>
              <w:t>359.24</w:t>
            </w:r>
          </w:p>
        </w:tc>
        <w:tc>
          <w:tcPr>
            <w:tcW w:w="300" w:type="dxa"/>
            <w:vAlign w:val="bottom"/>
            <w:gridSpan w:val="2"/>
            <w:shd w:val="clear" w:color="auto" w:fill="C0C0C0"/>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color w:val="auto"/>
              </w:rPr>
              <w:t>469.57</w:t>
            </w:r>
          </w:p>
        </w:tc>
        <w:tc>
          <w:tcPr>
            <w:tcW w:w="300" w:type="dxa"/>
            <w:vAlign w:val="bottom"/>
            <w:gridSpan w:val="2"/>
            <w:shd w:val="clear" w:color="auto" w:fill="C0C0C0"/>
          </w:tcPr>
          <w:p>
            <w:pPr>
              <w:jc w:val="right"/>
              <w:ind w:right="40"/>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0C0C0"/>
          </w:tcPr>
          <w:p>
            <w:pPr>
              <w:jc w:val="right"/>
              <w:ind w:right="14"/>
              <w:spacing w:after="0" w:line="196" w:lineRule="exact"/>
              <w:rPr>
                <w:sz w:val="20"/>
                <w:szCs w:val="20"/>
                <w:color w:val="auto"/>
              </w:rPr>
            </w:pPr>
            <w:r>
              <w:rPr>
                <w:rFonts w:ascii="Arial" w:cs="Arial" w:eastAsia="Arial" w:hAnsi="Arial"/>
                <w:sz w:val="18"/>
                <w:szCs w:val="18"/>
                <w:b w:val="1"/>
                <w:bCs w:val="1"/>
                <w:color w:val="auto"/>
              </w:rPr>
              <w:t>524.46</w:t>
            </w:r>
          </w:p>
        </w:tc>
        <w:tc>
          <w:tcPr>
            <w:tcW w:w="1620" w:type="dxa"/>
            <w:vAlign w:val="bottom"/>
          </w:tcPr>
          <w:p>
            <w:pPr>
              <w:spacing w:after="0"/>
              <w:rPr>
                <w:sz w:val="17"/>
                <w:szCs w:val="17"/>
                <w:color w:val="auto"/>
              </w:rPr>
            </w:pPr>
          </w:p>
        </w:tc>
      </w:tr>
      <w:tr>
        <w:trPr>
          <w:trHeight w:val="203"/>
        </w:trPr>
        <w:tc>
          <w:tcPr>
            <w:tcW w:w="292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S&amp;P 400 Retailing Index</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$ 100.00</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$ 173.46</w:t>
            </w:r>
          </w:p>
        </w:tc>
        <w:tc>
          <w:tcPr>
            <w:tcW w:w="16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245.62</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296.27</w:t>
            </w:r>
          </w:p>
        </w:tc>
        <w:tc>
          <w:tcPr>
            <w:tcW w:w="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362.94</w:t>
            </w:r>
          </w:p>
        </w:tc>
        <w:tc>
          <w:tcPr>
            <w:tcW w:w="30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405.97</w:t>
            </w:r>
          </w:p>
        </w:tc>
        <w:tc>
          <w:tcPr>
            <w:tcW w:w="1620" w:type="dxa"/>
            <w:vAlign w:val="bottom"/>
          </w:tcPr>
          <w:p>
            <w:pPr>
              <w:spacing w:after="0"/>
              <w:rPr>
                <w:sz w:val="17"/>
                <w:szCs w:val="17"/>
                <w:color w:val="auto"/>
              </w:rPr>
            </w:pPr>
          </w:p>
        </w:tc>
      </w:tr>
      <w:tr>
        <w:trPr>
          <w:trHeight w:val="203"/>
        </w:trPr>
        <w:tc>
          <w:tcPr>
            <w:tcW w:w="2920" w:type="dxa"/>
            <w:vAlign w:val="bottom"/>
            <w:gridSpan w:val="2"/>
            <w:shd w:val="clear" w:color="auto" w:fill="C0C0C0"/>
          </w:tcPr>
          <w:p>
            <w:pPr>
              <w:ind w:left="20"/>
              <w:spacing w:after="0" w:line="202" w:lineRule="exact"/>
              <w:rPr>
                <w:sz w:val="20"/>
                <w:szCs w:val="20"/>
                <w:color w:val="auto"/>
              </w:rPr>
            </w:pPr>
            <w:r>
              <w:rPr>
                <w:rFonts w:ascii="Arial" w:cs="Arial" w:eastAsia="Arial" w:hAnsi="Arial"/>
                <w:sz w:val="18"/>
                <w:szCs w:val="18"/>
                <w:b w:val="1"/>
                <w:bCs w:val="1"/>
                <w:color w:val="auto"/>
              </w:rPr>
              <w:t>Russell Midcap Index</w:t>
            </w:r>
          </w:p>
        </w:tc>
        <w:tc>
          <w:tcPr>
            <w:tcW w:w="80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$ 100.00</w:t>
            </w:r>
          </w:p>
        </w:tc>
        <w:tc>
          <w:tcPr>
            <w:tcW w:w="980" w:type="dxa"/>
            <w:vAlign w:val="bottom"/>
            <w:gridSpan w:val="2"/>
            <w:shd w:val="clear" w:color="auto" w:fill="C0C0C0"/>
          </w:tcPr>
          <w:p>
            <w:pPr>
              <w:jc w:val="right"/>
              <w:spacing w:after="0" w:line="202" w:lineRule="exact"/>
              <w:rPr>
                <w:sz w:val="20"/>
                <w:szCs w:val="20"/>
                <w:color w:val="auto"/>
              </w:rPr>
            </w:pPr>
            <w:r>
              <w:rPr>
                <w:rFonts w:ascii="Arial" w:cs="Arial" w:eastAsia="Arial" w:hAnsi="Arial"/>
                <w:sz w:val="18"/>
                <w:szCs w:val="18"/>
                <w:color w:val="auto"/>
              </w:rPr>
              <w:t>$ 143.76</w:t>
            </w: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185.84</w:t>
            </w:r>
          </w:p>
        </w:tc>
        <w:tc>
          <w:tcPr>
            <w:tcW w:w="320" w:type="dxa"/>
            <w:vAlign w:val="bottom"/>
            <w:gridSpan w:val="2"/>
            <w:shd w:val="clear" w:color="auto" w:fill="C0C0C0"/>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189.87</w:t>
            </w:r>
          </w:p>
        </w:tc>
        <w:tc>
          <w:tcPr>
            <w:tcW w:w="300" w:type="dxa"/>
            <w:vAlign w:val="bottom"/>
            <w:gridSpan w:val="2"/>
            <w:shd w:val="clear" w:color="auto" w:fill="C0C0C0"/>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221.05</w:t>
            </w:r>
          </w:p>
        </w:tc>
        <w:tc>
          <w:tcPr>
            <w:tcW w:w="300" w:type="dxa"/>
            <w:vAlign w:val="bottom"/>
            <w:gridSpan w:val="2"/>
            <w:shd w:val="clear" w:color="auto" w:fill="C0C0C0"/>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0C0C0"/>
          </w:tcPr>
          <w:p>
            <w:pPr>
              <w:jc w:val="right"/>
              <w:ind w:right="14"/>
              <w:spacing w:after="0" w:line="202" w:lineRule="exact"/>
              <w:rPr>
                <w:sz w:val="20"/>
                <w:szCs w:val="20"/>
                <w:color w:val="auto"/>
              </w:rPr>
            </w:pPr>
            <w:r>
              <w:rPr>
                <w:rFonts w:ascii="Arial" w:cs="Arial" w:eastAsia="Arial" w:hAnsi="Arial"/>
                <w:sz w:val="18"/>
                <w:szCs w:val="18"/>
                <w:b w:val="1"/>
                <w:bCs w:val="1"/>
                <w:color w:val="auto"/>
              </w:rPr>
              <w:t>266.70</w:t>
            </w:r>
          </w:p>
        </w:tc>
        <w:tc>
          <w:tcPr>
            <w:tcW w:w="1620" w:type="dxa"/>
            <w:vAlign w:val="bottom"/>
          </w:tcPr>
          <w:p>
            <w:pPr>
              <w:spacing w:after="0"/>
              <w:rPr>
                <w:sz w:val="17"/>
                <w:szCs w:val="17"/>
                <w:color w:val="auto"/>
              </w:rPr>
            </w:pPr>
          </w:p>
        </w:tc>
      </w:tr>
      <w:tr>
        <w:trPr>
          <w:trHeight w:val="783"/>
        </w:trPr>
        <w:tc>
          <w:tcPr>
            <w:tcW w:w="8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2"/>
        </w:trPr>
        <w:tc>
          <w:tcPr>
            <w:tcW w:w="800" w:type="dxa"/>
            <w:vAlign w:val="bottom"/>
          </w:tcPr>
          <w:p>
            <w:pPr>
              <w:spacing w:after="0"/>
              <w:rPr>
                <w:sz w:val="14"/>
                <w:szCs w:val="14"/>
                <w:color w:val="auto"/>
              </w:rPr>
            </w:pPr>
          </w:p>
        </w:tc>
        <w:tc>
          <w:tcPr>
            <w:tcW w:w="212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r>
      <w:tr>
        <w:trPr>
          <w:trHeight w:val="21"/>
        </w:trPr>
        <w:tc>
          <w:tcPr>
            <w:tcW w:w="800" w:type="dxa"/>
            <w:vAlign w:val="bottom"/>
          </w:tcPr>
          <w:p>
            <w:pPr>
              <w:spacing w:after="0" w:line="20" w:lineRule="exact"/>
              <w:rPr>
                <w:sz w:val="1"/>
                <w:szCs w:val="1"/>
                <w:color w:val="auto"/>
              </w:rPr>
            </w:pPr>
          </w:p>
        </w:tc>
        <w:tc>
          <w:tcPr>
            <w:tcW w:w="212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16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802" w:right="1139" w:bottom="1440" w:gutter="0" w:footer="0" w:header="0"/>
        </w:sectPr>
      </w:pPr>
    </w:p>
    <w:bookmarkStart w:id="14" w:name="page15"/>
    <w:bookmarkEnd w:id="1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6. Selected Financial Data</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FIVE-YEAR SUMMARY OF SELECTED FINANCIAL DATA</w:t>
      </w:r>
    </w:p>
    <w:p>
      <w:pPr>
        <w:spacing w:after="0" w:line="139" w:lineRule="exact"/>
        <w:rPr>
          <w:sz w:val="20"/>
          <w:szCs w:val="20"/>
          <w:color w:val="auto"/>
        </w:rPr>
      </w:pPr>
    </w:p>
    <w:p>
      <w:pPr>
        <w:ind w:left="60" w:right="519"/>
        <w:spacing w:after="0" w:line="242" w:lineRule="auto"/>
        <w:rPr>
          <w:sz w:val="20"/>
          <w:szCs w:val="20"/>
          <w:color w:val="auto"/>
        </w:rPr>
      </w:pPr>
      <w:r>
        <w:rPr>
          <w:rFonts w:ascii="Arial" w:cs="Arial" w:eastAsia="Arial" w:hAnsi="Arial"/>
          <w:sz w:val="18"/>
          <w:szCs w:val="18"/>
          <w:color w:val="auto"/>
        </w:rPr>
        <w:t>The selected financial data below should be read in conjunction with the Consolidated Financial Statements and the Notes thereto and other information contained elsewhere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-66675</wp:posOffset>
            </wp:positionV>
            <wp:extent cx="5565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1"/>
        </w:trPr>
        <w:tc>
          <w:tcPr>
            <w:tcW w:w="5000" w:type="dxa"/>
            <w:vAlign w:val="bottom"/>
          </w:tcPr>
          <w:p>
            <w:pPr>
              <w:ind w:left="20"/>
              <w:spacing w:after="0"/>
              <w:rPr>
                <w:sz w:val="20"/>
                <w:szCs w:val="20"/>
                <w:color w:val="auto"/>
              </w:rPr>
            </w:pPr>
            <w:r>
              <w:rPr>
                <w:rFonts w:ascii="Arial" w:cs="Arial" w:eastAsia="Arial" w:hAnsi="Arial"/>
                <w:sz w:val="14"/>
                <w:szCs w:val="14"/>
                <w:b w:val="1"/>
                <w:bCs w:val="1"/>
                <w:color w:val="auto"/>
              </w:rPr>
              <w:t>($ in millions, except per share amounts)</w:t>
            </w: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6"/>
                <w:szCs w:val="16"/>
                <w:color w:val="auto"/>
              </w:rPr>
            </w:pPr>
          </w:p>
        </w:tc>
        <w:tc>
          <w:tcPr>
            <w:tcW w:w="740" w:type="dxa"/>
            <w:vAlign w:val="bottom"/>
            <w:gridSpan w:val="3"/>
          </w:tcPr>
          <w:p>
            <w:pPr>
              <w:jc w:val="right"/>
              <w:ind w:right="80"/>
              <w:spacing w:after="0" w:line="191" w:lineRule="exact"/>
              <w:rPr>
                <w:sz w:val="20"/>
                <w:szCs w:val="20"/>
                <w:color w:val="auto"/>
              </w:rPr>
            </w:pPr>
            <w:r>
              <w:rPr>
                <w:rFonts w:ascii="Arial" w:cs="Arial" w:eastAsia="Arial" w:hAnsi="Arial"/>
                <w:sz w:val="14"/>
                <w:szCs w:val="14"/>
                <w:b w:val="1"/>
                <w:bCs w:val="1"/>
                <w:color w:val="auto"/>
              </w:rPr>
              <w:t>2012</w:t>
            </w:r>
            <w:r>
              <w:rPr>
                <w:rFonts w:ascii="Arial" w:cs="Arial" w:eastAsia="Arial" w:hAnsi="Arial"/>
                <w:sz w:val="22"/>
                <w:szCs w:val="22"/>
                <w:b w:val="1"/>
                <w:bCs w:val="1"/>
                <w:color w:val="auto"/>
                <w:vertAlign w:val="superscript"/>
              </w:rPr>
              <w:t>(1)</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6"/>
                <w:szCs w:val="16"/>
                <w:color w:val="auto"/>
              </w:rPr>
            </w:pPr>
          </w:p>
        </w:tc>
      </w:tr>
      <w:tr>
        <w:trPr>
          <w:trHeight w:val="196"/>
        </w:trPr>
        <w:tc>
          <w:tcPr>
            <w:tcW w:w="5000" w:type="dxa"/>
            <w:vAlign w:val="bottom"/>
            <w:shd w:val="clear" w:color="auto" w:fill="C0C0C0"/>
          </w:tcPr>
          <w:p>
            <w:pPr>
              <w:ind w:left="20"/>
              <w:spacing w:after="0" w:line="196" w:lineRule="exact"/>
              <w:rPr>
                <w:sz w:val="20"/>
                <w:szCs w:val="20"/>
                <w:color w:val="auto"/>
              </w:rPr>
            </w:pPr>
            <w:r>
              <w:rPr>
                <w:rFonts w:ascii="Arial" w:cs="Arial" w:eastAsia="Arial" w:hAnsi="Arial"/>
                <w:sz w:val="18"/>
                <w:szCs w:val="18"/>
                <w:b w:val="1"/>
                <w:bCs w:val="1"/>
                <w:color w:val="auto"/>
              </w:rPr>
              <w:t>Summary of Continuing Operations</w:t>
            </w:r>
          </w:p>
        </w:tc>
        <w:tc>
          <w:tcPr>
            <w:tcW w:w="100" w:type="dxa"/>
            <w:vAlign w:val="bottom"/>
            <w:tcBorders>
              <w:top w:val="single" w:sz="8" w:color="auto"/>
            </w:tcBorders>
            <w:shd w:val="clear" w:color="auto" w:fill="C0C0C0"/>
          </w:tcPr>
          <w:p>
            <w:pPr>
              <w:spacing w:after="0"/>
              <w:rPr>
                <w:sz w:val="17"/>
                <w:szCs w:val="17"/>
                <w:color w:val="auto"/>
              </w:rPr>
            </w:pPr>
          </w:p>
        </w:tc>
        <w:tc>
          <w:tcPr>
            <w:tcW w:w="460" w:type="dxa"/>
            <w:vAlign w:val="bottom"/>
            <w:tcBorders>
              <w:top w:val="single" w:sz="8" w:color="auto"/>
            </w:tcBorders>
            <w:shd w:val="clear" w:color="auto" w:fill="C0C0C0"/>
          </w:tcPr>
          <w:p>
            <w:pPr>
              <w:spacing w:after="0"/>
              <w:rPr>
                <w:sz w:val="17"/>
                <w:szCs w:val="17"/>
                <w:color w:val="auto"/>
              </w:rPr>
            </w:pPr>
          </w:p>
        </w:tc>
        <w:tc>
          <w:tcPr>
            <w:tcW w:w="220" w:type="dxa"/>
            <w:vAlign w:val="bottom"/>
            <w:tcBorders>
              <w:top w:val="single" w:sz="8" w:color="auto"/>
            </w:tcBorders>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520" w:type="dxa"/>
            <w:vAlign w:val="bottom"/>
            <w:tcBorders>
              <w:top w:val="single" w:sz="8" w:color="auto"/>
            </w:tcBorders>
            <w:shd w:val="clear" w:color="auto" w:fill="C0C0C0"/>
          </w:tcPr>
          <w:p>
            <w:pPr>
              <w:spacing w:after="0"/>
              <w:rPr>
                <w:sz w:val="17"/>
                <w:szCs w:val="17"/>
                <w:color w:val="auto"/>
              </w:rPr>
            </w:pPr>
          </w:p>
        </w:tc>
        <w:tc>
          <w:tcPr>
            <w:tcW w:w="120" w:type="dxa"/>
            <w:vAlign w:val="bottom"/>
            <w:tcBorders>
              <w:top w:val="single" w:sz="8" w:color="auto"/>
            </w:tcBorders>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520" w:type="dxa"/>
            <w:vAlign w:val="bottom"/>
            <w:tcBorders>
              <w:top w:val="single" w:sz="8" w:color="auto"/>
            </w:tcBorders>
            <w:shd w:val="clear" w:color="auto" w:fill="C0C0C0"/>
          </w:tcPr>
          <w:p>
            <w:pPr>
              <w:spacing w:after="0"/>
              <w:rPr>
                <w:sz w:val="17"/>
                <w:szCs w:val="17"/>
                <w:color w:val="auto"/>
              </w:rPr>
            </w:pPr>
          </w:p>
        </w:tc>
        <w:tc>
          <w:tcPr>
            <w:tcW w:w="120" w:type="dxa"/>
            <w:vAlign w:val="bottom"/>
            <w:tcBorders>
              <w:top w:val="single" w:sz="8" w:color="auto"/>
            </w:tcBorders>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520" w:type="dxa"/>
            <w:vAlign w:val="bottom"/>
            <w:tcBorders>
              <w:top w:val="single" w:sz="8" w:color="auto"/>
            </w:tcBorders>
            <w:shd w:val="clear" w:color="auto" w:fill="C0C0C0"/>
          </w:tcPr>
          <w:p>
            <w:pPr>
              <w:spacing w:after="0"/>
              <w:rPr>
                <w:sz w:val="17"/>
                <w:szCs w:val="17"/>
                <w:color w:val="auto"/>
              </w:rPr>
            </w:pPr>
          </w:p>
        </w:tc>
        <w:tc>
          <w:tcPr>
            <w:tcW w:w="120" w:type="dxa"/>
            <w:vAlign w:val="bottom"/>
            <w:tcBorders>
              <w:top w:val="single" w:sz="8" w:color="auto"/>
            </w:tcBorders>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540" w:type="dxa"/>
            <w:vAlign w:val="bottom"/>
            <w:tcBorders>
              <w:top w:val="single" w:sz="8" w:color="auto"/>
            </w:tcBorders>
            <w:shd w:val="clear" w:color="auto" w:fill="C0C0C0"/>
          </w:tcPr>
          <w:p>
            <w:pPr>
              <w:spacing w:after="0"/>
              <w:rPr>
                <w:sz w:val="17"/>
                <w:szCs w:val="17"/>
                <w:color w:val="auto"/>
              </w:rPr>
            </w:pPr>
          </w:p>
        </w:tc>
        <w:tc>
          <w:tcPr>
            <w:tcW w:w="140" w:type="dxa"/>
            <w:vAlign w:val="bottom"/>
            <w:tcBorders>
              <w:top w:val="single" w:sz="8" w:color="auto"/>
            </w:tcBorders>
            <w:shd w:val="clear" w:color="auto" w:fill="C0C0C0"/>
          </w:tcPr>
          <w:p>
            <w:pPr>
              <w:spacing w:after="0"/>
              <w:rPr>
                <w:sz w:val="17"/>
                <w:szCs w:val="17"/>
                <w:color w:val="auto"/>
              </w:rPr>
            </w:pP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Sales</w:t>
            </w:r>
          </w:p>
        </w:tc>
        <w:tc>
          <w:tcPr>
            <w:tcW w:w="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68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w w:val="97"/>
              </w:rPr>
              <w:t>6,505</w:t>
            </w:r>
          </w:p>
        </w:tc>
        <w:tc>
          <w:tcPr>
            <w:tcW w:w="7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6,182</w:t>
            </w:r>
          </w:p>
        </w:tc>
        <w:tc>
          <w:tcPr>
            <w:tcW w:w="7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5,623</w:t>
            </w:r>
          </w:p>
        </w:tc>
        <w:tc>
          <w:tcPr>
            <w:tcW w:w="7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5,049</w:t>
            </w:r>
          </w:p>
        </w:tc>
        <w:tc>
          <w:tcPr>
            <w:tcW w:w="78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4,854</w:t>
            </w:r>
          </w:p>
        </w:tc>
      </w:tr>
      <w:tr>
        <w:trPr>
          <w:trHeight w:val="203"/>
        </w:trPr>
        <w:tc>
          <w:tcPr>
            <w:tcW w:w="500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Gross margin</w:t>
            </w:r>
          </w:p>
        </w:tc>
        <w:tc>
          <w:tcPr>
            <w:tcW w:w="1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220"/>
              <w:spacing w:after="0" w:line="202" w:lineRule="exact"/>
              <w:rPr>
                <w:sz w:val="20"/>
                <w:szCs w:val="20"/>
                <w:color w:val="auto"/>
              </w:rPr>
            </w:pPr>
            <w:r>
              <w:rPr>
                <w:rFonts w:ascii="Arial" w:cs="Arial" w:eastAsia="Arial" w:hAnsi="Arial"/>
                <w:sz w:val="18"/>
                <w:szCs w:val="18"/>
                <w:b w:val="1"/>
                <w:bCs w:val="1"/>
                <w:color w:val="auto"/>
                <w:w w:val="97"/>
              </w:rPr>
              <w:t>2,133</w:t>
            </w:r>
          </w:p>
        </w:tc>
        <w:tc>
          <w:tcPr>
            <w:tcW w:w="740" w:type="dxa"/>
            <w:vAlign w:val="bottom"/>
            <w:gridSpan w:val="3"/>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2,034</w:t>
            </w:r>
          </w:p>
        </w:tc>
        <w:tc>
          <w:tcPr>
            <w:tcW w:w="740" w:type="dxa"/>
            <w:vAlign w:val="bottom"/>
            <w:gridSpan w:val="3"/>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1,796</w:t>
            </w:r>
          </w:p>
        </w:tc>
        <w:tc>
          <w:tcPr>
            <w:tcW w:w="740" w:type="dxa"/>
            <w:vAlign w:val="bottom"/>
            <w:gridSpan w:val="3"/>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1,516</w:t>
            </w:r>
          </w:p>
        </w:tc>
        <w:tc>
          <w:tcPr>
            <w:tcW w:w="780" w:type="dxa"/>
            <w:vAlign w:val="bottom"/>
            <w:gridSpan w:val="3"/>
            <w:shd w:val="clear" w:color="auto" w:fill="C0C0C0"/>
          </w:tcPr>
          <w:p>
            <w:pPr>
              <w:jc w:val="right"/>
              <w:ind w:right="140"/>
              <w:spacing w:after="0" w:line="202" w:lineRule="exact"/>
              <w:rPr>
                <w:sz w:val="20"/>
                <w:szCs w:val="20"/>
                <w:color w:val="auto"/>
              </w:rPr>
            </w:pPr>
            <w:r>
              <w:rPr>
                <w:rFonts w:ascii="Arial" w:cs="Arial" w:eastAsia="Arial" w:hAnsi="Arial"/>
                <w:sz w:val="18"/>
                <w:szCs w:val="18"/>
                <w:color w:val="auto"/>
              </w:rPr>
              <w:t>1,332</w:t>
            </w: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7"/>
                <w:szCs w:val="17"/>
                <w:color w:val="auto"/>
              </w:rPr>
            </w:pPr>
          </w:p>
        </w:tc>
        <w:tc>
          <w:tcPr>
            <w:tcW w:w="68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w w:val="97"/>
              </w:rPr>
              <w:t>1,334</w:t>
            </w:r>
          </w:p>
        </w:tc>
        <w:tc>
          <w:tcPr>
            <w:tcW w:w="7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1,294</w:t>
            </w:r>
          </w:p>
        </w:tc>
        <w:tc>
          <w:tcPr>
            <w:tcW w:w="7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1,244</w:t>
            </w:r>
          </w:p>
        </w:tc>
        <w:tc>
          <w:tcPr>
            <w:tcW w:w="7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1,138</w:t>
            </w:r>
          </w:p>
        </w:tc>
        <w:tc>
          <w:tcPr>
            <w:tcW w:w="78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1,099</w:t>
            </w:r>
          </w:p>
        </w:tc>
      </w:tr>
      <w:tr>
        <w:trPr>
          <w:trHeight w:val="203"/>
        </w:trPr>
        <w:tc>
          <w:tcPr>
            <w:tcW w:w="500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Impairment and other charges</w:t>
            </w:r>
          </w:p>
        </w:tc>
        <w:tc>
          <w:tcPr>
            <w:tcW w:w="1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220"/>
              <w:spacing w:after="0" w:line="202" w:lineRule="exact"/>
              <w:rPr>
                <w:sz w:val="20"/>
                <w:szCs w:val="20"/>
                <w:color w:val="auto"/>
              </w:rPr>
            </w:pPr>
            <w:r>
              <w:rPr>
                <w:rFonts w:ascii="Arial" w:cs="Arial" w:eastAsia="Arial" w:hAnsi="Arial"/>
                <w:sz w:val="18"/>
                <w:szCs w:val="18"/>
                <w:b w:val="1"/>
                <w:bCs w:val="1"/>
                <w:color w:val="auto"/>
              </w:rPr>
              <w:t>2</w:t>
            </w:r>
          </w:p>
        </w:tc>
        <w:tc>
          <w:tcPr>
            <w:tcW w:w="740" w:type="dxa"/>
            <w:vAlign w:val="bottom"/>
            <w:gridSpan w:val="3"/>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12</w:t>
            </w:r>
          </w:p>
        </w:tc>
        <w:tc>
          <w:tcPr>
            <w:tcW w:w="740" w:type="dxa"/>
            <w:vAlign w:val="bottom"/>
            <w:gridSpan w:val="3"/>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5</w:t>
            </w:r>
          </w:p>
        </w:tc>
        <w:tc>
          <w:tcPr>
            <w:tcW w:w="740" w:type="dxa"/>
            <w:vAlign w:val="bottom"/>
            <w:gridSpan w:val="3"/>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10</w:t>
            </w:r>
          </w:p>
        </w:tc>
        <w:tc>
          <w:tcPr>
            <w:tcW w:w="780" w:type="dxa"/>
            <w:vAlign w:val="bottom"/>
            <w:gridSpan w:val="3"/>
            <w:shd w:val="clear" w:color="auto" w:fill="C0C0C0"/>
          </w:tcPr>
          <w:p>
            <w:pPr>
              <w:jc w:val="right"/>
              <w:ind w:right="140"/>
              <w:spacing w:after="0" w:line="202" w:lineRule="exact"/>
              <w:rPr>
                <w:sz w:val="20"/>
                <w:szCs w:val="20"/>
                <w:color w:val="auto"/>
              </w:rPr>
            </w:pPr>
            <w:r>
              <w:rPr>
                <w:rFonts w:ascii="Arial" w:cs="Arial" w:eastAsia="Arial" w:hAnsi="Arial"/>
                <w:sz w:val="18"/>
                <w:szCs w:val="18"/>
                <w:color w:val="auto"/>
              </w:rPr>
              <w:t>41</w:t>
            </w: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7"/>
                <w:szCs w:val="17"/>
                <w:color w:val="auto"/>
              </w:rPr>
            </w:pPr>
          </w:p>
        </w:tc>
        <w:tc>
          <w:tcPr>
            <w:tcW w:w="68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133</w:t>
            </w:r>
          </w:p>
        </w:tc>
        <w:tc>
          <w:tcPr>
            <w:tcW w:w="7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118</w:t>
            </w:r>
          </w:p>
        </w:tc>
        <w:tc>
          <w:tcPr>
            <w:tcW w:w="7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110</w:t>
            </w:r>
          </w:p>
        </w:tc>
        <w:tc>
          <w:tcPr>
            <w:tcW w:w="7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106</w:t>
            </w:r>
          </w:p>
        </w:tc>
        <w:tc>
          <w:tcPr>
            <w:tcW w:w="78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112</w:t>
            </w:r>
          </w:p>
        </w:tc>
      </w:tr>
      <w:tr>
        <w:trPr>
          <w:trHeight w:val="203"/>
        </w:trPr>
        <w:tc>
          <w:tcPr>
            <w:tcW w:w="500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220"/>
              <w:spacing w:after="0" w:line="202" w:lineRule="exact"/>
              <w:rPr>
                <w:sz w:val="20"/>
                <w:szCs w:val="20"/>
                <w:color w:val="auto"/>
              </w:rPr>
            </w:pPr>
            <w:r>
              <w:rPr>
                <w:rFonts w:ascii="Arial" w:cs="Arial" w:eastAsia="Arial" w:hAnsi="Arial"/>
                <w:sz w:val="18"/>
                <w:szCs w:val="18"/>
                <w:b w:val="1"/>
                <w:bCs w:val="1"/>
                <w:color w:val="auto"/>
              </w:rPr>
              <w:t>5</w:t>
            </w:r>
          </w:p>
        </w:tc>
        <w:tc>
          <w:tcPr>
            <w:tcW w:w="740" w:type="dxa"/>
            <w:vAlign w:val="bottom"/>
            <w:gridSpan w:val="3"/>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5</w:t>
            </w:r>
          </w:p>
        </w:tc>
        <w:tc>
          <w:tcPr>
            <w:tcW w:w="740" w:type="dxa"/>
            <w:vAlign w:val="bottom"/>
            <w:gridSpan w:val="3"/>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6</w:t>
            </w:r>
          </w:p>
        </w:tc>
        <w:tc>
          <w:tcPr>
            <w:tcW w:w="740" w:type="dxa"/>
            <w:vAlign w:val="bottom"/>
            <w:gridSpan w:val="3"/>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9</w:t>
            </w:r>
          </w:p>
        </w:tc>
        <w:tc>
          <w:tcPr>
            <w:tcW w:w="780" w:type="dxa"/>
            <w:vAlign w:val="bottom"/>
            <w:gridSpan w:val="3"/>
            <w:shd w:val="clear" w:color="auto" w:fill="C0C0C0"/>
          </w:tcPr>
          <w:p>
            <w:pPr>
              <w:jc w:val="right"/>
              <w:ind w:right="140"/>
              <w:spacing w:after="0" w:line="202" w:lineRule="exact"/>
              <w:rPr>
                <w:sz w:val="20"/>
                <w:szCs w:val="20"/>
                <w:color w:val="auto"/>
              </w:rPr>
            </w:pPr>
            <w:r>
              <w:rPr>
                <w:rFonts w:ascii="Arial" w:cs="Arial" w:eastAsia="Arial" w:hAnsi="Arial"/>
                <w:sz w:val="18"/>
                <w:szCs w:val="18"/>
                <w:color w:val="auto"/>
              </w:rPr>
              <w:t>10</w:t>
            </w: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(4)</w:t>
            </w:r>
          </w:p>
        </w:tc>
        <w:tc>
          <w:tcPr>
            <w:tcW w:w="7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7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w:t>
            </w:r>
          </w:p>
        </w:tc>
        <w:tc>
          <w:tcPr>
            <w:tcW w:w="7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w:t>
            </w:r>
          </w:p>
        </w:tc>
        <w:tc>
          <w:tcPr>
            <w:tcW w:w="7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(3)</w:t>
            </w:r>
          </w:p>
        </w:tc>
      </w:tr>
      <w:tr>
        <w:trPr>
          <w:trHeight w:val="203"/>
        </w:trPr>
        <w:tc>
          <w:tcPr>
            <w:tcW w:w="500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Income from continuing operations, after-tax</w:t>
            </w:r>
          </w:p>
        </w:tc>
        <w:tc>
          <w:tcPr>
            <w:tcW w:w="1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220"/>
              <w:spacing w:after="0" w:line="202" w:lineRule="exact"/>
              <w:rPr>
                <w:sz w:val="20"/>
                <w:szCs w:val="20"/>
                <w:color w:val="auto"/>
              </w:rPr>
            </w:pPr>
            <w:r>
              <w:rPr>
                <w:rFonts w:ascii="Arial" w:cs="Arial" w:eastAsia="Arial" w:hAnsi="Arial"/>
                <w:sz w:val="18"/>
                <w:szCs w:val="18"/>
                <w:b w:val="1"/>
                <w:bCs w:val="1"/>
                <w:color w:val="auto"/>
              </w:rPr>
              <w:t>429</w:t>
            </w:r>
          </w:p>
        </w:tc>
        <w:tc>
          <w:tcPr>
            <w:tcW w:w="740" w:type="dxa"/>
            <w:vAlign w:val="bottom"/>
            <w:gridSpan w:val="3"/>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397</w:t>
            </w:r>
          </w:p>
        </w:tc>
        <w:tc>
          <w:tcPr>
            <w:tcW w:w="740" w:type="dxa"/>
            <w:vAlign w:val="bottom"/>
            <w:gridSpan w:val="3"/>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278</w:t>
            </w:r>
          </w:p>
        </w:tc>
        <w:tc>
          <w:tcPr>
            <w:tcW w:w="740" w:type="dxa"/>
            <w:vAlign w:val="bottom"/>
            <w:gridSpan w:val="3"/>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169</w:t>
            </w:r>
          </w:p>
        </w:tc>
        <w:tc>
          <w:tcPr>
            <w:tcW w:w="780" w:type="dxa"/>
            <w:vAlign w:val="bottom"/>
            <w:gridSpan w:val="3"/>
            <w:shd w:val="clear" w:color="auto" w:fill="C0C0C0"/>
          </w:tcPr>
          <w:p>
            <w:pPr>
              <w:jc w:val="right"/>
              <w:ind w:right="140"/>
              <w:spacing w:after="0" w:line="202" w:lineRule="exact"/>
              <w:rPr>
                <w:sz w:val="20"/>
                <w:szCs w:val="20"/>
                <w:color w:val="auto"/>
              </w:rPr>
            </w:pPr>
            <w:r>
              <w:rPr>
                <w:rFonts w:ascii="Arial" w:cs="Arial" w:eastAsia="Arial" w:hAnsi="Arial"/>
                <w:sz w:val="18"/>
                <w:szCs w:val="18"/>
                <w:color w:val="auto"/>
              </w:rPr>
              <w:t>47</w:t>
            </w: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Per Common Share Data</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5000" w:type="dxa"/>
            <w:vAlign w:val="bottom"/>
            <w:shd w:val="clear" w:color="auto" w:fill="C0C0C0"/>
          </w:tcPr>
          <w:p>
            <w:pPr>
              <w:ind w:left="200"/>
              <w:spacing w:after="0" w:line="202" w:lineRule="exact"/>
              <w:rPr>
                <w:sz w:val="20"/>
                <w:szCs w:val="20"/>
                <w:color w:val="auto"/>
              </w:rPr>
            </w:pPr>
            <w:r>
              <w:rPr>
                <w:rFonts w:ascii="Arial" w:cs="Arial" w:eastAsia="Arial" w:hAnsi="Arial"/>
                <w:sz w:val="18"/>
                <w:szCs w:val="18"/>
                <w:color w:val="auto"/>
              </w:rPr>
              <w:t>Basic earnings</w:t>
            </w:r>
          </w:p>
        </w:tc>
        <w:tc>
          <w:tcPr>
            <w:tcW w:w="1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220"/>
              <w:spacing w:after="0" w:line="202" w:lineRule="exact"/>
              <w:rPr>
                <w:sz w:val="20"/>
                <w:szCs w:val="20"/>
                <w:color w:val="auto"/>
              </w:rPr>
            </w:pPr>
            <w:r>
              <w:rPr>
                <w:rFonts w:ascii="Arial" w:cs="Arial" w:eastAsia="Arial" w:hAnsi="Arial"/>
                <w:sz w:val="18"/>
                <w:szCs w:val="18"/>
                <w:b w:val="1"/>
                <w:bCs w:val="1"/>
                <w:color w:val="auto"/>
              </w:rPr>
              <w:t>2.89</w:t>
            </w:r>
          </w:p>
        </w:tc>
        <w:tc>
          <w:tcPr>
            <w:tcW w:w="740" w:type="dxa"/>
            <w:vAlign w:val="bottom"/>
            <w:gridSpan w:val="3"/>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2.62</w:t>
            </w:r>
          </w:p>
        </w:tc>
        <w:tc>
          <w:tcPr>
            <w:tcW w:w="740" w:type="dxa"/>
            <w:vAlign w:val="bottom"/>
            <w:gridSpan w:val="3"/>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1.81</w:t>
            </w:r>
          </w:p>
        </w:tc>
        <w:tc>
          <w:tcPr>
            <w:tcW w:w="740" w:type="dxa"/>
            <w:vAlign w:val="bottom"/>
            <w:gridSpan w:val="3"/>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1.08</w:t>
            </w:r>
          </w:p>
        </w:tc>
        <w:tc>
          <w:tcPr>
            <w:tcW w:w="780" w:type="dxa"/>
            <w:vAlign w:val="bottom"/>
            <w:gridSpan w:val="3"/>
            <w:shd w:val="clear" w:color="auto" w:fill="C0C0C0"/>
          </w:tcPr>
          <w:p>
            <w:pPr>
              <w:jc w:val="right"/>
              <w:ind w:right="140"/>
              <w:spacing w:after="0" w:line="202" w:lineRule="exact"/>
              <w:rPr>
                <w:sz w:val="20"/>
                <w:szCs w:val="20"/>
                <w:color w:val="auto"/>
              </w:rPr>
            </w:pPr>
            <w:r>
              <w:rPr>
                <w:rFonts w:ascii="Arial" w:cs="Arial" w:eastAsia="Arial" w:hAnsi="Arial"/>
                <w:sz w:val="18"/>
                <w:szCs w:val="18"/>
                <w:color w:val="auto"/>
              </w:rPr>
              <w:t>0.30</w:t>
            </w:r>
          </w:p>
        </w:tc>
      </w:tr>
      <w:tr>
        <w:trPr>
          <w:trHeight w:val="203"/>
        </w:trPr>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Diluted earnings</w:t>
            </w:r>
          </w:p>
        </w:tc>
        <w:tc>
          <w:tcPr>
            <w:tcW w:w="100" w:type="dxa"/>
            <w:vAlign w:val="bottom"/>
          </w:tcPr>
          <w:p>
            <w:pPr>
              <w:spacing w:after="0"/>
              <w:rPr>
                <w:sz w:val="17"/>
                <w:szCs w:val="17"/>
                <w:color w:val="auto"/>
              </w:rPr>
            </w:pPr>
          </w:p>
        </w:tc>
        <w:tc>
          <w:tcPr>
            <w:tcW w:w="68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2.85</w:t>
            </w:r>
          </w:p>
        </w:tc>
        <w:tc>
          <w:tcPr>
            <w:tcW w:w="7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2.58</w:t>
            </w:r>
          </w:p>
        </w:tc>
        <w:tc>
          <w:tcPr>
            <w:tcW w:w="7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1.80</w:t>
            </w:r>
          </w:p>
        </w:tc>
        <w:tc>
          <w:tcPr>
            <w:tcW w:w="7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1.07</w:t>
            </w:r>
          </w:p>
        </w:tc>
        <w:tc>
          <w:tcPr>
            <w:tcW w:w="78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0.30</w:t>
            </w:r>
          </w:p>
        </w:tc>
      </w:tr>
      <w:tr>
        <w:trPr>
          <w:trHeight w:val="203"/>
        </w:trPr>
        <w:tc>
          <w:tcPr>
            <w:tcW w:w="5000" w:type="dxa"/>
            <w:vAlign w:val="bottom"/>
            <w:shd w:val="clear" w:color="auto" w:fill="C0C0C0"/>
          </w:tcPr>
          <w:p>
            <w:pPr>
              <w:ind w:left="200"/>
              <w:spacing w:after="0" w:line="202" w:lineRule="exact"/>
              <w:rPr>
                <w:sz w:val="20"/>
                <w:szCs w:val="20"/>
                <w:color w:val="auto"/>
              </w:rPr>
            </w:pPr>
            <w:r>
              <w:rPr>
                <w:rFonts w:ascii="Arial" w:cs="Arial" w:eastAsia="Arial" w:hAnsi="Arial"/>
                <w:sz w:val="18"/>
                <w:szCs w:val="18"/>
                <w:color w:val="auto"/>
              </w:rPr>
              <w:t>Common stock dividends declared per share</w:t>
            </w:r>
          </w:p>
        </w:tc>
        <w:tc>
          <w:tcPr>
            <w:tcW w:w="1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220"/>
              <w:spacing w:after="0" w:line="202" w:lineRule="exact"/>
              <w:rPr>
                <w:sz w:val="20"/>
                <w:szCs w:val="20"/>
                <w:color w:val="auto"/>
              </w:rPr>
            </w:pPr>
            <w:r>
              <w:rPr>
                <w:rFonts w:ascii="Arial" w:cs="Arial" w:eastAsia="Arial" w:hAnsi="Arial"/>
                <w:sz w:val="18"/>
                <w:szCs w:val="18"/>
                <w:b w:val="1"/>
                <w:bCs w:val="1"/>
                <w:color w:val="auto"/>
              </w:rPr>
              <w:t>0.80</w:t>
            </w:r>
          </w:p>
        </w:tc>
        <w:tc>
          <w:tcPr>
            <w:tcW w:w="740" w:type="dxa"/>
            <w:vAlign w:val="bottom"/>
            <w:gridSpan w:val="3"/>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0.72</w:t>
            </w:r>
          </w:p>
        </w:tc>
        <w:tc>
          <w:tcPr>
            <w:tcW w:w="740" w:type="dxa"/>
            <w:vAlign w:val="bottom"/>
            <w:gridSpan w:val="3"/>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0.66</w:t>
            </w:r>
          </w:p>
        </w:tc>
        <w:tc>
          <w:tcPr>
            <w:tcW w:w="740" w:type="dxa"/>
            <w:vAlign w:val="bottom"/>
            <w:gridSpan w:val="3"/>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0.60</w:t>
            </w:r>
          </w:p>
        </w:tc>
        <w:tc>
          <w:tcPr>
            <w:tcW w:w="780" w:type="dxa"/>
            <w:vAlign w:val="bottom"/>
            <w:gridSpan w:val="3"/>
            <w:shd w:val="clear" w:color="auto" w:fill="C0C0C0"/>
          </w:tcPr>
          <w:p>
            <w:pPr>
              <w:jc w:val="right"/>
              <w:ind w:right="140"/>
              <w:spacing w:after="0" w:line="202" w:lineRule="exact"/>
              <w:rPr>
                <w:sz w:val="20"/>
                <w:szCs w:val="20"/>
                <w:color w:val="auto"/>
              </w:rPr>
            </w:pPr>
            <w:r>
              <w:rPr>
                <w:rFonts w:ascii="Arial" w:cs="Arial" w:eastAsia="Arial" w:hAnsi="Arial"/>
                <w:sz w:val="18"/>
                <w:szCs w:val="18"/>
                <w:color w:val="auto"/>
              </w:rPr>
              <w:t>0.60</w:t>
            </w: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Weighted-average Common Shares Outstanding</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5000" w:type="dxa"/>
            <w:vAlign w:val="bottom"/>
            <w:shd w:val="clear" w:color="auto" w:fill="C0C0C0"/>
          </w:tcPr>
          <w:p>
            <w:pPr>
              <w:ind w:left="200"/>
              <w:spacing w:after="0" w:line="202" w:lineRule="exact"/>
              <w:rPr>
                <w:sz w:val="20"/>
                <w:szCs w:val="20"/>
                <w:color w:val="auto"/>
              </w:rPr>
            </w:pPr>
            <w:r>
              <w:rPr>
                <w:rFonts w:ascii="Arial" w:cs="Arial" w:eastAsia="Arial" w:hAnsi="Arial"/>
                <w:sz w:val="18"/>
                <w:szCs w:val="18"/>
                <w:color w:val="auto"/>
              </w:rPr>
              <w:t>Basic earnings</w:t>
            </w:r>
          </w:p>
        </w:tc>
        <w:tc>
          <w:tcPr>
            <w:tcW w:w="1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220"/>
              <w:spacing w:after="0" w:line="202" w:lineRule="exact"/>
              <w:rPr>
                <w:sz w:val="20"/>
                <w:szCs w:val="20"/>
                <w:color w:val="auto"/>
              </w:rPr>
            </w:pPr>
            <w:r>
              <w:rPr>
                <w:rFonts w:ascii="Arial" w:cs="Arial" w:eastAsia="Arial" w:hAnsi="Arial"/>
                <w:sz w:val="18"/>
                <w:szCs w:val="18"/>
                <w:b w:val="1"/>
                <w:bCs w:val="1"/>
                <w:color w:val="auto"/>
                <w:w w:val="97"/>
              </w:rPr>
              <w:t>148.4</w:t>
            </w:r>
          </w:p>
        </w:tc>
        <w:tc>
          <w:tcPr>
            <w:tcW w:w="740" w:type="dxa"/>
            <w:vAlign w:val="bottom"/>
            <w:gridSpan w:val="3"/>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151.2</w:t>
            </w:r>
          </w:p>
        </w:tc>
        <w:tc>
          <w:tcPr>
            <w:tcW w:w="740" w:type="dxa"/>
            <w:vAlign w:val="bottom"/>
            <w:gridSpan w:val="3"/>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153.0</w:t>
            </w:r>
          </w:p>
        </w:tc>
        <w:tc>
          <w:tcPr>
            <w:tcW w:w="740" w:type="dxa"/>
            <w:vAlign w:val="bottom"/>
            <w:gridSpan w:val="3"/>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155.7</w:t>
            </w:r>
          </w:p>
        </w:tc>
        <w:tc>
          <w:tcPr>
            <w:tcW w:w="780" w:type="dxa"/>
            <w:vAlign w:val="bottom"/>
            <w:gridSpan w:val="3"/>
            <w:shd w:val="clear" w:color="auto" w:fill="C0C0C0"/>
          </w:tcPr>
          <w:p>
            <w:pPr>
              <w:jc w:val="right"/>
              <w:ind w:right="140"/>
              <w:spacing w:after="0" w:line="202" w:lineRule="exact"/>
              <w:rPr>
                <w:sz w:val="20"/>
                <w:szCs w:val="20"/>
                <w:color w:val="auto"/>
              </w:rPr>
            </w:pPr>
            <w:r>
              <w:rPr>
                <w:rFonts w:ascii="Arial" w:cs="Arial" w:eastAsia="Arial" w:hAnsi="Arial"/>
                <w:sz w:val="18"/>
                <w:szCs w:val="18"/>
                <w:color w:val="auto"/>
              </w:rPr>
              <w:t>156.0</w:t>
            </w:r>
          </w:p>
        </w:tc>
      </w:tr>
      <w:tr>
        <w:trPr>
          <w:trHeight w:val="203"/>
        </w:trPr>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Diluted earnings</w:t>
            </w:r>
          </w:p>
        </w:tc>
        <w:tc>
          <w:tcPr>
            <w:tcW w:w="100" w:type="dxa"/>
            <w:vAlign w:val="bottom"/>
          </w:tcPr>
          <w:p>
            <w:pPr>
              <w:spacing w:after="0"/>
              <w:rPr>
                <w:sz w:val="17"/>
                <w:szCs w:val="17"/>
                <w:color w:val="auto"/>
              </w:rPr>
            </w:pPr>
          </w:p>
        </w:tc>
        <w:tc>
          <w:tcPr>
            <w:tcW w:w="68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w w:val="97"/>
              </w:rPr>
              <w:t>150.</w:t>
            </w:r>
            <w:r>
              <w:rPr>
                <w:rFonts w:ascii="Arial" w:cs="Arial" w:eastAsia="Arial" w:hAnsi="Arial"/>
                <w:sz w:val="18"/>
                <w:szCs w:val="18"/>
                <w:b w:val="1"/>
                <w:bCs w:val="1"/>
                <w:u w:val="single" w:color="auto"/>
                <w:color w:val="auto"/>
                <w:w w:val="97"/>
              </w:rPr>
              <w:t>5</w:t>
            </w:r>
          </w:p>
        </w:tc>
        <w:tc>
          <w:tcPr>
            <w:tcW w:w="7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154.</w:t>
            </w:r>
            <w:r>
              <w:rPr>
                <w:rFonts w:ascii="Arial" w:cs="Arial" w:eastAsia="Arial" w:hAnsi="Arial"/>
                <w:sz w:val="18"/>
                <w:szCs w:val="18"/>
                <w:u w:val="single" w:color="auto"/>
                <w:color w:val="auto"/>
              </w:rPr>
              <w:t>0</w:t>
            </w:r>
          </w:p>
        </w:tc>
        <w:tc>
          <w:tcPr>
            <w:tcW w:w="7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154.4</w:t>
            </w:r>
          </w:p>
        </w:tc>
        <w:tc>
          <w:tcPr>
            <w:tcW w:w="7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156.7</w:t>
            </w:r>
          </w:p>
        </w:tc>
        <w:tc>
          <w:tcPr>
            <w:tcW w:w="78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156.3</w:t>
            </w:r>
          </w:p>
        </w:tc>
      </w:tr>
      <w:tr>
        <w:trPr>
          <w:trHeight w:val="196"/>
        </w:trPr>
        <w:tc>
          <w:tcPr>
            <w:tcW w:w="5000" w:type="dxa"/>
            <w:vAlign w:val="bottom"/>
            <w:shd w:val="clear" w:color="auto" w:fill="C0C0C0"/>
          </w:tcPr>
          <w:p>
            <w:pPr>
              <w:ind w:left="20"/>
              <w:spacing w:after="0" w:line="196" w:lineRule="exact"/>
              <w:rPr>
                <w:sz w:val="20"/>
                <w:szCs w:val="20"/>
                <w:color w:val="auto"/>
              </w:rPr>
            </w:pPr>
            <w:r>
              <w:rPr>
                <w:rFonts w:ascii="Arial" w:cs="Arial" w:eastAsia="Arial" w:hAnsi="Arial"/>
                <w:sz w:val="18"/>
                <w:szCs w:val="18"/>
                <w:b w:val="1"/>
                <w:bCs w:val="1"/>
                <w:color w:val="auto"/>
              </w:rPr>
              <w:t>Financial Condition</w:t>
            </w:r>
          </w:p>
        </w:tc>
        <w:tc>
          <w:tcPr>
            <w:tcW w:w="100" w:type="dxa"/>
            <w:vAlign w:val="bottom"/>
            <w:tcBorders>
              <w:top w:val="single" w:sz="8" w:color="auto"/>
            </w:tcBorders>
            <w:shd w:val="clear" w:color="auto" w:fill="C0C0C0"/>
          </w:tcPr>
          <w:p>
            <w:pPr>
              <w:spacing w:after="0"/>
              <w:rPr>
                <w:sz w:val="17"/>
                <w:szCs w:val="17"/>
                <w:color w:val="auto"/>
              </w:rPr>
            </w:pPr>
          </w:p>
        </w:tc>
        <w:tc>
          <w:tcPr>
            <w:tcW w:w="460" w:type="dxa"/>
            <w:vAlign w:val="bottom"/>
            <w:tcBorders>
              <w:top w:val="single" w:sz="8" w:color="auto"/>
            </w:tcBorders>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520" w:type="dxa"/>
            <w:vAlign w:val="bottom"/>
            <w:tcBorders>
              <w:top w:val="single" w:sz="8" w:color="auto"/>
            </w:tcBorders>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520" w:type="dxa"/>
            <w:vAlign w:val="bottom"/>
            <w:tcBorders>
              <w:top w:val="single" w:sz="8" w:color="auto"/>
            </w:tcBorders>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520" w:type="dxa"/>
            <w:vAlign w:val="bottom"/>
            <w:tcBorders>
              <w:top w:val="single" w:sz="8" w:color="auto"/>
            </w:tcBorders>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540" w:type="dxa"/>
            <w:vAlign w:val="bottom"/>
            <w:tcBorders>
              <w:top w:val="single" w:sz="8" w:color="auto"/>
            </w:tcBorders>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Cash, cash equivalents, and short-term investments</w:t>
            </w:r>
          </w:p>
        </w:tc>
        <w:tc>
          <w:tcPr>
            <w:tcW w:w="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68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867</w:t>
            </w:r>
          </w:p>
        </w:tc>
        <w:tc>
          <w:tcPr>
            <w:tcW w:w="7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928</w:t>
            </w:r>
          </w:p>
        </w:tc>
        <w:tc>
          <w:tcPr>
            <w:tcW w:w="7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851</w:t>
            </w:r>
          </w:p>
        </w:tc>
        <w:tc>
          <w:tcPr>
            <w:tcW w:w="7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696</w:t>
            </w:r>
          </w:p>
        </w:tc>
        <w:tc>
          <w:tcPr>
            <w:tcW w:w="78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589</w:t>
            </w:r>
          </w:p>
        </w:tc>
      </w:tr>
      <w:tr>
        <w:trPr>
          <w:trHeight w:val="203"/>
        </w:trPr>
        <w:tc>
          <w:tcPr>
            <w:tcW w:w="500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Merchandise inventories</w:t>
            </w:r>
          </w:p>
        </w:tc>
        <w:tc>
          <w:tcPr>
            <w:tcW w:w="1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220"/>
              <w:spacing w:after="0" w:line="202" w:lineRule="exact"/>
              <w:rPr>
                <w:sz w:val="20"/>
                <w:szCs w:val="20"/>
                <w:color w:val="auto"/>
              </w:rPr>
            </w:pPr>
            <w:r>
              <w:rPr>
                <w:rFonts w:ascii="Arial" w:cs="Arial" w:eastAsia="Arial" w:hAnsi="Arial"/>
                <w:sz w:val="18"/>
                <w:szCs w:val="18"/>
                <w:b w:val="1"/>
                <w:bCs w:val="1"/>
                <w:color w:val="auto"/>
                <w:w w:val="97"/>
              </w:rPr>
              <w:t>1,220</w:t>
            </w:r>
          </w:p>
        </w:tc>
        <w:tc>
          <w:tcPr>
            <w:tcW w:w="740" w:type="dxa"/>
            <w:vAlign w:val="bottom"/>
            <w:gridSpan w:val="3"/>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1,167</w:t>
            </w:r>
          </w:p>
        </w:tc>
        <w:tc>
          <w:tcPr>
            <w:tcW w:w="740" w:type="dxa"/>
            <w:vAlign w:val="bottom"/>
            <w:gridSpan w:val="3"/>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1,069</w:t>
            </w:r>
          </w:p>
        </w:tc>
        <w:tc>
          <w:tcPr>
            <w:tcW w:w="740" w:type="dxa"/>
            <w:vAlign w:val="bottom"/>
            <w:gridSpan w:val="3"/>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1,059</w:t>
            </w:r>
          </w:p>
        </w:tc>
        <w:tc>
          <w:tcPr>
            <w:tcW w:w="780" w:type="dxa"/>
            <w:vAlign w:val="bottom"/>
            <w:gridSpan w:val="3"/>
            <w:shd w:val="clear" w:color="auto" w:fill="C0C0C0"/>
          </w:tcPr>
          <w:p>
            <w:pPr>
              <w:jc w:val="right"/>
              <w:ind w:right="140"/>
              <w:spacing w:after="0" w:line="202" w:lineRule="exact"/>
              <w:rPr>
                <w:sz w:val="20"/>
                <w:szCs w:val="20"/>
                <w:color w:val="auto"/>
              </w:rPr>
            </w:pPr>
            <w:r>
              <w:rPr>
                <w:rFonts w:ascii="Arial" w:cs="Arial" w:eastAsia="Arial" w:hAnsi="Arial"/>
                <w:sz w:val="18"/>
                <w:szCs w:val="18"/>
                <w:color w:val="auto"/>
              </w:rPr>
              <w:t>1,037</w:t>
            </w: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7"/>
                <w:szCs w:val="17"/>
                <w:color w:val="auto"/>
              </w:rPr>
            </w:pPr>
          </w:p>
        </w:tc>
        <w:tc>
          <w:tcPr>
            <w:tcW w:w="68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590</w:t>
            </w:r>
          </w:p>
        </w:tc>
        <w:tc>
          <w:tcPr>
            <w:tcW w:w="7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490</w:t>
            </w:r>
          </w:p>
        </w:tc>
        <w:tc>
          <w:tcPr>
            <w:tcW w:w="7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427</w:t>
            </w:r>
          </w:p>
        </w:tc>
        <w:tc>
          <w:tcPr>
            <w:tcW w:w="7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386</w:t>
            </w:r>
          </w:p>
        </w:tc>
        <w:tc>
          <w:tcPr>
            <w:tcW w:w="78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387</w:t>
            </w:r>
          </w:p>
        </w:tc>
      </w:tr>
      <w:tr>
        <w:trPr>
          <w:trHeight w:val="203"/>
        </w:trPr>
        <w:tc>
          <w:tcPr>
            <w:tcW w:w="500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Total assets</w:t>
            </w:r>
          </w:p>
        </w:tc>
        <w:tc>
          <w:tcPr>
            <w:tcW w:w="1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220"/>
              <w:spacing w:after="0" w:line="202" w:lineRule="exact"/>
              <w:rPr>
                <w:sz w:val="20"/>
                <w:szCs w:val="20"/>
                <w:color w:val="auto"/>
              </w:rPr>
            </w:pPr>
            <w:r>
              <w:rPr>
                <w:rFonts w:ascii="Arial" w:cs="Arial" w:eastAsia="Arial" w:hAnsi="Arial"/>
                <w:sz w:val="18"/>
                <w:szCs w:val="18"/>
                <w:b w:val="1"/>
                <w:bCs w:val="1"/>
                <w:color w:val="auto"/>
                <w:w w:val="97"/>
              </w:rPr>
              <w:t>3,487</w:t>
            </w:r>
          </w:p>
        </w:tc>
        <w:tc>
          <w:tcPr>
            <w:tcW w:w="740" w:type="dxa"/>
            <w:vAlign w:val="bottom"/>
            <w:gridSpan w:val="3"/>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3,367</w:t>
            </w:r>
          </w:p>
        </w:tc>
        <w:tc>
          <w:tcPr>
            <w:tcW w:w="740" w:type="dxa"/>
            <w:vAlign w:val="bottom"/>
            <w:gridSpan w:val="3"/>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3,050</w:t>
            </w:r>
          </w:p>
        </w:tc>
        <w:tc>
          <w:tcPr>
            <w:tcW w:w="740" w:type="dxa"/>
            <w:vAlign w:val="bottom"/>
            <w:gridSpan w:val="3"/>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2,896</w:t>
            </w:r>
          </w:p>
        </w:tc>
        <w:tc>
          <w:tcPr>
            <w:tcW w:w="780" w:type="dxa"/>
            <w:vAlign w:val="bottom"/>
            <w:gridSpan w:val="3"/>
            <w:shd w:val="clear" w:color="auto" w:fill="C0C0C0"/>
          </w:tcPr>
          <w:p>
            <w:pPr>
              <w:jc w:val="right"/>
              <w:ind w:right="140"/>
              <w:spacing w:after="0" w:line="202" w:lineRule="exact"/>
              <w:rPr>
                <w:sz w:val="20"/>
                <w:szCs w:val="20"/>
                <w:color w:val="auto"/>
              </w:rPr>
            </w:pPr>
            <w:r>
              <w:rPr>
                <w:rFonts w:ascii="Arial" w:cs="Arial" w:eastAsia="Arial" w:hAnsi="Arial"/>
                <w:sz w:val="18"/>
                <w:szCs w:val="18"/>
                <w:color w:val="auto"/>
              </w:rPr>
              <w:t>2,816</w:t>
            </w: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Long-term debt and obligations under capital leases</w:t>
            </w:r>
          </w:p>
        </w:tc>
        <w:tc>
          <w:tcPr>
            <w:tcW w:w="100" w:type="dxa"/>
            <w:vAlign w:val="bottom"/>
          </w:tcPr>
          <w:p>
            <w:pPr>
              <w:spacing w:after="0"/>
              <w:rPr>
                <w:sz w:val="17"/>
                <w:szCs w:val="17"/>
                <w:color w:val="auto"/>
              </w:rPr>
            </w:pPr>
          </w:p>
        </w:tc>
        <w:tc>
          <w:tcPr>
            <w:tcW w:w="68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139</w:t>
            </w:r>
          </w:p>
        </w:tc>
        <w:tc>
          <w:tcPr>
            <w:tcW w:w="7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133</w:t>
            </w:r>
          </w:p>
        </w:tc>
        <w:tc>
          <w:tcPr>
            <w:tcW w:w="7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135</w:t>
            </w:r>
          </w:p>
        </w:tc>
        <w:tc>
          <w:tcPr>
            <w:tcW w:w="7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137</w:t>
            </w:r>
          </w:p>
        </w:tc>
        <w:tc>
          <w:tcPr>
            <w:tcW w:w="78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138</w:t>
            </w:r>
          </w:p>
        </w:tc>
      </w:tr>
      <w:tr>
        <w:trPr>
          <w:trHeight w:val="203"/>
        </w:trPr>
        <w:tc>
          <w:tcPr>
            <w:tcW w:w="500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Total shareholders’ equity</w:t>
            </w:r>
          </w:p>
        </w:tc>
        <w:tc>
          <w:tcPr>
            <w:tcW w:w="1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220"/>
              <w:spacing w:after="0" w:line="202" w:lineRule="exact"/>
              <w:rPr>
                <w:sz w:val="20"/>
                <w:szCs w:val="20"/>
                <w:color w:val="auto"/>
              </w:rPr>
            </w:pPr>
            <w:r>
              <w:rPr>
                <w:rFonts w:ascii="Arial" w:cs="Arial" w:eastAsia="Arial" w:hAnsi="Arial"/>
                <w:sz w:val="18"/>
                <w:szCs w:val="18"/>
                <w:b w:val="1"/>
                <w:bCs w:val="1"/>
                <w:color w:val="auto"/>
                <w:w w:val="97"/>
              </w:rPr>
              <w:t>2,496</w:t>
            </w:r>
          </w:p>
        </w:tc>
        <w:tc>
          <w:tcPr>
            <w:tcW w:w="740" w:type="dxa"/>
            <w:vAlign w:val="bottom"/>
            <w:gridSpan w:val="3"/>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2,377</w:t>
            </w:r>
          </w:p>
        </w:tc>
        <w:tc>
          <w:tcPr>
            <w:tcW w:w="740" w:type="dxa"/>
            <w:vAlign w:val="bottom"/>
            <w:gridSpan w:val="3"/>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2,110</w:t>
            </w:r>
          </w:p>
        </w:tc>
        <w:tc>
          <w:tcPr>
            <w:tcW w:w="740" w:type="dxa"/>
            <w:vAlign w:val="bottom"/>
            <w:gridSpan w:val="3"/>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2,025</w:t>
            </w:r>
          </w:p>
        </w:tc>
        <w:tc>
          <w:tcPr>
            <w:tcW w:w="780" w:type="dxa"/>
            <w:vAlign w:val="bottom"/>
            <w:gridSpan w:val="3"/>
            <w:shd w:val="clear" w:color="auto" w:fill="C0C0C0"/>
          </w:tcPr>
          <w:p>
            <w:pPr>
              <w:jc w:val="right"/>
              <w:ind w:right="140"/>
              <w:spacing w:after="0" w:line="202" w:lineRule="exact"/>
              <w:rPr>
                <w:sz w:val="20"/>
                <w:szCs w:val="20"/>
                <w:color w:val="auto"/>
              </w:rPr>
            </w:pPr>
            <w:r>
              <w:rPr>
                <w:rFonts w:ascii="Arial" w:cs="Arial" w:eastAsia="Arial" w:hAnsi="Arial"/>
                <w:sz w:val="18"/>
                <w:szCs w:val="18"/>
                <w:color w:val="auto"/>
              </w:rPr>
              <w:t>1,948</w:t>
            </w:r>
          </w:p>
        </w:tc>
      </w:tr>
      <w:tr>
        <w:trPr>
          <w:trHeight w:val="196"/>
        </w:trPr>
        <w:tc>
          <w:tcPr>
            <w:tcW w:w="5000" w:type="dxa"/>
            <w:vAlign w:val="bottom"/>
            <w:tcBorders>
              <w:top w:val="single" w:sz="8" w:color="C0C0C0"/>
            </w:tcBorders>
          </w:tcPr>
          <w:p>
            <w:pPr>
              <w:ind w:left="20"/>
              <w:spacing w:after="0" w:line="196" w:lineRule="exact"/>
              <w:rPr>
                <w:sz w:val="20"/>
                <w:szCs w:val="20"/>
                <w:color w:val="auto"/>
              </w:rPr>
            </w:pPr>
            <w:r>
              <w:rPr>
                <w:rFonts w:ascii="Arial" w:cs="Arial" w:eastAsia="Arial" w:hAnsi="Arial"/>
                <w:sz w:val="18"/>
                <w:szCs w:val="18"/>
                <w:b w:val="1"/>
                <w:bCs w:val="1"/>
                <w:color w:val="auto"/>
              </w:rPr>
              <w:t>Financial Ratios</w:t>
            </w:r>
          </w:p>
        </w:tc>
        <w:tc>
          <w:tcPr>
            <w:tcW w:w="1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20" w:type="dxa"/>
            <w:vAlign w:val="bottom"/>
            <w:tcBorders>
              <w:top w:val="single" w:sz="8" w:color="C0C0C0"/>
            </w:tcBorders>
          </w:tcPr>
          <w:p>
            <w:pPr>
              <w:spacing w:after="0"/>
              <w:rPr>
                <w:sz w:val="17"/>
                <w:szCs w:val="17"/>
                <w:color w:val="auto"/>
              </w:rPr>
            </w:pPr>
          </w:p>
        </w:tc>
        <w:tc>
          <w:tcPr>
            <w:tcW w:w="100" w:type="dxa"/>
            <w:vAlign w:val="bottom"/>
            <w:tcBorders>
              <w:top w:val="single" w:sz="8" w:color="C0C0C0"/>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Borders>
              <w:top w:val="single" w:sz="8" w:color="C0C0C0"/>
            </w:tcBorders>
          </w:tcPr>
          <w:p>
            <w:pPr>
              <w:spacing w:after="0"/>
              <w:rPr>
                <w:sz w:val="17"/>
                <w:szCs w:val="17"/>
                <w:color w:val="auto"/>
              </w:rPr>
            </w:pPr>
          </w:p>
        </w:tc>
        <w:tc>
          <w:tcPr>
            <w:tcW w:w="100" w:type="dxa"/>
            <w:vAlign w:val="bottom"/>
            <w:tcBorders>
              <w:top w:val="single" w:sz="8" w:color="C0C0C0"/>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Borders>
              <w:top w:val="single" w:sz="8" w:color="C0C0C0"/>
            </w:tcBorders>
          </w:tcPr>
          <w:p>
            <w:pPr>
              <w:spacing w:after="0"/>
              <w:rPr>
                <w:sz w:val="17"/>
                <w:szCs w:val="17"/>
                <w:color w:val="auto"/>
              </w:rPr>
            </w:pPr>
          </w:p>
        </w:tc>
        <w:tc>
          <w:tcPr>
            <w:tcW w:w="100" w:type="dxa"/>
            <w:vAlign w:val="bottom"/>
            <w:tcBorders>
              <w:top w:val="single" w:sz="8" w:color="C0C0C0"/>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Borders>
              <w:top w:val="single" w:sz="8" w:color="C0C0C0"/>
            </w:tcBorders>
          </w:tcPr>
          <w:p>
            <w:pPr>
              <w:spacing w:after="0"/>
              <w:rPr>
                <w:sz w:val="17"/>
                <w:szCs w:val="17"/>
                <w:color w:val="auto"/>
              </w:rPr>
            </w:pPr>
          </w:p>
        </w:tc>
        <w:tc>
          <w:tcPr>
            <w:tcW w:w="100" w:type="dxa"/>
            <w:vAlign w:val="bottom"/>
            <w:tcBorders>
              <w:top w:val="single" w:sz="8" w:color="C0C0C0"/>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Borders>
              <w:top w:val="single" w:sz="8" w:color="C0C0C0"/>
            </w:tcBorders>
          </w:tcPr>
          <w:p>
            <w:pPr>
              <w:spacing w:after="0"/>
              <w:rPr>
                <w:sz w:val="17"/>
                <w:szCs w:val="17"/>
                <w:color w:val="auto"/>
              </w:rPr>
            </w:pPr>
          </w:p>
        </w:tc>
      </w:tr>
      <w:tr>
        <w:trPr>
          <w:trHeight w:val="243"/>
        </w:trPr>
        <w:tc>
          <w:tcPr>
            <w:tcW w:w="5000" w:type="dxa"/>
            <w:vAlign w:val="bottom"/>
            <w:shd w:val="clear" w:color="auto" w:fill="C0C0C0"/>
          </w:tcPr>
          <w:p>
            <w:pPr>
              <w:ind w:left="20"/>
              <w:spacing w:after="0" w:line="243" w:lineRule="exact"/>
              <w:rPr>
                <w:sz w:val="20"/>
                <w:szCs w:val="20"/>
                <w:color w:val="auto"/>
              </w:rPr>
            </w:pPr>
            <w:r>
              <w:rPr>
                <w:rFonts w:ascii="Arial" w:cs="Arial" w:eastAsia="Arial" w:hAnsi="Arial"/>
                <w:sz w:val="17"/>
                <w:szCs w:val="17"/>
                <w:color w:val="auto"/>
              </w:rPr>
              <w:t>Sales per average gross square foot</w:t>
            </w:r>
            <w:r>
              <w:rPr>
                <w:rFonts w:ascii="Arial" w:cs="Arial" w:eastAsia="Arial" w:hAnsi="Arial"/>
                <w:sz w:val="28"/>
                <w:szCs w:val="28"/>
                <w:color w:val="auto"/>
                <w:vertAlign w:val="superscript"/>
              </w:rPr>
              <w:t>(2)</w:t>
            </w:r>
          </w:p>
        </w:tc>
        <w:tc>
          <w:tcPr>
            <w:tcW w:w="10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b w:val="1"/>
                <w:bCs w:val="1"/>
                <w:color w:val="auto"/>
              </w:rPr>
              <w:t>460</w:t>
            </w:r>
          </w:p>
        </w:tc>
        <w:tc>
          <w:tcPr>
            <w:tcW w:w="740" w:type="dxa"/>
            <w:vAlign w:val="bottom"/>
            <w:gridSpan w:val="3"/>
            <w:shd w:val="clear" w:color="auto" w:fill="C0C0C0"/>
          </w:tcPr>
          <w:p>
            <w:pPr>
              <w:jc w:val="right"/>
              <w:ind w:right="120"/>
              <w:spacing w:after="0"/>
              <w:rPr>
                <w:sz w:val="20"/>
                <w:szCs w:val="20"/>
                <w:color w:val="auto"/>
              </w:rPr>
            </w:pPr>
            <w:r>
              <w:rPr>
                <w:rFonts w:ascii="Arial" w:cs="Arial" w:eastAsia="Arial" w:hAnsi="Arial"/>
                <w:sz w:val="18"/>
                <w:szCs w:val="18"/>
                <w:color w:val="auto"/>
              </w:rPr>
              <w:t>443</w:t>
            </w:r>
          </w:p>
        </w:tc>
        <w:tc>
          <w:tcPr>
            <w:tcW w:w="740" w:type="dxa"/>
            <w:vAlign w:val="bottom"/>
            <w:gridSpan w:val="3"/>
            <w:shd w:val="clear" w:color="auto" w:fill="C0C0C0"/>
          </w:tcPr>
          <w:p>
            <w:pPr>
              <w:jc w:val="right"/>
              <w:ind w:right="120"/>
              <w:spacing w:after="0"/>
              <w:rPr>
                <w:sz w:val="20"/>
                <w:szCs w:val="20"/>
                <w:color w:val="auto"/>
              </w:rPr>
            </w:pPr>
            <w:r>
              <w:rPr>
                <w:rFonts w:ascii="Arial" w:cs="Arial" w:eastAsia="Arial" w:hAnsi="Arial"/>
                <w:sz w:val="18"/>
                <w:szCs w:val="18"/>
                <w:color w:val="auto"/>
              </w:rPr>
              <w:t>406</w:t>
            </w:r>
          </w:p>
        </w:tc>
        <w:tc>
          <w:tcPr>
            <w:tcW w:w="740" w:type="dxa"/>
            <w:vAlign w:val="bottom"/>
            <w:gridSpan w:val="3"/>
            <w:shd w:val="clear" w:color="auto" w:fill="C0C0C0"/>
          </w:tcPr>
          <w:p>
            <w:pPr>
              <w:jc w:val="right"/>
              <w:ind w:right="120"/>
              <w:spacing w:after="0"/>
              <w:rPr>
                <w:sz w:val="20"/>
                <w:szCs w:val="20"/>
                <w:color w:val="auto"/>
              </w:rPr>
            </w:pPr>
            <w:r>
              <w:rPr>
                <w:rFonts w:ascii="Arial" w:cs="Arial" w:eastAsia="Arial" w:hAnsi="Arial"/>
                <w:sz w:val="18"/>
                <w:szCs w:val="18"/>
                <w:color w:val="auto"/>
              </w:rPr>
              <w:t>360</w:t>
            </w:r>
          </w:p>
        </w:tc>
        <w:tc>
          <w:tcPr>
            <w:tcW w:w="780" w:type="dxa"/>
            <w:vAlign w:val="bottom"/>
            <w:gridSpan w:val="3"/>
            <w:shd w:val="clear" w:color="auto" w:fill="C0C0C0"/>
          </w:tcPr>
          <w:p>
            <w:pPr>
              <w:jc w:val="right"/>
              <w:ind w:right="140"/>
              <w:spacing w:after="0"/>
              <w:rPr>
                <w:sz w:val="20"/>
                <w:szCs w:val="20"/>
                <w:color w:val="auto"/>
              </w:rPr>
            </w:pPr>
            <w:r>
              <w:rPr>
                <w:rFonts w:ascii="Arial" w:cs="Arial" w:eastAsia="Arial" w:hAnsi="Arial"/>
                <w:sz w:val="18"/>
                <w:szCs w:val="18"/>
                <w:color w:val="auto"/>
              </w:rPr>
              <w:t>333</w:t>
            </w:r>
          </w:p>
        </w:tc>
      </w:tr>
      <w:tr>
        <w:trPr>
          <w:trHeight w:val="243"/>
        </w:trPr>
        <w:tc>
          <w:tcPr>
            <w:tcW w:w="5000" w:type="dxa"/>
            <w:vAlign w:val="bottom"/>
          </w:tcPr>
          <w:p>
            <w:pPr>
              <w:ind w:left="20"/>
              <w:spacing w:after="0" w:line="243" w:lineRule="exact"/>
              <w:rPr>
                <w:sz w:val="20"/>
                <w:szCs w:val="20"/>
                <w:color w:val="auto"/>
              </w:rPr>
            </w:pPr>
            <w:r>
              <w:rPr>
                <w:rFonts w:ascii="Arial" w:cs="Arial" w:eastAsia="Arial" w:hAnsi="Arial"/>
                <w:sz w:val="17"/>
                <w:szCs w:val="17"/>
                <w:color w:val="auto"/>
              </w:rPr>
              <w:t>Earnings before interest and taxes (EBIT)</w:t>
            </w:r>
            <w:r>
              <w:rPr>
                <w:rFonts w:ascii="Arial" w:cs="Arial" w:eastAsia="Arial" w:hAnsi="Arial"/>
                <w:sz w:val="28"/>
                <w:szCs w:val="28"/>
                <w:color w:val="auto"/>
                <w:vertAlign w:val="superscript"/>
              </w:rPr>
              <w:t>(3)</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668</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612</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441</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266</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83</w:t>
            </w:r>
          </w:p>
        </w:tc>
      </w:tr>
      <w:tr>
        <w:trPr>
          <w:trHeight w:val="243"/>
        </w:trPr>
        <w:tc>
          <w:tcPr>
            <w:tcW w:w="5000" w:type="dxa"/>
            <w:vAlign w:val="bottom"/>
            <w:shd w:val="clear" w:color="auto" w:fill="C0C0C0"/>
          </w:tcPr>
          <w:p>
            <w:pPr>
              <w:ind w:left="20"/>
              <w:spacing w:after="0" w:line="243" w:lineRule="exact"/>
              <w:rPr>
                <w:sz w:val="20"/>
                <w:szCs w:val="20"/>
                <w:color w:val="auto"/>
              </w:rPr>
            </w:pPr>
            <w:r>
              <w:rPr>
                <w:rFonts w:ascii="Arial" w:cs="Arial" w:eastAsia="Arial" w:hAnsi="Arial"/>
                <w:sz w:val="17"/>
                <w:szCs w:val="17"/>
                <w:color w:val="auto"/>
              </w:rPr>
              <w:t>EBIT margin</w:t>
            </w:r>
            <w:r>
              <w:rPr>
                <w:rFonts w:ascii="Arial" w:cs="Arial" w:eastAsia="Arial" w:hAnsi="Arial"/>
                <w:sz w:val="28"/>
                <w:szCs w:val="28"/>
                <w:color w:val="auto"/>
                <w:vertAlign w:val="superscript"/>
              </w:rPr>
              <w:t>(3)</w:t>
            </w:r>
          </w:p>
        </w:tc>
        <w:tc>
          <w:tcPr>
            <w:tcW w:w="100" w:type="dxa"/>
            <w:vAlign w:val="bottom"/>
            <w:shd w:val="clear" w:color="auto" w:fill="C0C0C0"/>
          </w:tcPr>
          <w:p>
            <w:pPr>
              <w:spacing w:after="0"/>
              <w:rPr>
                <w:sz w:val="21"/>
                <w:szCs w:val="21"/>
                <w:color w:val="auto"/>
              </w:rPr>
            </w:pPr>
          </w:p>
        </w:tc>
        <w:tc>
          <w:tcPr>
            <w:tcW w:w="68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b w:val="1"/>
                <w:bCs w:val="1"/>
                <w:color w:val="auto"/>
              </w:rPr>
              <w:t>10.3%</w:t>
            </w:r>
          </w:p>
        </w:tc>
        <w:tc>
          <w:tcPr>
            <w:tcW w:w="740" w:type="dxa"/>
            <w:vAlign w:val="bottom"/>
            <w:gridSpan w:val="3"/>
            <w:shd w:val="clear" w:color="auto" w:fill="C0C0C0"/>
          </w:tcPr>
          <w:p>
            <w:pPr>
              <w:jc w:val="right"/>
              <w:ind w:right="120"/>
              <w:spacing w:after="0"/>
              <w:rPr>
                <w:sz w:val="20"/>
                <w:szCs w:val="20"/>
                <w:color w:val="auto"/>
              </w:rPr>
            </w:pPr>
            <w:r>
              <w:rPr>
                <w:rFonts w:ascii="Arial" w:cs="Arial" w:eastAsia="Arial" w:hAnsi="Arial"/>
                <w:sz w:val="18"/>
                <w:szCs w:val="18"/>
                <w:color w:val="auto"/>
              </w:rPr>
              <w:t>9.9</w:t>
            </w:r>
          </w:p>
        </w:tc>
        <w:tc>
          <w:tcPr>
            <w:tcW w:w="740" w:type="dxa"/>
            <w:vAlign w:val="bottom"/>
            <w:gridSpan w:val="3"/>
            <w:shd w:val="clear" w:color="auto" w:fill="C0C0C0"/>
          </w:tcPr>
          <w:p>
            <w:pPr>
              <w:jc w:val="right"/>
              <w:ind w:right="120"/>
              <w:spacing w:after="0"/>
              <w:rPr>
                <w:sz w:val="20"/>
                <w:szCs w:val="20"/>
                <w:color w:val="auto"/>
              </w:rPr>
            </w:pPr>
            <w:r>
              <w:rPr>
                <w:rFonts w:ascii="Arial" w:cs="Arial" w:eastAsia="Arial" w:hAnsi="Arial"/>
                <w:sz w:val="18"/>
                <w:szCs w:val="18"/>
                <w:color w:val="auto"/>
              </w:rPr>
              <w:t>7.8</w:t>
            </w:r>
          </w:p>
        </w:tc>
        <w:tc>
          <w:tcPr>
            <w:tcW w:w="740" w:type="dxa"/>
            <w:vAlign w:val="bottom"/>
            <w:gridSpan w:val="3"/>
            <w:shd w:val="clear" w:color="auto" w:fill="C0C0C0"/>
          </w:tcPr>
          <w:p>
            <w:pPr>
              <w:jc w:val="right"/>
              <w:ind w:right="120"/>
              <w:spacing w:after="0"/>
              <w:rPr>
                <w:sz w:val="20"/>
                <w:szCs w:val="20"/>
                <w:color w:val="auto"/>
              </w:rPr>
            </w:pPr>
            <w:r>
              <w:rPr>
                <w:rFonts w:ascii="Arial" w:cs="Arial" w:eastAsia="Arial" w:hAnsi="Arial"/>
                <w:sz w:val="18"/>
                <w:szCs w:val="18"/>
                <w:color w:val="auto"/>
              </w:rPr>
              <w:t>5.3</w:t>
            </w:r>
          </w:p>
        </w:tc>
        <w:tc>
          <w:tcPr>
            <w:tcW w:w="780" w:type="dxa"/>
            <w:vAlign w:val="bottom"/>
            <w:gridSpan w:val="3"/>
            <w:shd w:val="clear" w:color="auto" w:fill="C0C0C0"/>
          </w:tcPr>
          <w:p>
            <w:pPr>
              <w:jc w:val="right"/>
              <w:ind w:right="140"/>
              <w:spacing w:after="0"/>
              <w:rPr>
                <w:sz w:val="20"/>
                <w:szCs w:val="20"/>
                <w:color w:val="auto"/>
              </w:rPr>
            </w:pPr>
            <w:r>
              <w:rPr>
                <w:rFonts w:ascii="Arial" w:cs="Arial" w:eastAsia="Arial" w:hAnsi="Arial"/>
                <w:sz w:val="18"/>
                <w:szCs w:val="18"/>
                <w:color w:val="auto"/>
              </w:rPr>
              <w:t>1.7</w:t>
            </w:r>
          </w:p>
        </w:tc>
      </w:tr>
      <w:tr>
        <w:trPr>
          <w:trHeight w:val="243"/>
        </w:trPr>
        <w:tc>
          <w:tcPr>
            <w:tcW w:w="5000" w:type="dxa"/>
            <w:vAlign w:val="bottom"/>
          </w:tcPr>
          <w:p>
            <w:pPr>
              <w:ind w:left="20"/>
              <w:spacing w:after="0" w:line="243" w:lineRule="exact"/>
              <w:rPr>
                <w:sz w:val="20"/>
                <w:szCs w:val="20"/>
                <w:color w:val="auto"/>
              </w:rPr>
            </w:pPr>
            <w:r>
              <w:rPr>
                <w:rFonts w:ascii="Arial" w:cs="Arial" w:eastAsia="Arial" w:hAnsi="Arial"/>
                <w:sz w:val="17"/>
                <w:szCs w:val="17"/>
                <w:color w:val="auto"/>
              </w:rPr>
              <w:t>EBIT margin (non-GAAP)</w:t>
            </w:r>
            <w:r>
              <w:rPr>
                <w:rFonts w:ascii="Arial" w:cs="Arial" w:eastAsia="Arial" w:hAnsi="Arial"/>
                <w:sz w:val="28"/>
                <w:szCs w:val="28"/>
                <w:color w:val="auto"/>
                <w:vertAlign w:val="superscript"/>
              </w:rPr>
              <w:t>(4)</w:t>
            </w:r>
          </w:p>
        </w:tc>
        <w:tc>
          <w:tcPr>
            <w:tcW w:w="10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10.4%</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9.9</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7.9</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5.4</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2.8</w:t>
            </w:r>
          </w:p>
        </w:tc>
      </w:tr>
      <w:tr>
        <w:trPr>
          <w:trHeight w:val="243"/>
        </w:trPr>
        <w:tc>
          <w:tcPr>
            <w:tcW w:w="5000" w:type="dxa"/>
            <w:vAlign w:val="bottom"/>
            <w:shd w:val="clear" w:color="auto" w:fill="C0C0C0"/>
          </w:tcPr>
          <w:p>
            <w:pPr>
              <w:ind w:left="20"/>
              <w:spacing w:after="0" w:line="243" w:lineRule="exact"/>
              <w:rPr>
                <w:sz w:val="20"/>
                <w:szCs w:val="20"/>
                <w:color w:val="auto"/>
              </w:rPr>
            </w:pPr>
            <w:r>
              <w:rPr>
                <w:rFonts w:ascii="Arial" w:cs="Arial" w:eastAsia="Arial" w:hAnsi="Arial"/>
                <w:sz w:val="17"/>
                <w:szCs w:val="17"/>
                <w:color w:val="auto"/>
              </w:rPr>
              <w:t>Net income margin</w:t>
            </w:r>
            <w:r>
              <w:rPr>
                <w:rFonts w:ascii="Arial" w:cs="Arial" w:eastAsia="Arial" w:hAnsi="Arial"/>
                <w:sz w:val="28"/>
                <w:szCs w:val="28"/>
                <w:color w:val="auto"/>
                <w:vertAlign w:val="superscript"/>
              </w:rPr>
              <w:t>(3)</w:t>
            </w:r>
          </w:p>
        </w:tc>
        <w:tc>
          <w:tcPr>
            <w:tcW w:w="100" w:type="dxa"/>
            <w:vAlign w:val="bottom"/>
            <w:shd w:val="clear" w:color="auto" w:fill="C0C0C0"/>
          </w:tcPr>
          <w:p>
            <w:pPr>
              <w:spacing w:after="0"/>
              <w:rPr>
                <w:sz w:val="21"/>
                <w:szCs w:val="21"/>
                <w:color w:val="auto"/>
              </w:rPr>
            </w:pPr>
          </w:p>
        </w:tc>
        <w:tc>
          <w:tcPr>
            <w:tcW w:w="68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b w:val="1"/>
                <w:bCs w:val="1"/>
                <w:color w:val="auto"/>
              </w:rPr>
              <w:t>6.6%</w:t>
            </w:r>
          </w:p>
        </w:tc>
        <w:tc>
          <w:tcPr>
            <w:tcW w:w="740" w:type="dxa"/>
            <w:vAlign w:val="bottom"/>
            <w:gridSpan w:val="3"/>
            <w:shd w:val="clear" w:color="auto" w:fill="C0C0C0"/>
          </w:tcPr>
          <w:p>
            <w:pPr>
              <w:jc w:val="right"/>
              <w:ind w:right="120"/>
              <w:spacing w:after="0"/>
              <w:rPr>
                <w:sz w:val="20"/>
                <w:szCs w:val="20"/>
                <w:color w:val="auto"/>
              </w:rPr>
            </w:pPr>
            <w:r>
              <w:rPr>
                <w:rFonts w:ascii="Arial" w:cs="Arial" w:eastAsia="Arial" w:hAnsi="Arial"/>
                <w:sz w:val="18"/>
                <w:szCs w:val="18"/>
                <w:color w:val="auto"/>
              </w:rPr>
              <w:t>6.4</w:t>
            </w:r>
          </w:p>
        </w:tc>
        <w:tc>
          <w:tcPr>
            <w:tcW w:w="740" w:type="dxa"/>
            <w:vAlign w:val="bottom"/>
            <w:gridSpan w:val="3"/>
            <w:shd w:val="clear" w:color="auto" w:fill="C0C0C0"/>
          </w:tcPr>
          <w:p>
            <w:pPr>
              <w:jc w:val="right"/>
              <w:ind w:right="120"/>
              <w:spacing w:after="0"/>
              <w:rPr>
                <w:sz w:val="20"/>
                <w:szCs w:val="20"/>
                <w:color w:val="auto"/>
              </w:rPr>
            </w:pPr>
            <w:r>
              <w:rPr>
                <w:rFonts w:ascii="Arial" w:cs="Arial" w:eastAsia="Arial" w:hAnsi="Arial"/>
                <w:sz w:val="18"/>
                <w:szCs w:val="18"/>
                <w:color w:val="auto"/>
              </w:rPr>
              <w:t>4.9</w:t>
            </w:r>
          </w:p>
        </w:tc>
        <w:tc>
          <w:tcPr>
            <w:tcW w:w="740" w:type="dxa"/>
            <w:vAlign w:val="bottom"/>
            <w:gridSpan w:val="3"/>
            <w:shd w:val="clear" w:color="auto" w:fill="C0C0C0"/>
          </w:tcPr>
          <w:p>
            <w:pPr>
              <w:jc w:val="right"/>
              <w:ind w:right="120"/>
              <w:spacing w:after="0"/>
              <w:rPr>
                <w:sz w:val="20"/>
                <w:szCs w:val="20"/>
                <w:color w:val="auto"/>
              </w:rPr>
            </w:pPr>
            <w:r>
              <w:rPr>
                <w:rFonts w:ascii="Arial" w:cs="Arial" w:eastAsia="Arial" w:hAnsi="Arial"/>
                <w:sz w:val="18"/>
                <w:szCs w:val="18"/>
                <w:color w:val="auto"/>
              </w:rPr>
              <w:t>3.3</w:t>
            </w:r>
          </w:p>
        </w:tc>
        <w:tc>
          <w:tcPr>
            <w:tcW w:w="780" w:type="dxa"/>
            <w:vAlign w:val="bottom"/>
            <w:gridSpan w:val="3"/>
            <w:shd w:val="clear" w:color="auto" w:fill="C0C0C0"/>
          </w:tcPr>
          <w:p>
            <w:pPr>
              <w:jc w:val="right"/>
              <w:ind w:right="140"/>
              <w:spacing w:after="0"/>
              <w:rPr>
                <w:sz w:val="20"/>
                <w:szCs w:val="20"/>
                <w:color w:val="auto"/>
              </w:rPr>
            </w:pPr>
            <w:r>
              <w:rPr>
                <w:rFonts w:ascii="Arial" w:cs="Arial" w:eastAsia="Arial" w:hAnsi="Arial"/>
                <w:sz w:val="18"/>
                <w:szCs w:val="18"/>
                <w:color w:val="auto"/>
              </w:rPr>
              <w:t>1.0</w:t>
            </w:r>
          </w:p>
        </w:tc>
      </w:tr>
      <w:tr>
        <w:trPr>
          <w:trHeight w:val="243"/>
        </w:trPr>
        <w:tc>
          <w:tcPr>
            <w:tcW w:w="5000" w:type="dxa"/>
            <w:vAlign w:val="bottom"/>
          </w:tcPr>
          <w:p>
            <w:pPr>
              <w:ind w:left="20"/>
              <w:spacing w:after="0" w:line="243" w:lineRule="exact"/>
              <w:rPr>
                <w:sz w:val="20"/>
                <w:szCs w:val="20"/>
                <w:color w:val="auto"/>
              </w:rPr>
            </w:pPr>
            <w:r>
              <w:rPr>
                <w:rFonts w:ascii="Arial" w:cs="Arial" w:eastAsia="Arial" w:hAnsi="Arial"/>
                <w:sz w:val="17"/>
                <w:szCs w:val="17"/>
                <w:color w:val="auto"/>
              </w:rPr>
              <w:t>Net income margin (non-GAAP)</w:t>
            </w:r>
            <w:r>
              <w:rPr>
                <w:rFonts w:ascii="Arial" w:cs="Arial" w:eastAsia="Arial" w:hAnsi="Arial"/>
                <w:sz w:val="28"/>
                <w:szCs w:val="28"/>
                <w:color w:val="auto"/>
                <w:vertAlign w:val="superscript"/>
              </w:rPr>
              <w:t>(4)</w:t>
            </w:r>
          </w:p>
        </w:tc>
        <w:tc>
          <w:tcPr>
            <w:tcW w:w="10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6.6%</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6.2</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5.0</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3.4</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1.8</w:t>
            </w:r>
          </w:p>
        </w:tc>
      </w:tr>
      <w:tr>
        <w:trPr>
          <w:trHeight w:val="203"/>
        </w:trPr>
        <w:tc>
          <w:tcPr>
            <w:tcW w:w="500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Return on assets (ROA)</w:t>
            </w:r>
          </w:p>
        </w:tc>
        <w:tc>
          <w:tcPr>
            <w:tcW w:w="1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60"/>
              <w:spacing w:after="0" w:line="202" w:lineRule="exact"/>
              <w:rPr>
                <w:sz w:val="20"/>
                <w:szCs w:val="20"/>
                <w:color w:val="auto"/>
              </w:rPr>
            </w:pPr>
            <w:r>
              <w:rPr>
                <w:rFonts w:ascii="Arial" w:cs="Arial" w:eastAsia="Arial" w:hAnsi="Arial"/>
                <w:sz w:val="18"/>
                <w:szCs w:val="18"/>
                <w:b w:val="1"/>
                <w:bCs w:val="1"/>
                <w:color w:val="auto"/>
              </w:rPr>
              <w:t>12.5%</w:t>
            </w:r>
          </w:p>
        </w:tc>
        <w:tc>
          <w:tcPr>
            <w:tcW w:w="740" w:type="dxa"/>
            <w:vAlign w:val="bottom"/>
            <w:gridSpan w:val="3"/>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12.4</w:t>
            </w:r>
          </w:p>
        </w:tc>
        <w:tc>
          <w:tcPr>
            <w:tcW w:w="740" w:type="dxa"/>
            <w:vAlign w:val="bottom"/>
            <w:gridSpan w:val="3"/>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9.4</w:t>
            </w:r>
          </w:p>
        </w:tc>
        <w:tc>
          <w:tcPr>
            <w:tcW w:w="740" w:type="dxa"/>
            <w:vAlign w:val="bottom"/>
            <w:gridSpan w:val="3"/>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5.9</w:t>
            </w:r>
          </w:p>
        </w:tc>
        <w:tc>
          <w:tcPr>
            <w:tcW w:w="780" w:type="dxa"/>
            <w:vAlign w:val="bottom"/>
            <w:gridSpan w:val="3"/>
            <w:shd w:val="clear" w:color="auto" w:fill="C0C0C0"/>
          </w:tcPr>
          <w:p>
            <w:pPr>
              <w:jc w:val="right"/>
              <w:ind w:right="140"/>
              <w:spacing w:after="0" w:line="202" w:lineRule="exact"/>
              <w:rPr>
                <w:sz w:val="20"/>
                <w:szCs w:val="20"/>
                <w:color w:val="auto"/>
              </w:rPr>
            </w:pPr>
            <w:r>
              <w:rPr>
                <w:rFonts w:ascii="Arial" w:cs="Arial" w:eastAsia="Arial" w:hAnsi="Arial"/>
                <w:sz w:val="18"/>
                <w:szCs w:val="18"/>
                <w:color w:val="auto"/>
              </w:rPr>
              <w:t>1.7</w:t>
            </w:r>
          </w:p>
        </w:tc>
      </w:tr>
      <w:tr>
        <w:trPr>
          <w:trHeight w:val="243"/>
        </w:trPr>
        <w:tc>
          <w:tcPr>
            <w:tcW w:w="5000" w:type="dxa"/>
            <w:vAlign w:val="bottom"/>
          </w:tcPr>
          <w:p>
            <w:pPr>
              <w:ind w:left="20"/>
              <w:spacing w:after="0" w:line="243" w:lineRule="exact"/>
              <w:rPr>
                <w:sz w:val="20"/>
                <w:szCs w:val="20"/>
                <w:color w:val="auto"/>
              </w:rPr>
            </w:pPr>
            <w:r>
              <w:rPr>
                <w:rFonts w:ascii="Arial" w:cs="Arial" w:eastAsia="Arial" w:hAnsi="Arial"/>
                <w:sz w:val="17"/>
                <w:szCs w:val="17"/>
                <w:color w:val="auto"/>
              </w:rPr>
              <w:t>Return on invested capital (ROIC)</w:t>
            </w:r>
            <w:r>
              <w:rPr>
                <w:rFonts w:ascii="Arial" w:cs="Arial" w:eastAsia="Arial" w:hAnsi="Arial"/>
                <w:sz w:val="28"/>
                <w:szCs w:val="28"/>
                <w:color w:val="auto"/>
                <w:vertAlign w:val="superscript"/>
              </w:rPr>
              <w:t>(4)</w:t>
            </w:r>
          </w:p>
        </w:tc>
        <w:tc>
          <w:tcPr>
            <w:tcW w:w="10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14.1%</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14.2</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11.8</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8.3</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5.3</w:t>
            </w:r>
          </w:p>
        </w:tc>
      </w:tr>
      <w:tr>
        <w:trPr>
          <w:trHeight w:val="243"/>
        </w:trPr>
        <w:tc>
          <w:tcPr>
            <w:tcW w:w="5000" w:type="dxa"/>
            <w:vAlign w:val="bottom"/>
            <w:shd w:val="clear" w:color="auto" w:fill="C0C0C0"/>
          </w:tcPr>
          <w:p>
            <w:pPr>
              <w:ind w:left="20"/>
              <w:spacing w:after="0" w:line="243" w:lineRule="exact"/>
              <w:rPr>
                <w:sz w:val="20"/>
                <w:szCs w:val="20"/>
                <w:color w:val="auto"/>
              </w:rPr>
            </w:pPr>
            <w:r>
              <w:rPr>
                <w:rFonts w:ascii="Arial" w:cs="Arial" w:eastAsia="Arial" w:hAnsi="Arial"/>
                <w:sz w:val="17"/>
                <w:szCs w:val="17"/>
                <w:color w:val="auto"/>
              </w:rPr>
              <w:t>Net debt capitalization percent</w:t>
            </w:r>
            <w:r>
              <w:rPr>
                <w:rFonts w:ascii="Arial" w:cs="Arial" w:eastAsia="Arial" w:hAnsi="Arial"/>
                <w:sz w:val="28"/>
                <w:szCs w:val="28"/>
                <w:color w:val="auto"/>
                <w:vertAlign w:val="superscript"/>
              </w:rPr>
              <w:t>(4),(5)</w:t>
            </w:r>
          </w:p>
        </w:tc>
        <w:tc>
          <w:tcPr>
            <w:tcW w:w="100" w:type="dxa"/>
            <w:vAlign w:val="bottom"/>
            <w:shd w:val="clear" w:color="auto" w:fill="C0C0C0"/>
          </w:tcPr>
          <w:p>
            <w:pPr>
              <w:spacing w:after="0"/>
              <w:rPr>
                <w:sz w:val="21"/>
                <w:szCs w:val="21"/>
                <w:color w:val="auto"/>
              </w:rPr>
            </w:pPr>
          </w:p>
        </w:tc>
        <w:tc>
          <w:tcPr>
            <w:tcW w:w="68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b w:val="1"/>
                <w:bCs w:val="1"/>
                <w:color w:val="auto"/>
              </w:rPr>
              <w:t>42.5%</w:t>
            </w:r>
          </w:p>
        </w:tc>
        <w:tc>
          <w:tcPr>
            <w:tcW w:w="740" w:type="dxa"/>
            <w:vAlign w:val="bottom"/>
            <w:gridSpan w:val="3"/>
            <w:shd w:val="clear" w:color="auto" w:fill="C0C0C0"/>
          </w:tcPr>
          <w:p>
            <w:pPr>
              <w:jc w:val="right"/>
              <w:ind w:right="120"/>
              <w:spacing w:after="0"/>
              <w:rPr>
                <w:sz w:val="20"/>
                <w:szCs w:val="20"/>
                <w:color w:val="auto"/>
              </w:rPr>
            </w:pPr>
            <w:r>
              <w:rPr>
                <w:rFonts w:ascii="Arial" w:cs="Arial" w:eastAsia="Arial" w:hAnsi="Arial"/>
                <w:sz w:val="18"/>
                <w:szCs w:val="18"/>
                <w:color w:val="auto"/>
              </w:rPr>
              <w:t>37.2</w:t>
            </w:r>
          </w:p>
        </w:tc>
        <w:tc>
          <w:tcPr>
            <w:tcW w:w="740" w:type="dxa"/>
            <w:vAlign w:val="bottom"/>
            <w:gridSpan w:val="3"/>
            <w:shd w:val="clear" w:color="auto" w:fill="C0C0C0"/>
          </w:tcPr>
          <w:p>
            <w:pPr>
              <w:jc w:val="right"/>
              <w:ind w:right="120"/>
              <w:spacing w:after="0"/>
              <w:rPr>
                <w:sz w:val="20"/>
                <w:szCs w:val="20"/>
                <w:color w:val="auto"/>
              </w:rPr>
            </w:pPr>
            <w:r>
              <w:rPr>
                <w:rFonts w:ascii="Arial" w:cs="Arial" w:eastAsia="Arial" w:hAnsi="Arial"/>
                <w:sz w:val="18"/>
                <w:szCs w:val="18"/>
                <w:color w:val="auto"/>
              </w:rPr>
              <w:t>36.0</w:t>
            </w:r>
          </w:p>
        </w:tc>
        <w:tc>
          <w:tcPr>
            <w:tcW w:w="740" w:type="dxa"/>
            <w:vAlign w:val="bottom"/>
            <w:gridSpan w:val="3"/>
            <w:shd w:val="clear" w:color="auto" w:fill="C0C0C0"/>
          </w:tcPr>
          <w:p>
            <w:pPr>
              <w:jc w:val="right"/>
              <w:ind w:right="120"/>
              <w:spacing w:after="0"/>
              <w:rPr>
                <w:sz w:val="20"/>
                <w:szCs w:val="20"/>
                <w:color w:val="auto"/>
              </w:rPr>
            </w:pPr>
            <w:r>
              <w:rPr>
                <w:rFonts w:ascii="Arial" w:cs="Arial" w:eastAsia="Arial" w:hAnsi="Arial"/>
                <w:sz w:val="18"/>
                <w:szCs w:val="18"/>
                <w:color w:val="auto"/>
              </w:rPr>
              <w:t>39.0</w:t>
            </w:r>
          </w:p>
        </w:tc>
        <w:tc>
          <w:tcPr>
            <w:tcW w:w="780" w:type="dxa"/>
            <w:vAlign w:val="bottom"/>
            <w:gridSpan w:val="3"/>
            <w:shd w:val="clear" w:color="auto" w:fill="C0C0C0"/>
          </w:tcPr>
          <w:p>
            <w:pPr>
              <w:jc w:val="right"/>
              <w:ind w:right="140"/>
              <w:spacing w:after="0"/>
              <w:rPr>
                <w:sz w:val="20"/>
                <w:szCs w:val="20"/>
                <w:color w:val="auto"/>
              </w:rPr>
            </w:pPr>
            <w:r>
              <w:rPr>
                <w:rFonts w:ascii="Arial" w:cs="Arial" w:eastAsia="Arial" w:hAnsi="Arial"/>
                <w:sz w:val="18"/>
                <w:szCs w:val="18"/>
                <w:color w:val="auto"/>
              </w:rPr>
              <w:t>43.0</w:t>
            </w: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Current ratio</w:t>
            </w:r>
          </w:p>
        </w:tc>
        <w:tc>
          <w:tcPr>
            <w:tcW w:w="100" w:type="dxa"/>
            <w:vAlign w:val="bottom"/>
          </w:tcPr>
          <w:p>
            <w:pPr>
              <w:spacing w:after="0"/>
              <w:rPr>
                <w:sz w:val="17"/>
                <w:szCs w:val="17"/>
                <w:color w:val="auto"/>
              </w:rPr>
            </w:pPr>
          </w:p>
        </w:tc>
        <w:tc>
          <w:tcPr>
            <w:tcW w:w="68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b w:val="1"/>
                <w:bCs w:val="1"/>
                <w:u w:val="single" w:color="auto"/>
                <w:color w:val="auto"/>
              </w:rPr>
              <w:t>8</w:t>
            </w:r>
          </w:p>
        </w:tc>
        <w:tc>
          <w:tcPr>
            <w:tcW w:w="7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7</w:t>
            </w:r>
          </w:p>
        </w:tc>
        <w:tc>
          <w:tcPr>
            <w:tcW w:w="7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8</w:t>
            </w:r>
          </w:p>
        </w:tc>
        <w:tc>
          <w:tcPr>
            <w:tcW w:w="7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4.0</w:t>
            </w:r>
          </w:p>
        </w:tc>
        <w:tc>
          <w:tcPr>
            <w:tcW w:w="78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1</w:t>
            </w:r>
          </w:p>
        </w:tc>
      </w:tr>
      <w:tr>
        <w:trPr>
          <w:trHeight w:val="196"/>
        </w:trPr>
        <w:tc>
          <w:tcPr>
            <w:tcW w:w="5000" w:type="dxa"/>
            <w:vAlign w:val="bottom"/>
            <w:shd w:val="clear" w:color="auto" w:fill="C0C0C0"/>
          </w:tcPr>
          <w:p>
            <w:pPr>
              <w:ind w:left="20"/>
              <w:spacing w:after="0" w:line="196" w:lineRule="exact"/>
              <w:rPr>
                <w:sz w:val="20"/>
                <w:szCs w:val="20"/>
                <w:color w:val="auto"/>
              </w:rPr>
            </w:pPr>
            <w:r>
              <w:rPr>
                <w:rFonts w:ascii="Arial" w:cs="Arial" w:eastAsia="Arial" w:hAnsi="Arial"/>
                <w:sz w:val="18"/>
                <w:szCs w:val="18"/>
                <w:b w:val="1"/>
                <w:bCs w:val="1"/>
                <w:color w:val="auto"/>
              </w:rPr>
              <w:t>Other Data</w:t>
            </w:r>
          </w:p>
        </w:tc>
        <w:tc>
          <w:tcPr>
            <w:tcW w:w="100" w:type="dxa"/>
            <w:vAlign w:val="bottom"/>
            <w:tcBorders>
              <w:top w:val="single" w:sz="8" w:color="auto"/>
            </w:tcBorders>
            <w:shd w:val="clear" w:color="auto" w:fill="C0C0C0"/>
          </w:tcPr>
          <w:p>
            <w:pPr>
              <w:spacing w:after="0"/>
              <w:rPr>
                <w:sz w:val="17"/>
                <w:szCs w:val="17"/>
                <w:color w:val="auto"/>
              </w:rPr>
            </w:pPr>
          </w:p>
        </w:tc>
        <w:tc>
          <w:tcPr>
            <w:tcW w:w="460" w:type="dxa"/>
            <w:vAlign w:val="bottom"/>
            <w:tcBorders>
              <w:top w:val="single" w:sz="8" w:color="auto"/>
            </w:tcBorders>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520" w:type="dxa"/>
            <w:vAlign w:val="bottom"/>
            <w:tcBorders>
              <w:top w:val="single" w:sz="8" w:color="auto"/>
            </w:tcBorders>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520" w:type="dxa"/>
            <w:vAlign w:val="bottom"/>
            <w:tcBorders>
              <w:top w:val="single" w:sz="8" w:color="auto"/>
            </w:tcBorders>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520" w:type="dxa"/>
            <w:vAlign w:val="bottom"/>
            <w:tcBorders>
              <w:top w:val="single" w:sz="8" w:color="auto"/>
            </w:tcBorders>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540" w:type="dxa"/>
            <w:vAlign w:val="bottom"/>
            <w:tcBorders>
              <w:top w:val="single" w:sz="8" w:color="auto"/>
            </w:tcBorders>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Capital expenditures</w:t>
            </w:r>
          </w:p>
        </w:tc>
        <w:tc>
          <w:tcPr>
            <w:tcW w:w="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68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206</w:t>
            </w:r>
          </w:p>
        </w:tc>
        <w:tc>
          <w:tcPr>
            <w:tcW w:w="7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163</w:t>
            </w:r>
          </w:p>
        </w:tc>
        <w:tc>
          <w:tcPr>
            <w:tcW w:w="7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152</w:t>
            </w:r>
          </w:p>
        </w:tc>
        <w:tc>
          <w:tcPr>
            <w:tcW w:w="7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97</w:t>
            </w:r>
          </w:p>
        </w:tc>
        <w:tc>
          <w:tcPr>
            <w:tcW w:w="78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89</w:t>
            </w:r>
          </w:p>
        </w:tc>
      </w:tr>
      <w:tr>
        <w:trPr>
          <w:trHeight w:val="203"/>
        </w:trPr>
        <w:tc>
          <w:tcPr>
            <w:tcW w:w="500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Number of stores at year end</w:t>
            </w:r>
          </w:p>
        </w:tc>
        <w:tc>
          <w:tcPr>
            <w:tcW w:w="1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220"/>
              <w:spacing w:after="0" w:line="202" w:lineRule="exact"/>
              <w:rPr>
                <w:sz w:val="20"/>
                <w:szCs w:val="20"/>
                <w:color w:val="auto"/>
              </w:rPr>
            </w:pPr>
            <w:r>
              <w:rPr>
                <w:rFonts w:ascii="Arial" w:cs="Arial" w:eastAsia="Arial" w:hAnsi="Arial"/>
                <w:sz w:val="18"/>
                <w:szCs w:val="18"/>
                <w:b w:val="1"/>
                <w:bCs w:val="1"/>
                <w:color w:val="auto"/>
                <w:w w:val="97"/>
              </w:rPr>
              <w:t>3,473</w:t>
            </w:r>
          </w:p>
        </w:tc>
        <w:tc>
          <w:tcPr>
            <w:tcW w:w="740" w:type="dxa"/>
            <w:vAlign w:val="bottom"/>
            <w:gridSpan w:val="3"/>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3,335</w:t>
            </w:r>
          </w:p>
        </w:tc>
        <w:tc>
          <w:tcPr>
            <w:tcW w:w="740" w:type="dxa"/>
            <w:vAlign w:val="bottom"/>
            <w:gridSpan w:val="3"/>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3,369</w:t>
            </w:r>
          </w:p>
        </w:tc>
        <w:tc>
          <w:tcPr>
            <w:tcW w:w="740" w:type="dxa"/>
            <w:vAlign w:val="bottom"/>
            <w:gridSpan w:val="3"/>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3,426</w:t>
            </w:r>
          </w:p>
        </w:tc>
        <w:tc>
          <w:tcPr>
            <w:tcW w:w="780" w:type="dxa"/>
            <w:vAlign w:val="bottom"/>
            <w:gridSpan w:val="3"/>
            <w:shd w:val="clear" w:color="auto" w:fill="C0C0C0"/>
          </w:tcPr>
          <w:p>
            <w:pPr>
              <w:jc w:val="right"/>
              <w:ind w:right="140"/>
              <w:spacing w:after="0" w:line="202" w:lineRule="exact"/>
              <w:rPr>
                <w:sz w:val="20"/>
                <w:szCs w:val="20"/>
                <w:color w:val="auto"/>
              </w:rPr>
            </w:pPr>
            <w:r>
              <w:rPr>
                <w:rFonts w:ascii="Arial" w:cs="Arial" w:eastAsia="Arial" w:hAnsi="Arial"/>
                <w:sz w:val="18"/>
                <w:szCs w:val="18"/>
                <w:color w:val="auto"/>
              </w:rPr>
              <w:t>3,500</w:t>
            </w: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Total selling square footage at year end (in millions)</w:t>
            </w:r>
          </w:p>
        </w:tc>
        <w:tc>
          <w:tcPr>
            <w:tcW w:w="100" w:type="dxa"/>
            <w:vAlign w:val="bottom"/>
          </w:tcPr>
          <w:p>
            <w:pPr>
              <w:spacing w:after="0"/>
              <w:rPr>
                <w:sz w:val="17"/>
                <w:szCs w:val="17"/>
                <w:color w:val="auto"/>
              </w:rPr>
            </w:pPr>
          </w:p>
        </w:tc>
        <w:tc>
          <w:tcPr>
            <w:tcW w:w="68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7.47</w:t>
            </w:r>
          </w:p>
        </w:tc>
        <w:tc>
          <w:tcPr>
            <w:tcW w:w="7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7.26</w:t>
            </w:r>
          </w:p>
        </w:tc>
        <w:tc>
          <w:tcPr>
            <w:tcW w:w="7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7.38</w:t>
            </w:r>
          </w:p>
        </w:tc>
        <w:tc>
          <w:tcPr>
            <w:tcW w:w="7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7.54</w:t>
            </w:r>
          </w:p>
        </w:tc>
        <w:tc>
          <w:tcPr>
            <w:tcW w:w="78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7.74</w:t>
            </w:r>
          </w:p>
        </w:tc>
      </w:tr>
      <w:tr>
        <w:trPr>
          <w:trHeight w:val="203"/>
        </w:trPr>
        <w:tc>
          <w:tcPr>
            <w:tcW w:w="500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Total gross square footage at year end (in millions)</w:t>
            </w:r>
          </w:p>
        </w:tc>
        <w:tc>
          <w:tcPr>
            <w:tcW w:w="1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220"/>
              <w:spacing w:after="0" w:line="202" w:lineRule="exact"/>
              <w:rPr>
                <w:sz w:val="20"/>
                <w:szCs w:val="20"/>
                <w:color w:val="auto"/>
              </w:rPr>
            </w:pPr>
            <w:r>
              <w:rPr>
                <w:rFonts w:ascii="Arial" w:cs="Arial" w:eastAsia="Arial" w:hAnsi="Arial"/>
                <w:sz w:val="18"/>
                <w:szCs w:val="18"/>
                <w:b w:val="1"/>
                <w:bCs w:val="1"/>
                <w:color w:val="auto"/>
                <w:w w:val="97"/>
              </w:rPr>
              <w:t>12.71</w:t>
            </w:r>
          </w:p>
        </w:tc>
        <w:tc>
          <w:tcPr>
            <w:tcW w:w="740" w:type="dxa"/>
            <w:vAlign w:val="bottom"/>
            <w:gridSpan w:val="3"/>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12.32</w:t>
            </w:r>
          </w:p>
        </w:tc>
        <w:tc>
          <w:tcPr>
            <w:tcW w:w="740" w:type="dxa"/>
            <w:vAlign w:val="bottom"/>
            <w:gridSpan w:val="3"/>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12.45</w:t>
            </w:r>
          </w:p>
        </w:tc>
        <w:tc>
          <w:tcPr>
            <w:tcW w:w="740" w:type="dxa"/>
            <w:vAlign w:val="bottom"/>
            <w:gridSpan w:val="3"/>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12.64</w:t>
            </w:r>
          </w:p>
        </w:tc>
        <w:tc>
          <w:tcPr>
            <w:tcW w:w="780" w:type="dxa"/>
            <w:vAlign w:val="bottom"/>
            <w:gridSpan w:val="3"/>
            <w:shd w:val="clear" w:color="auto" w:fill="C0C0C0"/>
          </w:tcPr>
          <w:p>
            <w:pPr>
              <w:jc w:val="right"/>
              <w:ind w:right="140"/>
              <w:spacing w:after="0" w:line="202" w:lineRule="exact"/>
              <w:rPr>
                <w:sz w:val="20"/>
                <w:szCs w:val="20"/>
                <w:color w:val="auto"/>
              </w:rPr>
            </w:pPr>
            <w:r>
              <w:rPr>
                <w:rFonts w:ascii="Arial" w:cs="Arial" w:eastAsia="Arial" w:hAnsi="Arial"/>
                <w:sz w:val="18"/>
                <w:szCs w:val="18"/>
                <w:color w:val="auto"/>
              </w:rPr>
              <w:t>12.96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-2280285</wp:posOffset>
            </wp:positionV>
            <wp:extent cx="5565775"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65775" cy="137160"/>
                    </a:xfrm>
                    <a:prstGeom prst="rect">
                      <a:avLst/>
                    </a:prstGeom>
                    <a:noFill/>
                  </pic:spPr>
                </pic:pic>
              </a:graphicData>
            </a:graphic>
          </wp:anchor>
        </w:drawing>
      </w:r>
    </w:p>
    <w:p>
      <w:pPr>
        <w:spacing w:after="0" w:line="93" w:lineRule="exact"/>
        <w:rPr>
          <w:sz w:val="20"/>
          <w:szCs w:val="20"/>
          <w:color w:val="auto"/>
        </w:rPr>
      </w:pPr>
    </w:p>
    <w:p>
      <w:pPr>
        <w:ind w:left="300" w:hanging="272"/>
        <w:spacing w:after="0"/>
        <w:tabs>
          <w:tab w:leader="none" w:pos="300" w:val="left"/>
        </w:tabs>
        <w:numPr>
          <w:ilvl w:val="0"/>
          <w:numId w:val="6"/>
        </w:numPr>
        <w:rPr>
          <w:rFonts w:ascii="Arial" w:cs="Arial" w:eastAsia="Arial" w:hAnsi="Arial"/>
          <w:sz w:val="14"/>
          <w:szCs w:val="14"/>
          <w:color w:val="auto"/>
        </w:rPr>
      </w:pPr>
      <w:r>
        <w:rPr>
          <w:rFonts w:ascii="Arial" w:cs="Arial" w:eastAsia="Arial" w:hAnsi="Arial"/>
          <w:sz w:val="14"/>
          <w:szCs w:val="14"/>
          <w:color w:val="auto"/>
        </w:rPr>
        <w:t>2012 represents the 53 weeks ended February 2, 2013.</w:t>
      </w:r>
    </w:p>
    <w:p>
      <w:pPr>
        <w:spacing w:after="0" w:line="122" w:lineRule="exact"/>
        <w:rPr>
          <w:rFonts w:ascii="Arial" w:cs="Arial" w:eastAsia="Arial" w:hAnsi="Arial"/>
          <w:sz w:val="14"/>
          <w:szCs w:val="14"/>
          <w:color w:val="auto"/>
        </w:rPr>
      </w:pPr>
    </w:p>
    <w:p>
      <w:pPr>
        <w:jc w:val="both"/>
        <w:ind w:left="300" w:right="539" w:hanging="272"/>
        <w:spacing w:after="0" w:line="276" w:lineRule="auto"/>
        <w:tabs>
          <w:tab w:leader="none" w:pos="300" w:val="left"/>
        </w:tabs>
        <w:numPr>
          <w:ilvl w:val="0"/>
          <w:numId w:val="6"/>
        </w:numPr>
        <w:rPr>
          <w:rFonts w:ascii="Arial" w:cs="Arial" w:eastAsia="Arial" w:hAnsi="Arial"/>
          <w:sz w:val="14"/>
          <w:szCs w:val="14"/>
          <w:color w:val="auto"/>
        </w:rPr>
      </w:pPr>
      <w:r>
        <w:rPr>
          <w:rFonts w:ascii="Arial" w:cs="Arial" w:eastAsia="Arial" w:hAnsi="Arial"/>
          <w:sz w:val="14"/>
          <w:szCs w:val="14"/>
          <w:color w:val="auto"/>
        </w:rPr>
        <w:t>Calculated as Athletic Store sales divided by the average monthly ending gross square footage of the last thirteen months. The computation for each of the years presented reflects the foreign exchange rate in affect for such year. The 2012 amount has been calculated excluding the sales of the 53</w:t>
      </w:r>
      <w:r>
        <w:rPr>
          <w:rFonts w:ascii="Arial" w:cs="Arial" w:eastAsia="Arial" w:hAnsi="Arial"/>
          <w:sz w:val="23"/>
          <w:szCs w:val="23"/>
          <w:color w:val="auto"/>
          <w:vertAlign w:val="superscript"/>
        </w:rPr>
        <w:t>rd</w:t>
      </w:r>
      <w:r>
        <w:rPr>
          <w:rFonts w:ascii="Arial" w:cs="Arial" w:eastAsia="Arial" w:hAnsi="Arial"/>
          <w:sz w:val="14"/>
          <w:szCs w:val="14"/>
          <w:color w:val="auto"/>
        </w:rPr>
        <w:t xml:space="preserve"> week.</w:t>
      </w:r>
    </w:p>
    <w:p>
      <w:pPr>
        <w:ind w:left="300" w:hanging="272"/>
        <w:spacing w:after="0"/>
        <w:tabs>
          <w:tab w:leader="none" w:pos="300" w:val="left"/>
        </w:tabs>
        <w:numPr>
          <w:ilvl w:val="0"/>
          <w:numId w:val="6"/>
        </w:numPr>
        <w:rPr>
          <w:rFonts w:ascii="Arial" w:cs="Arial" w:eastAsia="Arial" w:hAnsi="Arial"/>
          <w:sz w:val="14"/>
          <w:szCs w:val="14"/>
          <w:color w:val="auto"/>
        </w:rPr>
      </w:pPr>
      <w:r>
        <w:rPr>
          <w:rFonts w:ascii="Arial" w:cs="Arial" w:eastAsia="Arial" w:hAnsi="Arial"/>
          <w:sz w:val="14"/>
          <w:szCs w:val="14"/>
          <w:color w:val="auto"/>
        </w:rPr>
        <w:t>Calculated using results from continuing operations.</w:t>
      </w:r>
    </w:p>
    <w:p>
      <w:pPr>
        <w:spacing w:after="0" w:line="122" w:lineRule="exact"/>
        <w:rPr>
          <w:rFonts w:ascii="Arial" w:cs="Arial" w:eastAsia="Arial" w:hAnsi="Arial"/>
          <w:sz w:val="14"/>
          <w:szCs w:val="14"/>
          <w:color w:val="auto"/>
        </w:rPr>
      </w:pPr>
    </w:p>
    <w:p>
      <w:pPr>
        <w:ind w:left="300" w:hanging="272"/>
        <w:spacing w:after="0"/>
        <w:tabs>
          <w:tab w:leader="none" w:pos="300" w:val="left"/>
        </w:tabs>
        <w:numPr>
          <w:ilvl w:val="0"/>
          <w:numId w:val="6"/>
        </w:numPr>
        <w:rPr>
          <w:rFonts w:ascii="Arial" w:cs="Arial" w:eastAsia="Arial" w:hAnsi="Arial"/>
          <w:sz w:val="14"/>
          <w:szCs w:val="14"/>
          <w:color w:val="auto"/>
        </w:rPr>
      </w:pPr>
      <w:r>
        <w:rPr>
          <w:rFonts w:ascii="Arial" w:cs="Arial" w:eastAsia="Arial" w:hAnsi="Arial"/>
          <w:sz w:val="14"/>
          <w:szCs w:val="14"/>
          <w:color w:val="auto"/>
        </w:rPr>
        <w:t>See Item 7, “Management’s Discussion and Analysis of Financial Condition and Results of Operations” for additional information and calculation.</w:t>
      </w:r>
    </w:p>
    <w:p>
      <w:pPr>
        <w:spacing w:after="0" w:line="122" w:lineRule="exact"/>
        <w:rPr>
          <w:rFonts w:ascii="Arial" w:cs="Arial" w:eastAsia="Arial" w:hAnsi="Arial"/>
          <w:sz w:val="14"/>
          <w:szCs w:val="14"/>
          <w:color w:val="auto"/>
        </w:rPr>
      </w:pPr>
    </w:p>
    <w:p>
      <w:pPr>
        <w:ind w:left="300" w:right="539" w:hanging="272"/>
        <w:spacing w:after="0" w:line="278" w:lineRule="auto"/>
        <w:tabs>
          <w:tab w:leader="none" w:pos="30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Represents total debt and obligations under capital leases, net of cash, cash equivalents, and short-term investments. Additionally, this calculation includes the present value of operating leases, and accordingly is considered a non-GAAP measure.</w:t>
      </w:r>
    </w:p>
    <w:p>
      <w:pPr>
        <w:spacing w:after="0" w:line="200" w:lineRule="exact"/>
        <w:rPr>
          <w:sz w:val="20"/>
          <w:szCs w:val="20"/>
          <w:color w:val="auto"/>
        </w:rPr>
      </w:pPr>
    </w:p>
    <w:p>
      <w:pPr>
        <w:spacing w:after="0" w:line="34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96520</wp:posOffset>
            </wp:positionV>
            <wp:extent cx="6114415" cy="5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15" w:name="page16"/>
    <w:bookmarkEnd w:id="1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60" w:right="1719"/>
        <w:spacing w:after="0" w:line="412" w:lineRule="auto"/>
        <w:rPr>
          <w:sz w:val="20"/>
          <w:szCs w:val="20"/>
          <w:color w:val="auto"/>
        </w:rPr>
      </w:pPr>
      <w:r>
        <w:rPr>
          <w:rFonts w:ascii="Arial" w:cs="Arial" w:eastAsia="Arial" w:hAnsi="Arial"/>
          <w:sz w:val="18"/>
          <w:szCs w:val="18"/>
          <w:b w:val="1"/>
          <w:bCs w:val="1"/>
          <w:i w:val="1"/>
          <w:iCs w:val="1"/>
          <w:color w:val="auto"/>
        </w:rPr>
        <w:t xml:space="preserve">Item 7. Management’s Discussion and Analysis of Financial Condition and Results of Operations </w:t>
      </w:r>
      <w:r>
        <w:rPr>
          <w:rFonts w:ascii="Arial" w:cs="Arial" w:eastAsia="Arial" w:hAnsi="Arial"/>
          <w:sz w:val="18"/>
          <w:szCs w:val="18"/>
          <w:b w:val="1"/>
          <w:bCs w:val="1"/>
          <w:color w:val="auto"/>
        </w:rPr>
        <w:t>Business Overview</w:t>
      </w:r>
    </w:p>
    <w:p>
      <w:pPr>
        <w:jc w:val="both"/>
        <w:ind w:left="60" w:right="519"/>
        <w:spacing w:after="0" w:line="256" w:lineRule="auto"/>
        <w:rPr>
          <w:sz w:val="20"/>
          <w:szCs w:val="20"/>
          <w:color w:val="auto"/>
        </w:rPr>
      </w:pPr>
      <w:r>
        <w:rPr>
          <w:rFonts w:ascii="Arial" w:cs="Arial" w:eastAsia="Arial" w:hAnsi="Arial"/>
          <w:sz w:val="18"/>
          <w:szCs w:val="18"/>
          <w:color w:val="auto"/>
        </w:rPr>
        <w:t>Foot Locker, Inc., through its subsidiaries, operates in two reportable segments — Athletic Stores and Direct-to-Customers. The Athletic Stores segment is one of the largest athletic footwear and apparel retailers in the world, with formats that include Foot Locker, Lady Foot Locker, Kids Foot Locker, Champs Sports, Footaction, SIX:02, as well as</w:t>
      </w:r>
    </w:p>
    <w:p>
      <w:pPr>
        <w:spacing w:after="0" w:line="13" w:lineRule="exact"/>
        <w:rPr>
          <w:sz w:val="20"/>
          <w:szCs w:val="20"/>
          <w:color w:val="auto"/>
        </w:rPr>
      </w:pPr>
    </w:p>
    <w:p>
      <w:pPr>
        <w:jc w:val="both"/>
        <w:ind w:left="60" w:right="519"/>
        <w:spacing w:after="0" w:line="225" w:lineRule="auto"/>
        <w:rPr>
          <w:sz w:val="20"/>
          <w:szCs w:val="20"/>
          <w:color w:val="auto"/>
        </w:rPr>
      </w:pPr>
      <w:r>
        <w:rPr>
          <w:rFonts w:ascii="Arial" w:cs="Arial" w:eastAsia="Arial" w:hAnsi="Arial"/>
          <w:sz w:val="18"/>
          <w:szCs w:val="18"/>
          <w:color w:val="auto"/>
        </w:rPr>
        <w:t>the retail stores of Runners Point Group, including Runners Point, Sidestep, and Run</w:t>
      </w:r>
      <w:r>
        <w:rPr>
          <w:rFonts w:ascii="Arial" w:cs="Arial" w:eastAsia="Arial" w:hAnsi="Arial"/>
          <w:sz w:val="30"/>
          <w:szCs w:val="30"/>
          <w:color w:val="auto"/>
          <w:vertAlign w:val="superscript"/>
        </w:rPr>
        <w:t>2</w:t>
      </w:r>
      <w:r>
        <w:rPr>
          <w:rFonts w:ascii="Arial" w:cs="Arial" w:eastAsia="Arial" w:hAnsi="Arial"/>
          <w:sz w:val="18"/>
          <w:szCs w:val="18"/>
          <w:color w:val="auto"/>
        </w:rPr>
        <w:t>, which was acquired during the second quarter of 2013. The Direct-to-Customers segment includes Footlocker.com, Inc. and other affiliates, including Eastbay, Inc., CCS, and Tredex, the direct-to-customer subsidiary of Runners Point Group, which sell to customers through their Internet websites, mobile devices, and catalogs.</w:t>
      </w:r>
    </w:p>
    <w:p>
      <w:pPr>
        <w:spacing w:after="0" w:line="107"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The Foot Locker brand is one of the most widely recognized names in the markets in which the Company operates, epitomizing high quality for the active lifestyle customer. This brand equity has aided the Company’s ability to successfully develop and increase its portfolio of complementary retail store formats, such as Lady Foot Locker, and Kids Foot Locker, as well as Footlocker.com, its direct-to-customers business. Through various marketing channels, including broadcast, digital, print, and various sports sponsorships and events, the Company reinforces its image with a consistent message-namely, that it is the destination for athletically inspired shoes and apparel with a wide selection of merchandise in a full-service environment.</w:t>
      </w:r>
    </w:p>
    <w:p>
      <w:pPr>
        <w:spacing w:after="0" w:line="8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Store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565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rPr>
              <w:t>Square Footage</w:t>
            </w:r>
          </w:p>
        </w:tc>
      </w:tr>
      <w:tr>
        <w:trPr>
          <w:trHeight w:val="198"/>
        </w:trPr>
        <w:tc>
          <w:tcPr>
            <w:tcW w:w="2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(in thousands)</w:t>
            </w:r>
          </w:p>
        </w:tc>
      </w:tr>
      <w:tr>
        <w:trPr>
          <w:trHeight w:val="174"/>
        </w:trPr>
        <w:tc>
          <w:tcPr>
            <w:tcW w:w="2760" w:type="dxa"/>
            <w:vAlign w:val="bottom"/>
          </w:tcPr>
          <w:p>
            <w:pPr>
              <w:spacing w:after="0"/>
              <w:rPr>
                <w:sz w:val="15"/>
                <w:szCs w:val="15"/>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February 2,</w:t>
            </w:r>
          </w:p>
        </w:tc>
        <w:tc>
          <w:tcPr>
            <w:tcW w:w="100" w:type="dxa"/>
            <w:vAlign w:val="bottom"/>
          </w:tcPr>
          <w:p>
            <w:pPr>
              <w:spacing w:after="0"/>
              <w:rPr>
                <w:sz w:val="15"/>
                <w:szCs w:val="15"/>
                <w:color w:val="auto"/>
              </w:rPr>
            </w:pP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Opened</w:t>
            </w:r>
          </w:p>
        </w:tc>
        <w:tc>
          <w:tcPr>
            <w:tcW w:w="10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Closed</w:t>
            </w:r>
          </w:p>
        </w:tc>
        <w:tc>
          <w:tcPr>
            <w:tcW w:w="10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February 1,</w:t>
            </w:r>
          </w:p>
        </w:tc>
        <w:tc>
          <w:tcPr>
            <w:tcW w:w="100" w:type="dxa"/>
            <w:vAlign w:val="bottom"/>
          </w:tcPr>
          <w:p>
            <w:pPr>
              <w:spacing w:after="0"/>
              <w:rPr>
                <w:sz w:val="15"/>
                <w:szCs w:val="15"/>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Relocations/</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Selling</w:t>
            </w:r>
          </w:p>
        </w:tc>
        <w:tc>
          <w:tcPr>
            <w:tcW w:w="10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Gross</w:t>
            </w:r>
          </w:p>
        </w:tc>
      </w:tr>
      <w:tr>
        <w:trPr>
          <w:trHeight w:val="175"/>
        </w:trPr>
        <w:tc>
          <w:tcPr>
            <w:tcW w:w="2760" w:type="dxa"/>
            <w:vAlign w:val="bottom"/>
          </w:tcPr>
          <w:p>
            <w:pPr>
              <w:spacing w:after="0"/>
              <w:rPr>
                <w:sz w:val="15"/>
                <w:szCs w:val="15"/>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Remodels</w:t>
            </w:r>
          </w:p>
        </w:tc>
        <w:tc>
          <w:tcPr>
            <w:tcW w:w="1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r>
      <w:tr>
        <w:trPr>
          <w:trHeight w:val="196"/>
        </w:trPr>
        <w:tc>
          <w:tcPr>
            <w:tcW w:w="2760" w:type="dxa"/>
            <w:vAlign w:val="bottom"/>
            <w:shd w:val="clear" w:color="auto" w:fill="C0C0C0"/>
          </w:tcPr>
          <w:p>
            <w:pPr>
              <w:ind w:left="20"/>
              <w:spacing w:after="0" w:line="196" w:lineRule="exact"/>
              <w:rPr>
                <w:sz w:val="20"/>
                <w:szCs w:val="20"/>
                <w:color w:val="auto"/>
              </w:rPr>
            </w:pPr>
            <w:r>
              <w:rPr>
                <w:rFonts w:ascii="Arial" w:cs="Arial" w:eastAsia="Arial" w:hAnsi="Arial"/>
                <w:sz w:val="18"/>
                <w:szCs w:val="18"/>
                <w:color w:val="auto"/>
              </w:rPr>
              <w:t>Foot Locker US</w:t>
            </w:r>
          </w:p>
        </w:tc>
        <w:tc>
          <w:tcPr>
            <w:tcW w:w="820" w:type="dxa"/>
            <w:vAlign w:val="bottom"/>
            <w:gridSpan w:val="2"/>
            <w:shd w:val="clear" w:color="auto" w:fill="C0C0C0"/>
          </w:tcPr>
          <w:p>
            <w:pPr>
              <w:jc w:val="right"/>
              <w:ind w:right="60"/>
              <w:spacing w:after="0" w:line="196" w:lineRule="exact"/>
              <w:rPr>
                <w:sz w:val="20"/>
                <w:szCs w:val="20"/>
                <w:color w:val="auto"/>
              </w:rPr>
            </w:pPr>
            <w:r>
              <w:rPr>
                <w:rFonts w:ascii="Arial" w:cs="Arial" w:eastAsia="Arial" w:hAnsi="Arial"/>
                <w:sz w:val="18"/>
                <w:szCs w:val="18"/>
                <w:color w:val="auto"/>
              </w:rPr>
              <w:t>1,072</w:t>
            </w:r>
          </w:p>
        </w:tc>
        <w:tc>
          <w:tcPr>
            <w:tcW w:w="820" w:type="dxa"/>
            <w:vAlign w:val="bottom"/>
            <w:gridSpan w:val="3"/>
            <w:shd w:val="clear" w:color="auto" w:fill="C0C0C0"/>
          </w:tcPr>
          <w:p>
            <w:pPr>
              <w:jc w:val="right"/>
              <w:ind w:right="100"/>
              <w:spacing w:after="0" w:line="196" w:lineRule="exact"/>
              <w:rPr>
                <w:sz w:val="20"/>
                <w:szCs w:val="20"/>
                <w:color w:val="auto"/>
              </w:rPr>
            </w:pPr>
            <w:r>
              <w:rPr>
                <w:rFonts w:ascii="Arial" w:cs="Arial" w:eastAsia="Arial" w:hAnsi="Arial"/>
                <w:sz w:val="18"/>
                <w:szCs w:val="18"/>
                <w:color w:val="auto"/>
              </w:rPr>
              <w:t>7</w:t>
            </w:r>
          </w:p>
        </w:tc>
        <w:tc>
          <w:tcPr>
            <w:tcW w:w="800" w:type="dxa"/>
            <w:vAlign w:val="bottom"/>
            <w:gridSpan w:val="3"/>
            <w:shd w:val="clear" w:color="auto" w:fill="C0C0C0"/>
          </w:tcPr>
          <w:p>
            <w:pPr>
              <w:jc w:val="right"/>
              <w:ind w:right="100"/>
              <w:spacing w:after="0" w:line="196" w:lineRule="exact"/>
              <w:rPr>
                <w:sz w:val="20"/>
                <w:szCs w:val="20"/>
                <w:color w:val="auto"/>
              </w:rPr>
            </w:pPr>
            <w:r>
              <w:rPr>
                <w:rFonts w:ascii="Arial" w:cs="Arial" w:eastAsia="Arial" w:hAnsi="Arial"/>
                <w:sz w:val="18"/>
                <w:szCs w:val="18"/>
                <w:color w:val="auto"/>
              </w:rPr>
              <w:t>35</w:t>
            </w:r>
          </w:p>
        </w:tc>
        <w:tc>
          <w:tcPr>
            <w:tcW w:w="920" w:type="dxa"/>
            <w:vAlign w:val="bottom"/>
            <w:gridSpan w:val="3"/>
            <w:shd w:val="clear" w:color="auto" w:fill="C0C0C0"/>
          </w:tcPr>
          <w:p>
            <w:pPr>
              <w:jc w:val="right"/>
              <w:ind w:right="80"/>
              <w:spacing w:after="0" w:line="196" w:lineRule="exact"/>
              <w:rPr>
                <w:sz w:val="20"/>
                <w:szCs w:val="20"/>
                <w:color w:val="auto"/>
              </w:rPr>
            </w:pPr>
            <w:r>
              <w:rPr>
                <w:rFonts w:ascii="Arial" w:cs="Arial" w:eastAsia="Arial" w:hAnsi="Arial"/>
                <w:sz w:val="18"/>
                <w:szCs w:val="18"/>
                <w:b w:val="1"/>
                <w:bCs w:val="1"/>
                <w:color w:val="auto"/>
              </w:rPr>
              <w:t>1,044</w:t>
            </w:r>
          </w:p>
        </w:tc>
        <w:tc>
          <w:tcPr>
            <w:tcW w:w="980" w:type="dxa"/>
            <w:vAlign w:val="bottom"/>
            <w:gridSpan w:val="3"/>
            <w:shd w:val="clear" w:color="auto" w:fill="C0C0C0"/>
          </w:tcPr>
          <w:p>
            <w:pPr>
              <w:jc w:val="right"/>
              <w:ind w:right="140"/>
              <w:spacing w:after="0" w:line="196" w:lineRule="exact"/>
              <w:rPr>
                <w:sz w:val="20"/>
                <w:szCs w:val="20"/>
                <w:color w:val="auto"/>
              </w:rPr>
            </w:pPr>
            <w:r>
              <w:rPr>
                <w:rFonts w:ascii="Arial" w:cs="Arial" w:eastAsia="Arial" w:hAnsi="Arial"/>
                <w:sz w:val="18"/>
                <w:szCs w:val="18"/>
                <w:b w:val="1"/>
                <w:bCs w:val="1"/>
                <w:color w:val="auto"/>
              </w:rPr>
              <w:t>153</w:t>
            </w:r>
          </w:p>
        </w:tc>
        <w:tc>
          <w:tcPr>
            <w:tcW w:w="100" w:type="dxa"/>
            <w:vAlign w:val="bottom"/>
            <w:shd w:val="clear" w:color="auto" w:fill="C0C0C0"/>
          </w:tcPr>
          <w:p>
            <w:pPr>
              <w:spacing w:after="0"/>
              <w:rPr>
                <w:sz w:val="17"/>
                <w:szCs w:val="17"/>
                <w:color w:val="auto"/>
              </w:rPr>
            </w:pPr>
          </w:p>
        </w:tc>
        <w:tc>
          <w:tcPr>
            <w:tcW w:w="720" w:type="dxa"/>
            <w:vAlign w:val="bottom"/>
            <w:gridSpan w:val="2"/>
            <w:shd w:val="clear" w:color="auto" w:fill="C0C0C0"/>
          </w:tcPr>
          <w:p>
            <w:pPr>
              <w:jc w:val="right"/>
              <w:ind w:right="80"/>
              <w:spacing w:after="0" w:line="196" w:lineRule="exact"/>
              <w:rPr>
                <w:sz w:val="20"/>
                <w:szCs w:val="20"/>
                <w:color w:val="auto"/>
              </w:rPr>
            </w:pPr>
            <w:r>
              <w:rPr>
                <w:rFonts w:ascii="Arial" w:cs="Arial" w:eastAsia="Arial" w:hAnsi="Arial"/>
                <w:sz w:val="18"/>
                <w:szCs w:val="18"/>
                <w:b w:val="1"/>
                <w:bCs w:val="1"/>
                <w:color w:val="auto"/>
              </w:rPr>
              <w:t>2,492</w:t>
            </w:r>
          </w:p>
        </w:tc>
        <w:tc>
          <w:tcPr>
            <w:tcW w:w="860" w:type="dxa"/>
            <w:vAlign w:val="bottom"/>
            <w:gridSpan w:val="3"/>
            <w:shd w:val="clear" w:color="auto" w:fill="C0C0C0"/>
          </w:tcPr>
          <w:p>
            <w:pPr>
              <w:jc w:val="right"/>
              <w:ind w:right="60"/>
              <w:spacing w:after="0" w:line="196" w:lineRule="exact"/>
              <w:rPr>
                <w:sz w:val="20"/>
                <w:szCs w:val="20"/>
                <w:color w:val="auto"/>
              </w:rPr>
            </w:pPr>
            <w:r>
              <w:rPr>
                <w:rFonts w:ascii="Arial" w:cs="Arial" w:eastAsia="Arial" w:hAnsi="Arial"/>
                <w:sz w:val="18"/>
                <w:szCs w:val="18"/>
                <w:b w:val="1"/>
                <w:bCs w:val="1"/>
                <w:color w:val="auto"/>
              </w:rPr>
              <w:t>4,301</w:t>
            </w:r>
          </w:p>
        </w:tc>
      </w:tr>
      <w:tr>
        <w:trPr>
          <w:trHeight w:val="203"/>
        </w:trPr>
        <w:tc>
          <w:tcPr>
            <w:tcW w:w="2760" w:type="dxa"/>
            <w:vAlign w:val="bottom"/>
          </w:tcPr>
          <w:p>
            <w:pPr>
              <w:ind w:left="20"/>
              <w:spacing w:after="0" w:line="202" w:lineRule="exact"/>
              <w:rPr>
                <w:sz w:val="20"/>
                <w:szCs w:val="20"/>
                <w:color w:val="auto"/>
              </w:rPr>
            </w:pPr>
            <w:r>
              <w:rPr>
                <w:rFonts w:ascii="Arial" w:cs="Arial" w:eastAsia="Arial" w:hAnsi="Arial"/>
                <w:sz w:val="18"/>
                <w:szCs w:val="18"/>
                <w:color w:val="auto"/>
              </w:rPr>
              <w:t>Foot Locker Europe</w:t>
            </w: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590</w:t>
            </w:r>
          </w:p>
        </w:tc>
        <w:tc>
          <w:tcPr>
            <w:tcW w:w="8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26</w:t>
            </w:r>
          </w:p>
        </w:tc>
        <w:tc>
          <w:tcPr>
            <w:tcW w:w="8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12</w:t>
            </w:r>
          </w:p>
        </w:tc>
        <w:tc>
          <w:tcPr>
            <w:tcW w:w="9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604</w:t>
            </w:r>
          </w:p>
        </w:tc>
        <w:tc>
          <w:tcPr>
            <w:tcW w:w="980" w:type="dxa"/>
            <w:vAlign w:val="bottom"/>
            <w:gridSpan w:val="3"/>
          </w:tcPr>
          <w:p>
            <w:pPr>
              <w:jc w:val="right"/>
              <w:ind w:right="140"/>
              <w:spacing w:after="0" w:line="202" w:lineRule="exact"/>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836</w:t>
            </w:r>
          </w:p>
        </w:tc>
        <w:tc>
          <w:tcPr>
            <w:tcW w:w="860" w:type="dxa"/>
            <w:vAlign w:val="bottom"/>
            <w:gridSpan w:val="3"/>
          </w:tcPr>
          <w:p>
            <w:pPr>
              <w:jc w:val="right"/>
              <w:ind w:right="60"/>
              <w:spacing w:after="0" w:line="202" w:lineRule="exact"/>
              <w:rPr>
                <w:sz w:val="20"/>
                <w:szCs w:val="20"/>
                <w:color w:val="auto"/>
              </w:rPr>
            </w:pPr>
            <w:r>
              <w:rPr>
                <w:rFonts w:ascii="Arial" w:cs="Arial" w:eastAsia="Arial" w:hAnsi="Arial"/>
                <w:sz w:val="18"/>
                <w:szCs w:val="18"/>
                <w:b w:val="1"/>
                <w:bCs w:val="1"/>
                <w:color w:val="auto"/>
              </w:rPr>
              <w:t>1,815</w:t>
            </w:r>
          </w:p>
        </w:tc>
      </w:tr>
      <w:tr>
        <w:trPr>
          <w:trHeight w:val="203"/>
        </w:trPr>
        <w:tc>
          <w:tcPr>
            <w:tcW w:w="27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Foot Locker Canada</w:t>
            </w:r>
          </w:p>
        </w:tc>
        <w:tc>
          <w:tcPr>
            <w:tcW w:w="820" w:type="dxa"/>
            <w:vAlign w:val="bottom"/>
            <w:gridSpan w:val="2"/>
            <w:shd w:val="clear" w:color="auto" w:fill="C0C0C0"/>
          </w:tcPr>
          <w:p>
            <w:pPr>
              <w:jc w:val="right"/>
              <w:ind w:right="60"/>
              <w:spacing w:after="0" w:line="202" w:lineRule="exact"/>
              <w:rPr>
                <w:sz w:val="20"/>
                <w:szCs w:val="20"/>
                <w:color w:val="auto"/>
              </w:rPr>
            </w:pPr>
            <w:r>
              <w:rPr>
                <w:rFonts w:ascii="Arial" w:cs="Arial" w:eastAsia="Arial" w:hAnsi="Arial"/>
                <w:sz w:val="18"/>
                <w:szCs w:val="18"/>
                <w:color w:val="auto"/>
              </w:rPr>
              <w:t>129</w:t>
            </w:r>
          </w:p>
        </w:tc>
        <w:tc>
          <w:tcPr>
            <w:tcW w:w="100" w:type="dxa"/>
            <w:vAlign w:val="bottom"/>
            <w:shd w:val="clear" w:color="auto" w:fill="C0C0C0"/>
          </w:tcPr>
          <w:p>
            <w:pPr>
              <w:spacing w:after="0"/>
              <w:rPr>
                <w:sz w:val="17"/>
                <w:szCs w:val="17"/>
                <w:color w:val="auto"/>
              </w:rPr>
            </w:pPr>
          </w:p>
        </w:tc>
        <w:tc>
          <w:tcPr>
            <w:tcW w:w="720" w:type="dxa"/>
            <w:vAlign w:val="bottom"/>
            <w:gridSpan w:val="2"/>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3"/>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920" w:type="dxa"/>
            <w:vAlign w:val="bottom"/>
            <w:gridSpan w:val="3"/>
            <w:shd w:val="clear" w:color="auto" w:fill="C0C0C0"/>
          </w:tcPr>
          <w:p>
            <w:pPr>
              <w:jc w:val="right"/>
              <w:ind w:right="80"/>
              <w:spacing w:after="0" w:line="202" w:lineRule="exact"/>
              <w:rPr>
                <w:sz w:val="20"/>
                <w:szCs w:val="20"/>
                <w:color w:val="auto"/>
              </w:rPr>
            </w:pPr>
            <w:r>
              <w:rPr>
                <w:rFonts w:ascii="Arial" w:cs="Arial" w:eastAsia="Arial" w:hAnsi="Arial"/>
                <w:sz w:val="18"/>
                <w:szCs w:val="18"/>
                <w:color w:val="auto"/>
              </w:rPr>
              <w:t>128</w:t>
            </w:r>
          </w:p>
        </w:tc>
        <w:tc>
          <w:tcPr>
            <w:tcW w:w="980" w:type="dxa"/>
            <w:vAlign w:val="bottom"/>
            <w:gridSpan w:val="3"/>
            <w:shd w:val="clear" w:color="auto" w:fill="C0C0C0"/>
          </w:tcPr>
          <w:p>
            <w:pPr>
              <w:jc w:val="right"/>
              <w:ind w:right="140"/>
              <w:spacing w:after="0" w:line="202" w:lineRule="exact"/>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0C0C0"/>
          </w:tcPr>
          <w:p>
            <w:pPr>
              <w:spacing w:after="0"/>
              <w:rPr>
                <w:sz w:val="17"/>
                <w:szCs w:val="17"/>
                <w:color w:val="auto"/>
              </w:rPr>
            </w:pPr>
          </w:p>
        </w:tc>
        <w:tc>
          <w:tcPr>
            <w:tcW w:w="720" w:type="dxa"/>
            <w:vAlign w:val="bottom"/>
            <w:gridSpan w:val="2"/>
            <w:shd w:val="clear" w:color="auto" w:fill="C0C0C0"/>
          </w:tcPr>
          <w:p>
            <w:pPr>
              <w:jc w:val="right"/>
              <w:ind w:right="80"/>
              <w:spacing w:after="0" w:line="202" w:lineRule="exact"/>
              <w:rPr>
                <w:sz w:val="20"/>
                <w:szCs w:val="20"/>
                <w:color w:val="auto"/>
              </w:rPr>
            </w:pPr>
            <w:r>
              <w:rPr>
                <w:rFonts w:ascii="Arial" w:cs="Arial" w:eastAsia="Arial" w:hAnsi="Arial"/>
                <w:sz w:val="18"/>
                <w:szCs w:val="18"/>
                <w:b w:val="1"/>
                <w:bCs w:val="1"/>
                <w:color w:val="auto"/>
              </w:rPr>
              <w:t>270</w:t>
            </w:r>
          </w:p>
        </w:tc>
        <w:tc>
          <w:tcPr>
            <w:tcW w:w="860" w:type="dxa"/>
            <w:vAlign w:val="bottom"/>
            <w:gridSpan w:val="3"/>
            <w:shd w:val="clear" w:color="auto" w:fill="C0C0C0"/>
          </w:tcPr>
          <w:p>
            <w:pPr>
              <w:jc w:val="right"/>
              <w:ind w:right="60"/>
              <w:spacing w:after="0" w:line="202" w:lineRule="exact"/>
              <w:rPr>
                <w:sz w:val="20"/>
                <w:szCs w:val="20"/>
                <w:color w:val="auto"/>
              </w:rPr>
            </w:pPr>
            <w:r>
              <w:rPr>
                <w:rFonts w:ascii="Arial" w:cs="Arial" w:eastAsia="Arial" w:hAnsi="Arial"/>
                <w:sz w:val="18"/>
                <w:szCs w:val="18"/>
                <w:b w:val="1"/>
                <w:bCs w:val="1"/>
                <w:color w:val="auto"/>
              </w:rPr>
              <w:t>423</w:t>
            </w:r>
          </w:p>
        </w:tc>
      </w:tr>
      <w:tr>
        <w:trPr>
          <w:trHeight w:val="203"/>
        </w:trPr>
        <w:tc>
          <w:tcPr>
            <w:tcW w:w="2760" w:type="dxa"/>
            <w:vAlign w:val="bottom"/>
          </w:tcPr>
          <w:p>
            <w:pPr>
              <w:ind w:left="20"/>
              <w:spacing w:after="0" w:line="202" w:lineRule="exact"/>
              <w:rPr>
                <w:sz w:val="20"/>
                <w:szCs w:val="20"/>
                <w:color w:val="auto"/>
              </w:rPr>
            </w:pPr>
            <w:r>
              <w:rPr>
                <w:rFonts w:ascii="Arial" w:cs="Arial" w:eastAsia="Arial" w:hAnsi="Arial"/>
                <w:sz w:val="18"/>
                <w:szCs w:val="18"/>
                <w:color w:val="auto"/>
              </w:rPr>
              <w:t>Foot Locker Asia Pacific</w:t>
            </w: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92</w:t>
            </w:r>
          </w:p>
        </w:tc>
        <w:tc>
          <w:tcPr>
            <w:tcW w:w="8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3</w:t>
            </w:r>
          </w:p>
        </w:tc>
        <w:tc>
          <w:tcPr>
            <w:tcW w:w="8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3</w:t>
            </w:r>
          </w:p>
        </w:tc>
        <w:tc>
          <w:tcPr>
            <w:tcW w:w="9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92</w:t>
            </w:r>
          </w:p>
        </w:tc>
        <w:tc>
          <w:tcPr>
            <w:tcW w:w="980" w:type="dxa"/>
            <w:vAlign w:val="bottom"/>
            <w:gridSpan w:val="3"/>
          </w:tcPr>
          <w:p>
            <w:pPr>
              <w:jc w:val="right"/>
              <w:ind w:right="140"/>
              <w:spacing w:after="0" w:line="202" w:lineRule="exact"/>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126</w:t>
            </w:r>
          </w:p>
        </w:tc>
        <w:tc>
          <w:tcPr>
            <w:tcW w:w="860" w:type="dxa"/>
            <w:vAlign w:val="bottom"/>
            <w:gridSpan w:val="3"/>
          </w:tcPr>
          <w:p>
            <w:pPr>
              <w:jc w:val="right"/>
              <w:ind w:right="60"/>
              <w:spacing w:after="0" w:line="202" w:lineRule="exact"/>
              <w:rPr>
                <w:sz w:val="20"/>
                <w:szCs w:val="20"/>
                <w:color w:val="auto"/>
              </w:rPr>
            </w:pPr>
            <w:r>
              <w:rPr>
                <w:rFonts w:ascii="Arial" w:cs="Arial" w:eastAsia="Arial" w:hAnsi="Arial"/>
                <w:sz w:val="18"/>
                <w:szCs w:val="18"/>
                <w:b w:val="1"/>
                <w:bCs w:val="1"/>
                <w:color w:val="auto"/>
              </w:rPr>
              <w:t>205</w:t>
            </w:r>
          </w:p>
        </w:tc>
      </w:tr>
      <w:tr>
        <w:trPr>
          <w:trHeight w:val="203"/>
        </w:trPr>
        <w:tc>
          <w:tcPr>
            <w:tcW w:w="27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Lady Foot Locker</w:t>
            </w:r>
          </w:p>
        </w:tc>
        <w:tc>
          <w:tcPr>
            <w:tcW w:w="820" w:type="dxa"/>
            <w:vAlign w:val="bottom"/>
            <w:gridSpan w:val="2"/>
            <w:shd w:val="clear" w:color="auto" w:fill="C0C0C0"/>
          </w:tcPr>
          <w:p>
            <w:pPr>
              <w:jc w:val="right"/>
              <w:ind w:right="60"/>
              <w:spacing w:after="0" w:line="202" w:lineRule="exact"/>
              <w:rPr>
                <w:sz w:val="20"/>
                <w:szCs w:val="20"/>
                <w:color w:val="auto"/>
              </w:rPr>
            </w:pPr>
            <w:r>
              <w:rPr>
                <w:rFonts w:ascii="Arial" w:cs="Arial" w:eastAsia="Arial" w:hAnsi="Arial"/>
                <w:sz w:val="18"/>
                <w:szCs w:val="18"/>
                <w:color w:val="auto"/>
              </w:rPr>
              <w:t>303</w:t>
            </w:r>
          </w:p>
        </w:tc>
        <w:tc>
          <w:tcPr>
            <w:tcW w:w="820" w:type="dxa"/>
            <w:vAlign w:val="bottom"/>
            <w:gridSpan w:val="3"/>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8</w:t>
            </w:r>
          </w:p>
        </w:tc>
        <w:tc>
          <w:tcPr>
            <w:tcW w:w="800" w:type="dxa"/>
            <w:vAlign w:val="bottom"/>
            <w:gridSpan w:val="3"/>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54</w:t>
            </w:r>
          </w:p>
        </w:tc>
        <w:tc>
          <w:tcPr>
            <w:tcW w:w="920" w:type="dxa"/>
            <w:vAlign w:val="bottom"/>
            <w:gridSpan w:val="3"/>
            <w:shd w:val="clear" w:color="auto" w:fill="C0C0C0"/>
          </w:tcPr>
          <w:p>
            <w:pPr>
              <w:jc w:val="right"/>
              <w:ind w:right="80"/>
              <w:spacing w:after="0" w:line="202" w:lineRule="exact"/>
              <w:rPr>
                <w:sz w:val="20"/>
                <w:szCs w:val="20"/>
                <w:color w:val="auto"/>
              </w:rPr>
            </w:pPr>
            <w:r>
              <w:rPr>
                <w:rFonts w:ascii="Arial" w:cs="Arial" w:eastAsia="Arial" w:hAnsi="Arial"/>
                <w:sz w:val="18"/>
                <w:szCs w:val="18"/>
                <w:color w:val="auto"/>
              </w:rPr>
              <w:t>257</w:t>
            </w:r>
          </w:p>
        </w:tc>
        <w:tc>
          <w:tcPr>
            <w:tcW w:w="980" w:type="dxa"/>
            <w:vAlign w:val="bottom"/>
            <w:gridSpan w:val="3"/>
            <w:shd w:val="clear" w:color="auto" w:fill="C0C0C0"/>
          </w:tcPr>
          <w:p>
            <w:pPr>
              <w:jc w:val="right"/>
              <w:ind w:right="140"/>
              <w:spacing w:after="0" w:line="202" w:lineRule="exact"/>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0C0C0"/>
          </w:tcPr>
          <w:p>
            <w:pPr>
              <w:spacing w:after="0"/>
              <w:rPr>
                <w:sz w:val="17"/>
                <w:szCs w:val="17"/>
                <w:color w:val="auto"/>
              </w:rPr>
            </w:pPr>
          </w:p>
        </w:tc>
        <w:tc>
          <w:tcPr>
            <w:tcW w:w="720" w:type="dxa"/>
            <w:vAlign w:val="bottom"/>
            <w:gridSpan w:val="2"/>
            <w:shd w:val="clear" w:color="auto" w:fill="C0C0C0"/>
          </w:tcPr>
          <w:p>
            <w:pPr>
              <w:jc w:val="right"/>
              <w:ind w:right="80"/>
              <w:spacing w:after="0" w:line="202" w:lineRule="exact"/>
              <w:rPr>
                <w:sz w:val="20"/>
                <w:szCs w:val="20"/>
                <w:color w:val="auto"/>
              </w:rPr>
            </w:pPr>
            <w:r>
              <w:rPr>
                <w:rFonts w:ascii="Arial" w:cs="Arial" w:eastAsia="Arial" w:hAnsi="Arial"/>
                <w:sz w:val="18"/>
                <w:szCs w:val="18"/>
                <w:b w:val="1"/>
                <w:bCs w:val="1"/>
                <w:color w:val="auto"/>
              </w:rPr>
              <w:t>351</w:t>
            </w:r>
          </w:p>
        </w:tc>
        <w:tc>
          <w:tcPr>
            <w:tcW w:w="860" w:type="dxa"/>
            <w:vAlign w:val="bottom"/>
            <w:gridSpan w:val="3"/>
            <w:shd w:val="clear" w:color="auto" w:fill="C0C0C0"/>
          </w:tcPr>
          <w:p>
            <w:pPr>
              <w:jc w:val="right"/>
              <w:ind w:right="60"/>
              <w:spacing w:after="0" w:line="202" w:lineRule="exact"/>
              <w:rPr>
                <w:sz w:val="20"/>
                <w:szCs w:val="20"/>
                <w:color w:val="auto"/>
              </w:rPr>
            </w:pPr>
            <w:r>
              <w:rPr>
                <w:rFonts w:ascii="Arial" w:cs="Arial" w:eastAsia="Arial" w:hAnsi="Arial"/>
                <w:sz w:val="18"/>
                <w:szCs w:val="18"/>
                <w:b w:val="1"/>
                <w:bCs w:val="1"/>
                <w:color w:val="auto"/>
              </w:rPr>
              <w:t>592</w:t>
            </w:r>
          </w:p>
        </w:tc>
      </w:tr>
      <w:tr>
        <w:trPr>
          <w:trHeight w:val="203"/>
        </w:trPr>
        <w:tc>
          <w:tcPr>
            <w:tcW w:w="2760" w:type="dxa"/>
            <w:vAlign w:val="bottom"/>
          </w:tcPr>
          <w:p>
            <w:pPr>
              <w:ind w:left="20"/>
              <w:spacing w:after="0" w:line="202" w:lineRule="exact"/>
              <w:rPr>
                <w:sz w:val="20"/>
                <w:szCs w:val="20"/>
                <w:color w:val="auto"/>
              </w:rPr>
            </w:pPr>
            <w:r>
              <w:rPr>
                <w:rFonts w:ascii="Arial" w:cs="Arial" w:eastAsia="Arial" w:hAnsi="Arial"/>
                <w:sz w:val="18"/>
                <w:szCs w:val="18"/>
                <w:color w:val="auto"/>
              </w:rPr>
              <w:t>Kids Foot Locker</w:t>
            </w: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305</w:t>
            </w:r>
          </w:p>
        </w:tc>
        <w:tc>
          <w:tcPr>
            <w:tcW w:w="8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336</w:t>
            </w:r>
          </w:p>
        </w:tc>
        <w:tc>
          <w:tcPr>
            <w:tcW w:w="980" w:type="dxa"/>
            <w:vAlign w:val="bottom"/>
            <w:gridSpan w:val="3"/>
          </w:tcPr>
          <w:p>
            <w:pPr>
              <w:jc w:val="right"/>
              <w:ind w:right="140"/>
              <w:spacing w:after="0" w:line="202" w:lineRule="exact"/>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477</w:t>
            </w:r>
          </w:p>
        </w:tc>
        <w:tc>
          <w:tcPr>
            <w:tcW w:w="860" w:type="dxa"/>
            <w:vAlign w:val="bottom"/>
            <w:gridSpan w:val="3"/>
          </w:tcPr>
          <w:p>
            <w:pPr>
              <w:jc w:val="right"/>
              <w:ind w:right="60"/>
              <w:spacing w:after="0" w:line="202" w:lineRule="exact"/>
              <w:rPr>
                <w:sz w:val="20"/>
                <w:szCs w:val="20"/>
                <w:color w:val="auto"/>
              </w:rPr>
            </w:pPr>
            <w:r>
              <w:rPr>
                <w:rFonts w:ascii="Arial" w:cs="Arial" w:eastAsia="Arial" w:hAnsi="Arial"/>
                <w:sz w:val="18"/>
                <w:szCs w:val="18"/>
                <w:b w:val="1"/>
                <w:bCs w:val="1"/>
                <w:color w:val="auto"/>
              </w:rPr>
              <w:t>830</w:t>
            </w:r>
          </w:p>
        </w:tc>
      </w:tr>
      <w:tr>
        <w:trPr>
          <w:trHeight w:val="203"/>
        </w:trPr>
        <w:tc>
          <w:tcPr>
            <w:tcW w:w="27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Footaction</w:t>
            </w:r>
          </w:p>
        </w:tc>
        <w:tc>
          <w:tcPr>
            <w:tcW w:w="820" w:type="dxa"/>
            <w:vAlign w:val="bottom"/>
            <w:gridSpan w:val="2"/>
            <w:shd w:val="clear" w:color="auto" w:fill="C0C0C0"/>
          </w:tcPr>
          <w:p>
            <w:pPr>
              <w:jc w:val="right"/>
              <w:ind w:right="60"/>
              <w:spacing w:after="0" w:line="202" w:lineRule="exact"/>
              <w:rPr>
                <w:sz w:val="20"/>
                <w:szCs w:val="20"/>
                <w:color w:val="auto"/>
              </w:rPr>
            </w:pPr>
            <w:r>
              <w:rPr>
                <w:rFonts w:ascii="Arial" w:cs="Arial" w:eastAsia="Arial" w:hAnsi="Arial"/>
                <w:sz w:val="18"/>
                <w:szCs w:val="18"/>
                <w:color w:val="auto"/>
              </w:rPr>
              <w:t>283</w:t>
            </w:r>
          </w:p>
        </w:tc>
        <w:tc>
          <w:tcPr>
            <w:tcW w:w="820" w:type="dxa"/>
            <w:vAlign w:val="bottom"/>
            <w:gridSpan w:val="3"/>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800" w:type="dxa"/>
            <w:vAlign w:val="bottom"/>
            <w:gridSpan w:val="3"/>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7</w:t>
            </w:r>
          </w:p>
        </w:tc>
        <w:tc>
          <w:tcPr>
            <w:tcW w:w="920" w:type="dxa"/>
            <w:vAlign w:val="bottom"/>
            <w:gridSpan w:val="3"/>
            <w:shd w:val="clear" w:color="auto" w:fill="C0C0C0"/>
          </w:tcPr>
          <w:p>
            <w:pPr>
              <w:jc w:val="right"/>
              <w:ind w:right="80"/>
              <w:spacing w:after="0" w:line="202" w:lineRule="exact"/>
              <w:rPr>
                <w:sz w:val="20"/>
                <w:szCs w:val="20"/>
                <w:color w:val="auto"/>
              </w:rPr>
            </w:pPr>
            <w:r>
              <w:rPr>
                <w:rFonts w:ascii="Arial" w:cs="Arial" w:eastAsia="Arial" w:hAnsi="Arial"/>
                <w:sz w:val="18"/>
                <w:szCs w:val="18"/>
                <w:color w:val="auto"/>
              </w:rPr>
              <w:t>277</w:t>
            </w:r>
          </w:p>
        </w:tc>
        <w:tc>
          <w:tcPr>
            <w:tcW w:w="980" w:type="dxa"/>
            <w:vAlign w:val="bottom"/>
            <w:gridSpan w:val="3"/>
            <w:shd w:val="clear" w:color="auto" w:fill="C0C0C0"/>
          </w:tcPr>
          <w:p>
            <w:pPr>
              <w:jc w:val="right"/>
              <w:ind w:right="140"/>
              <w:spacing w:after="0" w:line="202" w:lineRule="exact"/>
              <w:rPr>
                <w:sz w:val="20"/>
                <w:szCs w:val="20"/>
                <w:color w:val="auto"/>
              </w:rPr>
            </w:pPr>
            <w:r>
              <w:rPr>
                <w:rFonts w:ascii="Arial" w:cs="Arial" w:eastAsia="Arial" w:hAnsi="Arial"/>
                <w:sz w:val="18"/>
                <w:szCs w:val="18"/>
                <w:b w:val="1"/>
                <w:bCs w:val="1"/>
                <w:color w:val="auto"/>
              </w:rPr>
              <w:t>24</w:t>
            </w:r>
          </w:p>
        </w:tc>
        <w:tc>
          <w:tcPr>
            <w:tcW w:w="100" w:type="dxa"/>
            <w:vAlign w:val="bottom"/>
            <w:shd w:val="clear" w:color="auto" w:fill="C0C0C0"/>
          </w:tcPr>
          <w:p>
            <w:pPr>
              <w:spacing w:after="0"/>
              <w:rPr>
                <w:sz w:val="17"/>
                <w:szCs w:val="17"/>
                <w:color w:val="auto"/>
              </w:rPr>
            </w:pPr>
          </w:p>
        </w:tc>
        <w:tc>
          <w:tcPr>
            <w:tcW w:w="720" w:type="dxa"/>
            <w:vAlign w:val="bottom"/>
            <w:gridSpan w:val="2"/>
            <w:shd w:val="clear" w:color="auto" w:fill="C0C0C0"/>
          </w:tcPr>
          <w:p>
            <w:pPr>
              <w:jc w:val="right"/>
              <w:ind w:right="80"/>
              <w:spacing w:after="0" w:line="202" w:lineRule="exact"/>
              <w:rPr>
                <w:sz w:val="20"/>
                <w:szCs w:val="20"/>
                <w:color w:val="auto"/>
              </w:rPr>
            </w:pPr>
            <w:r>
              <w:rPr>
                <w:rFonts w:ascii="Arial" w:cs="Arial" w:eastAsia="Arial" w:hAnsi="Arial"/>
                <w:sz w:val="18"/>
                <w:szCs w:val="18"/>
                <w:b w:val="1"/>
                <w:bCs w:val="1"/>
                <w:color w:val="auto"/>
              </w:rPr>
              <w:t>811</w:t>
            </w:r>
          </w:p>
        </w:tc>
        <w:tc>
          <w:tcPr>
            <w:tcW w:w="860" w:type="dxa"/>
            <w:vAlign w:val="bottom"/>
            <w:gridSpan w:val="3"/>
            <w:shd w:val="clear" w:color="auto" w:fill="C0C0C0"/>
          </w:tcPr>
          <w:p>
            <w:pPr>
              <w:jc w:val="right"/>
              <w:ind w:right="60"/>
              <w:spacing w:after="0" w:line="202" w:lineRule="exact"/>
              <w:rPr>
                <w:sz w:val="20"/>
                <w:szCs w:val="20"/>
                <w:color w:val="auto"/>
              </w:rPr>
            </w:pPr>
            <w:r>
              <w:rPr>
                <w:rFonts w:ascii="Arial" w:cs="Arial" w:eastAsia="Arial" w:hAnsi="Arial"/>
                <w:sz w:val="18"/>
                <w:szCs w:val="18"/>
                <w:b w:val="1"/>
                <w:bCs w:val="1"/>
                <w:color w:val="auto"/>
              </w:rPr>
              <w:t>1,287</w:t>
            </w:r>
          </w:p>
        </w:tc>
      </w:tr>
      <w:tr>
        <w:trPr>
          <w:trHeight w:val="203"/>
        </w:trPr>
        <w:tc>
          <w:tcPr>
            <w:tcW w:w="2760" w:type="dxa"/>
            <w:vAlign w:val="bottom"/>
          </w:tcPr>
          <w:p>
            <w:pPr>
              <w:ind w:left="20"/>
              <w:spacing w:after="0" w:line="202" w:lineRule="exact"/>
              <w:rPr>
                <w:sz w:val="20"/>
                <w:szCs w:val="20"/>
                <w:color w:val="auto"/>
              </w:rPr>
            </w:pPr>
            <w:r>
              <w:rPr>
                <w:rFonts w:ascii="Arial" w:cs="Arial" w:eastAsia="Arial" w:hAnsi="Arial"/>
                <w:sz w:val="18"/>
                <w:szCs w:val="18"/>
                <w:color w:val="auto"/>
              </w:rPr>
              <w:t>Champs Sports</w:t>
            </w: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539</w:t>
            </w:r>
          </w:p>
        </w:tc>
        <w:tc>
          <w:tcPr>
            <w:tcW w:w="8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6</w:t>
            </w:r>
          </w:p>
        </w:tc>
        <w:tc>
          <w:tcPr>
            <w:tcW w:w="8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3</w:t>
            </w:r>
          </w:p>
        </w:tc>
        <w:tc>
          <w:tcPr>
            <w:tcW w:w="9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542</w:t>
            </w:r>
          </w:p>
        </w:tc>
        <w:tc>
          <w:tcPr>
            <w:tcW w:w="980" w:type="dxa"/>
            <w:vAlign w:val="bottom"/>
            <w:gridSpan w:val="3"/>
          </w:tcPr>
          <w:p>
            <w:pPr>
              <w:jc w:val="right"/>
              <w:ind w:right="140"/>
              <w:spacing w:after="0" w:line="202" w:lineRule="exact"/>
              <w:rPr>
                <w:sz w:val="20"/>
                <w:szCs w:val="20"/>
                <w:color w:val="auto"/>
              </w:rPr>
            </w:pPr>
            <w:r>
              <w:rPr>
                <w:rFonts w:ascii="Arial" w:cs="Arial" w:eastAsia="Arial" w:hAnsi="Arial"/>
                <w:sz w:val="18"/>
                <w:szCs w:val="18"/>
                <w:b w:val="1"/>
                <w:bCs w:val="1"/>
                <w:color w:val="auto"/>
              </w:rPr>
              <w:t>69</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1,894</w:t>
            </w:r>
          </w:p>
        </w:tc>
        <w:tc>
          <w:tcPr>
            <w:tcW w:w="860" w:type="dxa"/>
            <w:vAlign w:val="bottom"/>
            <w:gridSpan w:val="3"/>
          </w:tcPr>
          <w:p>
            <w:pPr>
              <w:jc w:val="right"/>
              <w:ind w:right="60"/>
              <w:spacing w:after="0" w:line="202" w:lineRule="exact"/>
              <w:rPr>
                <w:sz w:val="20"/>
                <w:szCs w:val="20"/>
                <w:color w:val="auto"/>
              </w:rPr>
            </w:pPr>
            <w:r>
              <w:rPr>
                <w:rFonts w:ascii="Arial" w:cs="Arial" w:eastAsia="Arial" w:hAnsi="Arial"/>
                <w:sz w:val="18"/>
                <w:szCs w:val="18"/>
                <w:b w:val="1"/>
                <w:bCs w:val="1"/>
                <w:color w:val="auto"/>
              </w:rPr>
              <w:t>2,886</w:t>
            </w:r>
          </w:p>
        </w:tc>
      </w:tr>
      <w:tr>
        <w:trPr>
          <w:trHeight w:val="243"/>
        </w:trPr>
        <w:tc>
          <w:tcPr>
            <w:tcW w:w="2760" w:type="dxa"/>
            <w:vAlign w:val="bottom"/>
            <w:shd w:val="clear" w:color="auto" w:fill="C0C0C0"/>
          </w:tcPr>
          <w:p>
            <w:pPr>
              <w:ind w:left="20"/>
              <w:spacing w:after="0" w:line="243" w:lineRule="exact"/>
              <w:rPr>
                <w:sz w:val="20"/>
                <w:szCs w:val="20"/>
                <w:color w:val="auto"/>
              </w:rPr>
            </w:pPr>
            <w:r>
              <w:rPr>
                <w:rFonts w:ascii="Arial" w:cs="Arial" w:eastAsia="Arial" w:hAnsi="Arial"/>
                <w:sz w:val="17"/>
                <w:szCs w:val="17"/>
                <w:color w:val="auto"/>
              </w:rPr>
              <w:t>CCS</w:t>
            </w:r>
            <w:r>
              <w:rPr>
                <w:rFonts w:ascii="Arial" w:cs="Arial" w:eastAsia="Arial" w:hAnsi="Arial"/>
                <w:sz w:val="28"/>
                <w:szCs w:val="28"/>
                <w:color w:val="auto"/>
                <w:vertAlign w:val="superscript"/>
              </w:rPr>
              <w:t>(1)</w:t>
            </w:r>
          </w:p>
        </w:tc>
        <w:tc>
          <w:tcPr>
            <w:tcW w:w="82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0C0C0"/>
          </w:tcPr>
          <w:p>
            <w:pPr>
              <w:spacing w:after="0"/>
              <w:rPr>
                <w:sz w:val="21"/>
                <w:szCs w:val="21"/>
                <w:color w:val="auto"/>
              </w:rPr>
            </w:pPr>
          </w:p>
        </w:tc>
        <w:tc>
          <w:tcPr>
            <w:tcW w:w="72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0C0C0"/>
          </w:tcPr>
          <w:p>
            <w:pPr>
              <w:spacing w:after="0"/>
              <w:rPr>
                <w:sz w:val="21"/>
                <w:szCs w:val="21"/>
                <w:color w:val="auto"/>
              </w:rPr>
            </w:pPr>
          </w:p>
        </w:tc>
        <w:tc>
          <w:tcPr>
            <w:tcW w:w="82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C0C0"/>
          </w:tcPr>
          <w:p>
            <w:pPr>
              <w:spacing w:after="0"/>
              <w:rPr>
                <w:sz w:val="21"/>
                <w:szCs w:val="21"/>
                <w:color w:val="auto"/>
              </w:rPr>
            </w:pPr>
          </w:p>
        </w:tc>
        <w:tc>
          <w:tcPr>
            <w:tcW w:w="980" w:type="dxa"/>
            <w:vAlign w:val="bottom"/>
            <w:gridSpan w:val="3"/>
            <w:shd w:val="clear" w:color="auto" w:fill="C0C0C0"/>
          </w:tcPr>
          <w:p>
            <w:pPr>
              <w:jc w:val="right"/>
              <w:ind w:right="24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0C0C0"/>
          </w:tcPr>
          <w:p>
            <w:pPr>
              <w:spacing w:after="0"/>
              <w:rPr>
                <w:sz w:val="21"/>
                <w:szCs w:val="21"/>
                <w:color w:val="auto"/>
              </w:rPr>
            </w:pPr>
          </w:p>
        </w:tc>
        <w:tc>
          <w:tcPr>
            <w:tcW w:w="76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b w:val="1"/>
                <w:bCs w:val="1"/>
                <w:color w:val="auto"/>
              </w:rPr>
              <w:t>—</w:t>
            </w:r>
          </w:p>
        </w:tc>
      </w:tr>
      <w:tr>
        <w:trPr>
          <w:trHeight w:val="243"/>
        </w:trPr>
        <w:tc>
          <w:tcPr>
            <w:tcW w:w="2760" w:type="dxa"/>
            <w:vAlign w:val="bottom"/>
          </w:tcPr>
          <w:p>
            <w:pPr>
              <w:ind w:left="20"/>
              <w:spacing w:after="0" w:line="243" w:lineRule="exact"/>
              <w:rPr>
                <w:sz w:val="20"/>
                <w:szCs w:val="20"/>
                <w:color w:val="auto"/>
              </w:rPr>
            </w:pPr>
            <w:r>
              <w:rPr>
                <w:rFonts w:ascii="Arial" w:cs="Arial" w:eastAsia="Arial" w:hAnsi="Arial"/>
                <w:sz w:val="17"/>
                <w:szCs w:val="17"/>
                <w:color w:val="auto"/>
              </w:rPr>
              <w:t>Runners Point Group</w:t>
            </w:r>
            <w:r>
              <w:rPr>
                <w:rFonts w:ascii="Arial" w:cs="Arial" w:eastAsia="Arial" w:hAnsi="Arial"/>
                <w:sz w:val="28"/>
                <w:szCs w:val="28"/>
                <w:color w:val="auto"/>
                <w:vertAlign w:val="superscript"/>
              </w:rPr>
              <w:t>(2)</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196</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214</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366</w:t>
            </w:r>
          </w:p>
        </w:tc>
      </w:tr>
      <w:tr>
        <w:trPr>
          <w:trHeight w:val="20"/>
        </w:trPr>
        <w:tc>
          <w:tcPr>
            <w:tcW w:w="27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7"/>
        </w:trPr>
        <w:tc>
          <w:tcPr>
            <w:tcW w:w="2760" w:type="dxa"/>
            <w:vAlign w:val="bottom"/>
            <w:shd w:val="clear" w:color="auto" w:fill="C0C0C0"/>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820" w:type="dxa"/>
            <w:vAlign w:val="bottom"/>
            <w:gridSpan w:val="2"/>
            <w:shd w:val="clear" w:color="auto" w:fill="C0C0C0"/>
          </w:tcPr>
          <w:p>
            <w:pPr>
              <w:jc w:val="right"/>
              <w:ind w:right="60"/>
              <w:spacing w:after="0" w:line="196" w:lineRule="exact"/>
              <w:rPr>
                <w:sz w:val="20"/>
                <w:szCs w:val="20"/>
                <w:color w:val="auto"/>
              </w:rPr>
            </w:pPr>
            <w:r>
              <w:rPr>
                <w:rFonts w:ascii="Arial" w:cs="Arial" w:eastAsia="Arial" w:hAnsi="Arial"/>
                <w:sz w:val="18"/>
                <w:szCs w:val="18"/>
                <w:color w:val="auto"/>
              </w:rPr>
              <w:t>3,335</w:t>
            </w:r>
          </w:p>
        </w:tc>
        <w:tc>
          <w:tcPr>
            <w:tcW w:w="820" w:type="dxa"/>
            <w:vAlign w:val="bottom"/>
            <w:gridSpan w:val="3"/>
            <w:shd w:val="clear" w:color="auto" w:fill="C0C0C0"/>
          </w:tcPr>
          <w:p>
            <w:pPr>
              <w:jc w:val="right"/>
              <w:ind w:right="100"/>
              <w:spacing w:after="0" w:line="196" w:lineRule="exact"/>
              <w:rPr>
                <w:sz w:val="20"/>
                <w:szCs w:val="20"/>
                <w:color w:val="auto"/>
              </w:rPr>
            </w:pPr>
            <w:r>
              <w:rPr>
                <w:rFonts w:ascii="Arial" w:cs="Arial" w:eastAsia="Arial" w:hAnsi="Arial"/>
                <w:sz w:val="18"/>
                <w:szCs w:val="18"/>
                <w:color w:val="auto"/>
              </w:rPr>
              <w:t>278</w:t>
            </w:r>
          </w:p>
        </w:tc>
        <w:tc>
          <w:tcPr>
            <w:tcW w:w="800" w:type="dxa"/>
            <w:vAlign w:val="bottom"/>
            <w:gridSpan w:val="3"/>
            <w:shd w:val="clear" w:color="auto" w:fill="C0C0C0"/>
          </w:tcPr>
          <w:p>
            <w:pPr>
              <w:jc w:val="right"/>
              <w:ind w:right="100"/>
              <w:spacing w:after="0" w:line="196" w:lineRule="exact"/>
              <w:rPr>
                <w:sz w:val="20"/>
                <w:szCs w:val="20"/>
                <w:color w:val="auto"/>
              </w:rPr>
            </w:pPr>
            <w:r>
              <w:rPr>
                <w:rFonts w:ascii="Arial" w:cs="Arial" w:eastAsia="Arial" w:hAnsi="Arial"/>
                <w:sz w:val="18"/>
                <w:szCs w:val="18"/>
                <w:color w:val="auto"/>
              </w:rPr>
              <w:t>140</w:t>
            </w:r>
          </w:p>
        </w:tc>
        <w:tc>
          <w:tcPr>
            <w:tcW w:w="920" w:type="dxa"/>
            <w:vAlign w:val="bottom"/>
            <w:gridSpan w:val="3"/>
            <w:shd w:val="clear" w:color="auto" w:fill="C0C0C0"/>
          </w:tcPr>
          <w:p>
            <w:pPr>
              <w:jc w:val="right"/>
              <w:ind w:right="80"/>
              <w:spacing w:after="0" w:line="196" w:lineRule="exact"/>
              <w:rPr>
                <w:sz w:val="20"/>
                <w:szCs w:val="20"/>
                <w:color w:val="auto"/>
              </w:rPr>
            </w:pPr>
            <w:r>
              <w:rPr>
                <w:rFonts w:ascii="Arial" w:cs="Arial" w:eastAsia="Arial" w:hAnsi="Arial"/>
                <w:sz w:val="18"/>
                <w:szCs w:val="18"/>
                <w:b w:val="1"/>
                <w:bCs w:val="1"/>
                <w:color w:val="auto"/>
              </w:rPr>
              <w:t>3,473</w:t>
            </w:r>
          </w:p>
        </w:tc>
        <w:tc>
          <w:tcPr>
            <w:tcW w:w="980" w:type="dxa"/>
            <w:vAlign w:val="bottom"/>
            <w:gridSpan w:val="3"/>
            <w:shd w:val="clear" w:color="auto" w:fill="C0C0C0"/>
          </w:tcPr>
          <w:p>
            <w:pPr>
              <w:jc w:val="right"/>
              <w:ind w:right="140"/>
              <w:spacing w:after="0" w:line="196" w:lineRule="exact"/>
              <w:rPr>
                <w:sz w:val="20"/>
                <w:szCs w:val="20"/>
                <w:color w:val="auto"/>
              </w:rPr>
            </w:pPr>
            <w:r>
              <w:rPr>
                <w:rFonts w:ascii="Arial" w:cs="Arial" w:eastAsia="Arial" w:hAnsi="Arial"/>
                <w:sz w:val="18"/>
                <w:szCs w:val="18"/>
                <w:b w:val="1"/>
                <w:bCs w:val="1"/>
                <w:color w:val="auto"/>
              </w:rPr>
              <w:t>320</w:t>
            </w:r>
          </w:p>
        </w:tc>
        <w:tc>
          <w:tcPr>
            <w:tcW w:w="100" w:type="dxa"/>
            <w:vAlign w:val="bottom"/>
            <w:shd w:val="clear" w:color="auto" w:fill="C0C0C0"/>
          </w:tcPr>
          <w:p>
            <w:pPr>
              <w:spacing w:after="0"/>
              <w:rPr>
                <w:sz w:val="18"/>
                <w:szCs w:val="18"/>
                <w:color w:val="auto"/>
              </w:rPr>
            </w:pPr>
          </w:p>
        </w:tc>
        <w:tc>
          <w:tcPr>
            <w:tcW w:w="720" w:type="dxa"/>
            <w:vAlign w:val="bottom"/>
            <w:gridSpan w:val="2"/>
            <w:shd w:val="clear" w:color="auto" w:fill="C0C0C0"/>
          </w:tcPr>
          <w:p>
            <w:pPr>
              <w:jc w:val="right"/>
              <w:ind w:right="80"/>
              <w:spacing w:after="0" w:line="196" w:lineRule="exact"/>
              <w:rPr>
                <w:sz w:val="20"/>
                <w:szCs w:val="20"/>
                <w:color w:val="auto"/>
              </w:rPr>
            </w:pPr>
            <w:r>
              <w:rPr>
                <w:rFonts w:ascii="Arial" w:cs="Arial" w:eastAsia="Arial" w:hAnsi="Arial"/>
                <w:sz w:val="18"/>
                <w:szCs w:val="18"/>
                <w:b w:val="1"/>
                <w:bCs w:val="1"/>
                <w:color w:val="auto"/>
              </w:rPr>
              <w:t>7,471</w:t>
            </w:r>
          </w:p>
        </w:tc>
        <w:tc>
          <w:tcPr>
            <w:tcW w:w="860" w:type="dxa"/>
            <w:vAlign w:val="bottom"/>
            <w:gridSpan w:val="3"/>
            <w:shd w:val="clear" w:color="auto" w:fill="C0C0C0"/>
          </w:tcPr>
          <w:p>
            <w:pPr>
              <w:jc w:val="right"/>
              <w:ind w:right="60"/>
              <w:spacing w:after="0" w:line="196" w:lineRule="exact"/>
              <w:rPr>
                <w:sz w:val="20"/>
                <w:szCs w:val="20"/>
                <w:color w:val="auto"/>
              </w:rPr>
            </w:pPr>
            <w:r>
              <w:rPr>
                <w:rFonts w:ascii="Arial" w:cs="Arial" w:eastAsia="Arial" w:hAnsi="Arial"/>
                <w:sz w:val="18"/>
                <w:szCs w:val="18"/>
                <w:b w:val="1"/>
                <w:bCs w:val="1"/>
                <w:color w:val="auto"/>
              </w:rPr>
              <w:t>12,705</w:t>
            </w:r>
          </w:p>
        </w:tc>
      </w:tr>
      <w:tr>
        <w:trPr>
          <w:trHeight w:val="20"/>
        </w:trPr>
        <w:tc>
          <w:tcPr>
            <w:tcW w:w="2760" w:type="dxa"/>
            <w:vAlign w:val="bottom"/>
            <w:tcBorders>
              <w:top w:val="single" w:sz="8" w:color="C0C0C0"/>
            </w:tcBorders>
            <w:shd w:val="clear" w:color="auto" w:fill="C0C0C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C0C0"/>
            </w:tcBorders>
            <w:shd w:val="clear" w:color="auto" w:fill="C0C0C0"/>
          </w:tcPr>
          <w:p>
            <w:pPr>
              <w:spacing w:after="0" w:line="20" w:lineRule="exact"/>
              <w:rPr>
                <w:sz w:val="1"/>
                <w:szCs w:val="1"/>
                <w:color w:val="auto"/>
              </w:rPr>
            </w:pPr>
          </w:p>
        </w:tc>
        <w:tc>
          <w:tcPr>
            <w:tcW w:w="100" w:type="dxa"/>
            <w:vAlign w:val="bottom"/>
            <w:tcBorders>
              <w:top w:val="single" w:sz="8" w:color="C0C0C0"/>
            </w:tcBorders>
            <w:shd w:val="clear" w:color="auto" w:fill="C0C0C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C0C0"/>
            </w:tcBorders>
            <w:shd w:val="clear" w:color="auto" w:fill="C0C0C0"/>
          </w:tcPr>
          <w:p>
            <w:pPr>
              <w:spacing w:after="0" w:line="20" w:lineRule="exact"/>
              <w:rPr>
                <w:sz w:val="1"/>
                <w:szCs w:val="1"/>
                <w:color w:val="auto"/>
              </w:rPr>
            </w:pPr>
          </w:p>
        </w:tc>
        <w:tc>
          <w:tcPr>
            <w:tcW w:w="100" w:type="dxa"/>
            <w:vAlign w:val="bottom"/>
            <w:tcBorders>
              <w:top w:val="single" w:sz="8" w:color="C0C0C0"/>
            </w:tcBorders>
            <w:shd w:val="clear" w:color="auto" w:fill="C0C0C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C0C0"/>
            </w:tcBorders>
            <w:shd w:val="clear" w:color="auto" w:fill="C0C0C0"/>
          </w:tcPr>
          <w:p>
            <w:pPr>
              <w:spacing w:after="0" w:line="20" w:lineRule="exact"/>
              <w:rPr>
                <w:sz w:val="1"/>
                <w:szCs w:val="1"/>
                <w:color w:val="auto"/>
              </w:rPr>
            </w:pPr>
          </w:p>
        </w:tc>
        <w:tc>
          <w:tcPr>
            <w:tcW w:w="100" w:type="dxa"/>
            <w:vAlign w:val="bottom"/>
            <w:tcBorders>
              <w:top w:val="single" w:sz="8" w:color="C0C0C0"/>
            </w:tcBorders>
            <w:shd w:val="clear" w:color="auto" w:fill="C0C0C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C0C0"/>
            </w:tcBorders>
            <w:shd w:val="clear" w:color="auto" w:fill="C0C0C0"/>
          </w:tcPr>
          <w:p>
            <w:pPr>
              <w:spacing w:after="0" w:line="20" w:lineRule="exact"/>
              <w:rPr>
                <w:sz w:val="1"/>
                <w:szCs w:val="1"/>
                <w:color w:val="auto"/>
              </w:rPr>
            </w:pPr>
          </w:p>
        </w:tc>
        <w:tc>
          <w:tcPr>
            <w:tcW w:w="100" w:type="dxa"/>
            <w:vAlign w:val="bottom"/>
            <w:tcBorders>
              <w:top w:val="single" w:sz="8" w:color="C0C0C0"/>
            </w:tcBorders>
            <w:shd w:val="clear" w:color="auto" w:fill="C0C0C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C0C0"/>
            </w:tcBorders>
            <w:shd w:val="clear" w:color="auto" w:fill="C0C0C0"/>
          </w:tcPr>
          <w:p>
            <w:pPr>
              <w:spacing w:after="0" w:line="20" w:lineRule="exact"/>
              <w:rPr>
                <w:sz w:val="1"/>
                <w:szCs w:val="1"/>
                <w:color w:val="auto"/>
              </w:rPr>
            </w:pPr>
          </w:p>
        </w:tc>
        <w:tc>
          <w:tcPr>
            <w:tcW w:w="100" w:type="dxa"/>
            <w:vAlign w:val="bottom"/>
            <w:tcBorders>
              <w:top w:val="single" w:sz="8" w:color="C0C0C0"/>
            </w:tcBorders>
            <w:shd w:val="clear" w:color="auto" w:fill="C0C0C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C0C0"/>
            </w:tcBorders>
            <w:shd w:val="clear" w:color="auto" w:fill="C0C0C0"/>
          </w:tcPr>
          <w:p>
            <w:pPr>
              <w:spacing w:after="0" w:line="20" w:lineRule="exact"/>
              <w:rPr>
                <w:sz w:val="1"/>
                <w:szCs w:val="1"/>
                <w:color w:val="auto"/>
              </w:rPr>
            </w:pPr>
          </w:p>
        </w:tc>
        <w:tc>
          <w:tcPr>
            <w:tcW w:w="100" w:type="dxa"/>
            <w:vAlign w:val="bottom"/>
            <w:tcBorders>
              <w:top w:val="single" w:sz="8" w:color="C0C0C0"/>
            </w:tcBorders>
            <w:shd w:val="clear" w:color="auto" w:fill="C0C0C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C0C0"/>
            </w:tcBorders>
            <w:shd w:val="clear" w:color="auto" w:fill="C0C0C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565775"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65775" cy="34290"/>
                    </a:xfrm>
                    <a:prstGeom prst="rect">
                      <a:avLst/>
                    </a:prstGeom>
                    <a:noFill/>
                  </pic:spPr>
                </pic:pic>
              </a:graphicData>
            </a:graphic>
          </wp:anchor>
        </w:drawing>
      </w:r>
    </w:p>
    <w:p>
      <w:pPr>
        <w:spacing w:after="0" w:line="93" w:lineRule="exact"/>
        <w:rPr>
          <w:sz w:val="20"/>
          <w:szCs w:val="20"/>
          <w:color w:val="auto"/>
        </w:rPr>
      </w:pPr>
    </w:p>
    <w:p>
      <w:pPr>
        <w:ind w:left="300" w:hanging="272"/>
        <w:spacing w:after="0"/>
        <w:tabs>
          <w:tab w:leader="none" w:pos="300" w:val="left"/>
        </w:tabs>
        <w:numPr>
          <w:ilvl w:val="0"/>
          <w:numId w:val="7"/>
        </w:numPr>
        <w:rPr>
          <w:rFonts w:ascii="Arial" w:cs="Arial" w:eastAsia="Arial" w:hAnsi="Arial"/>
          <w:sz w:val="14"/>
          <w:szCs w:val="14"/>
          <w:color w:val="auto"/>
        </w:rPr>
      </w:pPr>
      <w:r>
        <w:rPr>
          <w:rFonts w:ascii="Arial" w:cs="Arial" w:eastAsia="Arial" w:hAnsi="Arial"/>
          <w:sz w:val="14"/>
          <w:szCs w:val="14"/>
          <w:color w:val="auto"/>
        </w:rPr>
        <w:t>During the second quarter of 2013, the Company closed all CCS store locations. The CCS brand is operated solely as an e-commerce business.</w:t>
      </w:r>
    </w:p>
    <w:p>
      <w:pPr>
        <w:spacing w:after="0" w:line="122" w:lineRule="exact"/>
        <w:rPr>
          <w:rFonts w:ascii="Arial" w:cs="Arial" w:eastAsia="Arial" w:hAnsi="Arial"/>
          <w:sz w:val="14"/>
          <w:szCs w:val="14"/>
          <w:color w:val="auto"/>
        </w:rPr>
      </w:pPr>
    </w:p>
    <w:p>
      <w:pPr>
        <w:ind w:left="300" w:hanging="272"/>
        <w:spacing w:after="0"/>
        <w:tabs>
          <w:tab w:leader="none" w:pos="3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Company acquired 194 existing Runners Point Group stores in July 2013; subsequently, the Company opened 2 additional stores.</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Athletic Stores</w:t>
      </w:r>
    </w:p>
    <w:p>
      <w:pPr>
        <w:spacing w:after="0" w:line="135" w:lineRule="exact"/>
        <w:rPr>
          <w:sz w:val="20"/>
          <w:szCs w:val="20"/>
          <w:color w:val="auto"/>
        </w:rPr>
      </w:pPr>
    </w:p>
    <w:p>
      <w:pPr>
        <w:jc w:val="both"/>
        <w:ind w:left="60" w:right="519"/>
        <w:spacing w:after="0" w:line="262" w:lineRule="auto"/>
        <w:rPr>
          <w:sz w:val="20"/>
          <w:szCs w:val="20"/>
          <w:color w:val="auto"/>
        </w:rPr>
      </w:pPr>
      <w:r>
        <w:rPr>
          <w:rFonts w:ascii="Arial" w:cs="Arial" w:eastAsia="Arial" w:hAnsi="Arial"/>
          <w:sz w:val="18"/>
          <w:szCs w:val="18"/>
          <w:color w:val="auto"/>
        </w:rPr>
        <w:t>The Company operates 3,473 stores in the Athletic Stores segment. The following is a brief description of the Athletic Stores segment’s operating businesses:</w:t>
      </w:r>
    </w:p>
    <w:p>
      <w:pPr>
        <w:spacing w:after="0" w:line="70" w:lineRule="exact"/>
        <w:rPr>
          <w:sz w:val="20"/>
          <w:szCs w:val="20"/>
          <w:color w:val="auto"/>
        </w:rPr>
      </w:pPr>
    </w:p>
    <w:p>
      <w:pPr>
        <w:jc w:val="both"/>
        <w:ind w:left="60" w:right="519"/>
        <w:spacing w:after="0" w:line="255" w:lineRule="auto"/>
        <w:rPr>
          <w:sz w:val="20"/>
          <w:szCs w:val="20"/>
          <w:color w:val="auto"/>
        </w:rPr>
      </w:pPr>
      <w:r>
        <w:rPr>
          <w:rFonts w:ascii="Arial" w:cs="Arial" w:eastAsia="Arial" w:hAnsi="Arial"/>
          <w:sz w:val="18"/>
          <w:szCs w:val="18"/>
          <w:i w:val="1"/>
          <w:iCs w:val="1"/>
          <w:color w:val="auto"/>
        </w:rPr>
        <w:t xml:space="preserve">Foot Locker — “Sneaker Central” — </w:t>
      </w:r>
      <w:r>
        <w:rPr>
          <w:rFonts w:ascii="Arial" w:cs="Arial" w:eastAsia="Arial" w:hAnsi="Arial"/>
          <w:sz w:val="18"/>
          <w:szCs w:val="18"/>
          <w:color w:val="auto"/>
        </w:rPr>
        <w:t>Foot Locker is a leading global athletic footwear and apparel retailer. Its stores</w:t>
      </w:r>
      <w:r>
        <w:rPr>
          <w:rFonts w:ascii="Arial" w:cs="Arial" w:eastAsia="Arial" w:hAnsi="Arial"/>
          <w:sz w:val="18"/>
          <w:szCs w:val="18"/>
          <w:i w:val="1"/>
          <w:iCs w:val="1"/>
          <w:color w:val="auto"/>
        </w:rPr>
        <w:t xml:space="preserve"> </w:t>
      </w:r>
      <w:r>
        <w:rPr>
          <w:rFonts w:ascii="Arial" w:cs="Arial" w:eastAsia="Arial" w:hAnsi="Arial"/>
          <w:sz w:val="18"/>
          <w:szCs w:val="18"/>
          <w:color w:val="auto"/>
        </w:rPr>
        <w:t>offer the latest in athletically-inspired performance products, manufactured primarily by the leading athletic brands. Foot Locker offers products for a wide variety of activities including basketball, running, and training. Additionally, we operate 127 House of Hoops, primarily a shop-in-shop concept, which sells premier basketball inspired products. Foot Locker’s 1,868 stores are located in 23 countries including 1,044 in the United States, Puerto Rico, U.S. Virgin Islands, and Guam, 128 in Canada, 604 in Europe, and a combined 92 in Australia and New Zealand. The domestic stores have an average of 2,400 selling square feet and the international stores have an average of 1,500 selling square feet.</w:t>
      </w:r>
    </w:p>
    <w:p>
      <w:pPr>
        <w:spacing w:after="0" w:line="200" w:lineRule="exact"/>
        <w:rPr>
          <w:sz w:val="20"/>
          <w:szCs w:val="20"/>
          <w:color w:val="auto"/>
        </w:rPr>
      </w:pPr>
    </w:p>
    <w:p>
      <w:pPr>
        <w:spacing w:after="0" w:line="34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96520</wp:posOffset>
            </wp:positionV>
            <wp:extent cx="6114415"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8" w:lineRule="exact"/>
        <w:rPr>
          <w:sz w:val="20"/>
          <w:szCs w:val="20"/>
          <w:color w:val="auto"/>
        </w:rPr>
      </w:pPr>
    </w:p>
    <w:p>
      <w:pPr>
        <w:jc w:val="both"/>
        <w:ind w:left="40" w:right="519"/>
        <w:spacing w:after="0" w:line="255" w:lineRule="auto"/>
        <w:rPr>
          <w:sz w:val="20"/>
          <w:szCs w:val="20"/>
          <w:color w:val="auto"/>
        </w:rPr>
      </w:pPr>
      <w:r>
        <w:rPr>
          <w:rFonts w:ascii="Arial" w:cs="Arial" w:eastAsia="Arial" w:hAnsi="Arial"/>
          <w:sz w:val="18"/>
          <w:szCs w:val="18"/>
          <w:i w:val="1"/>
          <w:iCs w:val="1"/>
          <w:color w:val="auto"/>
        </w:rPr>
        <w:t xml:space="preserve">Lady Foot Locker — “The Place for Her” — </w:t>
      </w:r>
      <w:r>
        <w:rPr>
          <w:rFonts w:ascii="Arial" w:cs="Arial" w:eastAsia="Arial" w:hAnsi="Arial"/>
          <w:sz w:val="18"/>
          <w:szCs w:val="18"/>
          <w:color w:val="auto"/>
        </w:rPr>
        <w:t>Lady Foot Locker is a leading U.S. retailer of athletic footwear, apparel, and</w:t>
      </w:r>
      <w:r>
        <w:rPr>
          <w:rFonts w:ascii="Arial" w:cs="Arial" w:eastAsia="Arial" w:hAnsi="Arial"/>
          <w:sz w:val="18"/>
          <w:szCs w:val="18"/>
          <w:i w:val="1"/>
          <w:iCs w:val="1"/>
          <w:color w:val="auto"/>
        </w:rPr>
        <w:t xml:space="preserve"> </w:t>
      </w:r>
      <w:r>
        <w:rPr>
          <w:rFonts w:ascii="Arial" w:cs="Arial" w:eastAsia="Arial" w:hAnsi="Arial"/>
          <w:sz w:val="18"/>
          <w:szCs w:val="18"/>
          <w:color w:val="auto"/>
        </w:rPr>
        <w:t>accessories for active women. Its stores carry major athletic footwear and apparel brands, as well as casual wear and an assortment of apparel designed for a variety of activities, including running, walking, training, and fitness. In November 2012, the Company announced the introduction of a new banner named “SIX:02.” This new banner is an elevated retail concept featuring top brands in fitness apparel and athletic footwear for women for a variety of activities, including CrossFit, yoga, strength training, and dance. Lady Foot Locker and SIX:02 operate 250 and 7 stores, respectively, and are located in the United States, Puerto Rico, and the U.S. Virgin Islands. These stores have an average of 1,400 selling square feet.</w:t>
      </w:r>
    </w:p>
    <w:p>
      <w:pPr>
        <w:spacing w:after="0" w:line="77" w:lineRule="exact"/>
        <w:rPr>
          <w:sz w:val="20"/>
          <w:szCs w:val="20"/>
          <w:color w:val="auto"/>
        </w:rPr>
      </w:pPr>
    </w:p>
    <w:p>
      <w:pPr>
        <w:jc w:val="both"/>
        <w:ind w:left="40" w:right="519"/>
        <w:spacing w:after="0" w:line="261" w:lineRule="auto"/>
        <w:rPr>
          <w:sz w:val="20"/>
          <w:szCs w:val="20"/>
          <w:color w:val="auto"/>
        </w:rPr>
      </w:pPr>
      <w:r>
        <w:rPr>
          <w:rFonts w:ascii="Arial" w:cs="Arial" w:eastAsia="Arial" w:hAnsi="Arial"/>
          <w:sz w:val="18"/>
          <w:szCs w:val="18"/>
          <w:i w:val="1"/>
          <w:iCs w:val="1"/>
          <w:color w:val="auto"/>
        </w:rPr>
        <w:t xml:space="preserve">Kids Foot Locker — “Where Kids Come First” — </w:t>
      </w:r>
      <w:r>
        <w:rPr>
          <w:rFonts w:ascii="Arial" w:cs="Arial" w:eastAsia="Arial" w:hAnsi="Arial"/>
          <w:sz w:val="18"/>
          <w:szCs w:val="18"/>
          <w:color w:val="auto"/>
        </w:rPr>
        <w:t>Kids Foot Locker is a children’s athletic retailer that offers the largest</w:t>
      </w:r>
      <w:r>
        <w:rPr>
          <w:rFonts w:ascii="Arial" w:cs="Arial" w:eastAsia="Arial" w:hAnsi="Arial"/>
          <w:sz w:val="18"/>
          <w:szCs w:val="18"/>
          <w:i w:val="1"/>
          <w:iCs w:val="1"/>
          <w:color w:val="auto"/>
        </w:rPr>
        <w:t xml:space="preserve"> </w:t>
      </w:r>
      <w:r>
        <w:rPr>
          <w:rFonts w:ascii="Arial" w:cs="Arial" w:eastAsia="Arial" w:hAnsi="Arial"/>
          <w:sz w:val="18"/>
          <w:szCs w:val="18"/>
          <w:color w:val="auto"/>
        </w:rPr>
        <w:t>selection of brand-name athletic footwear, apparel and accessories for children. Its stores feature an environment geared to appeal to both parents and children. Its 336 stores are located in the United States, Puerto Rico, the U.S. Virgin Islands, Europe, and Canada. These stores have an average of 1,400 selling square feet.</w:t>
      </w:r>
    </w:p>
    <w:p>
      <w:pPr>
        <w:spacing w:after="0" w:line="72" w:lineRule="exact"/>
        <w:rPr>
          <w:sz w:val="20"/>
          <w:szCs w:val="20"/>
          <w:color w:val="auto"/>
        </w:rPr>
      </w:pPr>
    </w:p>
    <w:p>
      <w:pPr>
        <w:jc w:val="both"/>
        <w:ind w:left="40" w:right="539"/>
        <w:spacing w:after="0" w:line="261" w:lineRule="auto"/>
        <w:rPr>
          <w:sz w:val="20"/>
          <w:szCs w:val="20"/>
          <w:color w:val="auto"/>
        </w:rPr>
      </w:pPr>
      <w:r>
        <w:rPr>
          <w:rFonts w:ascii="Arial" w:cs="Arial" w:eastAsia="Arial" w:hAnsi="Arial"/>
          <w:sz w:val="18"/>
          <w:szCs w:val="18"/>
          <w:i w:val="1"/>
          <w:iCs w:val="1"/>
          <w:color w:val="auto"/>
        </w:rPr>
        <w:t xml:space="preserve">Footaction — “Head -to-Toe Sport Inspired Style” — </w:t>
      </w:r>
      <w:r>
        <w:rPr>
          <w:rFonts w:ascii="Arial" w:cs="Arial" w:eastAsia="Arial" w:hAnsi="Arial"/>
          <w:sz w:val="18"/>
          <w:szCs w:val="18"/>
          <w:color w:val="auto"/>
        </w:rPr>
        <w:t>Footaction is a national athletic footwear and apparel retailer. The</w:t>
      </w:r>
      <w:r>
        <w:rPr>
          <w:rFonts w:ascii="Arial" w:cs="Arial" w:eastAsia="Arial" w:hAnsi="Arial"/>
          <w:sz w:val="18"/>
          <w:szCs w:val="18"/>
          <w:i w:val="1"/>
          <w:iCs w:val="1"/>
          <w:color w:val="auto"/>
        </w:rPr>
        <w:t xml:space="preserve"> </w:t>
      </w:r>
      <w:r>
        <w:rPr>
          <w:rFonts w:ascii="Arial" w:cs="Arial" w:eastAsia="Arial" w:hAnsi="Arial"/>
          <w:sz w:val="18"/>
          <w:szCs w:val="18"/>
          <w:color w:val="auto"/>
        </w:rPr>
        <w:t>primary customer is a confident, influential young male who is driven by style and is always thoughtful about his look. Its 277 stores are located throughout the United States and Puerto Rico and focus on marquee footwear and branded apparel. The Footaction stores have an average of 2,900 selling square feet.</w:t>
      </w:r>
    </w:p>
    <w:p>
      <w:pPr>
        <w:spacing w:after="0" w:line="72" w:lineRule="exact"/>
        <w:rPr>
          <w:sz w:val="20"/>
          <w:szCs w:val="20"/>
          <w:color w:val="auto"/>
        </w:rPr>
      </w:pPr>
    </w:p>
    <w:p>
      <w:pPr>
        <w:jc w:val="both"/>
        <w:ind w:left="40" w:right="519"/>
        <w:spacing w:after="0" w:line="257" w:lineRule="auto"/>
        <w:rPr>
          <w:sz w:val="20"/>
          <w:szCs w:val="20"/>
          <w:color w:val="auto"/>
        </w:rPr>
      </w:pPr>
      <w:r>
        <w:rPr>
          <w:rFonts w:ascii="Arial" w:cs="Arial" w:eastAsia="Arial" w:hAnsi="Arial"/>
          <w:sz w:val="18"/>
          <w:szCs w:val="18"/>
          <w:i w:val="1"/>
          <w:iCs w:val="1"/>
          <w:color w:val="auto"/>
        </w:rPr>
        <w:t xml:space="preserve">Champs Sports — “We Know Game” — </w:t>
      </w:r>
      <w:r>
        <w:rPr>
          <w:rFonts w:ascii="Arial" w:cs="Arial" w:eastAsia="Arial" w:hAnsi="Arial"/>
          <w:sz w:val="18"/>
          <w:szCs w:val="18"/>
          <w:color w:val="auto"/>
        </w:rPr>
        <w:t>Champs Sports is one of the largest mall-based specialty athletic footwear and</w:t>
      </w:r>
      <w:r>
        <w:rPr>
          <w:rFonts w:ascii="Arial" w:cs="Arial" w:eastAsia="Arial" w:hAnsi="Arial"/>
          <w:sz w:val="18"/>
          <w:szCs w:val="18"/>
          <w:i w:val="1"/>
          <w:iCs w:val="1"/>
          <w:color w:val="auto"/>
        </w:rPr>
        <w:t xml:space="preserve"> </w:t>
      </w:r>
      <w:r>
        <w:rPr>
          <w:rFonts w:ascii="Arial" w:cs="Arial" w:eastAsia="Arial" w:hAnsi="Arial"/>
          <w:sz w:val="18"/>
          <w:szCs w:val="18"/>
          <w:color w:val="auto"/>
        </w:rPr>
        <w:t>apparel retailers in North America. Its product categories include athletic footwear and apparel, and sport-lifestyle inspired accessories. This assortment allows Champs Sports to differentiate itself from other mall-based stores by presenting complete head-to-toe merchandising stories representing the most powerful athletic brands, sports teams, and athletes in North America. Its 542 stores are located throughout the United States, Canada, Puerto Rico, and the U.S. Virgin Islands. The Champs Sports stores have an average of 3,500 selling square feet.</w:t>
      </w:r>
    </w:p>
    <w:p>
      <w:pPr>
        <w:spacing w:after="0" w:line="75" w:lineRule="exact"/>
        <w:rPr>
          <w:sz w:val="20"/>
          <w:szCs w:val="20"/>
          <w:color w:val="auto"/>
        </w:rPr>
      </w:pPr>
    </w:p>
    <w:p>
      <w:pPr>
        <w:jc w:val="both"/>
        <w:ind w:left="40" w:right="519"/>
        <w:spacing w:after="0" w:line="266" w:lineRule="auto"/>
        <w:rPr>
          <w:sz w:val="20"/>
          <w:szCs w:val="20"/>
          <w:color w:val="auto"/>
        </w:rPr>
      </w:pPr>
      <w:r>
        <w:rPr>
          <w:rFonts w:ascii="Arial" w:cs="Arial" w:eastAsia="Arial" w:hAnsi="Arial"/>
          <w:sz w:val="18"/>
          <w:szCs w:val="18"/>
          <w:i w:val="1"/>
          <w:iCs w:val="1"/>
          <w:color w:val="auto"/>
        </w:rPr>
        <w:t xml:space="preserve">Runners Point — </w:t>
      </w:r>
      <w:r>
        <w:rPr>
          <w:rFonts w:ascii="Arial" w:cs="Arial" w:eastAsia="Arial" w:hAnsi="Arial"/>
          <w:sz w:val="18"/>
          <w:szCs w:val="18"/>
          <w:color w:val="auto"/>
        </w:rPr>
        <w:t>During the second quarter of 2013, the Company acquired the German retailer, Runners Point Group.</w:t>
      </w:r>
      <w:r>
        <w:rPr>
          <w:rFonts w:ascii="Arial" w:cs="Arial" w:eastAsia="Arial" w:hAnsi="Arial"/>
          <w:sz w:val="18"/>
          <w:szCs w:val="18"/>
          <w:i w:val="1"/>
          <w:iCs w:val="1"/>
          <w:color w:val="auto"/>
        </w:rPr>
        <w:t xml:space="preserve"> </w:t>
      </w:r>
      <w:r>
        <w:rPr>
          <w:rFonts w:ascii="Arial" w:cs="Arial" w:eastAsia="Arial" w:hAnsi="Arial"/>
          <w:sz w:val="18"/>
          <w:szCs w:val="18"/>
          <w:color w:val="auto"/>
        </w:rPr>
        <w:t>The Athletic Stores Segment includes the retail stores of Runners Point Group, including Runners Point, specializing in running footwear, sneakers, running apparel, and equipment, Sidestep, a predominantly sports fashion footwear</w:t>
      </w:r>
    </w:p>
    <w:p>
      <w:pPr>
        <w:spacing w:after="0" w:line="5" w:lineRule="exact"/>
        <w:rPr>
          <w:sz w:val="20"/>
          <w:szCs w:val="20"/>
          <w:color w:val="auto"/>
        </w:rPr>
      </w:pPr>
    </w:p>
    <w:p>
      <w:pPr>
        <w:jc w:val="both"/>
        <w:ind w:left="40" w:right="519"/>
        <w:spacing w:after="0" w:line="218" w:lineRule="auto"/>
        <w:rPr>
          <w:sz w:val="20"/>
          <w:szCs w:val="20"/>
          <w:color w:val="auto"/>
        </w:rPr>
      </w:pPr>
      <w:r>
        <w:rPr>
          <w:rFonts w:ascii="Arial" w:cs="Arial" w:eastAsia="Arial" w:hAnsi="Arial"/>
          <w:sz w:val="18"/>
          <w:szCs w:val="18"/>
          <w:color w:val="auto"/>
        </w:rPr>
        <w:t>banner, and Run</w:t>
      </w:r>
      <w:r>
        <w:rPr>
          <w:rFonts w:ascii="Arial" w:cs="Arial" w:eastAsia="Arial" w:hAnsi="Arial"/>
          <w:sz w:val="30"/>
          <w:szCs w:val="30"/>
          <w:color w:val="auto"/>
          <w:vertAlign w:val="superscript"/>
        </w:rPr>
        <w:t>2</w:t>
      </w:r>
      <w:r>
        <w:rPr>
          <w:rFonts w:ascii="Arial" w:cs="Arial" w:eastAsia="Arial" w:hAnsi="Arial"/>
          <w:sz w:val="18"/>
          <w:szCs w:val="18"/>
          <w:color w:val="auto"/>
        </w:rPr>
        <w:t>, a newer concept aimed at the high performance serious runner. Runners Point, Sidestep, and Run</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operate, 100, 78, and 15 stores, respectively. These stores are located in Germany, Austria, and the Netherlands and have an average of 1,100 selling square feet.</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Direct-to-Customers</w:t>
      </w:r>
    </w:p>
    <w:p>
      <w:pPr>
        <w:spacing w:after="0" w:line="135" w:lineRule="exact"/>
        <w:rPr>
          <w:sz w:val="20"/>
          <w:szCs w:val="20"/>
          <w:color w:val="auto"/>
        </w:rPr>
      </w:pPr>
    </w:p>
    <w:p>
      <w:pPr>
        <w:jc w:val="both"/>
        <w:ind w:left="40" w:right="539"/>
        <w:spacing w:after="0" w:line="262" w:lineRule="auto"/>
        <w:rPr>
          <w:sz w:val="20"/>
          <w:szCs w:val="20"/>
          <w:color w:val="auto"/>
        </w:rPr>
      </w:pPr>
      <w:r>
        <w:rPr>
          <w:rFonts w:ascii="Arial" w:cs="Arial" w:eastAsia="Arial" w:hAnsi="Arial"/>
          <w:sz w:val="18"/>
          <w:szCs w:val="18"/>
          <w:color w:val="auto"/>
        </w:rPr>
        <w:t>The Company’s Direct-to-Customers segment is multi-branded and multi-channeled. This segment sells, through its affiliates, directly to customers through its Internet websites, mobile devices, and catalogs.</w:t>
      </w:r>
    </w:p>
    <w:p>
      <w:pPr>
        <w:spacing w:after="0" w:line="88"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The Direct-to-Customers segment operates the websites for eastbay.com, final-score.com, eastbayteamservices.com, ccs.com, as well as websites aligned with the brand names of its store banners (footlocker.com, ladyfootlocker.com, six02.com kidsfootlocker.com, footaction.com, and champssports.com). Additionally, this segment includes Tredex, the direct-to-customer subsidiary of Runners Point Group, which operates the websites for runnerspoint.com, sidestep-sneakers.com, and sp24.com. These sites offer one of the largest online selections of running sport items in Europe, while providing a seamless link between e-commerce and store banners.</w:t>
      </w:r>
    </w:p>
    <w:p>
      <w:pPr>
        <w:spacing w:after="0" w:line="83" w:lineRule="exact"/>
        <w:rPr>
          <w:sz w:val="20"/>
          <w:szCs w:val="20"/>
          <w:color w:val="auto"/>
        </w:rPr>
      </w:pPr>
    </w:p>
    <w:p>
      <w:pPr>
        <w:jc w:val="both"/>
        <w:ind w:left="40" w:right="519"/>
        <w:spacing w:after="0" w:line="266" w:lineRule="auto"/>
        <w:rPr>
          <w:sz w:val="20"/>
          <w:szCs w:val="20"/>
          <w:color w:val="auto"/>
        </w:rPr>
      </w:pPr>
      <w:r>
        <w:rPr>
          <w:rFonts w:ascii="Arial" w:cs="Arial" w:eastAsia="Arial" w:hAnsi="Arial"/>
          <w:sz w:val="18"/>
          <w:szCs w:val="18"/>
          <w:i w:val="1"/>
          <w:iCs w:val="1"/>
          <w:color w:val="auto"/>
        </w:rPr>
        <w:t xml:space="preserve">Eastbay — “Prepare to Win” — </w:t>
      </w:r>
      <w:r>
        <w:rPr>
          <w:rFonts w:ascii="Arial" w:cs="Arial" w:eastAsia="Arial" w:hAnsi="Arial"/>
          <w:sz w:val="18"/>
          <w:szCs w:val="18"/>
          <w:color w:val="auto"/>
        </w:rPr>
        <w:t>Eastbay is among the largest direct marketers in the United States, providing the high</w:t>
      </w:r>
      <w:r>
        <w:rPr>
          <w:rFonts w:ascii="Arial" w:cs="Arial" w:eastAsia="Arial" w:hAnsi="Arial"/>
          <w:sz w:val="18"/>
          <w:szCs w:val="18"/>
          <w:i w:val="1"/>
          <w:iCs w:val="1"/>
          <w:color w:val="auto"/>
        </w:rPr>
        <w:t xml:space="preserve"> </w:t>
      </w:r>
      <w:r>
        <w:rPr>
          <w:rFonts w:ascii="Arial" w:cs="Arial" w:eastAsia="Arial" w:hAnsi="Arial"/>
          <w:sz w:val="18"/>
          <w:szCs w:val="18"/>
          <w:color w:val="auto"/>
        </w:rPr>
        <w:t>school athlete with a complete sports solution including athletic footwear, apparel, equipment, team licensed, and private-label merchandise for a broad range of sports.</w:t>
      </w:r>
    </w:p>
    <w:p>
      <w:pPr>
        <w:spacing w:after="0" w:line="68" w:lineRule="exact"/>
        <w:rPr>
          <w:sz w:val="20"/>
          <w:szCs w:val="20"/>
          <w:color w:val="auto"/>
        </w:rPr>
      </w:pPr>
    </w:p>
    <w:p>
      <w:pPr>
        <w:jc w:val="both"/>
        <w:ind w:left="40" w:right="519"/>
        <w:spacing w:after="0" w:line="258" w:lineRule="auto"/>
        <w:rPr>
          <w:sz w:val="20"/>
          <w:szCs w:val="20"/>
          <w:color w:val="auto"/>
        </w:rPr>
      </w:pPr>
      <w:r>
        <w:rPr>
          <w:rFonts w:ascii="Arial" w:cs="Arial" w:eastAsia="Arial" w:hAnsi="Arial"/>
          <w:sz w:val="18"/>
          <w:szCs w:val="18"/>
          <w:i w:val="1"/>
          <w:iCs w:val="1"/>
          <w:color w:val="auto"/>
        </w:rPr>
        <w:t xml:space="preserve">CCS — “We are Board Culture” — </w:t>
      </w:r>
      <w:r>
        <w:rPr>
          <w:rFonts w:ascii="Arial" w:cs="Arial" w:eastAsia="Arial" w:hAnsi="Arial"/>
          <w:sz w:val="18"/>
          <w:szCs w:val="18"/>
          <w:color w:val="auto"/>
        </w:rPr>
        <w:t>In 2008, the Company purchased CCS, an Internet and catalog retailer of</w:t>
      </w:r>
      <w:r>
        <w:rPr>
          <w:rFonts w:ascii="Arial" w:cs="Arial" w:eastAsia="Arial" w:hAnsi="Arial"/>
          <w:sz w:val="18"/>
          <w:szCs w:val="18"/>
          <w:i w:val="1"/>
          <w:iCs w:val="1"/>
          <w:color w:val="auto"/>
        </w:rPr>
        <w:t xml:space="preserve"> </w:t>
      </w:r>
      <w:r>
        <w:rPr>
          <w:rFonts w:ascii="Arial" w:cs="Arial" w:eastAsia="Arial" w:hAnsi="Arial"/>
          <w:sz w:val="18"/>
          <w:szCs w:val="18"/>
          <w:color w:val="auto"/>
        </w:rPr>
        <w:t>skateboard equipment, apparel, footwear, and accessories. CCS serves the needs of the 12-24 year old seeking an authentic board lifestyle shop. CCS is anchored in skate but appealing to the surrounding board culture. The CCS format offers board lifestyle merchandise that will fit the needs of the customer all year long and stocks the best selection of both core and lifestyle brands.</w:t>
      </w:r>
    </w:p>
    <w:p>
      <w:pPr>
        <w:spacing w:after="0" w:line="200" w:lineRule="exact"/>
        <w:rPr>
          <w:sz w:val="20"/>
          <w:szCs w:val="20"/>
          <w:color w:val="auto"/>
        </w:rPr>
      </w:pPr>
    </w:p>
    <w:p>
      <w:pPr>
        <w:spacing w:after="0" w:line="34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96520</wp:posOffset>
            </wp:positionV>
            <wp:extent cx="6114415"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17" w:name="page18"/>
    <w:bookmarkEnd w:id="1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Franchise Operations</w:t>
      </w:r>
    </w:p>
    <w:p>
      <w:pPr>
        <w:spacing w:after="0" w:line="135" w:lineRule="exact"/>
        <w:rPr>
          <w:sz w:val="20"/>
          <w:szCs w:val="20"/>
          <w:color w:val="auto"/>
        </w:rPr>
      </w:pPr>
    </w:p>
    <w:p>
      <w:pPr>
        <w:jc w:val="both"/>
        <w:ind w:left="60" w:right="820"/>
        <w:spacing w:after="0" w:line="253" w:lineRule="auto"/>
        <w:rPr>
          <w:sz w:val="20"/>
          <w:szCs w:val="20"/>
          <w:color w:val="auto"/>
        </w:rPr>
      </w:pPr>
      <w:r>
        <w:rPr>
          <w:rFonts w:ascii="Arial" w:cs="Arial" w:eastAsia="Arial" w:hAnsi="Arial"/>
          <w:sz w:val="18"/>
          <w:szCs w:val="18"/>
          <w:color w:val="auto"/>
        </w:rPr>
        <w:t>In 2006, the Company entered into a ten-year area development agreement with the Alshaya Trading Co. W.L.L., for the operation of Foot Locker stores located within the Middle East, subject to certain restrictions. In 2007, the Company entered into a ten-year agreement with another third party for the exclusive right to open and operate Foot Locker stores in the Republic of Korea. Additionally, franchise stores located in Germany and Switzerland operate under the Runners Point and Stepside banners.</w:t>
      </w:r>
    </w:p>
    <w:p>
      <w:pPr>
        <w:spacing w:after="0" w:line="97" w:lineRule="exact"/>
        <w:rPr>
          <w:sz w:val="20"/>
          <w:szCs w:val="20"/>
          <w:color w:val="auto"/>
        </w:rPr>
      </w:pPr>
    </w:p>
    <w:p>
      <w:pPr>
        <w:jc w:val="both"/>
        <w:ind w:left="60" w:right="820"/>
        <w:spacing w:after="0" w:line="254" w:lineRule="auto"/>
        <w:rPr>
          <w:sz w:val="20"/>
          <w:szCs w:val="20"/>
          <w:color w:val="auto"/>
        </w:rPr>
      </w:pPr>
      <w:r>
        <w:rPr>
          <w:rFonts w:ascii="Arial" w:cs="Arial" w:eastAsia="Arial" w:hAnsi="Arial"/>
          <w:sz w:val="18"/>
          <w:szCs w:val="18"/>
          <w:color w:val="auto"/>
        </w:rPr>
        <w:t>A total of 73 franchised stores were operating at February 1, 2014. Of these stores, 27 are operating in the Middle East, 27 are operating in Germany and Switzerland, and 19 are operating in the Republic of Korea. Royalty income from the franchised stores was not significant for any of the periods presented. These stores are not included in the Company’s operating store count above.</w:t>
      </w:r>
    </w:p>
    <w:p>
      <w:pPr>
        <w:spacing w:after="0" w:line="1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Reconciliation of Non-GAAP Measures</w:t>
      </w:r>
    </w:p>
    <w:p>
      <w:pPr>
        <w:spacing w:after="0" w:line="139" w:lineRule="exact"/>
        <w:rPr>
          <w:sz w:val="20"/>
          <w:szCs w:val="20"/>
          <w:color w:val="auto"/>
        </w:rPr>
      </w:pPr>
    </w:p>
    <w:p>
      <w:pPr>
        <w:jc w:val="both"/>
        <w:ind w:left="60" w:right="820"/>
        <w:spacing w:after="0" w:line="253" w:lineRule="auto"/>
        <w:rPr>
          <w:sz w:val="20"/>
          <w:szCs w:val="20"/>
          <w:color w:val="auto"/>
        </w:rPr>
      </w:pPr>
      <w:r>
        <w:rPr>
          <w:rFonts w:ascii="Arial" w:cs="Arial" w:eastAsia="Arial" w:hAnsi="Arial"/>
          <w:sz w:val="18"/>
          <w:szCs w:val="18"/>
          <w:color w:val="auto"/>
        </w:rPr>
        <w:t>In the following tables, the Company has presented certain financial measures and ratios identified as non-GAAP. The Company believes this non-GAAP information is a useful measure to investors because it allows for a more direct comparison of the Company’s performance for 2013 as compared with prior years and is useful in assessing the Company’s progress in achieving its long-term financial objectives. The 2013 results represent the 52 weeks ended February 1, 2014 as compared with 53 weeks in 2012, and 52 weeks in the 2011 reporting year.</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represents  a  reconciliation  of  the  non-GAAP  measures  discussed  throughout  the  Overview  of</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5486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4863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80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auto"/>
            </w:tcBorders>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7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Sales:</w:t>
            </w:r>
          </w:p>
        </w:tc>
        <w:tc>
          <w:tcPr>
            <w:tcW w:w="160" w:type="dxa"/>
            <w:vAlign w:val="bottom"/>
          </w:tcPr>
          <w:p>
            <w:pPr>
              <w:spacing w:after="0"/>
              <w:rPr>
                <w:sz w:val="17"/>
                <w:szCs w:val="17"/>
                <w:color w:val="auto"/>
              </w:rPr>
            </w:pPr>
          </w:p>
        </w:tc>
        <w:tc>
          <w:tcPr>
            <w:tcW w:w="2920" w:type="dxa"/>
            <w:vAlign w:val="bottom"/>
            <w:gridSpan w:val="10"/>
          </w:tcPr>
          <w:p>
            <w:pPr>
              <w:jc w:val="right"/>
              <w:ind w:right="200"/>
              <w:spacing w:after="0"/>
              <w:rPr>
                <w:sz w:val="20"/>
                <w:szCs w:val="20"/>
                <w:color w:val="auto"/>
              </w:rPr>
            </w:pPr>
            <w:r>
              <w:rPr>
                <w:rFonts w:ascii="Arial" w:cs="Arial" w:eastAsia="Arial" w:hAnsi="Arial"/>
                <w:sz w:val="14"/>
                <w:szCs w:val="14"/>
                <w:b w:val="1"/>
                <w:bCs w:val="1"/>
                <w:color w:val="auto"/>
              </w:rPr>
              <w:t>(in millions, except per share amounts)</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7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gridSpan w:val="2"/>
            <w:shd w:val="clear" w:color="auto" w:fill="C0C0C0"/>
          </w:tcPr>
          <w:p>
            <w:pPr>
              <w:ind w:left="20"/>
              <w:spacing w:after="0" w:line="202" w:lineRule="exact"/>
              <w:rPr>
                <w:sz w:val="20"/>
                <w:szCs w:val="20"/>
                <w:color w:val="auto"/>
              </w:rPr>
            </w:pPr>
            <w:r>
              <w:rPr>
                <w:rFonts w:ascii="Arial" w:cs="Arial" w:eastAsia="Arial" w:hAnsi="Arial"/>
                <w:sz w:val="18"/>
                <w:szCs w:val="18"/>
                <w:color w:val="auto"/>
              </w:rPr>
              <w:t>Sales</w:t>
            </w:r>
          </w:p>
        </w:tc>
        <w:tc>
          <w:tcPr>
            <w:tcW w:w="16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w w:val="99"/>
              </w:rPr>
              <w:t>$</w:t>
            </w:r>
          </w:p>
        </w:tc>
        <w:tc>
          <w:tcPr>
            <w:tcW w:w="720" w:type="dxa"/>
            <w:vAlign w:val="bottom"/>
            <w:gridSpan w:val="2"/>
            <w:shd w:val="clear" w:color="auto" w:fill="C0C0C0"/>
          </w:tcPr>
          <w:p>
            <w:pPr>
              <w:jc w:val="right"/>
              <w:ind w:right="240"/>
              <w:spacing w:after="0" w:line="202" w:lineRule="exact"/>
              <w:rPr>
                <w:sz w:val="20"/>
                <w:szCs w:val="20"/>
                <w:color w:val="auto"/>
              </w:rPr>
            </w:pPr>
            <w:r>
              <w:rPr>
                <w:rFonts w:ascii="Arial" w:cs="Arial" w:eastAsia="Arial" w:hAnsi="Arial"/>
                <w:sz w:val="18"/>
                <w:szCs w:val="18"/>
                <w:b w:val="1"/>
                <w:bCs w:val="1"/>
                <w:color w:val="auto"/>
              </w:rPr>
              <w:t>6,505</w:t>
            </w:r>
          </w:p>
        </w:tc>
        <w:tc>
          <w:tcPr>
            <w:tcW w:w="320" w:type="dxa"/>
            <w:vAlign w:val="bottom"/>
            <w:gridSpan w:val="2"/>
            <w:shd w:val="clear" w:color="auto" w:fill="C0C0C0"/>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0C0C0"/>
          </w:tcPr>
          <w:p>
            <w:pPr>
              <w:jc w:val="right"/>
              <w:ind w:right="240"/>
              <w:spacing w:after="0" w:line="202" w:lineRule="exact"/>
              <w:rPr>
                <w:sz w:val="20"/>
                <w:szCs w:val="20"/>
                <w:color w:val="auto"/>
              </w:rPr>
            </w:pPr>
            <w:r>
              <w:rPr>
                <w:rFonts w:ascii="Arial" w:cs="Arial" w:eastAsia="Arial" w:hAnsi="Arial"/>
                <w:sz w:val="18"/>
                <w:szCs w:val="18"/>
                <w:color w:val="auto"/>
              </w:rPr>
              <w:t>6,182</w:t>
            </w:r>
          </w:p>
        </w:tc>
        <w:tc>
          <w:tcPr>
            <w:tcW w:w="340" w:type="dxa"/>
            <w:vAlign w:val="bottom"/>
            <w:gridSpan w:val="2"/>
            <w:shd w:val="clear" w:color="auto" w:fill="C0C0C0"/>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0C0C0"/>
          </w:tcPr>
          <w:p>
            <w:pPr>
              <w:jc w:val="right"/>
              <w:ind w:right="280"/>
              <w:spacing w:after="0" w:line="202" w:lineRule="exact"/>
              <w:rPr>
                <w:sz w:val="20"/>
                <w:szCs w:val="20"/>
                <w:color w:val="auto"/>
              </w:rPr>
            </w:pPr>
            <w:r>
              <w:rPr>
                <w:rFonts w:ascii="Arial" w:cs="Arial" w:eastAsia="Arial" w:hAnsi="Arial"/>
                <w:sz w:val="18"/>
                <w:szCs w:val="18"/>
                <w:color w:val="auto"/>
              </w:rPr>
              <w:t>5,623</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700" w:type="dxa"/>
            <w:vAlign w:val="bottom"/>
            <w:gridSpan w:val="2"/>
          </w:tcPr>
          <w:p>
            <w:pPr>
              <w:ind w:left="20"/>
              <w:spacing w:after="0" w:line="243" w:lineRule="exact"/>
              <w:rPr>
                <w:sz w:val="20"/>
                <w:szCs w:val="20"/>
                <w:color w:val="auto"/>
              </w:rPr>
            </w:pPr>
            <w:r>
              <w:rPr>
                <w:rFonts w:ascii="Arial" w:cs="Arial" w:eastAsia="Arial" w:hAnsi="Arial"/>
                <w:sz w:val="17"/>
                <w:szCs w:val="17"/>
                <w:color w:val="auto"/>
              </w:rPr>
              <w:t>53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week</w:t>
            </w:r>
          </w:p>
        </w:tc>
        <w:tc>
          <w:tcPr>
            <w:tcW w:w="16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700" w:type="dxa"/>
            <w:vAlign w:val="bottom"/>
            <w:gridSpan w:val="2"/>
            <w:shd w:val="clear" w:color="auto" w:fill="C0C0C0"/>
          </w:tcPr>
          <w:p>
            <w:pPr>
              <w:ind w:left="20"/>
              <w:spacing w:after="0" w:line="236" w:lineRule="exact"/>
              <w:rPr>
                <w:sz w:val="20"/>
                <w:szCs w:val="20"/>
                <w:color w:val="auto"/>
              </w:rPr>
            </w:pPr>
            <w:r>
              <w:rPr>
                <w:rFonts w:ascii="Arial" w:cs="Arial" w:eastAsia="Arial" w:hAnsi="Arial"/>
                <w:sz w:val="17"/>
                <w:szCs w:val="17"/>
                <w:color w:val="auto"/>
              </w:rPr>
              <w:t>Sales excluding 53</w:t>
            </w:r>
            <w:r>
              <w:rPr>
                <w:rFonts w:ascii="Arial" w:cs="Arial" w:eastAsia="Arial" w:hAnsi="Arial"/>
                <w:sz w:val="27"/>
                <w:szCs w:val="27"/>
                <w:color w:val="auto"/>
                <w:vertAlign w:val="superscript"/>
              </w:rPr>
              <w:t>rd</w:t>
            </w:r>
            <w:r>
              <w:rPr>
                <w:rFonts w:ascii="Arial" w:cs="Arial" w:eastAsia="Arial" w:hAnsi="Arial"/>
                <w:sz w:val="17"/>
                <w:szCs w:val="17"/>
                <w:color w:val="auto"/>
              </w:rPr>
              <w:t xml:space="preserve"> week (non-GAAP)</w:t>
            </w:r>
          </w:p>
        </w:tc>
        <w:tc>
          <w:tcPr>
            <w:tcW w:w="16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gridSpan w:val="2"/>
            <w:shd w:val="clear" w:color="auto" w:fill="C0C0C0"/>
          </w:tcPr>
          <w:p>
            <w:pPr>
              <w:jc w:val="right"/>
              <w:ind w:right="240"/>
              <w:spacing w:after="0"/>
              <w:rPr>
                <w:sz w:val="20"/>
                <w:szCs w:val="20"/>
                <w:color w:val="auto"/>
              </w:rPr>
            </w:pPr>
            <w:r>
              <w:rPr>
                <w:rFonts w:ascii="Arial" w:cs="Arial" w:eastAsia="Arial" w:hAnsi="Arial"/>
                <w:sz w:val="18"/>
                <w:szCs w:val="18"/>
                <w:b w:val="1"/>
                <w:bCs w:val="1"/>
                <w:color w:val="auto"/>
              </w:rPr>
              <w:t>6,505</w:t>
            </w:r>
          </w:p>
        </w:tc>
        <w:tc>
          <w:tcPr>
            <w:tcW w:w="32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0C0C0"/>
          </w:tcPr>
          <w:p>
            <w:pPr>
              <w:jc w:val="right"/>
              <w:ind w:right="240"/>
              <w:spacing w:after="0"/>
              <w:rPr>
                <w:sz w:val="20"/>
                <w:szCs w:val="20"/>
                <w:color w:val="auto"/>
              </w:rPr>
            </w:pPr>
            <w:r>
              <w:rPr>
                <w:rFonts w:ascii="Arial" w:cs="Arial" w:eastAsia="Arial" w:hAnsi="Arial"/>
                <w:sz w:val="18"/>
                <w:szCs w:val="18"/>
                <w:color w:val="auto"/>
              </w:rPr>
              <w:t>6,101</w:t>
            </w:r>
          </w:p>
        </w:tc>
        <w:tc>
          <w:tcPr>
            <w:tcW w:w="34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5,623</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700" w:type="dxa"/>
            <w:vAlign w:val="bottom"/>
            <w:tcBorders>
              <w:top w:val="single" w:sz="8" w:color="C0C0C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Pre-tax income:</w:t>
            </w:r>
          </w:p>
        </w:tc>
        <w:tc>
          <w:tcPr>
            <w:tcW w:w="1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40" w:type="dxa"/>
            <w:vAlign w:val="bottom"/>
            <w:tcBorders>
              <w:top w:val="single" w:sz="8" w:color="C0C0C0"/>
            </w:tcBorders>
          </w:tcPr>
          <w:p>
            <w:pPr>
              <w:spacing w:after="0"/>
              <w:rPr>
                <w:sz w:val="17"/>
                <w:szCs w:val="17"/>
                <w:color w:val="auto"/>
              </w:rPr>
            </w:pPr>
          </w:p>
        </w:tc>
        <w:tc>
          <w:tcPr>
            <w:tcW w:w="160" w:type="dxa"/>
            <w:vAlign w:val="bottom"/>
            <w:tcBorders>
              <w:top w:val="single" w:sz="8" w:color="C0C0C0"/>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40" w:type="dxa"/>
            <w:vAlign w:val="bottom"/>
            <w:tcBorders>
              <w:top w:val="single" w:sz="8" w:color="C0C0C0"/>
            </w:tcBorders>
          </w:tcPr>
          <w:p>
            <w:pPr>
              <w:spacing w:after="0"/>
              <w:rPr>
                <w:sz w:val="17"/>
                <w:szCs w:val="17"/>
                <w:color w:val="auto"/>
              </w:rPr>
            </w:pPr>
          </w:p>
        </w:tc>
        <w:tc>
          <w:tcPr>
            <w:tcW w:w="160" w:type="dxa"/>
            <w:vAlign w:val="bottom"/>
            <w:tcBorders>
              <w:top w:val="single" w:sz="8" w:color="C0C0C0"/>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80" w:type="dxa"/>
            <w:vAlign w:val="bottom"/>
            <w:tcBorders>
              <w:top w:val="single" w:sz="8" w:color="C0C0C0"/>
            </w:tcBorders>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gridSpan w:val="2"/>
            <w:shd w:val="clear" w:color="auto" w:fill="C0C0C0"/>
          </w:tcPr>
          <w:p>
            <w:pPr>
              <w:ind w:left="20"/>
              <w:spacing w:after="0" w:line="202" w:lineRule="exact"/>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w w:val="99"/>
              </w:rPr>
              <w:t>$</w:t>
            </w:r>
          </w:p>
        </w:tc>
        <w:tc>
          <w:tcPr>
            <w:tcW w:w="720" w:type="dxa"/>
            <w:vAlign w:val="bottom"/>
            <w:gridSpan w:val="2"/>
            <w:shd w:val="clear" w:color="auto" w:fill="C0C0C0"/>
          </w:tcPr>
          <w:p>
            <w:pPr>
              <w:jc w:val="right"/>
              <w:ind w:right="240"/>
              <w:spacing w:after="0" w:line="202" w:lineRule="exact"/>
              <w:rPr>
                <w:sz w:val="20"/>
                <w:szCs w:val="20"/>
                <w:color w:val="auto"/>
              </w:rPr>
            </w:pPr>
            <w:r>
              <w:rPr>
                <w:rFonts w:ascii="Arial" w:cs="Arial" w:eastAsia="Arial" w:hAnsi="Arial"/>
                <w:sz w:val="18"/>
                <w:szCs w:val="18"/>
                <w:b w:val="1"/>
                <w:bCs w:val="1"/>
                <w:color w:val="auto"/>
              </w:rPr>
              <w:t>663</w:t>
            </w:r>
          </w:p>
        </w:tc>
        <w:tc>
          <w:tcPr>
            <w:tcW w:w="320" w:type="dxa"/>
            <w:vAlign w:val="bottom"/>
            <w:gridSpan w:val="2"/>
            <w:shd w:val="clear" w:color="auto" w:fill="C0C0C0"/>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0C0C0"/>
          </w:tcPr>
          <w:p>
            <w:pPr>
              <w:jc w:val="right"/>
              <w:ind w:right="240"/>
              <w:spacing w:after="0" w:line="202" w:lineRule="exact"/>
              <w:rPr>
                <w:sz w:val="20"/>
                <w:szCs w:val="20"/>
                <w:color w:val="auto"/>
              </w:rPr>
            </w:pPr>
            <w:r>
              <w:rPr>
                <w:rFonts w:ascii="Arial" w:cs="Arial" w:eastAsia="Arial" w:hAnsi="Arial"/>
                <w:sz w:val="18"/>
                <w:szCs w:val="18"/>
                <w:color w:val="auto"/>
              </w:rPr>
              <w:t>607</w:t>
            </w:r>
          </w:p>
        </w:tc>
        <w:tc>
          <w:tcPr>
            <w:tcW w:w="340" w:type="dxa"/>
            <w:vAlign w:val="bottom"/>
            <w:gridSpan w:val="2"/>
            <w:shd w:val="clear" w:color="auto" w:fill="C0C0C0"/>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0C0C0"/>
          </w:tcPr>
          <w:p>
            <w:pPr>
              <w:jc w:val="right"/>
              <w:ind w:right="280"/>
              <w:spacing w:after="0" w:line="202" w:lineRule="exact"/>
              <w:rPr>
                <w:sz w:val="20"/>
                <w:szCs w:val="20"/>
                <w:color w:val="auto"/>
              </w:rPr>
            </w:pPr>
            <w:r>
              <w:rPr>
                <w:rFonts w:ascii="Arial" w:cs="Arial" w:eastAsia="Arial" w:hAnsi="Arial"/>
                <w:sz w:val="18"/>
                <w:szCs w:val="18"/>
                <w:color w:val="auto"/>
              </w:rPr>
              <w:t>435</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Pre-tax amounts excluded from GAAP:</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gridSpan w:val="2"/>
            <w:shd w:val="clear" w:color="auto" w:fill="C0C0C0"/>
          </w:tcPr>
          <w:p>
            <w:pPr>
              <w:ind w:left="200"/>
              <w:spacing w:after="0" w:line="202" w:lineRule="exact"/>
              <w:rPr>
                <w:sz w:val="20"/>
                <w:szCs w:val="20"/>
                <w:color w:val="auto"/>
              </w:rPr>
            </w:pPr>
            <w:r>
              <w:rPr>
                <w:rFonts w:ascii="Arial" w:cs="Arial" w:eastAsia="Arial" w:hAnsi="Arial"/>
                <w:sz w:val="18"/>
                <w:szCs w:val="18"/>
                <w:color w:val="auto"/>
              </w:rPr>
              <w:t>Runners Point Group integration and acquisition costs</w:t>
            </w:r>
          </w:p>
        </w:tc>
        <w:tc>
          <w:tcPr>
            <w:tcW w:w="160" w:type="dxa"/>
            <w:vAlign w:val="bottom"/>
            <w:shd w:val="clear" w:color="auto" w:fill="C0C0C0"/>
          </w:tcPr>
          <w:p>
            <w:pPr>
              <w:spacing w:after="0"/>
              <w:rPr>
                <w:sz w:val="17"/>
                <w:szCs w:val="17"/>
                <w:color w:val="auto"/>
              </w:rPr>
            </w:pPr>
          </w:p>
        </w:tc>
        <w:tc>
          <w:tcPr>
            <w:tcW w:w="720" w:type="dxa"/>
            <w:vAlign w:val="bottom"/>
            <w:gridSpan w:val="2"/>
            <w:shd w:val="clear" w:color="auto" w:fill="C0C0C0"/>
          </w:tcPr>
          <w:p>
            <w:pPr>
              <w:jc w:val="right"/>
              <w:ind w:right="240"/>
              <w:spacing w:after="0" w:line="202" w:lineRule="exact"/>
              <w:rPr>
                <w:sz w:val="20"/>
                <w:szCs w:val="20"/>
                <w:color w:val="auto"/>
              </w:rPr>
            </w:pPr>
            <w:r>
              <w:rPr>
                <w:rFonts w:ascii="Arial" w:cs="Arial" w:eastAsia="Arial" w:hAnsi="Arial"/>
                <w:sz w:val="18"/>
                <w:szCs w:val="18"/>
                <w:b w:val="1"/>
                <w:bCs w:val="1"/>
                <w:color w:val="auto"/>
              </w:rPr>
              <w:t>6</w:t>
            </w: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720" w:type="dxa"/>
            <w:vAlign w:val="bottom"/>
            <w:gridSpan w:val="2"/>
            <w:shd w:val="clear" w:color="auto" w:fill="C0C0C0"/>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820" w:type="dxa"/>
            <w:vAlign w:val="bottom"/>
            <w:gridSpan w:val="2"/>
            <w:shd w:val="clear" w:color="auto" w:fill="C0C0C0"/>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Impairment and other charges</w:t>
            </w:r>
          </w:p>
        </w:tc>
        <w:tc>
          <w:tcPr>
            <w:tcW w:w="160" w:type="dxa"/>
            <w:vAlign w:val="bottom"/>
          </w:tcPr>
          <w:p>
            <w:pPr>
              <w:spacing w:after="0"/>
              <w:rPr>
                <w:sz w:val="17"/>
                <w:szCs w:val="17"/>
                <w:color w:val="auto"/>
              </w:rPr>
            </w:pPr>
          </w:p>
        </w:tc>
        <w:tc>
          <w:tcPr>
            <w:tcW w:w="72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700" w:type="dxa"/>
            <w:vAlign w:val="bottom"/>
            <w:gridSpan w:val="2"/>
            <w:shd w:val="clear" w:color="auto" w:fill="C0C0C0"/>
          </w:tcPr>
          <w:p>
            <w:pPr>
              <w:ind w:left="200"/>
              <w:spacing w:after="0" w:line="243" w:lineRule="exact"/>
              <w:rPr>
                <w:sz w:val="20"/>
                <w:szCs w:val="20"/>
                <w:color w:val="auto"/>
              </w:rPr>
            </w:pPr>
            <w:r>
              <w:rPr>
                <w:rFonts w:ascii="Arial" w:cs="Arial" w:eastAsia="Arial" w:hAnsi="Arial"/>
                <w:sz w:val="17"/>
                <w:szCs w:val="17"/>
                <w:color w:val="auto"/>
              </w:rPr>
              <w:t>53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week</w:t>
            </w:r>
          </w:p>
        </w:tc>
        <w:tc>
          <w:tcPr>
            <w:tcW w:w="160" w:type="dxa"/>
            <w:vAlign w:val="bottom"/>
            <w:shd w:val="clear" w:color="auto" w:fill="C0C0C0"/>
          </w:tcPr>
          <w:p>
            <w:pPr>
              <w:spacing w:after="0"/>
              <w:rPr>
                <w:sz w:val="21"/>
                <w:szCs w:val="21"/>
                <w:color w:val="auto"/>
              </w:rPr>
            </w:pPr>
          </w:p>
        </w:tc>
        <w:tc>
          <w:tcPr>
            <w:tcW w:w="720" w:type="dxa"/>
            <w:vAlign w:val="bottom"/>
            <w:gridSpan w:val="2"/>
            <w:shd w:val="clear" w:color="auto" w:fill="C0C0C0"/>
          </w:tcPr>
          <w:p>
            <w:pPr>
              <w:jc w:val="right"/>
              <w:ind w:right="24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2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2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0" w:type="dxa"/>
            <w:vAlign w:val="bottom"/>
            <w:shd w:val="clear" w:color="auto" w:fill="C0C0C0"/>
          </w:tcPr>
          <w:p>
            <w:pPr>
              <w:spacing w:after="0" w:line="20" w:lineRule="exact"/>
              <w:rPr>
                <w:sz w:val="1"/>
                <w:szCs w:val="1"/>
                <w:color w:val="auto"/>
              </w:rPr>
            </w:pPr>
          </w:p>
        </w:tc>
        <w:tc>
          <w:tcPr>
            <w:tcW w:w="490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pre-tax amounts excluded</w:t>
            </w:r>
          </w:p>
        </w:tc>
        <w:tc>
          <w:tcPr>
            <w:tcW w:w="160" w:type="dxa"/>
            <w:vAlign w:val="bottom"/>
          </w:tcPr>
          <w:p>
            <w:pPr>
              <w:spacing w:after="0"/>
              <w:rPr>
                <w:sz w:val="17"/>
                <w:szCs w:val="17"/>
                <w:color w:val="auto"/>
              </w:rPr>
            </w:pPr>
          </w:p>
        </w:tc>
        <w:tc>
          <w:tcPr>
            <w:tcW w:w="720" w:type="dxa"/>
            <w:vAlign w:val="bottom"/>
            <w:gridSpan w:val="2"/>
          </w:tcPr>
          <w:p>
            <w:pPr>
              <w:jc w:val="right"/>
              <w:ind w:right="240"/>
              <w:spacing w:after="0" w:line="196" w:lineRule="exact"/>
              <w:rPr>
                <w:sz w:val="20"/>
                <w:szCs w:val="20"/>
                <w:color w:val="auto"/>
              </w:rPr>
            </w:pPr>
            <w:r>
              <w:rPr>
                <w:rFonts w:ascii="Arial" w:cs="Arial" w:eastAsia="Arial" w:hAnsi="Arial"/>
                <w:sz w:val="18"/>
                <w:szCs w:val="18"/>
                <w:b w:val="1"/>
                <w:bCs w:val="1"/>
                <w:color w:val="auto"/>
              </w:rPr>
              <w:t>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(10)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5</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00" w:type="dxa"/>
            <w:vAlign w:val="bottom"/>
            <w:gridSpan w:val="2"/>
            <w:shd w:val="clear" w:color="auto" w:fill="C0C0C0"/>
          </w:tcPr>
          <w:p>
            <w:pPr>
              <w:ind w:left="20"/>
              <w:spacing w:after="0" w:line="196" w:lineRule="exact"/>
              <w:rPr>
                <w:sz w:val="20"/>
                <w:szCs w:val="20"/>
                <w:color w:val="auto"/>
              </w:rPr>
            </w:pPr>
            <w:r>
              <w:rPr>
                <w:rFonts w:ascii="Arial" w:cs="Arial" w:eastAsia="Arial" w:hAnsi="Arial"/>
                <w:sz w:val="18"/>
                <w:szCs w:val="18"/>
                <w:color w:val="auto"/>
              </w:rPr>
              <w:t>Income before income taxes (non-GAAP)</w:t>
            </w:r>
          </w:p>
        </w:tc>
        <w:tc>
          <w:tcPr>
            <w:tcW w:w="16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720" w:type="dxa"/>
            <w:vAlign w:val="bottom"/>
            <w:gridSpan w:val="2"/>
            <w:shd w:val="clear" w:color="auto" w:fill="C0C0C0"/>
          </w:tcPr>
          <w:p>
            <w:pPr>
              <w:jc w:val="right"/>
              <w:ind w:right="240"/>
              <w:spacing w:after="0" w:line="196" w:lineRule="exact"/>
              <w:rPr>
                <w:sz w:val="20"/>
                <w:szCs w:val="20"/>
                <w:color w:val="auto"/>
              </w:rPr>
            </w:pPr>
            <w:r>
              <w:rPr>
                <w:rFonts w:ascii="Arial" w:cs="Arial" w:eastAsia="Arial" w:hAnsi="Arial"/>
                <w:sz w:val="18"/>
                <w:szCs w:val="18"/>
                <w:b w:val="1"/>
                <w:bCs w:val="1"/>
                <w:color w:val="auto"/>
              </w:rPr>
              <w:t>671</w:t>
            </w:r>
          </w:p>
        </w:tc>
        <w:tc>
          <w:tcPr>
            <w:tcW w:w="320" w:type="dxa"/>
            <w:vAlign w:val="bottom"/>
            <w:gridSpan w:val="2"/>
            <w:shd w:val="clear" w:color="auto" w:fill="C0C0C0"/>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0C0C0"/>
          </w:tcPr>
          <w:p>
            <w:pPr>
              <w:jc w:val="right"/>
              <w:ind w:right="240"/>
              <w:spacing w:after="0" w:line="196" w:lineRule="exact"/>
              <w:rPr>
                <w:sz w:val="20"/>
                <w:szCs w:val="20"/>
                <w:color w:val="auto"/>
              </w:rPr>
            </w:pPr>
            <w:r>
              <w:rPr>
                <w:rFonts w:ascii="Arial" w:cs="Arial" w:eastAsia="Arial" w:hAnsi="Arial"/>
                <w:sz w:val="18"/>
                <w:szCs w:val="18"/>
                <w:color w:val="auto"/>
              </w:rPr>
              <w:t>597</w:t>
            </w:r>
          </w:p>
        </w:tc>
        <w:tc>
          <w:tcPr>
            <w:tcW w:w="340" w:type="dxa"/>
            <w:vAlign w:val="bottom"/>
            <w:gridSpan w:val="2"/>
            <w:shd w:val="clear" w:color="auto" w:fill="C0C0C0"/>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0C0C0"/>
          </w:tcPr>
          <w:p>
            <w:pPr>
              <w:jc w:val="right"/>
              <w:ind w:right="280"/>
              <w:spacing w:after="0" w:line="196" w:lineRule="exact"/>
              <w:rPr>
                <w:sz w:val="20"/>
                <w:szCs w:val="20"/>
                <w:color w:val="auto"/>
              </w:rPr>
            </w:pPr>
            <w:r>
              <w:rPr>
                <w:rFonts w:ascii="Arial" w:cs="Arial" w:eastAsia="Arial" w:hAnsi="Arial"/>
                <w:sz w:val="18"/>
                <w:szCs w:val="18"/>
                <w:color w:val="auto"/>
              </w:rPr>
              <w:t>440</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Calculation of Earnings Before Interest and Taxes (EBIT):</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gridSpan w:val="2"/>
            <w:shd w:val="clear" w:color="auto" w:fill="C0C0C0"/>
          </w:tcPr>
          <w:p>
            <w:pPr>
              <w:ind w:left="20"/>
              <w:spacing w:after="0" w:line="202" w:lineRule="exact"/>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w w:val="99"/>
              </w:rPr>
              <w:t>$</w:t>
            </w:r>
          </w:p>
        </w:tc>
        <w:tc>
          <w:tcPr>
            <w:tcW w:w="720" w:type="dxa"/>
            <w:vAlign w:val="bottom"/>
            <w:gridSpan w:val="2"/>
            <w:shd w:val="clear" w:color="auto" w:fill="C0C0C0"/>
          </w:tcPr>
          <w:p>
            <w:pPr>
              <w:jc w:val="right"/>
              <w:ind w:right="240"/>
              <w:spacing w:after="0" w:line="202" w:lineRule="exact"/>
              <w:rPr>
                <w:sz w:val="20"/>
                <w:szCs w:val="20"/>
                <w:color w:val="auto"/>
              </w:rPr>
            </w:pPr>
            <w:r>
              <w:rPr>
                <w:rFonts w:ascii="Arial" w:cs="Arial" w:eastAsia="Arial" w:hAnsi="Arial"/>
                <w:sz w:val="18"/>
                <w:szCs w:val="18"/>
                <w:b w:val="1"/>
                <w:bCs w:val="1"/>
                <w:color w:val="auto"/>
              </w:rPr>
              <w:t>663</w:t>
            </w:r>
          </w:p>
        </w:tc>
        <w:tc>
          <w:tcPr>
            <w:tcW w:w="320" w:type="dxa"/>
            <w:vAlign w:val="bottom"/>
            <w:gridSpan w:val="2"/>
            <w:shd w:val="clear" w:color="auto" w:fill="C0C0C0"/>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0C0C0"/>
          </w:tcPr>
          <w:p>
            <w:pPr>
              <w:jc w:val="right"/>
              <w:ind w:right="240"/>
              <w:spacing w:after="0" w:line="202" w:lineRule="exact"/>
              <w:rPr>
                <w:sz w:val="20"/>
                <w:szCs w:val="20"/>
                <w:color w:val="auto"/>
              </w:rPr>
            </w:pPr>
            <w:r>
              <w:rPr>
                <w:rFonts w:ascii="Arial" w:cs="Arial" w:eastAsia="Arial" w:hAnsi="Arial"/>
                <w:sz w:val="18"/>
                <w:szCs w:val="18"/>
                <w:color w:val="auto"/>
              </w:rPr>
              <w:t>607</w:t>
            </w:r>
          </w:p>
        </w:tc>
        <w:tc>
          <w:tcPr>
            <w:tcW w:w="340" w:type="dxa"/>
            <w:vAlign w:val="bottom"/>
            <w:gridSpan w:val="2"/>
            <w:shd w:val="clear" w:color="auto" w:fill="C0C0C0"/>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0C0C0"/>
          </w:tcPr>
          <w:p>
            <w:pPr>
              <w:jc w:val="right"/>
              <w:ind w:right="280"/>
              <w:spacing w:after="0" w:line="202" w:lineRule="exact"/>
              <w:rPr>
                <w:sz w:val="20"/>
                <w:szCs w:val="20"/>
                <w:color w:val="auto"/>
              </w:rPr>
            </w:pPr>
            <w:r>
              <w:rPr>
                <w:rFonts w:ascii="Arial" w:cs="Arial" w:eastAsia="Arial" w:hAnsi="Arial"/>
                <w:sz w:val="18"/>
                <w:szCs w:val="18"/>
                <w:color w:val="auto"/>
              </w:rPr>
              <w:t>435</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7"/>
                <w:szCs w:val="17"/>
                <w:color w:val="auto"/>
              </w:rPr>
            </w:pPr>
          </w:p>
        </w:tc>
        <w:tc>
          <w:tcPr>
            <w:tcW w:w="72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6</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00" w:type="dxa"/>
            <w:vAlign w:val="bottom"/>
            <w:gridSpan w:val="2"/>
            <w:shd w:val="clear" w:color="auto" w:fill="C0C0C0"/>
          </w:tcPr>
          <w:p>
            <w:pPr>
              <w:ind w:left="20"/>
              <w:spacing w:after="0" w:line="196" w:lineRule="exact"/>
              <w:rPr>
                <w:sz w:val="20"/>
                <w:szCs w:val="20"/>
                <w:color w:val="auto"/>
              </w:rPr>
            </w:pPr>
            <w:r>
              <w:rPr>
                <w:rFonts w:ascii="Arial" w:cs="Arial" w:eastAsia="Arial" w:hAnsi="Arial"/>
                <w:sz w:val="18"/>
                <w:szCs w:val="18"/>
                <w:color w:val="auto"/>
              </w:rPr>
              <w:t>EBIT</w:t>
            </w:r>
          </w:p>
        </w:tc>
        <w:tc>
          <w:tcPr>
            <w:tcW w:w="16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720" w:type="dxa"/>
            <w:vAlign w:val="bottom"/>
            <w:gridSpan w:val="2"/>
            <w:shd w:val="clear" w:color="auto" w:fill="C0C0C0"/>
          </w:tcPr>
          <w:p>
            <w:pPr>
              <w:jc w:val="right"/>
              <w:ind w:right="240"/>
              <w:spacing w:after="0" w:line="196" w:lineRule="exact"/>
              <w:rPr>
                <w:sz w:val="20"/>
                <w:szCs w:val="20"/>
                <w:color w:val="auto"/>
              </w:rPr>
            </w:pPr>
            <w:r>
              <w:rPr>
                <w:rFonts w:ascii="Arial" w:cs="Arial" w:eastAsia="Arial" w:hAnsi="Arial"/>
                <w:sz w:val="18"/>
                <w:szCs w:val="18"/>
                <w:b w:val="1"/>
                <w:bCs w:val="1"/>
                <w:color w:val="auto"/>
              </w:rPr>
              <w:t>668</w:t>
            </w:r>
          </w:p>
        </w:tc>
        <w:tc>
          <w:tcPr>
            <w:tcW w:w="320" w:type="dxa"/>
            <w:vAlign w:val="bottom"/>
            <w:gridSpan w:val="2"/>
            <w:shd w:val="clear" w:color="auto" w:fill="C0C0C0"/>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0C0C0"/>
          </w:tcPr>
          <w:p>
            <w:pPr>
              <w:jc w:val="right"/>
              <w:ind w:right="240"/>
              <w:spacing w:after="0" w:line="196" w:lineRule="exact"/>
              <w:rPr>
                <w:sz w:val="20"/>
                <w:szCs w:val="20"/>
                <w:color w:val="auto"/>
              </w:rPr>
            </w:pPr>
            <w:r>
              <w:rPr>
                <w:rFonts w:ascii="Arial" w:cs="Arial" w:eastAsia="Arial" w:hAnsi="Arial"/>
                <w:sz w:val="18"/>
                <w:szCs w:val="18"/>
                <w:color w:val="auto"/>
              </w:rPr>
              <w:t>612</w:t>
            </w:r>
          </w:p>
        </w:tc>
        <w:tc>
          <w:tcPr>
            <w:tcW w:w="340" w:type="dxa"/>
            <w:vAlign w:val="bottom"/>
            <w:gridSpan w:val="2"/>
            <w:shd w:val="clear" w:color="auto" w:fill="C0C0C0"/>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0C0C0"/>
          </w:tcPr>
          <w:p>
            <w:pPr>
              <w:jc w:val="right"/>
              <w:ind w:right="280"/>
              <w:spacing w:after="0" w:line="196" w:lineRule="exact"/>
              <w:rPr>
                <w:sz w:val="20"/>
                <w:szCs w:val="20"/>
                <w:color w:val="auto"/>
              </w:rPr>
            </w:pPr>
            <w:r>
              <w:rPr>
                <w:rFonts w:ascii="Arial" w:cs="Arial" w:eastAsia="Arial" w:hAnsi="Arial"/>
                <w:sz w:val="18"/>
                <w:szCs w:val="18"/>
                <w:color w:val="auto"/>
              </w:rPr>
              <w:t>441</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Borders>
              <w:top w:val="single" w:sz="8" w:color="C0C0C0"/>
            </w:tcBorders>
            <w:shd w:val="clear" w:color="auto" w:fill="C0C0C0"/>
          </w:tcPr>
          <w:p>
            <w:pPr>
              <w:spacing w:after="0" w:line="20" w:lineRule="exact"/>
              <w:rPr>
                <w:sz w:val="1"/>
                <w:szCs w:val="1"/>
                <w:color w:val="auto"/>
              </w:rPr>
            </w:pPr>
          </w:p>
        </w:tc>
        <w:tc>
          <w:tcPr>
            <w:tcW w:w="490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0C0C0"/>
            </w:tcBorders>
            <w:shd w:val="clear" w:color="auto" w:fill="C0C0C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Income before income taxes (non-GAAP)</w:t>
            </w:r>
          </w:p>
        </w:tc>
        <w:tc>
          <w:tcPr>
            <w:tcW w:w="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720" w:type="dxa"/>
            <w:vAlign w:val="bottom"/>
            <w:gridSpan w:val="2"/>
          </w:tcPr>
          <w:p>
            <w:pPr>
              <w:jc w:val="right"/>
              <w:ind w:right="240"/>
              <w:spacing w:after="0" w:line="196" w:lineRule="exact"/>
              <w:rPr>
                <w:sz w:val="20"/>
                <w:szCs w:val="20"/>
                <w:color w:val="auto"/>
              </w:rPr>
            </w:pPr>
            <w:r>
              <w:rPr>
                <w:rFonts w:ascii="Arial" w:cs="Arial" w:eastAsia="Arial" w:hAnsi="Arial"/>
                <w:sz w:val="18"/>
                <w:szCs w:val="18"/>
                <w:b w:val="1"/>
                <w:bCs w:val="1"/>
                <w:color w:val="auto"/>
              </w:rPr>
              <w:t>671</w:t>
            </w:r>
          </w:p>
        </w:tc>
        <w:tc>
          <w:tcPr>
            <w:tcW w:w="3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597</w:t>
            </w:r>
          </w:p>
        </w:tc>
        <w:tc>
          <w:tcPr>
            <w:tcW w:w="3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440</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gridSpan w:val="2"/>
            <w:shd w:val="clear" w:color="auto" w:fill="C0C0C0"/>
          </w:tcPr>
          <w:p>
            <w:pPr>
              <w:ind w:left="20"/>
              <w:spacing w:after="0" w:line="202" w:lineRule="exact"/>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0C0C0"/>
          </w:tcPr>
          <w:p>
            <w:pPr>
              <w:spacing w:after="0"/>
              <w:rPr>
                <w:sz w:val="17"/>
                <w:szCs w:val="17"/>
                <w:color w:val="auto"/>
              </w:rPr>
            </w:pPr>
          </w:p>
        </w:tc>
        <w:tc>
          <w:tcPr>
            <w:tcW w:w="720" w:type="dxa"/>
            <w:vAlign w:val="bottom"/>
            <w:gridSpan w:val="2"/>
            <w:shd w:val="clear" w:color="auto" w:fill="C0C0C0"/>
          </w:tcPr>
          <w:p>
            <w:pPr>
              <w:jc w:val="right"/>
              <w:ind w:right="240"/>
              <w:spacing w:after="0" w:line="202" w:lineRule="exact"/>
              <w:rPr>
                <w:sz w:val="20"/>
                <w:szCs w:val="20"/>
                <w:color w:val="auto"/>
              </w:rPr>
            </w:pPr>
            <w:r>
              <w:rPr>
                <w:rFonts w:ascii="Arial" w:cs="Arial" w:eastAsia="Arial" w:hAnsi="Arial"/>
                <w:sz w:val="18"/>
                <w:szCs w:val="18"/>
                <w:b w:val="1"/>
                <w:bCs w:val="1"/>
                <w:color w:val="auto"/>
              </w:rPr>
              <w:t>5</w:t>
            </w: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720" w:type="dxa"/>
            <w:vAlign w:val="bottom"/>
            <w:gridSpan w:val="2"/>
            <w:shd w:val="clear" w:color="auto" w:fill="C0C0C0"/>
          </w:tcPr>
          <w:p>
            <w:pPr>
              <w:jc w:val="right"/>
              <w:ind w:right="240"/>
              <w:spacing w:after="0" w:line="202" w:lineRule="exact"/>
              <w:rPr>
                <w:sz w:val="20"/>
                <w:szCs w:val="20"/>
                <w:color w:val="auto"/>
              </w:rPr>
            </w:pPr>
            <w:r>
              <w:rPr>
                <w:rFonts w:ascii="Arial" w:cs="Arial" w:eastAsia="Arial" w:hAnsi="Arial"/>
                <w:sz w:val="18"/>
                <w:szCs w:val="18"/>
                <w:color w:val="auto"/>
              </w:rPr>
              <w:t>5</w:t>
            </w:r>
          </w:p>
        </w:tc>
        <w:tc>
          <w:tcPr>
            <w:tcW w:w="16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820" w:type="dxa"/>
            <w:vAlign w:val="bottom"/>
            <w:gridSpan w:val="2"/>
            <w:shd w:val="clear" w:color="auto" w:fill="C0C0C0"/>
          </w:tcPr>
          <w:p>
            <w:pPr>
              <w:jc w:val="right"/>
              <w:ind w:right="280"/>
              <w:spacing w:after="0" w:line="202" w:lineRule="exact"/>
              <w:rPr>
                <w:sz w:val="20"/>
                <w:szCs w:val="20"/>
                <w:color w:val="auto"/>
              </w:rPr>
            </w:pPr>
            <w:r>
              <w:rPr>
                <w:rFonts w:ascii="Arial" w:cs="Arial" w:eastAsia="Arial" w:hAnsi="Arial"/>
                <w:sz w:val="18"/>
                <w:szCs w:val="18"/>
                <w:color w:val="auto"/>
              </w:rPr>
              <w:t>6</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shd w:val="clear" w:color="auto" w:fill="C0C0C0"/>
          </w:tcPr>
          <w:p>
            <w:pPr>
              <w:spacing w:after="0" w:line="20" w:lineRule="exact"/>
              <w:rPr>
                <w:sz w:val="1"/>
                <w:szCs w:val="1"/>
                <w:color w:val="auto"/>
              </w:rPr>
            </w:pPr>
          </w:p>
        </w:tc>
        <w:tc>
          <w:tcPr>
            <w:tcW w:w="490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EBIT (non-GAAP)</w:t>
            </w:r>
          </w:p>
        </w:tc>
        <w:tc>
          <w:tcPr>
            <w:tcW w:w="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720" w:type="dxa"/>
            <w:vAlign w:val="bottom"/>
            <w:gridSpan w:val="2"/>
          </w:tcPr>
          <w:p>
            <w:pPr>
              <w:jc w:val="right"/>
              <w:ind w:right="240"/>
              <w:spacing w:after="0" w:line="196" w:lineRule="exact"/>
              <w:rPr>
                <w:sz w:val="20"/>
                <w:szCs w:val="20"/>
                <w:color w:val="auto"/>
              </w:rPr>
            </w:pPr>
            <w:r>
              <w:rPr>
                <w:rFonts w:ascii="Arial" w:cs="Arial" w:eastAsia="Arial" w:hAnsi="Arial"/>
                <w:sz w:val="18"/>
                <w:szCs w:val="18"/>
                <w:b w:val="1"/>
                <w:bCs w:val="1"/>
                <w:color w:val="auto"/>
              </w:rPr>
              <w:t>676</w:t>
            </w:r>
          </w:p>
        </w:tc>
        <w:tc>
          <w:tcPr>
            <w:tcW w:w="3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602</w:t>
            </w:r>
          </w:p>
        </w:tc>
        <w:tc>
          <w:tcPr>
            <w:tcW w:w="3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446</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700" w:type="dxa"/>
            <w:vAlign w:val="bottom"/>
            <w:gridSpan w:val="2"/>
            <w:shd w:val="clear" w:color="auto" w:fill="C0C0C0"/>
          </w:tcPr>
          <w:p>
            <w:pPr>
              <w:ind w:left="20"/>
              <w:spacing w:after="0" w:line="196" w:lineRule="exact"/>
              <w:rPr>
                <w:sz w:val="20"/>
                <w:szCs w:val="20"/>
                <w:color w:val="auto"/>
              </w:rPr>
            </w:pPr>
            <w:r>
              <w:rPr>
                <w:rFonts w:ascii="Arial" w:cs="Arial" w:eastAsia="Arial" w:hAnsi="Arial"/>
                <w:sz w:val="18"/>
                <w:szCs w:val="18"/>
                <w:color w:val="auto"/>
              </w:rPr>
              <w:t>EBIT margin %</w:t>
            </w:r>
          </w:p>
        </w:tc>
        <w:tc>
          <w:tcPr>
            <w:tcW w:w="160" w:type="dxa"/>
            <w:vAlign w:val="bottom"/>
            <w:shd w:val="clear" w:color="auto" w:fill="C0C0C0"/>
          </w:tcPr>
          <w:p>
            <w:pPr>
              <w:spacing w:after="0"/>
              <w:rPr>
                <w:sz w:val="17"/>
                <w:szCs w:val="17"/>
                <w:color w:val="auto"/>
              </w:rPr>
            </w:pPr>
          </w:p>
        </w:tc>
        <w:tc>
          <w:tcPr>
            <w:tcW w:w="720" w:type="dxa"/>
            <w:vAlign w:val="bottom"/>
            <w:gridSpan w:val="2"/>
            <w:shd w:val="clear" w:color="auto" w:fill="C0C0C0"/>
          </w:tcPr>
          <w:p>
            <w:pPr>
              <w:jc w:val="right"/>
              <w:ind w:right="80"/>
              <w:spacing w:after="0" w:line="196" w:lineRule="exact"/>
              <w:rPr>
                <w:sz w:val="20"/>
                <w:szCs w:val="20"/>
                <w:color w:val="auto"/>
              </w:rPr>
            </w:pPr>
            <w:r>
              <w:rPr>
                <w:rFonts w:ascii="Arial" w:cs="Arial" w:eastAsia="Arial" w:hAnsi="Arial"/>
                <w:sz w:val="18"/>
                <w:szCs w:val="18"/>
                <w:b w:val="1"/>
                <w:bCs w:val="1"/>
                <w:color w:val="auto"/>
              </w:rPr>
              <w:t>10.3%</w:t>
            </w: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720" w:type="dxa"/>
            <w:vAlign w:val="bottom"/>
            <w:gridSpan w:val="2"/>
            <w:shd w:val="clear" w:color="auto" w:fill="C0C0C0"/>
          </w:tcPr>
          <w:p>
            <w:pPr>
              <w:jc w:val="right"/>
              <w:ind w:right="80"/>
              <w:spacing w:after="0" w:line="196" w:lineRule="exact"/>
              <w:rPr>
                <w:sz w:val="20"/>
                <w:szCs w:val="20"/>
                <w:color w:val="auto"/>
              </w:rPr>
            </w:pPr>
            <w:r>
              <w:rPr>
                <w:rFonts w:ascii="Arial" w:cs="Arial" w:eastAsia="Arial" w:hAnsi="Arial"/>
                <w:sz w:val="18"/>
                <w:szCs w:val="18"/>
                <w:color w:val="auto"/>
              </w:rPr>
              <w:t>9.9%</w:t>
            </w:r>
          </w:p>
        </w:tc>
        <w:tc>
          <w:tcPr>
            <w:tcW w:w="16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820" w:type="dxa"/>
            <w:vAlign w:val="bottom"/>
            <w:gridSpan w:val="2"/>
            <w:shd w:val="clear" w:color="auto" w:fill="C0C0C0"/>
          </w:tcPr>
          <w:p>
            <w:pPr>
              <w:jc w:val="right"/>
              <w:ind w:right="120"/>
              <w:spacing w:after="0" w:line="196" w:lineRule="exact"/>
              <w:rPr>
                <w:sz w:val="20"/>
                <w:szCs w:val="20"/>
                <w:color w:val="auto"/>
              </w:rPr>
            </w:pPr>
            <w:r>
              <w:rPr>
                <w:rFonts w:ascii="Arial" w:cs="Arial" w:eastAsia="Arial" w:hAnsi="Arial"/>
                <w:sz w:val="18"/>
                <w:szCs w:val="18"/>
                <w:color w:val="auto"/>
              </w:rPr>
              <w:t>7.8%</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EBIT margin % (non-GAAP)</w:t>
            </w:r>
          </w:p>
        </w:tc>
        <w:tc>
          <w:tcPr>
            <w:tcW w:w="160" w:type="dxa"/>
            <w:vAlign w:val="bottom"/>
          </w:tcPr>
          <w:p>
            <w:pPr>
              <w:spacing w:after="0"/>
              <w:rPr>
                <w:sz w:val="17"/>
                <w:szCs w:val="17"/>
                <w:color w:val="auto"/>
              </w:rPr>
            </w:pPr>
          </w:p>
        </w:tc>
        <w:tc>
          <w:tcPr>
            <w:tcW w:w="7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10.4%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7.9%</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gridSpan w:val="2"/>
            <w:shd w:val="clear" w:color="auto" w:fill="C0C0C0"/>
          </w:tcPr>
          <w:p>
            <w:pPr>
              <w:ind w:left="20"/>
              <w:spacing w:after="0" w:line="202" w:lineRule="exact"/>
              <w:rPr>
                <w:sz w:val="20"/>
                <w:szCs w:val="20"/>
                <w:color w:val="auto"/>
              </w:rPr>
            </w:pPr>
            <w:r>
              <w:rPr>
                <w:rFonts w:ascii="Arial" w:cs="Arial" w:eastAsia="Arial" w:hAnsi="Arial"/>
                <w:sz w:val="18"/>
                <w:szCs w:val="18"/>
                <w:b w:val="1"/>
                <w:bCs w:val="1"/>
                <w:color w:val="auto"/>
              </w:rPr>
              <w:t>After-tax income:</w:t>
            </w:r>
          </w:p>
        </w:tc>
        <w:tc>
          <w:tcPr>
            <w:tcW w:w="16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54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9"/>
              </w:rPr>
              <w:t>$</w:t>
            </w:r>
          </w:p>
        </w:tc>
        <w:tc>
          <w:tcPr>
            <w:tcW w:w="72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429</w:t>
            </w:r>
          </w:p>
        </w:tc>
        <w:tc>
          <w:tcPr>
            <w:tcW w:w="3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397</w:t>
            </w:r>
          </w:p>
        </w:tc>
        <w:tc>
          <w:tcPr>
            <w:tcW w:w="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278</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gridSpan w:val="2"/>
            <w:shd w:val="clear" w:color="auto" w:fill="C0C0C0"/>
          </w:tcPr>
          <w:p>
            <w:pPr>
              <w:ind w:left="20"/>
              <w:spacing w:after="0" w:line="202" w:lineRule="exact"/>
              <w:rPr>
                <w:sz w:val="20"/>
                <w:szCs w:val="20"/>
                <w:color w:val="auto"/>
              </w:rPr>
            </w:pPr>
            <w:r>
              <w:rPr>
                <w:rFonts w:ascii="Arial" w:cs="Arial" w:eastAsia="Arial" w:hAnsi="Arial"/>
                <w:sz w:val="18"/>
                <w:szCs w:val="18"/>
                <w:color w:val="auto"/>
              </w:rPr>
              <w:t>After-tax amounts excluded from GAAP:</w:t>
            </w:r>
          </w:p>
        </w:tc>
        <w:tc>
          <w:tcPr>
            <w:tcW w:w="16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54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Runners Point Group acquisition and integration costs</w:t>
            </w:r>
          </w:p>
        </w:tc>
        <w:tc>
          <w:tcPr>
            <w:tcW w:w="160" w:type="dxa"/>
            <w:vAlign w:val="bottom"/>
          </w:tcPr>
          <w:p>
            <w:pPr>
              <w:spacing w:after="0"/>
              <w:rPr>
                <w:sz w:val="17"/>
                <w:szCs w:val="17"/>
                <w:color w:val="auto"/>
              </w:rPr>
            </w:pPr>
          </w:p>
        </w:tc>
        <w:tc>
          <w:tcPr>
            <w:tcW w:w="72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gridSpan w:val="2"/>
            <w:shd w:val="clear" w:color="auto" w:fill="C0C0C0"/>
          </w:tcPr>
          <w:p>
            <w:pPr>
              <w:ind w:left="200"/>
              <w:spacing w:after="0" w:line="202" w:lineRule="exact"/>
              <w:rPr>
                <w:sz w:val="20"/>
                <w:szCs w:val="20"/>
                <w:color w:val="auto"/>
              </w:rPr>
            </w:pPr>
            <w:r>
              <w:rPr>
                <w:rFonts w:ascii="Arial" w:cs="Arial" w:eastAsia="Arial" w:hAnsi="Arial"/>
                <w:sz w:val="18"/>
                <w:szCs w:val="18"/>
                <w:color w:val="auto"/>
              </w:rPr>
              <w:t>Impairment and other charges</w:t>
            </w:r>
          </w:p>
        </w:tc>
        <w:tc>
          <w:tcPr>
            <w:tcW w:w="160" w:type="dxa"/>
            <w:vAlign w:val="bottom"/>
            <w:shd w:val="clear" w:color="auto" w:fill="C0C0C0"/>
          </w:tcPr>
          <w:p>
            <w:pPr>
              <w:spacing w:after="0"/>
              <w:rPr>
                <w:sz w:val="17"/>
                <w:szCs w:val="17"/>
                <w:color w:val="auto"/>
              </w:rPr>
            </w:pPr>
          </w:p>
        </w:tc>
        <w:tc>
          <w:tcPr>
            <w:tcW w:w="720" w:type="dxa"/>
            <w:vAlign w:val="bottom"/>
            <w:gridSpan w:val="2"/>
            <w:shd w:val="clear" w:color="auto" w:fill="C0C0C0"/>
          </w:tcPr>
          <w:p>
            <w:pPr>
              <w:jc w:val="right"/>
              <w:ind w:right="240"/>
              <w:spacing w:after="0" w:line="202" w:lineRule="exact"/>
              <w:rPr>
                <w:sz w:val="20"/>
                <w:szCs w:val="20"/>
                <w:color w:val="auto"/>
              </w:rPr>
            </w:pPr>
            <w:r>
              <w:rPr>
                <w:rFonts w:ascii="Arial" w:cs="Arial" w:eastAsia="Arial" w:hAnsi="Arial"/>
                <w:sz w:val="18"/>
                <w:szCs w:val="18"/>
                <w:b w:val="1"/>
                <w:bCs w:val="1"/>
                <w:color w:val="auto"/>
              </w:rPr>
              <w:t>1</w:t>
            </w: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720" w:type="dxa"/>
            <w:vAlign w:val="bottom"/>
            <w:gridSpan w:val="2"/>
            <w:shd w:val="clear" w:color="auto" w:fill="C0C0C0"/>
          </w:tcPr>
          <w:p>
            <w:pPr>
              <w:jc w:val="right"/>
              <w:ind w:right="240"/>
              <w:spacing w:after="0" w:line="202" w:lineRule="exact"/>
              <w:rPr>
                <w:sz w:val="20"/>
                <w:szCs w:val="20"/>
                <w:color w:val="auto"/>
              </w:rPr>
            </w:pPr>
            <w:r>
              <w:rPr>
                <w:rFonts w:ascii="Arial" w:cs="Arial" w:eastAsia="Arial" w:hAnsi="Arial"/>
                <w:sz w:val="18"/>
                <w:szCs w:val="18"/>
                <w:color w:val="auto"/>
              </w:rPr>
              <w:t>7</w:t>
            </w:r>
          </w:p>
        </w:tc>
        <w:tc>
          <w:tcPr>
            <w:tcW w:w="16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820" w:type="dxa"/>
            <w:vAlign w:val="bottom"/>
            <w:gridSpan w:val="2"/>
            <w:shd w:val="clear" w:color="auto" w:fill="C0C0C0"/>
          </w:tcPr>
          <w:p>
            <w:pPr>
              <w:jc w:val="right"/>
              <w:ind w:right="280"/>
              <w:spacing w:after="0" w:line="202" w:lineRule="exact"/>
              <w:rPr>
                <w:sz w:val="20"/>
                <w:szCs w:val="20"/>
                <w:color w:val="auto"/>
              </w:rPr>
            </w:pPr>
            <w:r>
              <w:rPr>
                <w:rFonts w:ascii="Arial" w:cs="Arial" w:eastAsia="Arial" w:hAnsi="Arial"/>
                <w:sz w:val="18"/>
                <w:szCs w:val="18"/>
                <w:color w:val="auto"/>
              </w:rPr>
              <w:t>3</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700" w:type="dxa"/>
            <w:vAlign w:val="bottom"/>
            <w:gridSpan w:val="2"/>
          </w:tcPr>
          <w:p>
            <w:pPr>
              <w:ind w:left="200"/>
              <w:spacing w:after="0" w:line="243" w:lineRule="exact"/>
              <w:rPr>
                <w:sz w:val="20"/>
                <w:szCs w:val="20"/>
                <w:color w:val="auto"/>
              </w:rPr>
            </w:pPr>
            <w:r>
              <w:rPr>
                <w:rFonts w:ascii="Arial" w:cs="Arial" w:eastAsia="Arial" w:hAnsi="Arial"/>
                <w:sz w:val="17"/>
                <w:szCs w:val="17"/>
                <w:color w:val="auto"/>
              </w:rPr>
              <w:t>53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week</w:t>
            </w:r>
          </w:p>
        </w:tc>
        <w:tc>
          <w:tcPr>
            <w:tcW w:w="16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700" w:type="dxa"/>
            <w:vAlign w:val="bottom"/>
            <w:gridSpan w:val="2"/>
            <w:shd w:val="clear" w:color="auto" w:fill="C0C0C0"/>
          </w:tcPr>
          <w:p>
            <w:pPr>
              <w:ind w:left="200"/>
              <w:spacing w:after="0" w:line="202" w:lineRule="exact"/>
              <w:rPr>
                <w:sz w:val="20"/>
                <w:szCs w:val="20"/>
                <w:color w:val="auto"/>
              </w:rPr>
            </w:pPr>
            <w:r>
              <w:rPr>
                <w:rFonts w:ascii="Arial" w:cs="Arial" w:eastAsia="Arial" w:hAnsi="Arial"/>
                <w:sz w:val="18"/>
                <w:szCs w:val="18"/>
                <w:color w:val="auto"/>
              </w:rPr>
              <w:t>Settlement of foreign tax audits</w:t>
            </w:r>
          </w:p>
        </w:tc>
        <w:tc>
          <w:tcPr>
            <w:tcW w:w="160" w:type="dxa"/>
            <w:vAlign w:val="bottom"/>
            <w:shd w:val="clear" w:color="auto" w:fill="C0C0C0"/>
          </w:tcPr>
          <w:p>
            <w:pPr>
              <w:spacing w:after="0"/>
              <w:rPr>
                <w:sz w:val="17"/>
                <w:szCs w:val="17"/>
                <w:color w:val="auto"/>
              </w:rPr>
            </w:pPr>
          </w:p>
        </w:tc>
        <w:tc>
          <w:tcPr>
            <w:tcW w:w="720" w:type="dxa"/>
            <w:vAlign w:val="bottom"/>
            <w:gridSpan w:val="2"/>
            <w:shd w:val="clear" w:color="auto" w:fill="C0C0C0"/>
          </w:tcPr>
          <w:p>
            <w:pPr>
              <w:jc w:val="right"/>
              <w:ind w:right="180"/>
              <w:spacing w:after="0" w:line="202" w:lineRule="exact"/>
              <w:rPr>
                <w:sz w:val="20"/>
                <w:szCs w:val="20"/>
                <w:color w:val="auto"/>
              </w:rPr>
            </w:pPr>
            <w:r>
              <w:rPr>
                <w:rFonts w:ascii="Arial" w:cs="Arial" w:eastAsia="Arial" w:hAnsi="Arial"/>
                <w:sz w:val="18"/>
                <w:szCs w:val="18"/>
                <w:b w:val="1"/>
                <w:bCs w:val="1"/>
                <w:color w:val="auto"/>
              </w:rPr>
              <w:t>(3)</w:t>
            </w: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720" w:type="dxa"/>
            <w:vAlign w:val="bottom"/>
            <w:gridSpan w:val="2"/>
            <w:shd w:val="clear" w:color="auto" w:fill="C0C0C0"/>
          </w:tcPr>
          <w:p>
            <w:pPr>
              <w:jc w:val="right"/>
              <w:ind w:right="180"/>
              <w:spacing w:after="0" w:line="202" w:lineRule="exact"/>
              <w:rPr>
                <w:sz w:val="20"/>
                <w:szCs w:val="20"/>
                <w:color w:val="auto"/>
              </w:rPr>
            </w:pPr>
            <w:r>
              <w:rPr>
                <w:rFonts w:ascii="Arial" w:cs="Arial" w:eastAsia="Arial" w:hAnsi="Arial"/>
                <w:sz w:val="18"/>
                <w:szCs w:val="18"/>
                <w:color w:val="auto"/>
              </w:rPr>
              <w:t>(9)</w:t>
            </w:r>
          </w:p>
        </w:tc>
        <w:tc>
          <w:tcPr>
            <w:tcW w:w="16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820" w:type="dxa"/>
            <w:vAlign w:val="bottom"/>
            <w:gridSpan w:val="2"/>
            <w:shd w:val="clear" w:color="auto" w:fill="C0C0C0"/>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Canadian tax rate changes</w:t>
            </w:r>
          </w:p>
        </w:tc>
        <w:tc>
          <w:tcPr>
            <w:tcW w:w="160" w:type="dxa"/>
            <w:vAlign w:val="bottom"/>
          </w:tcPr>
          <w:p>
            <w:pPr>
              <w:spacing w:after="0"/>
              <w:rPr>
                <w:sz w:val="17"/>
                <w:szCs w:val="17"/>
                <w:color w:val="auto"/>
              </w:rPr>
            </w:pPr>
          </w:p>
        </w:tc>
        <w:tc>
          <w:tcPr>
            <w:tcW w:w="72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00" w:type="dxa"/>
            <w:vAlign w:val="bottom"/>
            <w:gridSpan w:val="2"/>
            <w:shd w:val="clear" w:color="auto" w:fill="C0C0C0"/>
          </w:tcPr>
          <w:p>
            <w:pPr>
              <w:ind w:left="20"/>
              <w:spacing w:after="0" w:line="196" w:lineRule="exact"/>
              <w:rPr>
                <w:sz w:val="20"/>
                <w:szCs w:val="20"/>
                <w:color w:val="auto"/>
              </w:rPr>
            </w:pPr>
            <w:r>
              <w:rPr>
                <w:rFonts w:ascii="Arial" w:cs="Arial" w:eastAsia="Arial" w:hAnsi="Arial"/>
                <w:sz w:val="18"/>
                <w:szCs w:val="18"/>
                <w:color w:val="auto"/>
              </w:rPr>
              <w:t>Net income (non-GAAP)</w:t>
            </w:r>
          </w:p>
        </w:tc>
        <w:tc>
          <w:tcPr>
            <w:tcW w:w="16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720" w:type="dxa"/>
            <w:vAlign w:val="bottom"/>
            <w:gridSpan w:val="2"/>
            <w:shd w:val="clear" w:color="auto" w:fill="C0C0C0"/>
          </w:tcPr>
          <w:p>
            <w:pPr>
              <w:jc w:val="right"/>
              <w:ind w:right="240"/>
              <w:spacing w:after="0" w:line="196" w:lineRule="exact"/>
              <w:rPr>
                <w:sz w:val="20"/>
                <w:szCs w:val="20"/>
                <w:color w:val="auto"/>
              </w:rPr>
            </w:pPr>
            <w:r>
              <w:rPr>
                <w:rFonts w:ascii="Arial" w:cs="Arial" w:eastAsia="Arial" w:hAnsi="Arial"/>
                <w:sz w:val="18"/>
                <w:szCs w:val="18"/>
                <w:b w:val="1"/>
                <w:bCs w:val="1"/>
                <w:color w:val="auto"/>
              </w:rPr>
              <w:t>432</w:t>
            </w:r>
          </w:p>
        </w:tc>
        <w:tc>
          <w:tcPr>
            <w:tcW w:w="320" w:type="dxa"/>
            <w:vAlign w:val="bottom"/>
            <w:gridSpan w:val="2"/>
            <w:shd w:val="clear" w:color="auto" w:fill="C0C0C0"/>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0C0C0"/>
          </w:tcPr>
          <w:p>
            <w:pPr>
              <w:jc w:val="right"/>
              <w:ind w:right="240"/>
              <w:spacing w:after="0" w:line="196" w:lineRule="exact"/>
              <w:rPr>
                <w:sz w:val="20"/>
                <w:szCs w:val="20"/>
                <w:color w:val="auto"/>
              </w:rPr>
            </w:pPr>
            <w:r>
              <w:rPr>
                <w:rFonts w:ascii="Arial" w:cs="Arial" w:eastAsia="Arial" w:hAnsi="Arial"/>
                <w:sz w:val="18"/>
                <w:szCs w:val="18"/>
                <w:color w:val="auto"/>
              </w:rPr>
              <w:t>380</w:t>
            </w:r>
          </w:p>
        </w:tc>
        <w:tc>
          <w:tcPr>
            <w:tcW w:w="340" w:type="dxa"/>
            <w:vAlign w:val="bottom"/>
            <w:gridSpan w:val="2"/>
            <w:shd w:val="clear" w:color="auto" w:fill="C0C0C0"/>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0C0C0"/>
          </w:tcPr>
          <w:p>
            <w:pPr>
              <w:jc w:val="right"/>
              <w:ind w:right="280"/>
              <w:spacing w:after="0" w:line="196" w:lineRule="exact"/>
              <w:rPr>
                <w:sz w:val="20"/>
                <w:szCs w:val="20"/>
                <w:color w:val="auto"/>
              </w:rPr>
            </w:pPr>
            <w:r>
              <w:rPr>
                <w:rFonts w:ascii="Arial" w:cs="Arial" w:eastAsia="Arial" w:hAnsi="Arial"/>
                <w:sz w:val="18"/>
                <w:szCs w:val="18"/>
                <w:color w:val="auto"/>
              </w:rPr>
              <w:t>281</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7"/>
        </w:trPr>
        <w:tc>
          <w:tcPr>
            <w:tcW w:w="5700" w:type="dxa"/>
            <w:vAlign w:val="bottom"/>
            <w:tcBorders>
              <w:top w:val="single" w:sz="8" w:color="C0C0C0"/>
            </w:tcBorders>
            <w:gridSpan w:val="2"/>
          </w:tcPr>
          <w:p>
            <w:pPr>
              <w:ind w:left="4560"/>
              <w:spacing w:after="0"/>
              <w:rPr>
                <w:sz w:val="20"/>
                <w:szCs w:val="20"/>
                <w:color w:val="auto"/>
              </w:rPr>
            </w:pPr>
            <w:r>
              <w:rPr>
                <w:rFonts w:ascii="Arial" w:cs="Arial" w:eastAsia="Arial" w:hAnsi="Arial"/>
                <w:sz w:val="18"/>
                <w:szCs w:val="18"/>
                <w:color w:val="auto"/>
              </w:rPr>
              <w:t>16</w:t>
            </w:r>
          </w:p>
        </w:tc>
        <w:tc>
          <w:tcPr>
            <w:tcW w:w="1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40" w:type="dxa"/>
            <w:vAlign w:val="bottom"/>
            <w:tcBorders>
              <w:top w:val="single" w:sz="8" w:color="C0C0C0"/>
            </w:tcBorders>
          </w:tcPr>
          <w:p>
            <w:pPr>
              <w:spacing w:after="0"/>
              <w:rPr>
                <w:sz w:val="24"/>
                <w:szCs w:val="24"/>
                <w:color w:val="auto"/>
              </w:rPr>
            </w:pPr>
          </w:p>
        </w:tc>
        <w:tc>
          <w:tcPr>
            <w:tcW w:w="160" w:type="dxa"/>
            <w:vAlign w:val="bottom"/>
            <w:tcBorders>
              <w:top w:val="single" w:sz="8" w:color="C0C0C0"/>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40" w:type="dxa"/>
            <w:vAlign w:val="bottom"/>
            <w:tcBorders>
              <w:top w:val="single" w:sz="8" w:color="C0C0C0"/>
            </w:tcBorders>
          </w:tcPr>
          <w:p>
            <w:pPr>
              <w:spacing w:after="0"/>
              <w:rPr>
                <w:sz w:val="24"/>
                <w:szCs w:val="24"/>
                <w:color w:val="auto"/>
              </w:rPr>
            </w:pPr>
          </w:p>
        </w:tc>
        <w:tc>
          <w:tcPr>
            <w:tcW w:w="160" w:type="dxa"/>
            <w:vAlign w:val="bottom"/>
            <w:tcBorders>
              <w:top w:val="single" w:sz="8" w:color="C0C0C0"/>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80" w:type="dxa"/>
            <w:vAlign w:val="bottom"/>
            <w:tcBorders>
              <w:top w:val="single" w:sz="8" w:color="C0C0C0"/>
            </w:tcBorders>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49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49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6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-4210050</wp:posOffset>
            </wp:positionV>
            <wp:extent cx="5565775"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65775"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-3378200</wp:posOffset>
            </wp:positionV>
            <wp:extent cx="5565775"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6577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-2580640</wp:posOffset>
            </wp:positionV>
            <wp:extent cx="5565775"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65775"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-2289175</wp:posOffset>
            </wp:positionV>
            <wp:extent cx="5565775"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6577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-668020</wp:posOffset>
            </wp:positionV>
            <wp:extent cx="5565775"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65775" cy="342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802" w:right="11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2"/>
        </w:trPr>
        <w:tc>
          <w:tcPr>
            <w:tcW w:w="5740" w:type="dxa"/>
            <w:vAlign w:val="bottom"/>
            <w:gridSpan w:val="3"/>
          </w:tcPr>
          <w:p>
            <w:pPr>
              <w:ind w:left="20"/>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14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540" w:type="dxa"/>
            <w:vAlign w:val="bottom"/>
            <w:tcBorders>
              <w:top w:val="single" w:sz="8" w:color="0000EE"/>
            </w:tcBorders>
          </w:tcPr>
          <w:p>
            <w:pPr>
              <w:spacing w:after="0"/>
              <w:rPr>
                <w:sz w:val="13"/>
                <w:szCs w:val="13"/>
                <w:color w:val="auto"/>
              </w:rPr>
            </w:pPr>
          </w:p>
        </w:tc>
        <w:tc>
          <w:tcPr>
            <w:tcW w:w="4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00" w:type="dxa"/>
            <w:vAlign w:val="bottom"/>
            <w:gridSpan w:val="10"/>
          </w:tcPr>
          <w:p>
            <w:pPr>
              <w:jc w:val="right"/>
              <w:ind w:right="180"/>
              <w:spacing w:after="0"/>
              <w:rPr>
                <w:sz w:val="20"/>
                <w:szCs w:val="20"/>
                <w:color w:val="auto"/>
              </w:rPr>
            </w:pPr>
            <w:r>
              <w:rPr>
                <w:rFonts w:ascii="Arial" w:cs="Arial" w:eastAsia="Arial" w:hAnsi="Arial"/>
                <w:sz w:val="14"/>
                <w:szCs w:val="14"/>
                <w:b w:val="1"/>
                <w:bCs w:val="1"/>
                <w:color w:val="auto"/>
              </w:rPr>
              <w:t>(in millions, except per share amounts)</w:t>
            </w:r>
          </w:p>
        </w:tc>
        <w:tc>
          <w:tcPr>
            <w:tcW w:w="0" w:type="dxa"/>
            <w:vAlign w:val="bottom"/>
          </w:tcPr>
          <w:p>
            <w:pPr>
              <w:spacing w:after="0"/>
              <w:rPr>
                <w:sz w:val="1"/>
                <w:szCs w:val="1"/>
                <w:color w:val="auto"/>
              </w:rPr>
            </w:pPr>
          </w:p>
        </w:tc>
      </w:tr>
      <w:tr>
        <w:trPr>
          <w:trHeight w:val="225"/>
        </w:trPr>
        <w:tc>
          <w:tcPr>
            <w:tcW w:w="5740" w:type="dxa"/>
            <w:vAlign w:val="bottom"/>
            <w:gridSpan w:val="3"/>
          </w:tcPr>
          <w:p>
            <w:pPr>
              <w:ind w:left="20"/>
              <w:spacing w:after="0"/>
              <w:rPr>
                <w:sz w:val="20"/>
                <w:szCs w:val="20"/>
                <w:color w:val="auto"/>
              </w:rPr>
            </w:pPr>
            <w:r>
              <w:rPr>
                <w:rFonts w:ascii="Arial" w:cs="Arial" w:eastAsia="Arial" w:hAnsi="Arial"/>
                <w:sz w:val="18"/>
                <w:szCs w:val="18"/>
                <w:color w:val="auto"/>
              </w:rPr>
              <w:t>Net income margin %</w:t>
            </w:r>
          </w:p>
        </w:tc>
        <w:tc>
          <w:tcPr>
            <w:tcW w:w="14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3"/>
        </w:trPr>
        <w:tc>
          <w:tcPr>
            <w:tcW w:w="5740" w:type="dxa"/>
            <w:vAlign w:val="bottom"/>
            <w:gridSpan w:val="3"/>
            <w:shd w:val="clear" w:color="auto" w:fill="C0C0C0"/>
          </w:tcPr>
          <w:p>
            <w:pPr>
              <w:ind w:left="20"/>
              <w:spacing w:after="0" w:line="202" w:lineRule="exact"/>
              <w:rPr>
                <w:sz w:val="20"/>
                <w:szCs w:val="20"/>
                <w:color w:val="auto"/>
              </w:rPr>
            </w:pPr>
            <w:r>
              <w:rPr>
                <w:rFonts w:ascii="Arial" w:cs="Arial" w:eastAsia="Arial" w:hAnsi="Arial"/>
                <w:sz w:val="18"/>
                <w:szCs w:val="18"/>
                <w:color w:val="auto"/>
              </w:rPr>
              <w:t>Net income margin % (non-GAAP)</w:t>
            </w:r>
          </w:p>
        </w:tc>
        <w:tc>
          <w:tcPr>
            <w:tcW w:w="140" w:type="dxa"/>
            <w:vAlign w:val="bottom"/>
            <w:shd w:val="clear" w:color="auto" w:fill="C0C0C0"/>
          </w:tcPr>
          <w:p>
            <w:pPr>
              <w:spacing w:after="0"/>
              <w:rPr>
                <w:sz w:val="17"/>
                <w:szCs w:val="17"/>
                <w:color w:val="auto"/>
              </w:rPr>
            </w:pPr>
          </w:p>
        </w:tc>
        <w:tc>
          <w:tcPr>
            <w:tcW w:w="74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b w:val="1"/>
                <w:bCs w:val="1"/>
                <w:color w:val="auto"/>
              </w:rPr>
              <w:t>6.6%</w:t>
            </w:r>
          </w:p>
        </w:tc>
        <w:tc>
          <w:tcPr>
            <w:tcW w:w="16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74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6.2%</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6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5740" w:type="dxa"/>
            <w:vAlign w:val="bottom"/>
            <w:gridSpan w:val="3"/>
          </w:tcPr>
          <w:p>
            <w:pPr>
              <w:ind w:left="20"/>
              <w:spacing w:after="0" w:line="202" w:lineRule="exact"/>
              <w:rPr>
                <w:sz w:val="20"/>
                <w:szCs w:val="20"/>
                <w:color w:val="auto"/>
              </w:rPr>
            </w:pPr>
            <w:r>
              <w:rPr>
                <w:rFonts w:ascii="Arial" w:cs="Arial" w:eastAsia="Arial" w:hAnsi="Arial"/>
                <w:sz w:val="18"/>
                <w:szCs w:val="18"/>
                <w:b w:val="1"/>
                <w:bCs w:val="1"/>
                <w:color w:val="auto"/>
              </w:rPr>
              <w:t>Diluted earnings per share:</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3"/>
            <w:shd w:val="clear" w:color="auto" w:fill="C0C0C0"/>
          </w:tcPr>
          <w:p>
            <w:pPr>
              <w:ind w:left="20"/>
              <w:spacing w:after="0" w:line="202" w:lineRule="exact"/>
              <w:rPr>
                <w:sz w:val="20"/>
                <w:szCs w:val="20"/>
                <w:color w:val="auto"/>
              </w:rPr>
            </w:pPr>
            <w:r>
              <w:rPr>
                <w:rFonts w:ascii="Arial" w:cs="Arial" w:eastAsia="Arial" w:hAnsi="Arial"/>
                <w:sz w:val="18"/>
                <w:szCs w:val="18"/>
                <w:color w:val="auto"/>
              </w:rPr>
              <w:t>Net income</w:t>
            </w:r>
          </w:p>
        </w:tc>
        <w:tc>
          <w:tcPr>
            <w:tcW w:w="14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740" w:type="dxa"/>
            <w:vAlign w:val="bottom"/>
            <w:gridSpan w:val="2"/>
            <w:shd w:val="clear" w:color="auto" w:fill="C0C0C0"/>
          </w:tcPr>
          <w:p>
            <w:pPr>
              <w:jc w:val="right"/>
              <w:ind w:right="280"/>
              <w:spacing w:after="0" w:line="202" w:lineRule="exact"/>
              <w:rPr>
                <w:sz w:val="20"/>
                <w:szCs w:val="20"/>
                <w:color w:val="auto"/>
              </w:rPr>
            </w:pPr>
            <w:r>
              <w:rPr>
                <w:rFonts w:ascii="Arial" w:cs="Arial" w:eastAsia="Arial" w:hAnsi="Arial"/>
                <w:sz w:val="18"/>
                <w:szCs w:val="18"/>
                <w:b w:val="1"/>
                <w:bCs w:val="1"/>
                <w:color w:val="auto"/>
              </w:rPr>
              <w:t>2.85</w:t>
            </w:r>
          </w:p>
        </w:tc>
        <w:tc>
          <w:tcPr>
            <w:tcW w:w="300" w:type="dxa"/>
            <w:vAlign w:val="bottom"/>
            <w:gridSpan w:val="2"/>
            <w:shd w:val="clear" w:color="auto" w:fill="C0C0C0"/>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0C0C0"/>
          </w:tcPr>
          <w:p>
            <w:pPr>
              <w:jc w:val="right"/>
              <w:ind w:right="280"/>
              <w:spacing w:after="0" w:line="202" w:lineRule="exact"/>
              <w:rPr>
                <w:sz w:val="20"/>
                <w:szCs w:val="20"/>
                <w:color w:val="auto"/>
              </w:rPr>
            </w:pPr>
            <w:r>
              <w:rPr>
                <w:rFonts w:ascii="Arial" w:cs="Arial" w:eastAsia="Arial" w:hAnsi="Arial"/>
                <w:sz w:val="18"/>
                <w:szCs w:val="18"/>
                <w:color w:val="auto"/>
              </w:rPr>
              <w:t>2.58</w:t>
            </w:r>
          </w:p>
        </w:tc>
        <w:tc>
          <w:tcPr>
            <w:tcW w:w="360" w:type="dxa"/>
            <w:vAlign w:val="bottom"/>
            <w:gridSpan w:val="2"/>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0C0C0"/>
          </w:tcPr>
          <w:p>
            <w:pPr>
              <w:jc w:val="right"/>
              <w:ind w:right="320"/>
              <w:spacing w:after="0" w:line="202" w:lineRule="exact"/>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Runners Point Group acquisition and integration costs</w:t>
            </w:r>
          </w:p>
        </w:tc>
        <w:tc>
          <w:tcPr>
            <w:tcW w:w="140" w:type="dxa"/>
            <w:vAlign w:val="bottom"/>
          </w:tcPr>
          <w:p>
            <w:pPr>
              <w:spacing w:after="0"/>
              <w:rPr>
                <w:sz w:val="17"/>
                <w:szCs w:val="17"/>
                <w:color w:val="auto"/>
              </w:rPr>
            </w:pP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0.03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shd w:val="clear" w:color="auto" w:fill="C0C0C0"/>
          </w:tcPr>
          <w:p>
            <w:pPr>
              <w:spacing w:after="0"/>
              <w:rPr>
                <w:sz w:val="17"/>
                <w:szCs w:val="17"/>
                <w:color w:val="auto"/>
              </w:rPr>
            </w:pPr>
          </w:p>
        </w:tc>
        <w:tc>
          <w:tcPr>
            <w:tcW w:w="5720" w:type="dxa"/>
            <w:vAlign w:val="bottom"/>
            <w:gridSpan w:val="2"/>
            <w:shd w:val="clear" w:color="auto" w:fill="C0C0C0"/>
          </w:tcPr>
          <w:p>
            <w:pPr>
              <w:ind w:left="180"/>
              <w:spacing w:after="0" w:line="202" w:lineRule="exact"/>
              <w:rPr>
                <w:sz w:val="20"/>
                <w:szCs w:val="20"/>
                <w:color w:val="auto"/>
              </w:rPr>
            </w:pPr>
            <w:r>
              <w:rPr>
                <w:rFonts w:ascii="Arial" w:cs="Arial" w:eastAsia="Arial" w:hAnsi="Arial"/>
                <w:sz w:val="18"/>
                <w:szCs w:val="18"/>
                <w:color w:val="auto"/>
              </w:rPr>
              <w:t>Impairment and other charges</w:t>
            </w:r>
          </w:p>
        </w:tc>
        <w:tc>
          <w:tcPr>
            <w:tcW w:w="140" w:type="dxa"/>
            <w:vAlign w:val="bottom"/>
            <w:shd w:val="clear" w:color="auto" w:fill="C0C0C0"/>
          </w:tcPr>
          <w:p>
            <w:pPr>
              <w:spacing w:after="0"/>
              <w:rPr>
                <w:sz w:val="17"/>
                <w:szCs w:val="17"/>
                <w:color w:val="auto"/>
              </w:rPr>
            </w:pPr>
          </w:p>
        </w:tc>
        <w:tc>
          <w:tcPr>
            <w:tcW w:w="740" w:type="dxa"/>
            <w:vAlign w:val="bottom"/>
            <w:gridSpan w:val="2"/>
            <w:shd w:val="clear" w:color="auto" w:fill="C0C0C0"/>
          </w:tcPr>
          <w:p>
            <w:pPr>
              <w:jc w:val="right"/>
              <w:ind w:right="280"/>
              <w:spacing w:after="0" w:line="202" w:lineRule="exact"/>
              <w:rPr>
                <w:sz w:val="20"/>
                <w:szCs w:val="20"/>
                <w:color w:val="auto"/>
              </w:rPr>
            </w:pPr>
            <w:r>
              <w:rPr>
                <w:rFonts w:ascii="Arial" w:cs="Arial" w:eastAsia="Arial" w:hAnsi="Arial"/>
                <w:sz w:val="18"/>
                <w:szCs w:val="18"/>
                <w:b w:val="1"/>
                <w:bCs w:val="1"/>
                <w:color w:val="auto"/>
              </w:rPr>
              <w:t>0.01</w:t>
            </w:r>
          </w:p>
        </w:tc>
        <w:tc>
          <w:tcPr>
            <w:tcW w:w="16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740" w:type="dxa"/>
            <w:vAlign w:val="bottom"/>
            <w:gridSpan w:val="2"/>
            <w:shd w:val="clear" w:color="auto" w:fill="C0C0C0"/>
          </w:tcPr>
          <w:p>
            <w:pPr>
              <w:jc w:val="right"/>
              <w:ind w:right="280"/>
              <w:spacing w:after="0" w:line="202" w:lineRule="exact"/>
              <w:rPr>
                <w:sz w:val="20"/>
                <w:szCs w:val="20"/>
                <w:color w:val="auto"/>
              </w:rPr>
            </w:pPr>
            <w:r>
              <w:rPr>
                <w:rFonts w:ascii="Arial" w:cs="Arial" w:eastAsia="Arial" w:hAnsi="Arial"/>
                <w:sz w:val="18"/>
                <w:szCs w:val="18"/>
                <w:color w:val="auto"/>
              </w:rPr>
              <w:t>0.05</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320"/>
              <w:spacing w:after="0" w:line="202" w:lineRule="exact"/>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gridSpan w:val="2"/>
          </w:tcPr>
          <w:p>
            <w:pPr>
              <w:ind w:left="180"/>
              <w:spacing w:after="0" w:line="243" w:lineRule="exact"/>
              <w:rPr>
                <w:sz w:val="20"/>
                <w:szCs w:val="20"/>
                <w:color w:val="auto"/>
              </w:rPr>
            </w:pPr>
            <w:r>
              <w:rPr>
                <w:rFonts w:ascii="Arial" w:cs="Arial" w:eastAsia="Arial" w:hAnsi="Arial"/>
                <w:sz w:val="17"/>
                <w:szCs w:val="17"/>
                <w:color w:val="auto"/>
              </w:rPr>
              <w:t>53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week</w:t>
            </w:r>
          </w:p>
        </w:tc>
        <w:tc>
          <w:tcPr>
            <w:tcW w:w="140" w:type="dxa"/>
            <w:vAlign w:val="bottom"/>
          </w:tcPr>
          <w:p>
            <w:pPr>
              <w:spacing w:after="0"/>
              <w:rPr>
                <w:sz w:val="21"/>
                <w:szCs w:val="21"/>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(0.09)</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shd w:val="clear" w:color="auto" w:fill="C0C0C0"/>
          </w:tcPr>
          <w:p>
            <w:pPr>
              <w:spacing w:after="0"/>
              <w:rPr>
                <w:sz w:val="17"/>
                <w:szCs w:val="17"/>
                <w:color w:val="auto"/>
              </w:rPr>
            </w:pPr>
          </w:p>
        </w:tc>
        <w:tc>
          <w:tcPr>
            <w:tcW w:w="5720" w:type="dxa"/>
            <w:vAlign w:val="bottom"/>
            <w:gridSpan w:val="2"/>
            <w:shd w:val="clear" w:color="auto" w:fill="C0C0C0"/>
          </w:tcPr>
          <w:p>
            <w:pPr>
              <w:ind w:left="180"/>
              <w:spacing w:after="0" w:line="202" w:lineRule="exact"/>
              <w:rPr>
                <w:sz w:val="20"/>
                <w:szCs w:val="20"/>
                <w:color w:val="auto"/>
              </w:rPr>
            </w:pPr>
            <w:r>
              <w:rPr>
                <w:rFonts w:ascii="Arial" w:cs="Arial" w:eastAsia="Arial" w:hAnsi="Arial"/>
                <w:sz w:val="18"/>
                <w:szCs w:val="18"/>
                <w:color w:val="auto"/>
              </w:rPr>
              <w:t>Settlement of foreign tax audits</w:t>
            </w:r>
          </w:p>
        </w:tc>
        <w:tc>
          <w:tcPr>
            <w:tcW w:w="140" w:type="dxa"/>
            <w:vAlign w:val="bottom"/>
            <w:shd w:val="clear" w:color="auto" w:fill="C0C0C0"/>
          </w:tcPr>
          <w:p>
            <w:pPr>
              <w:spacing w:after="0"/>
              <w:rPr>
                <w:sz w:val="17"/>
                <w:szCs w:val="17"/>
                <w:color w:val="auto"/>
              </w:rPr>
            </w:pPr>
          </w:p>
        </w:tc>
        <w:tc>
          <w:tcPr>
            <w:tcW w:w="740" w:type="dxa"/>
            <w:vAlign w:val="bottom"/>
            <w:gridSpan w:val="2"/>
            <w:shd w:val="clear" w:color="auto" w:fill="C0C0C0"/>
          </w:tcPr>
          <w:p>
            <w:pPr>
              <w:jc w:val="right"/>
              <w:ind w:right="220"/>
              <w:spacing w:after="0" w:line="202" w:lineRule="exact"/>
              <w:rPr>
                <w:sz w:val="20"/>
                <w:szCs w:val="20"/>
                <w:color w:val="auto"/>
              </w:rPr>
            </w:pPr>
            <w:r>
              <w:rPr>
                <w:rFonts w:ascii="Arial" w:cs="Arial" w:eastAsia="Arial" w:hAnsi="Arial"/>
                <w:sz w:val="18"/>
                <w:szCs w:val="18"/>
                <w:b w:val="1"/>
                <w:bCs w:val="1"/>
                <w:color w:val="auto"/>
              </w:rPr>
              <w:t>(0.02)</w:t>
            </w:r>
          </w:p>
        </w:tc>
        <w:tc>
          <w:tcPr>
            <w:tcW w:w="16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740" w:type="dxa"/>
            <w:vAlign w:val="bottom"/>
            <w:gridSpan w:val="2"/>
            <w:shd w:val="clear" w:color="auto" w:fill="C0C0C0"/>
          </w:tcPr>
          <w:p>
            <w:pPr>
              <w:jc w:val="right"/>
              <w:ind w:right="220"/>
              <w:spacing w:after="0" w:line="202" w:lineRule="exact"/>
              <w:rPr>
                <w:sz w:val="20"/>
                <w:szCs w:val="20"/>
                <w:color w:val="auto"/>
              </w:rPr>
            </w:pPr>
            <w:r>
              <w:rPr>
                <w:rFonts w:ascii="Arial" w:cs="Arial" w:eastAsia="Arial" w:hAnsi="Arial"/>
                <w:sz w:val="18"/>
                <w:szCs w:val="18"/>
                <w:color w:val="auto"/>
              </w:rPr>
              <w:t>(0.06)</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Canadian tax rate changes</w:t>
            </w:r>
          </w:p>
        </w:tc>
        <w:tc>
          <w:tcPr>
            <w:tcW w:w="140" w:type="dxa"/>
            <w:vAlign w:val="bottom"/>
          </w:tcPr>
          <w:p>
            <w:pPr>
              <w:spacing w:after="0"/>
              <w:rPr>
                <w:sz w:val="17"/>
                <w:szCs w:val="17"/>
                <w:color w:val="auto"/>
              </w:rPr>
            </w:pP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(0.01)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40" w:type="dxa"/>
            <w:vAlign w:val="bottom"/>
            <w:gridSpan w:val="3"/>
            <w:shd w:val="clear" w:color="auto" w:fill="C0C0C0"/>
          </w:tcPr>
          <w:p>
            <w:pPr>
              <w:ind w:left="20"/>
              <w:spacing w:after="0" w:line="196" w:lineRule="exact"/>
              <w:rPr>
                <w:sz w:val="20"/>
                <w:szCs w:val="20"/>
                <w:color w:val="auto"/>
              </w:rPr>
            </w:pPr>
            <w:r>
              <w:rPr>
                <w:rFonts w:ascii="Arial" w:cs="Arial" w:eastAsia="Arial" w:hAnsi="Arial"/>
                <w:sz w:val="18"/>
                <w:szCs w:val="18"/>
                <w:color w:val="auto"/>
              </w:rPr>
              <w:t>Net income (non-GAAP)</w:t>
            </w:r>
          </w:p>
        </w:tc>
        <w:tc>
          <w:tcPr>
            <w:tcW w:w="14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740" w:type="dxa"/>
            <w:vAlign w:val="bottom"/>
            <w:gridSpan w:val="2"/>
            <w:shd w:val="clear" w:color="auto" w:fill="C0C0C0"/>
          </w:tcPr>
          <w:p>
            <w:pPr>
              <w:jc w:val="right"/>
              <w:ind w:right="280"/>
              <w:spacing w:after="0" w:line="196" w:lineRule="exact"/>
              <w:rPr>
                <w:sz w:val="20"/>
                <w:szCs w:val="20"/>
                <w:color w:val="auto"/>
              </w:rPr>
            </w:pPr>
            <w:r>
              <w:rPr>
                <w:rFonts w:ascii="Arial" w:cs="Arial" w:eastAsia="Arial" w:hAnsi="Arial"/>
                <w:sz w:val="18"/>
                <w:szCs w:val="18"/>
                <w:b w:val="1"/>
                <w:bCs w:val="1"/>
                <w:color w:val="auto"/>
              </w:rPr>
              <w:t>2.87</w:t>
            </w:r>
          </w:p>
        </w:tc>
        <w:tc>
          <w:tcPr>
            <w:tcW w:w="300" w:type="dxa"/>
            <w:vAlign w:val="bottom"/>
            <w:gridSpan w:val="2"/>
            <w:shd w:val="clear" w:color="auto" w:fill="C0C0C0"/>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0C0C0"/>
          </w:tcPr>
          <w:p>
            <w:pPr>
              <w:jc w:val="right"/>
              <w:ind w:right="280"/>
              <w:spacing w:after="0" w:line="196" w:lineRule="exact"/>
              <w:rPr>
                <w:sz w:val="20"/>
                <w:szCs w:val="20"/>
                <w:color w:val="auto"/>
              </w:rPr>
            </w:pPr>
            <w:r>
              <w:rPr>
                <w:rFonts w:ascii="Arial" w:cs="Arial" w:eastAsia="Arial" w:hAnsi="Arial"/>
                <w:sz w:val="18"/>
                <w:szCs w:val="18"/>
                <w:color w:val="auto"/>
              </w:rPr>
              <w:t>2.47</w:t>
            </w:r>
          </w:p>
        </w:tc>
        <w:tc>
          <w:tcPr>
            <w:tcW w:w="360" w:type="dxa"/>
            <w:vAlign w:val="bottom"/>
            <w:gridSpan w:val="2"/>
            <w:shd w:val="clear" w:color="auto" w:fill="C0C0C0"/>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0C0C0"/>
          </w:tcPr>
          <w:p>
            <w:pPr>
              <w:jc w:val="right"/>
              <w:ind w:right="320"/>
              <w:spacing w:after="0" w:line="196" w:lineRule="exact"/>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20" w:type="dxa"/>
            <w:vAlign w:val="bottom"/>
            <w:tcBorders>
              <w:top w:val="single" w:sz="8" w:color="C0C0C0"/>
            </w:tcBorders>
            <w:shd w:val="clear" w:color="auto" w:fill="C0C0C0"/>
          </w:tcPr>
          <w:p>
            <w:pPr>
              <w:spacing w:after="0" w:line="20" w:lineRule="exact"/>
              <w:rPr>
                <w:sz w:val="1"/>
                <w:szCs w:val="1"/>
                <w:color w:val="auto"/>
              </w:rPr>
            </w:pPr>
          </w:p>
        </w:tc>
        <w:tc>
          <w:tcPr>
            <w:tcW w:w="1540" w:type="dxa"/>
            <w:vAlign w:val="bottom"/>
            <w:tcBorders>
              <w:top w:val="single" w:sz="8" w:color="C0C0C0"/>
            </w:tcBorders>
            <w:shd w:val="clear" w:color="auto" w:fill="C0C0C0"/>
          </w:tcPr>
          <w:p>
            <w:pPr>
              <w:spacing w:after="0" w:line="20" w:lineRule="exact"/>
              <w:rPr>
                <w:sz w:val="1"/>
                <w:szCs w:val="1"/>
                <w:color w:val="auto"/>
              </w:rPr>
            </w:pPr>
          </w:p>
        </w:tc>
        <w:tc>
          <w:tcPr>
            <w:tcW w:w="4180" w:type="dxa"/>
            <w:vAlign w:val="bottom"/>
            <w:tcBorders>
              <w:top w:val="single" w:sz="8" w:color="C0C0C0"/>
            </w:tcBorders>
            <w:shd w:val="clear" w:color="auto" w:fill="C0C0C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0C0C0"/>
            </w:tcBorders>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565775"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65775"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-1680210</wp:posOffset>
            </wp:positionV>
            <wp:extent cx="5565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87" w:lineRule="exact"/>
        <w:rPr>
          <w:sz w:val="20"/>
          <w:szCs w:val="20"/>
          <w:color w:val="auto"/>
        </w:rPr>
      </w:pPr>
    </w:p>
    <w:p>
      <w:pPr>
        <w:jc w:val="both"/>
        <w:ind w:left="60" w:right="820"/>
        <w:spacing w:after="0" w:line="262" w:lineRule="auto"/>
        <w:rPr>
          <w:sz w:val="20"/>
          <w:szCs w:val="20"/>
          <w:color w:val="auto"/>
        </w:rPr>
      </w:pPr>
      <w:r>
        <w:rPr>
          <w:rFonts w:ascii="Arial" w:cs="Arial" w:eastAsia="Arial" w:hAnsi="Arial"/>
          <w:sz w:val="18"/>
          <w:szCs w:val="18"/>
          <w:color w:val="auto"/>
        </w:rPr>
        <w:t>The Company estimates the tax effect of the non-GAAP adjustments by applying its marginal tax rate to each of the respective items.</w:t>
      </w:r>
    </w:p>
    <w:p>
      <w:pPr>
        <w:spacing w:after="0" w:line="88" w:lineRule="exact"/>
        <w:rPr>
          <w:sz w:val="20"/>
          <w:szCs w:val="20"/>
          <w:color w:val="auto"/>
        </w:rPr>
      </w:pPr>
    </w:p>
    <w:p>
      <w:pPr>
        <w:jc w:val="both"/>
        <w:ind w:left="60" w:right="820"/>
        <w:spacing w:after="0" w:line="254" w:lineRule="auto"/>
        <w:rPr>
          <w:sz w:val="20"/>
          <w:szCs w:val="20"/>
          <w:color w:val="auto"/>
        </w:rPr>
      </w:pPr>
      <w:r>
        <w:rPr>
          <w:rFonts w:ascii="Arial" w:cs="Arial" w:eastAsia="Arial" w:hAnsi="Arial"/>
          <w:sz w:val="18"/>
          <w:szCs w:val="18"/>
          <w:color w:val="auto"/>
        </w:rPr>
        <w:t>During 2013 and 2012, the Company recorded benefits of $ 3 million and $9 million, or $0.02 per diluted share and $0.06 per diluted share, respectively, to reflect the settlement of foreign tax audits, which resulted in a reduction in tax reserves established in prior periods. Additionally in 2012, the Company recorded a benefit of $1 million, or $0.01 per diluted share, to reflect the repeal of the last two stages of certain Canadian provincial tax rate changes.</w:t>
      </w:r>
    </w:p>
    <w:p>
      <w:pPr>
        <w:spacing w:after="0" w:line="96" w:lineRule="exact"/>
        <w:rPr>
          <w:sz w:val="20"/>
          <w:szCs w:val="20"/>
          <w:color w:val="auto"/>
        </w:rPr>
      </w:pPr>
    </w:p>
    <w:p>
      <w:pPr>
        <w:jc w:val="both"/>
        <w:ind w:left="60" w:right="820"/>
        <w:spacing w:after="0" w:line="253" w:lineRule="auto"/>
        <w:rPr>
          <w:sz w:val="20"/>
          <w:szCs w:val="20"/>
          <w:color w:val="auto"/>
        </w:rPr>
      </w:pPr>
      <w:r>
        <w:rPr>
          <w:rFonts w:ascii="Arial" w:cs="Arial" w:eastAsia="Arial" w:hAnsi="Arial"/>
          <w:sz w:val="18"/>
          <w:szCs w:val="18"/>
          <w:color w:val="auto"/>
        </w:rPr>
        <w:t>When assessing Return on Invested Capital (“ROIC”), the Company adjusts its results to reflect its operating leases as if they qualified for capital lease treatment. Operating leases are the primary financing vehicle used to fund store expansion and, therefore, we believe that the presentation of these leases as if they were capital leases is appropriate. Accordingly, the asset base and net income amounts are adjusted to reflect this in the calculation of ROIC. ROIC, subject to certain adjustments, is also used as a measure in executive long-term incentive compensation.</w:t>
      </w:r>
    </w:p>
    <w:p>
      <w:pPr>
        <w:spacing w:after="0" w:line="97" w:lineRule="exact"/>
        <w:rPr>
          <w:sz w:val="20"/>
          <w:szCs w:val="20"/>
          <w:color w:val="auto"/>
        </w:rPr>
      </w:pPr>
    </w:p>
    <w:p>
      <w:pPr>
        <w:jc w:val="both"/>
        <w:ind w:left="60" w:right="820"/>
        <w:spacing w:after="0" w:line="250" w:lineRule="auto"/>
        <w:rPr>
          <w:sz w:val="20"/>
          <w:szCs w:val="20"/>
          <w:color w:val="auto"/>
        </w:rPr>
      </w:pPr>
      <w:r>
        <w:rPr>
          <w:rFonts w:ascii="Arial" w:cs="Arial" w:eastAsia="Arial" w:hAnsi="Arial"/>
          <w:sz w:val="18"/>
          <w:szCs w:val="18"/>
          <w:color w:val="auto"/>
        </w:rPr>
        <w:t>The closest GAAP measure is Return on Assets (“ROA”) and is also represented below. ROA increased to 12.5 percent as compared with 12.4 percent in the prior year reflecting the Company’s overall performance in 2013. Our ROIC decreased slightly as compared with the prior year due to an increase in our average invested capital primarily as a result of the inclusion of Runners Point Group during the second quarter of 2013. This was partly offset by an increase in our earnings before interest and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-74295</wp:posOffset>
            </wp:positionV>
            <wp:extent cx="55568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568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574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5"/>
                <w:szCs w:val="15"/>
                <w:color w:val="auto"/>
              </w:rPr>
            </w:pPr>
          </w:p>
        </w:tc>
        <w:tc>
          <w:tcPr>
            <w:tcW w:w="9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2011</w:t>
            </w:r>
          </w:p>
        </w:tc>
      </w:tr>
      <w:tr>
        <w:trPr>
          <w:trHeight w:val="237"/>
        </w:trPr>
        <w:tc>
          <w:tcPr>
            <w:tcW w:w="5740" w:type="dxa"/>
            <w:vAlign w:val="bottom"/>
            <w:shd w:val="clear" w:color="auto" w:fill="C0C0C0"/>
          </w:tcPr>
          <w:p>
            <w:pPr>
              <w:ind w:left="20"/>
              <w:spacing w:after="0" w:line="236" w:lineRule="exact"/>
              <w:rPr>
                <w:sz w:val="20"/>
                <w:szCs w:val="20"/>
                <w:color w:val="auto"/>
              </w:rPr>
            </w:pPr>
            <w:r>
              <w:rPr>
                <w:rFonts w:ascii="Arial" w:cs="Arial" w:eastAsia="Arial" w:hAnsi="Arial"/>
                <w:sz w:val="17"/>
                <w:szCs w:val="17"/>
                <w:color w:val="auto"/>
              </w:rPr>
              <w:t>ROA</w:t>
            </w:r>
            <w:r>
              <w:rPr>
                <w:rFonts w:ascii="Arial" w:cs="Arial" w:eastAsia="Arial" w:hAnsi="Arial"/>
                <w:sz w:val="27"/>
                <w:szCs w:val="27"/>
                <w:color w:val="auto"/>
                <w:vertAlign w:val="superscript"/>
              </w:rPr>
              <w:t>(1)</w:t>
            </w:r>
          </w:p>
        </w:tc>
        <w:tc>
          <w:tcPr>
            <w:tcW w:w="880" w:type="dxa"/>
            <w:vAlign w:val="bottom"/>
            <w:shd w:val="clear" w:color="auto" w:fill="C0C0C0"/>
          </w:tcPr>
          <w:p>
            <w:pPr>
              <w:jc w:val="center"/>
              <w:spacing w:after="0"/>
              <w:rPr>
                <w:sz w:val="20"/>
                <w:szCs w:val="20"/>
                <w:color w:val="auto"/>
              </w:rPr>
            </w:pPr>
            <w:r>
              <w:rPr>
                <w:rFonts w:ascii="Arial" w:cs="Arial" w:eastAsia="Arial" w:hAnsi="Arial"/>
                <w:sz w:val="18"/>
                <w:szCs w:val="18"/>
                <w:b w:val="1"/>
                <w:bCs w:val="1"/>
                <w:color w:val="auto"/>
                <w:w w:val="97"/>
              </w:rPr>
              <w:t>12.5%</w:t>
            </w:r>
          </w:p>
        </w:tc>
        <w:tc>
          <w:tcPr>
            <w:tcW w:w="1020" w:type="dxa"/>
            <w:vAlign w:val="bottom"/>
            <w:gridSpan w:val="2"/>
            <w:shd w:val="clear" w:color="auto" w:fill="C0C0C0"/>
          </w:tcPr>
          <w:p>
            <w:pPr>
              <w:jc w:val="center"/>
              <w:ind w:left="130"/>
              <w:spacing w:after="0"/>
              <w:rPr>
                <w:sz w:val="20"/>
                <w:szCs w:val="20"/>
                <w:color w:val="auto"/>
              </w:rPr>
            </w:pPr>
            <w:r>
              <w:rPr>
                <w:rFonts w:ascii="Arial" w:cs="Arial" w:eastAsia="Arial" w:hAnsi="Arial"/>
                <w:sz w:val="18"/>
                <w:szCs w:val="18"/>
                <w:color w:val="auto"/>
              </w:rPr>
              <w:t>12.4%</w:t>
            </w:r>
          </w:p>
        </w:tc>
        <w:tc>
          <w:tcPr>
            <w:tcW w:w="1140" w:type="dxa"/>
            <w:vAlign w:val="bottom"/>
            <w:gridSpan w:val="2"/>
            <w:shd w:val="clear" w:color="auto" w:fill="C0C0C0"/>
          </w:tcPr>
          <w:p>
            <w:pPr>
              <w:jc w:val="right"/>
              <w:ind w:right="128"/>
              <w:spacing w:after="0"/>
              <w:rPr>
                <w:sz w:val="20"/>
                <w:szCs w:val="20"/>
                <w:color w:val="auto"/>
              </w:rPr>
            </w:pPr>
            <w:r>
              <w:rPr>
                <w:rFonts w:ascii="Arial" w:cs="Arial" w:eastAsia="Arial" w:hAnsi="Arial"/>
                <w:sz w:val="18"/>
                <w:szCs w:val="18"/>
                <w:color w:val="auto"/>
              </w:rPr>
              <w:t>9.4%</w:t>
            </w:r>
          </w:p>
        </w:tc>
      </w:tr>
      <w:tr>
        <w:trPr>
          <w:trHeight w:val="356"/>
        </w:trPr>
        <w:tc>
          <w:tcPr>
            <w:tcW w:w="5740" w:type="dxa"/>
            <w:vAlign w:val="bottom"/>
          </w:tcPr>
          <w:p>
            <w:pPr>
              <w:ind w:left="20"/>
              <w:spacing w:after="0"/>
              <w:rPr>
                <w:sz w:val="20"/>
                <w:szCs w:val="20"/>
                <w:color w:val="auto"/>
              </w:rPr>
            </w:pPr>
            <w:r>
              <w:rPr>
                <w:rFonts w:ascii="Arial" w:cs="Arial" w:eastAsia="Arial" w:hAnsi="Arial"/>
                <w:sz w:val="18"/>
                <w:szCs w:val="18"/>
                <w:color w:val="auto"/>
              </w:rPr>
              <w:t>ROIC % (non-GAAP)</w:t>
            </w:r>
            <w:r>
              <w:rPr>
                <w:rFonts w:ascii="Arial" w:cs="Arial" w:eastAsia="Arial" w:hAnsi="Arial"/>
                <w:sz w:val="30"/>
                <w:szCs w:val="30"/>
                <w:color w:val="auto"/>
                <w:vertAlign w:val="superscript"/>
              </w:rPr>
              <w:t>(2)</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7"/>
              </w:rPr>
              <w:t>14.1%</w:t>
            </w:r>
          </w:p>
        </w:tc>
        <w:tc>
          <w:tcPr>
            <w:tcW w:w="1020" w:type="dxa"/>
            <w:vAlign w:val="bottom"/>
            <w:gridSpan w:val="2"/>
          </w:tcPr>
          <w:p>
            <w:pPr>
              <w:jc w:val="center"/>
              <w:ind w:left="130"/>
              <w:spacing w:after="0"/>
              <w:rPr>
                <w:sz w:val="20"/>
                <w:szCs w:val="20"/>
                <w:color w:val="auto"/>
              </w:rPr>
            </w:pPr>
            <w:r>
              <w:rPr>
                <w:rFonts w:ascii="Arial" w:cs="Arial" w:eastAsia="Arial" w:hAnsi="Arial"/>
                <w:sz w:val="18"/>
                <w:szCs w:val="18"/>
                <w:color w:val="auto"/>
              </w:rPr>
              <w:t>14.2%</w:t>
            </w:r>
          </w:p>
        </w:tc>
        <w:tc>
          <w:tcPr>
            <w:tcW w:w="1140" w:type="dxa"/>
            <w:vAlign w:val="bottom"/>
            <w:gridSpan w:val="2"/>
          </w:tcPr>
          <w:p>
            <w:pPr>
              <w:jc w:val="right"/>
              <w:ind w:right="128"/>
              <w:spacing w:after="0"/>
              <w:rPr>
                <w:sz w:val="20"/>
                <w:szCs w:val="20"/>
                <w:color w:val="auto"/>
              </w:rPr>
            </w:pPr>
            <w:r>
              <w:rPr>
                <w:rFonts w:ascii="Arial" w:cs="Arial" w:eastAsia="Arial" w:hAnsi="Arial"/>
                <w:sz w:val="18"/>
                <w:szCs w:val="18"/>
                <w:color w:val="auto"/>
              </w:rPr>
              <w:t>11.8%</w:t>
            </w:r>
          </w:p>
        </w:tc>
      </w:tr>
    </w:tbl>
    <w:p>
      <w:pPr>
        <w:ind w:left="300" w:right="820" w:hanging="272"/>
        <w:spacing w:after="0" w:line="278" w:lineRule="auto"/>
        <w:tabs>
          <w:tab w:leader="none" w:pos="30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net income of $429 million, $397 million, and $278 million divided by average total assets of $3,427 million, $3,209 million, and $2,973 million for 2013, 2012, and 2011, respectively.</w:t>
      </w:r>
    </w:p>
    <w:p>
      <w:pPr>
        <w:spacing w:after="0" w:line="86" w:lineRule="exact"/>
        <w:rPr>
          <w:rFonts w:ascii="Arial" w:cs="Arial" w:eastAsia="Arial" w:hAnsi="Arial"/>
          <w:sz w:val="14"/>
          <w:szCs w:val="14"/>
          <w:color w:val="auto"/>
        </w:rPr>
      </w:pPr>
    </w:p>
    <w:p>
      <w:pPr>
        <w:ind w:left="300" w:hanging="272"/>
        <w:spacing w:after="0"/>
        <w:tabs>
          <w:tab w:leader="none" w:pos="300" w:val="left"/>
        </w:tabs>
        <w:numPr>
          <w:ilvl w:val="0"/>
          <w:numId w:val="8"/>
        </w:numPr>
        <w:rPr>
          <w:rFonts w:ascii="Arial" w:cs="Arial" w:eastAsia="Arial" w:hAnsi="Arial"/>
          <w:sz w:val="14"/>
          <w:szCs w:val="14"/>
          <w:color w:val="auto"/>
        </w:rPr>
      </w:pPr>
      <w:r>
        <w:rPr>
          <w:rFonts w:ascii="Arial" w:cs="Arial" w:eastAsia="Arial" w:hAnsi="Arial"/>
          <w:sz w:val="14"/>
          <w:szCs w:val="14"/>
          <w:color w:val="auto"/>
        </w:rPr>
        <w:t>See below for the calculation of ROIC.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3340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3400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80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auto"/>
            </w:tcBorders>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0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676</w:t>
            </w:r>
          </w:p>
        </w:tc>
        <w:tc>
          <w:tcPr>
            <w:tcW w:w="160" w:type="dxa"/>
            <w:vAlign w:val="bottom"/>
          </w:tcPr>
          <w:p>
            <w:pPr>
              <w:spacing w:after="0"/>
              <w:rPr>
                <w:sz w:val="16"/>
                <w:szCs w:val="16"/>
                <w:color w:val="auto"/>
              </w:rPr>
            </w:pPr>
          </w:p>
        </w:tc>
        <w:tc>
          <w:tcPr>
            <w:tcW w:w="1040" w:type="dxa"/>
            <w:vAlign w:val="bottom"/>
            <w:gridSpan w:val="4"/>
          </w:tcPr>
          <w:p>
            <w:pPr>
              <w:ind w:left="8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EBIT (non-GAAP)</w:t>
            </w:r>
          </w:p>
        </w:tc>
        <w:tc>
          <w:tcPr>
            <w:tcW w:w="120" w:type="dxa"/>
            <w:vAlign w:val="bottom"/>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2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602</w:t>
            </w:r>
          </w:p>
        </w:tc>
        <w:tc>
          <w:tcPr>
            <w:tcW w:w="18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446</w:t>
            </w: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gridSpan w:val="2"/>
            <w:shd w:val="clear" w:color="auto" w:fill="C0C0C0"/>
          </w:tcPr>
          <w:p>
            <w:pPr>
              <w:ind w:left="20"/>
              <w:spacing w:after="0" w:line="202" w:lineRule="exact"/>
              <w:rPr>
                <w:sz w:val="20"/>
                <w:szCs w:val="20"/>
                <w:color w:val="auto"/>
              </w:rPr>
            </w:pPr>
            <w:r>
              <w:rPr>
                <w:rFonts w:ascii="Arial" w:cs="Arial" w:eastAsia="Arial" w:hAnsi="Arial"/>
                <w:sz w:val="18"/>
                <w:szCs w:val="18"/>
                <w:color w:val="auto"/>
              </w:rPr>
              <w:t>+ Rent expense</w:t>
            </w:r>
          </w:p>
        </w:tc>
        <w:tc>
          <w:tcPr>
            <w:tcW w:w="120" w:type="dxa"/>
            <w:vAlign w:val="bottom"/>
            <w:shd w:val="clear" w:color="auto" w:fill="C0C0C0"/>
          </w:tcPr>
          <w:p>
            <w:pPr>
              <w:spacing w:after="0"/>
              <w:rPr>
                <w:sz w:val="17"/>
                <w:szCs w:val="17"/>
                <w:color w:val="auto"/>
              </w:rPr>
            </w:pPr>
          </w:p>
        </w:tc>
        <w:tc>
          <w:tcPr>
            <w:tcW w:w="740" w:type="dxa"/>
            <w:vAlign w:val="bottom"/>
            <w:gridSpan w:val="2"/>
            <w:shd w:val="clear" w:color="auto" w:fill="C0C0C0"/>
          </w:tcPr>
          <w:p>
            <w:pPr>
              <w:jc w:val="right"/>
              <w:ind w:right="220"/>
              <w:spacing w:after="0" w:line="202" w:lineRule="exact"/>
              <w:rPr>
                <w:sz w:val="20"/>
                <w:szCs w:val="20"/>
                <w:color w:val="auto"/>
              </w:rPr>
            </w:pPr>
            <w:r>
              <w:rPr>
                <w:rFonts w:ascii="Arial" w:cs="Arial" w:eastAsia="Arial" w:hAnsi="Arial"/>
                <w:sz w:val="18"/>
                <w:szCs w:val="18"/>
                <w:b w:val="1"/>
                <w:bCs w:val="1"/>
                <w:color w:val="auto"/>
              </w:rPr>
              <w:t>600</w:t>
            </w:r>
          </w:p>
        </w:tc>
        <w:tc>
          <w:tcPr>
            <w:tcW w:w="1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740" w:type="dxa"/>
            <w:vAlign w:val="bottom"/>
            <w:gridSpan w:val="2"/>
            <w:shd w:val="clear" w:color="auto" w:fill="C0C0C0"/>
          </w:tcPr>
          <w:p>
            <w:pPr>
              <w:jc w:val="right"/>
              <w:ind w:right="220"/>
              <w:spacing w:after="0" w:line="202" w:lineRule="exact"/>
              <w:rPr>
                <w:sz w:val="20"/>
                <w:szCs w:val="20"/>
                <w:color w:val="auto"/>
              </w:rPr>
            </w:pPr>
            <w:r>
              <w:rPr>
                <w:rFonts w:ascii="Arial" w:cs="Arial" w:eastAsia="Arial" w:hAnsi="Arial"/>
                <w:sz w:val="18"/>
                <w:szCs w:val="18"/>
                <w:color w:val="auto"/>
              </w:rPr>
              <w:t>560</w:t>
            </w:r>
          </w:p>
        </w:tc>
        <w:tc>
          <w:tcPr>
            <w:tcW w:w="18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800" w:type="dxa"/>
            <w:vAlign w:val="bottom"/>
            <w:gridSpan w:val="2"/>
            <w:shd w:val="clear" w:color="auto" w:fill="C0C0C0"/>
          </w:tcPr>
          <w:p>
            <w:pPr>
              <w:jc w:val="right"/>
              <w:ind w:right="240"/>
              <w:spacing w:after="0" w:line="202" w:lineRule="exact"/>
              <w:rPr>
                <w:sz w:val="20"/>
                <w:szCs w:val="20"/>
                <w:color w:val="auto"/>
              </w:rPr>
            </w:pPr>
            <w:r>
              <w:rPr>
                <w:rFonts w:ascii="Arial" w:cs="Arial" w:eastAsia="Arial" w:hAnsi="Arial"/>
                <w:sz w:val="18"/>
                <w:szCs w:val="18"/>
                <w:color w:val="auto"/>
              </w:rPr>
              <w:t>544</w:t>
            </w: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400" w:type="dxa"/>
            <w:vAlign w:val="bottom"/>
            <w:gridSpan w:val="2"/>
          </w:tcPr>
          <w:p>
            <w:pPr>
              <w:ind w:left="20"/>
              <w:spacing w:after="0" w:line="243" w:lineRule="exact"/>
              <w:rPr>
                <w:sz w:val="20"/>
                <w:szCs w:val="20"/>
                <w:color w:val="auto"/>
              </w:rPr>
            </w:pPr>
            <w:r>
              <w:rPr>
                <w:rFonts w:ascii="Arial" w:cs="Arial" w:eastAsia="Arial" w:hAnsi="Arial"/>
                <w:sz w:val="17"/>
                <w:szCs w:val="17"/>
                <w:color w:val="auto"/>
              </w:rPr>
              <w:t>- Estimated depreciation on capitalized operating leases</w:t>
            </w:r>
            <w:r>
              <w:rPr>
                <w:rFonts w:ascii="Arial" w:cs="Arial" w:eastAsia="Arial" w:hAnsi="Arial"/>
                <w:sz w:val="28"/>
                <w:szCs w:val="28"/>
                <w:color w:val="auto"/>
                <w:vertAlign w:val="superscript"/>
              </w:rPr>
              <w:t>(3)</w:t>
            </w:r>
          </w:p>
        </w:tc>
        <w:tc>
          <w:tcPr>
            <w:tcW w:w="12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(443)</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(409)</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(389)</w:t>
            </w: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0" w:type="dxa"/>
            <w:vAlign w:val="bottom"/>
            <w:gridSpan w:val="2"/>
            <w:shd w:val="clear" w:color="auto" w:fill="C0C0C0"/>
          </w:tcPr>
          <w:p>
            <w:pPr>
              <w:ind w:left="20"/>
              <w:spacing w:after="0" w:line="196" w:lineRule="exact"/>
              <w:rPr>
                <w:sz w:val="20"/>
                <w:szCs w:val="20"/>
                <w:color w:val="auto"/>
              </w:rPr>
            </w:pPr>
            <w:r>
              <w:rPr>
                <w:rFonts w:ascii="Arial" w:cs="Arial" w:eastAsia="Arial" w:hAnsi="Arial"/>
                <w:sz w:val="18"/>
                <w:szCs w:val="18"/>
                <w:color w:val="auto"/>
              </w:rPr>
              <w:t>Net operating profit</w:t>
            </w:r>
          </w:p>
        </w:tc>
        <w:tc>
          <w:tcPr>
            <w:tcW w:w="120" w:type="dxa"/>
            <w:vAlign w:val="bottom"/>
            <w:shd w:val="clear" w:color="auto" w:fill="C0C0C0"/>
          </w:tcPr>
          <w:p>
            <w:pPr>
              <w:spacing w:after="0"/>
              <w:rPr>
                <w:sz w:val="17"/>
                <w:szCs w:val="17"/>
                <w:color w:val="auto"/>
              </w:rPr>
            </w:pPr>
          </w:p>
        </w:tc>
        <w:tc>
          <w:tcPr>
            <w:tcW w:w="52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b w:val="1"/>
                <w:bCs w:val="1"/>
                <w:color w:val="auto"/>
              </w:rPr>
              <w:t>833</w:t>
            </w: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740" w:type="dxa"/>
            <w:vAlign w:val="bottom"/>
            <w:gridSpan w:val="2"/>
            <w:shd w:val="clear" w:color="auto" w:fill="C0C0C0"/>
          </w:tcPr>
          <w:p>
            <w:pPr>
              <w:jc w:val="right"/>
              <w:ind w:right="220"/>
              <w:spacing w:after="0" w:line="196" w:lineRule="exact"/>
              <w:rPr>
                <w:sz w:val="20"/>
                <w:szCs w:val="20"/>
                <w:color w:val="auto"/>
              </w:rPr>
            </w:pPr>
            <w:r>
              <w:rPr>
                <w:rFonts w:ascii="Arial" w:cs="Arial" w:eastAsia="Arial" w:hAnsi="Arial"/>
                <w:sz w:val="18"/>
                <w:szCs w:val="18"/>
                <w:color w:val="auto"/>
              </w:rPr>
              <w:t>753</w:t>
            </w:r>
          </w:p>
        </w:tc>
        <w:tc>
          <w:tcPr>
            <w:tcW w:w="18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800" w:type="dxa"/>
            <w:vAlign w:val="bottom"/>
            <w:gridSpan w:val="2"/>
            <w:shd w:val="clear" w:color="auto" w:fill="C0C0C0"/>
          </w:tcPr>
          <w:p>
            <w:pPr>
              <w:jc w:val="right"/>
              <w:ind w:right="240"/>
              <w:spacing w:after="0" w:line="196" w:lineRule="exact"/>
              <w:rPr>
                <w:sz w:val="20"/>
                <w:szCs w:val="20"/>
                <w:color w:val="auto"/>
              </w:rPr>
            </w:pPr>
            <w:r>
              <w:rPr>
                <w:rFonts w:ascii="Arial" w:cs="Arial" w:eastAsia="Arial" w:hAnsi="Arial"/>
                <w:sz w:val="18"/>
                <w:szCs w:val="18"/>
                <w:color w:val="auto"/>
              </w:rPr>
              <w:t>601</w:t>
            </w: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400" w:type="dxa"/>
            <w:vAlign w:val="bottom"/>
            <w:gridSpan w:val="2"/>
          </w:tcPr>
          <w:p>
            <w:pPr>
              <w:ind w:left="20"/>
              <w:spacing w:after="0" w:line="243" w:lineRule="exact"/>
              <w:rPr>
                <w:sz w:val="20"/>
                <w:szCs w:val="20"/>
                <w:color w:val="auto"/>
              </w:rPr>
            </w:pPr>
            <w:r>
              <w:rPr>
                <w:rFonts w:ascii="Arial" w:cs="Arial" w:eastAsia="Arial" w:hAnsi="Arial"/>
                <w:sz w:val="17"/>
                <w:szCs w:val="17"/>
                <w:color w:val="auto"/>
              </w:rPr>
              <w:t>- Adjusted income tax expense</w:t>
            </w:r>
            <w:r>
              <w:rPr>
                <w:rFonts w:ascii="Arial" w:cs="Arial" w:eastAsia="Arial" w:hAnsi="Arial"/>
                <w:sz w:val="28"/>
                <w:szCs w:val="28"/>
                <w:color w:val="auto"/>
                <w:vertAlign w:val="superscript"/>
              </w:rPr>
              <w:t>(4)</w:t>
            </w:r>
          </w:p>
        </w:tc>
        <w:tc>
          <w:tcPr>
            <w:tcW w:w="12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(298)</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(274)</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(218)</w:t>
            </w: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00" w:type="dxa"/>
            <w:vAlign w:val="bottom"/>
            <w:gridSpan w:val="2"/>
            <w:shd w:val="clear" w:color="auto" w:fill="C0C0C0"/>
          </w:tcPr>
          <w:p>
            <w:pPr>
              <w:ind w:left="20"/>
              <w:spacing w:after="0" w:line="196" w:lineRule="exact"/>
              <w:rPr>
                <w:sz w:val="20"/>
                <w:szCs w:val="20"/>
                <w:color w:val="auto"/>
              </w:rPr>
            </w:pPr>
            <w:r>
              <w:rPr>
                <w:rFonts w:ascii="Arial" w:cs="Arial" w:eastAsia="Arial" w:hAnsi="Arial"/>
                <w:sz w:val="18"/>
                <w:szCs w:val="18"/>
                <w:color w:val="auto"/>
              </w:rPr>
              <w:t>= Adjusted return after taxes</w:t>
            </w:r>
          </w:p>
        </w:tc>
        <w:tc>
          <w:tcPr>
            <w:tcW w:w="12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b w:val="1"/>
                <w:bCs w:val="1"/>
                <w:color w:val="auto"/>
              </w:rPr>
              <w:t>535</w:t>
            </w:r>
          </w:p>
        </w:tc>
        <w:tc>
          <w:tcPr>
            <w:tcW w:w="22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12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0C0C0"/>
          </w:tcPr>
          <w:p>
            <w:pPr>
              <w:jc w:val="right"/>
              <w:ind w:right="220"/>
              <w:spacing w:after="0" w:line="196" w:lineRule="exact"/>
              <w:rPr>
                <w:sz w:val="20"/>
                <w:szCs w:val="20"/>
                <w:color w:val="auto"/>
              </w:rPr>
            </w:pPr>
            <w:r>
              <w:rPr>
                <w:rFonts w:ascii="Arial" w:cs="Arial" w:eastAsia="Arial" w:hAnsi="Arial"/>
                <w:sz w:val="18"/>
                <w:szCs w:val="18"/>
                <w:color w:val="auto"/>
              </w:rPr>
              <w:t>479</w:t>
            </w:r>
          </w:p>
        </w:tc>
        <w:tc>
          <w:tcPr>
            <w:tcW w:w="180" w:type="dxa"/>
            <w:vAlign w:val="bottom"/>
            <w:shd w:val="clear" w:color="auto" w:fill="C0C0C0"/>
          </w:tcPr>
          <w:p>
            <w:pPr>
              <w:spacing w:after="0"/>
              <w:rPr>
                <w:sz w:val="18"/>
                <w:szCs w:val="18"/>
                <w:color w:val="auto"/>
              </w:rPr>
            </w:pPr>
          </w:p>
        </w:tc>
        <w:tc>
          <w:tcPr>
            <w:tcW w:w="14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0C0C0"/>
          </w:tcPr>
          <w:p>
            <w:pPr>
              <w:jc w:val="right"/>
              <w:ind w:right="240"/>
              <w:spacing w:after="0" w:line="196" w:lineRule="exact"/>
              <w:rPr>
                <w:sz w:val="20"/>
                <w:szCs w:val="20"/>
                <w:color w:val="auto"/>
              </w:rPr>
            </w:pPr>
            <w:r>
              <w:rPr>
                <w:rFonts w:ascii="Arial" w:cs="Arial" w:eastAsia="Arial" w:hAnsi="Arial"/>
                <w:sz w:val="18"/>
                <w:szCs w:val="18"/>
                <w:color w:val="auto"/>
              </w:rPr>
              <w:t>383</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Borders>
              <w:top w:val="single" w:sz="8" w:color="C0C0C0"/>
            </w:tcBorders>
            <w:shd w:val="clear" w:color="auto" w:fill="C0C0C0"/>
          </w:tcPr>
          <w:p>
            <w:pPr>
              <w:spacing w:after="0" w:line="20" w:lineRule="exact"/>
              <w:rPr>
                <w:sz w:val="1"/>
                <w:szCs w:val="1"/>
                <w:color w:val="auto"/>
              </w:rPr>
            </w:pPr>
          </w:p>
        </w:tc>
        <w:tc>
          <w:tcPr>
            <w:tcW w:w="4600" w:type="dxa"/>
            <w:vAlign w:val="bottom"/>
            <w:tcBorders>
              <w:top w:val="single" w:sz="8" w:color="C0C0C0"/>
            </w:tcBorders>
            <w:shd w:val="clear" w:color="auto" w:fill="C0C0C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C0C0"/>
            </w:tcBorders>
            <w:shd w:val="clear" w:color="auto" w:fill="C0C0C0"/>
          </w:tcPr>
          <w:p>
            <w:pPr>
              <w:spacing w:after="0" w:line="20" w:lineRule="exact"/>
              <w:rPr>
                <w:sz w:val="1"/>
                <w:szCs w:val="1"/>
                <w:color w:val="auto"/>
              </w:rPr>
            </w:pPr>
          </w:p>
        </w:tc>
        <w:tc>
          <w:tcPr>
            <w:tcW w:w="180" w:type="dxa"/>
            <w:vAlign w:val="bottom"/>
            <w:tcBorders>
              <w:top w:val="single" w:sz="8" w:color="C0C0C0"/>
            </w:tcBorders>
            <w:shd w:val="clear" w:color="auto" w:fill="C0C0C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0C0C0"/>
            </w:tcBorders>
            <w:shd w:val="clear" w:color="auto" w:fill="C0C0C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Average total assets</w:t>
            </w:r>
          </w:p>
        </w:tc>
        <w:tc>
          <w:tcPr>
            <w:tcW w:w="1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3,427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3,209</w:t>
            </w:r>
          </w:p>
        </w:tc>
        <w:tc>
          <w:tcPr>
            <w:tcW w:w="18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2,973</w:t>
            </w: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gridSpan w:val="2"/>
            <w:shd w:val="clear" w:color="auto" w:fill="C0C0C0"/>
          </w:tcPr>
          <w:p>
            <w:pPr>
              <w:ind w:left="20"/>
              <w:spacing w:after="0" w:line="202" w:lineRule="exact"/>
              <w:rPr>
                <w:sz w:val="20"/>
                <w:szCs w:val="20"/>
                <w:color w:val="auto"/>
              </w:rPr>
            </w:pPr>
            <w:r>
              <w:rPr>
                <w:rFonts w:ascii="Arial" w:cs="Arial" w:eastAsia="Arial" w:hAnsi="Arial"/>
                <w:sz w:val="18"/>
                <w:szCs w:val="18"/>
                <w:color w:val="auto"/>
              </w:rPr>
              <w:t>- Average cash, cash equivalents and short-term investments</w:t>
            </w:r>
          </w:p>
        </w:tc>
        <w:tc>
          <w:tcPr>
            <w:tcW w:w="120" w:type="dxa"/>
            <w:vAlign w:val="bottom"/>
            <w:shd w:val="clear" w:color="auto" w:fill="C0C0C0"/>
          </w:tcPr>
          <w:p>
            <w:pPr>
              <w:spacing w:after="0"/>
              <w:rPr>
                <w:sz w:val="17"/>
                <w:szCs w:val="17"/>
                <w:color w:val="auto"/>
              </w:rPr>
            </w:pPr>
          </w:p>
        </w:tc>
        <w:tc>
          <w:tcPr>
            <w:tcW w:w="740" w:type="dxa"/>
            <w:vAlign w:val="bottom"/>
            <w:gridSpan w:val="2"/>
            <w:shd w:val="clear" w:color="auto" w:fill="C0C0C0"/>
          </w:tcPr>
          <w:p>
            <w:pPr>
              <w:jc w:val="right"/>
              <w:ind w:right="160"/>
              <w:spacing w:after="0" w:line="202" w:lineRule="exact"/>
              <w:rPr>
                <w:sz w:val="20"/>
                <w:szCs w:val="20"/>
                <w:color w:val="auto"/>
              </w:rPr>
            </w:pPr>
            <w:r>
              <w:rPr>
                <w:rFonts w:ascii="Arial" w:cs="Arial" w:eastAsia="Arial" w:hAnsi="Arial"/>
                <w:sz w:val="18"/>
                <w:szCs w:val="18"/>
                <w:b w:val="1"/>
                <w:bCs w:val="1"/>
                <w:color w:val="auto"/>
              </w:rPr>
              <w:t>(898)</w:t>
            </w:r>
          </w:p>
        </w:tc>
        <w:tc>
          <w:tcPr>
            <w:tcW w:w="1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740" w:type="dxa"/>
            <w:vAlign w:val="bottom"/>
            <w:gridSpan w:val="2"/>
            <w:shd w:val="clear" w:color="auto" w:fill="C0C0C0"/>
          </w:tcPr>
          <w:p>
            <w:pPr>
              <w:jc w:val="right"/>
              <w:ind w:right="160"/>
              <w:spacing w:after="0" w:line="202" w:lineRule="exact"/>
              <w:rPr>
                <w:sz w:val="20"/>
                <w:szCs w:val="20"/>
                <w:color w:val="auto"/>
              </w:rPr>
            </w:pPr>
            <w:r>
              <w:rPr>
                <w:rFonts w:ascii="Arial" w:cs="Arial" w:eastAsia="Arial" w:hAnsi="Arial"/>
                <w:sz w:val="18"/>
                <w:szCs w:val="18"/>
                <w:color w:val="auto"/>
              </w:rPr>
              <w:t>(890)</w:t>
            </w:r>
          </w:p>
        </w:tc>
        <w:tc>
          <w:tcPr>
            <w:tcW w:w="18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800" w:type="dxa"/>
            <w:vAlign w:val="bottom"/>
            <w:gridSpan w:val="2"/>
            <w:shd w:val="clear" w:color="auto" w:fill="C0C0C0"/>
          </w:tcPr>
          <w:p>
            <w:pPr>
              <w:jc w:val="right"/>
              <w:ind w:right="180"/>
              <w:spacing w:after="0" w:line="202" w:lineRule="exact"/>
              <w:rPr>
                <w:sz w:val="20"/>
                <w:szCs w:val="20"/>
                <w:color w:val="auto"/>
              </w:rPr>
            </w:pPr>
            <w:r>
              <w:rPr>
                <w:rFonts w:ascii="Arial" w:cs="Arial" w:eastAsia="Arial" w:hAnsi="Arial"/>
                <w:sz w:val="18"/>
                <w:szCs w:val="18"/>
                <w:color w:val="auto"/>
              </w:rPr>
              <w:t>(774)</w:t>
            </w: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 Average non-interest bearing current liabilities</w:t>
            </w:r>
          </w:p>
        </w:tc>
        <w:tc>
          <w:tcPr>
            <w:tcW w:w="120" w:type="dxa"/>
            <w:vAlign w:val="bottom"/>
          </w:tcPr>
          <w:p>
            <w:pPr>
              <w:spacing w:after="0"/>
              <w:rPr>
                <w:sz w:val="17"/>
                <w:szCs w:val="17"/>
                <w:color w:val="auto"/>
              </w:rPr>
            </w:pP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(630)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(592)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(519)</w:t>
            </w: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gridSpan w:val="2"/>
            <w:shd w:val="clear" w:color="auto" w:fill="C0C0C0"/>
          </w:tcPr>
          <w:p>
            <w:pPr>
              <w:ind w:left="20"/>
              <w:spacing w:after="0" w:line="202" w:lineRule="exact"/>
              <w:rPr>
                <w:sz w:val="20"/>
                <w:szCs w:val="20"/>
                <w:color w:val="auto"/>
              </w:rPr>
            </w:pPr>
            <w:r>
              <w:rPr>
                <w:rFonts w:ascii="Arial" w:cs="Arial" w:eastAsia="Arial" w:hAnsi="Arial"/>
                <w:sz w:val="18"/>
                <w:szCs w:val="18"/>
                <w:color w:val="auto"/>
              </w:rPr>
              <w:t>- Average merchandise inventories</w:t>
            </w:r>
          </w:p>
        </w:tc>
        <w:tc>
          <w:tcPr>
            <w:tcW w:w="120" w:type="dxa"/>
            <w:vAlign w:val="bottom"/>
            <w:shd w:val="clear" w:color="auto" w:fill="C0C0C0"/>
          </w:tcPr>
          <w:p>
            <w:pPr>
              <w:spacing w:after="0"/>
              <w:rPr>
                <w:sz w:val="17"/>
                <w:szCs w:val="17"/>
                <w:color w:val="auto"/>
              </w:rPr>
            </w:pPr>
          </w:p>
        </w:tc>
        <w:tc>
          <w:tcPr>
            <w:tcW w:w="740" w:type="dxa"/>
            <w:vAlign w:val="bottom"/>
            <w:gridSpan w:val="2"/>
            <w:shd w:val="clear" w:color="auto" w:fill="C0C0C0"/>
          </w:tcPr>
          <w:p>
            <w:pPr>
              <w:jc w:val="right"/>
              <w:ind w:right="160"/>
              <w:spacing w:after="0" w:line="202" w:lineRule="exact"/>
              <w:rPr>
                <w:sz w:val="20"/>
                <w:szCs w:val="20"/>
                <w:color w:val="auto"/>
              </w:rPr>
            </w:pPr>
            <w:r>
              <w:rPr>
                <w:rFonts w:ascii="Arial" w:cs="Arial" w:eastAsia="Arial" w:hAnsi="Arial"/>
                <w:sz w:val="18"/>
                <w:szCs w:val="18"/>
                <w:b w:val="1"/>
                <w:bCs w:val="1"/>
                <w:color w:val="auto"/>
                <w:w w:val="98"/>
              </w:rPr>
              <w:t>(1,194)</w:t>
            </w:r>
          </w:p>
        </w:tc>
        <w:tc>
          <w:tcPr>
            <w:tcW w:w="1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740" w:type="dxa"/>
            <w:vAlign w:val="bottom"/>
            <w:gridSpan w:val="2"/>
            <w:shd w:val="clear" w:color="auto" w:fill="C0C0C0"/>
          </w:tcPr>
          <w:p>
            <w:pPr>
              <w:jc w:val="right"/>
              <w:ind w:right="160"/>
              <w:spacing w:after="0" w:line="202" w:lineRule="exact"/>
              <w:rPr>
                <w:sz w:val="20"/>
                <w:szCs w:val="20"/>
                <w:color w:val="auto"/>
              </w:rPr>
            </w:pPr>
            <w:r>
              <w:rPr>
                <w:rFonts w:ascii="Arial" w:cs="Arial" w:eastAsia="Arial" w:hAnsi="Arial"/>
                <w:sz w:val="18"/>
                <w:szCs w:val="18"/>
                <w:color w:val="auto"/>
                <w:w w:val="98"/>
              </w:rPr>
              <w:t>(1,118)</w:t>
            </w:r>
          </w:p>
        </w:tc>
        <w:tc>
          <w:tcPr>
            <w:tcW w:w="18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800" w:type="dxa"/>
            <w:vAlign w:val="bottom"/>
            <w:gridSpan w:val="2"/>
            <w:shd w:val="clear" w:color="auto" w:fill="C0C0C0"/>
          </w:tcPr>
          <w:p>
            <w:pPr>
              <w:jc w:val="right"/>
              <w:ind w:right="180"/>
              <w:spacing w:after="0" w:line="202" w:lineRule="exact"/>
              <w:rPr>
                <w:sz w:val="20"/>
                <w:szCs w:val="20"/>
                <w:color w:val="auto"/>
              </w:rPr>
            </w:pPr>
            <w:r>
              <w:rPr>
                <w:rFonts w:ascii="Arial" w:cs="Arial" w:eastAsia="Arial" w:hAnsi="Arial"/>
                <w:sz w:val="18"/>
                <w:szCs w:val="18"/>
                <w:color w:val="auto"/>
              </w:rPr>
              <w:t>(1,064)</w:t>
            </w: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 Average estimated asset base of capitalized operating</w:t>
            </w:r>
          </w:p>
        </w:tc>
        <w:tc>
          <w:tcPr>
            <w:tcW w:w="12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1,829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1,552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1,429</w:t>
            </w: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400" w:type="dxa"/>
            <w:vAlign w:val="bottom"/>
            <w:gridSpan w:val="2"/>
          </w:tcPr>
          <w:p>
            <w:pPr>
              <w:ind w:left="200"/>
              <w:spacing w:after="0" w:line="243" w:lineRule="exact"/>
              <w:rPr>
                <w:sz w:val="20"/>
                <w:szCs w:val="20"/>
                <w:color w:val="auto"/>
              </w:rPr>
            </w:pPr>
            <w:r>
              <w:rPr>
                <w:rFonts w:ascii="Arial" w:cs="Arial" w:eastAsia="Arial" w:hAnsi="Arial"/>
                <w:sz w:val="17"/>
                <w:szCs w:val="17"/>
                <w:color w:val="auto"/>
              </w:rPr>
              <w:t>leases</w:t>
            </w:r>
            <w:r>
              <w:rPr>
                <w:rFonts w:ascii="Arial" w:cs="Arial" w:eastAsia="Arial" w:hAnsi="Arial"/>
                <w:sz w:val="28"/>
                <w:szCs w:val="28"/>
                <w:color w:val="auto"/>
                <w:vertAlign w:val="superscript"/>
              </w:rPr>
              <w:t>(3)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400" w:type="dxa"/>
            <w:vAlign w:val="bottom"/>
            <w:gridSpan w:val="2"/>
            <w:shd w:val="clear" w:color="auto" w:fill="C0C0C0"/>
          </w:tcPr>
          <w:p>
            <w:pPr>
              <w:ind w:left="20"/>
              <w:spacing w:after="0" w:line="202" w:lineRule="exact"/>
              <w:rPr>
                <w:sz w:val="20"/>
                <w:szCs w:val="20"/>
                <w:color w:val="auto"/>
              </w:rPr>
            </w:pPr>
            <w:r>
              <w:rPr>
                <w:rFonts w:ascii="Arial" w:cs="Arial" w:eastAsia="Arial" w:hAnsi="Arial"/>
                <w:sz w:val="18"/>
                <w:szCs w:val="18"/>
                <w:color w:val="auto"/>
              </w:rPr>
              <w:t>+ 13-month average merchandise inventories</w:t>
            </w:r>
          </w:p>
        </w:tc>
        <w:tc>
          <w:tcPr>
            <w:tcW w:w="120" w:type="dxa"/>
            <w:vAlign w:val="bottom"/>
            <w:shd w:val="clear" w:color="auto" w:fill="C0C0C0"/>
          </w:tcPr>
          <w:p>
            <w:pPr>
              <w:spacing w:after="0"/>
              <w:rPr>
                <w:sz w:val="17"/>
                <w:szCs w:val="17"/>
                <w:color w:val="auto"/>
              </w:rPr>
            </w:pPr>
          </w:p>
        </w:tc>
        <w:tc>
          <w:tcPr>
            <w:tcW w:w="52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rPr>
              <w:t>1,269</w:t>
            </w: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740" w:type="dxa"/>
            <w:vAlign w:val="bottom"/>
            <w:gridSpan w:val="2"/>
            <w:shd w:val="clear" w:color="auto" w:fill="C0C0C0"/>
          </w:tcPr>
          <w:p>
            <w:pPr>
              <w:jc w:val="right"/>
              <w:ind w:right="220"/>
              <w:spacing w:after="0" w:line="202" w:lineRule="exact"/>
              <w:rPr>
                <w:sz w:val="20"/>
                <w:szCs w:val="20"/>
                <w:color w:val="auto"/>
              </w:rPr>
            </w:pPr>
            <w:r>
              <w:rPr>
                <w:rFonts w:ascii="Arial" w:cs="Arial" w:eastAsia="Arial" w:hAnsi="Arial"/>
                <w:sz w:val="18"/>
                <w:szCs w:val="18"/>
                <w:color w:val="auto"/>
              </w:rPr>
              <w:t>1,200</w:t>
            </w:r>
          </w:p>
        </w:tc>
        <w:tc>
          <w:tcPr>
            <w:tcW w:w="18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800" w:type="dxa"/>
            <w:vAlign w:val="bottom"/>
            <w:gridSpan w:val="2"/>
            <w:shd w:val="clear" w:color="auto" w:fill="C0C0C0"/>
          </w:tcPr>
          <w:p>
            <w:pPr>
              <w:jc w:val="right"/>
              <w:ind w:right="240"/>
              <w:spacing w:after="0" w:line="202" w:lineRule="exact"/>
              <w:rPr>
                <w:sz w:val="20"/>
                <w:szCs w:val="20"/>
                <w:color w:val="auto"/>
              </w:rPr>
            </w:pPr>
            <w:r>
              <w:rPr>
                <w:rFonts w:ascii="Arial" w:cs="Arial" w:eastAsia="Arial" w:hAnsi="Arial"/>
                <w:sz w:val="18"/>
                <w:szCs w:val="18"/>
                <w:color w:val="auto"/>
              </w:rPr>
              <w:t>1,192</w:t>
            </w: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shd w:val="clear" w:color="auto" w:fill="C0C0C0"/>
          </w:tcPr>
          <w:p>
            <w:pPr>
              <w:spacing w:after="0" w:line="20" w:lineRule="exact"/>
              <w:rPr>
                <w:sz w:val="1"/>
                <w:szCs w:val="1"/>
                <w:color w:val="auto"/>
              </w:rPr>
            </w:pPr>
          </w:p>
        </w:tc>
        <w:tc>
          <w:tcPr>
            <w:tcW w:w="460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8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 Average invested capital</w:t>
            </w:r>
          </w:p>
        </w:tc>
        <w:tc>
          <w:tcPr>
            <w:tcW w:w="1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3,803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3,361</w:t>
            </w:r>
          </w:p>
        </w:tc>
        <w:tc>
          <w:tcPr>
            <w:tcW w:w="18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3,237</w:t>
            </w: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400" w:type="dxa"/>
            <w:vAlign w:val="bottom"/>
            <w:gridSpan w:val="2"/>
            <w:shd w:val="clear" w:color="auto" w:fill="C0C0C0"/>
          </w:tcPr>
          <w:p>
            <w:pPr>
              <w:ind w:left="20"/>
              <w:spacing w:after="0" w:line="196" w:lineRule="exact"/>
              <w:rPr>
                <w:sz w:val="20"/>
                <w:szCs w:val="20"/>
                <w:color w:val="auto"/>
              </w:rPr>
            </w:pPr>
            <w:r>
              <w:rPr>
                <w:rFonts w:ascii="Arial" w:cs="Arial" w:eastAsia="Arial" w:hAnsi="Arial"/>
                <w:sz w:val="18"/>
                <w:szCs w:val="18"/>
                <w:color w:val="auto"/>
              </w:rPr>
              <w:t>ROIC %</w:t>
            </w:r>
          </w:p>
        </w:tc>
        <w:tc>
          <w:tcPr>
            <w:tcW w:w="120" w:type="dxa"/>
            <w:vAlign w:val="bottom"/>
            <w:shd w:val="clear" w:color="auto" w:fill="C0C0C0"/>
          </w:tcPr>
          <w:p>
            <w:pPr>
              <w:spacing w:after="0"/>
              <w:rPr>
                <w:sz w:val="17"/>
                <w:szCs w:val="17"/>
                <w:color w:val="auto"/>
              </w:rPr>
            </w:pPr>
          </w:p>
        </w:tc>
        <w:tc>
          <w:tcPr>
            <w:tcW w:w="740" w:type="dxa"/>
            <w:vAlign w:val="bottom"/>
            <w:gridSpan w:val="2"/>
            <w:shd w:val="clear" w:color="auto" w:fill="C0C0C0"/>
          </w:tcPr>
          <w:p>
            <w:pPr>
              <w:jc w:val="right"/>
              <w:ind w:right="60"/>
              <w:spacing w:after="0" w:line="196" w:lineRule="exact"/>
              <w:rPr>
                <w:sz w:val="20"/>
                <w:szCs w:val="20"/>
                <w:color w:val="auto"/>
              </w:rPr>
            </w:pPr>
            <w:r>
              <w:rPr>
                <w:rFonts w:ascii="Arial" w:cs="Arial" w:eastAsia="Arial" w:hAnsi="Arial"/>
                <w:sz w:val="18"/>
                <w:szCs w:val="18"/>
                <w:b w:val="1"/>
                <w:bCs w:val="1"/>
                <w:color w:val="auto"/>
              </w:rPr>
              <w:t>14.1%</w:t>
            </w:r>
          </w:p>
        </w:tc>
        <w:tc>
          <w:tcPr>
            <w:tcW w:w="1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740" w:type="dxa"/>
            <w:vAlign w:val="bottom"/>
            <w:gridSpan w:val="2"/>
            <w:shd w:val="clear" w:color="auto" w:fill="C0C0C0"/>
          </w:tcPr>
          <w:p>
            <w:pPr>
              <w:jc w:val="right"/>
              <w:ind w:right="60"/>
              <w:spacing w:after="0" w:line="196" w:lineRule="exact"/>
              <w:rPr>
                <w:sz w:val="20"/>
                <w:szCs w:val="20"/>
                <w:color w:val="auto"/>
              </w:rPr>
            </w:pPr>
            <w:r>
              <w:rPr>
                <w:rFonts w:ascii="Arial" w:cs="Arial" w:eastAsia="Arial" w:hAnsi="Arial"/>
                <w:sz w:val="18"/>
                <w:szCs w:val="18"/>
                <w:color w:val="auto"/>
              </w:rPr>
              <w:t>14.2%</w:t>
            </w:r>
          </w:p>
        </w:tc>
        <w:tc>
          <w:tcPr>
            <w:tcW w:w="18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800" w:type="dxa"/>
            <w:vAlign w:val="bottom"/>
            <w:gridSpan w:val="2"/>
            <w:shd w:val="clear" w:color="auto" w:fill="C0C0C0"/>
          </w:tcPr>
          <w:p>
            <w:pPr>
              <w:jc w:val="right"/>
              <w:ind w:right="80"/>
              <w:spacing w:after="0" w:line="196" w:lineRule="exact"/>
              <w:rPr>
                <w:sz w:val="20"/>
                <w:szCs w:val="20"/>
                <w:color w:val="auto"/>
              </w:rPr>
            </w:pPr>
            <w:r>
              <w:rPr>
                <w:rFonts w:ascii="Arial" w:cs="Arial" w:eastAsia="Arial" w:hAnsi="Arial"/>
                <w:sz w:val="18"/>
                <w:szCs w:val="18"/>
                <w:color w:val="auto"/>
              </w:rPr>
              <w:t>11.8%</w:t>
            </w: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0"/>
        </w:trPr>
        <w:tc>
          <w:tcPr>
            <w:tcW w:w="5400" w:type="dxa"/>
            <w:vAlign w:val="bottom"/>
            <w:gridSpan w:val="2"/>
          </w:tcPr>
          <w:p>
            <w:pPr>
              <w:ind w:left="456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46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20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46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20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-1885950</wp:posOffset>
            </wp:positionV>
            <wp:extent cx="5334000"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34000"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-925830</wp:posOffset>
            </wp:positionV>
            <wp:extent cx="533400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34000" cy="17145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802" w:right="1139" w:bottom="1440" w:gutter="0" w:footer="0" w:header="0"/>
        </w:sectPr>
      </w:pPr>
    </w:p>
    <w:bookmarkStart w:id="19" w:name="page20"/>
    <w:bookmarkEnd w:id="19"/>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jc w:val="both"/>
        <w:ind w:left="300" w:right="519" w:hanging="272"/>
        <w:spacing w:after="0" w:line="265" w:lineRule="auto"/>
        <w:tabs>
          <w:tab w:leader="none" w:pos="3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determination of the capitalized operating leases and the adjustments to income have been calculated on a lease-by-lease basis and have been consistently calculated in each of the years presented above. Capitalized operating leases represent the best estimate of the asset base that would be recorded for operating leases as if they had been classified as capital or as if the property were purchased. The present value of operating leases is discounted using various interest rates ranging from 2.8 percent to 14.5 percent, which represent the Company’s incremental borrowing rate at inception of the lease.</w:t>
      </w:r>
    </w:p>
    <w:p>
      <w:pPr>
        <w:spacing w:after="0" w:line="97" w:lineRule="exact"/>
        <w:rPr>
          <w:rFonts w:ascii="Arial" w:cs="Arial" w:eastAsia="Arial" w:hAnsi="Arial"/>
          <w:sz w:val="14"/>
          <w:szCs w:val="14"/>
          <w:color w:val="auto"/>
        </w:rPr>
      </w:pPr>
    </w:p>
    <w:p>
      <w:pPr>
        <w:ind w:left="300" w:hanging="272"/>
        <w:spacing w:after="0"/>
        <w:tabs>
          <w:tab w:leader="none" w:pos="3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adjusted income tax expense represents the marginal tax rate applied to net operating profit for each of the periods presented.</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 of Consolidated Results</w:t>
      </w:r>
    </w:p>
    <w:p>
      <w:pPr>
        <w:spacing w:after="0" w:line="139" w:lineRule="exact"/>
        <w:rPr>
          <w:sz w:val="20"/>
          <w:szCs w:val="20"/>
          <w:color w:val="auto"/>
        </w:rPr>
      </w:pPr>
    </w:p>
    <w:p>
      <w:pPr>
        <w:jc w:val="both"/>
        <w:ind w:left="60" w:right="519"/>
        <w:spacing w:after="0" w:line="250" w:lineRule="auto"/>
        <w:rPr>
          <w:sz w:val="20"/>
          <w:szCs w:val="20"/>
          <w:color w:val="auto"/>
        </w:rPr>
      </w:pPr>
      <w:r>
        <w:rPr>
          <w:rFonts w:ascii="Arial" w:cs="Arial" w:eastAsia="Arial" w:hAnsi="Arial"/>
          <w:sz w:val="18"/>
          <w:szCs w:val="18"/>
          <w:color w:val="auto"/>
        </w:rPr>
        <w:t>The following represents our long-term financial objectives and our progress towards meeting those objectives. The following represents non-GAAP results for all the periods presented. In addition, the 2012 results are shown on a 52-week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-74930</wp:posOffset>
            </wp:positionV>
            <wp:extent cx="55657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3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ind w:right="215"/>
              <w:spacing w:after="0"/>
              <w:rPr>
                <w:sz w:val="20"/>
                <w:szCs w:val="20"/>
                <w:color w:val="auto"/>
              </w:rPr>
            </w:pPr>
            <w:r>
              <w:rPr>
                <w:rFonts w:ascii="Arial" w:cs="Arial" w:eastAsia="Arial" w:hAnsi="Arial"/>
                <w:sz w:val="14"/>
                <w:szCs w:val="14"/>
                <w:b w:val="1"/>
                <w:bCs w:val="1"/>
                <w:color w:val="auto"/>
              </w:rPr>
              <w:t>Long-term</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ind w:right="293"/>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ind w:right="293"/>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333"/>
              <w:spacing w:after="0"/>
              <w:rPr>
                <w:sz w:val="20"/>
                <w:szCs w:val="20"/>
                <w:color w:val="auto"/>
              </w:rPr>
            </w:pPr>
            <w:r>
              <w:rPr>
                <w:rFonts w:ascii="Arial" w:cs="Arial" w:eastAsia="Arial" w:hAnsi="Arial"/>
                <w:sz w:val="14"/>
                <w:szCs w:val="14"/>
                <w:b w:val="1"/>
                <w:bCs w:val="1"/>
                <w:color w:val="auto"/>
              </w:rPr>
              <w:t>2011</w:t>
            </w:r>
          </w:p>
        </w:tc>
      </w:tr>
      <w:tr>
        <w:trPr>
          <w:trHeight w:val="175"/>
        </w:trPr>
        <w:tc>
          <w:tcPr>
            <w:tcW w:w="3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Objectives</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96"/>
        </w:trPr>
        <w:tc>
          <w:tcPr>
            <w:tcW w:w="3640" w:type="dxa"/>
            <w:vAlign w:val="bottom"/>
            <w:shd w:val="clear" w:color="auto" w:fill="C0C0C0"/>
          </w:tcPr>
          <w:p>
            <w:pPr>
              <w:ind w:left="20"/>
              <w:spacing w:after="0" w:line="196" w:lineRule="exact"/>
              <w:rPr>
                <w:sz w:val="20"/>
                <w:szCs w:val="20"/>
                <w:color w:val="auto"/>
              </w:rPr>
            </w:pPr>
            <w:r>
              <w:rPr>
                <w:rFonts w:ascii="Arial" w:cs="Arial" w:eastAsia="Arial" w:hAnsi="Arial"/>
                <w:sz w:val="18"/>
                <w:szCs w:val="18"/>
                <w:color w:val="auto"/>
              </w:rPr>
              <w:t>Sales (in millions)</w:t>
            </w:r>
          </w:p>
        </w:tc>
        <w:tc>
          <w:tcPr>
            <w:tcW w:w="200" w:type="dxa"/>
            <w:vAlign w:val="bottom"/>
            <w:shd w:val="clear" w:color="auto" w:fill="C0C0C0"/>
          </w:tcPr>
          <w:p>
            <w:pPr>
              <w:jc w:val="right"/>
              <w:ind w:right="10"/>
              <w:spacing w:after="0" w:line="196" w:lineRule="exact"/>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0C0C0"/>
          </w:tcPr>
          <w:p>
            <w:pPr>
              <w:jc w:val="right"/>
              <w:ind w:right="315"/>
              <w:spacing w:after="0" w:line="196" w:lineRule="exact"/>
              <w:rPr>
                <w:sz w:val="20"/>
                <w:szCs w:val="20"/>
                <w:color w:val="auto"/>
              </w:rPr>
            </w:pPr>
            <w:r>
              <w:rPr>
                <w:rFonts w:ascii="Arial" w:cs="Arial" w:eastAsia="Arial" w:hAnsi="Arial"/>
                <w:sz w:val="18"/>
                <w:szCs w:val="18"/>
                <w:b w:val="1"/>
                <w:bCs w:val="1"/>
                <w:color w:val="auto"/>
              </w:rPr>
              <w:t>7,500</w:t>
            </w:r>
          </w:p>
        </w:tc>
        <w:tc>
          <w:tcPr>
            <w:tcW w:w="360" w:type="dxa"/>
            <w:vAlign w:val="bottom"/>
            <w:gridSpan w:val="2"/>
            <w:shd w:val="clear" w:color="auto" w:fill="C0C0C0"/>
          </w:tcPr>
          <w:p>
            <w:pPr>
              <w:jc w:val="right"/>
              <w:ind w:right="100"/>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0C0C0"/>
          </w:tcPr>
          <w:p>
            <w:pPr>
              <w:jc w:val="right"/>
              <w:ind w:right="233"/>
              <w:spacing w:after="0" w:line="196" w:lineRule="exact"/>
              <w:rPr>
                <w:sz w:val="20"/>
                <w:szCs w:val="20"/>
                <w:color w:val="auto"/>
              </w:rPr>
            </w:pPr>
            <w:r>
              <w:rPr>
                <w:rFonts w:ascii="Arial" w:cs="Arial" w:eastAsia="Arial" w:hAnsi="Arial"/>
                <w:sz w:val="18"/>
                <w:szCs w:val="18"/>
                <w:b w:val="1"/>
                <w:bCs w:val="1"/>
                <w:color w:val="auto"/>
              </w:rPr>
              <w:t>6,505</w:t>
            </w:r>
          </w:p>
        </w:tc>
        <w:tc>
          <w:tcPr>
            <w:tcW w:w="360" w:type="dxa"/>
            <w:vAlign w:val="bottom"/>
            <w:gridSpan w:val="2"/>
            <w:shd w:val="clear" w:color="auto" w:fill="C0C0C0"/>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0C0C0"/>
          </w:tcPr>
          <w:p>
            <w:pPr>
              <w:jc w:val="right"/>
              <w:ind w:right="233"/>
              <w:spacing w:after="0" w:line="196" w:lineRule="exact"/>
              <w:rPr>
                <w:sz w:val="20"/>
                <w:szCs w:val="20"/>
                <w:color w:val="auto"/>
              </w:rPr>
            </w:pPr>
            <w:r>
              <w:rPr>
                <w:rFonts w:ascii="Arial" w:cs="Arial" w:eastAsia="Arial" w:hAnsi="Arial"/>
                <w:sz w:val="18"/>
                <w:szCs w:val="18"/>
                <w:color w:val="auto"/>
              </w:rPr>
              <w:t>6,101</w:t>
            </w:r>
          </w:p>
        </w:tc>
        <w:tc>
          <w:tcPr>
            <w:tcW w:w="400" w:type="dxa"/>
            <w:vAlign w:val="bottom"/>
            <w:gridSpan w:val="2"/>
            <w:shd w:val="clear" w:color="auto" w:fill="C0C0C0"/>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ind w:right="273"/>
              <w:spacing w:after="0" w:line="196" w:lineRule="exact"/>
              <w:rPr>
                <w:sz w:val="20"/>
                <w:szCs w:val="20"/>
                <w:color w:val="auto"/>
              </w:rPr>
            </w:pPr>
            <w:r>
              <w:rPr>
                <w:rFonts w:ascii="Arial" w:cs="Arial" w:eastAsia="Arial" w:hAnsi="Arial"/>
                <w:sz w:val="18"/>
                <w:szCs w:val="18"/>
                <w:color w:val="auto"/>
              </w:rPr>
              <w:t>5,623</w:t>
            </w:r>
          </w:p>
        </w:tc>
      </w:tr>
      <w:tr>
        <w:trPr>
          <w:trHeight w:val="203"/>
        </w:trPr>
        <w:tc>
          <w:tcPr>
            <w:tcW w:w="3640" w:type="dxa"/>
            <w:vAlign w:val="bottom"/>
          </w:tcPr>
          <w:p>
            <w:pPr>
              <w:ind w:left="20"/>
              <w:spacing w:after="0" w:line="202" w:lineRule="exact"/>
              <w:rPr>
                <w:sz w:val="20"/>
                <w:szCs w:val="20"/>
                <w:color w:val="auto"/>
              </w:rPr>
            </w:pPr>
            <w:r>
              <w:rPr>
                <w:rFonts w:ascii="Arial" w:cs="Arial" w:eastAsia="Arial" w:hAnsi="Arial"/>
                <w:sz w:val="18"/>
                <w:szCs w:val="18"/>
                <w:color w:val="auto"/>
              </w:rPr>
              <w:t>Sales per gross square foot</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315"/>
              <w:spacing w:after="0" w:line="202" w:lineRule="exact"/>
              <w:rPr>
                <w:sz w:val="20"/>
                <w:szCs w:val="20"/>
                <w:color w:val="auto"/>
              </w:rPr>
            </w:pPr>
            <w:r>
              <w:rPr>
                <w:rFonts w:ascii="Arial" w:cs="Arial" w:eastAsia="Arial" w:hAnsi="Arial"/>
                <w:sz w:val="18"/>
                <w:szCs w:val="18"/>
                <w:b w:val="1"/>
                <w:bCs w:val="1"/>
                <w:color w:val="auto"/>
              </w:rPr>
              <w:t>500</w:t>
            </w:r>
          </w:p>
        </w:tc>
        <w:tc>
          <w:tcPr>
            <w:tcW w:w="36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233"/>
              <w:spacing w:after="0" w:line="202" w:lineRule="exact"/>
              <w:rPr>
                <w:sz w:val="20"/>
                <w:szCs w:val="20"/>
                <w:color w:val="auto"/>
              </w:rPr>
            </w:pPr>
            <w:r>
              <w:rPr>
                <w:rFonts w:ascii="Arial" w:cs="Arial" w:eastAsia="Arial" w:hAnsi="Arial"/>
                <w:sz w:val="18"/>
                <w:szCs w:val="18"/>
                <w:b w:val="1"/>
                <w:bCs w:val="1"/>
                <w:color w:val="auto"/>
              </w:rPr>
              <w:t>460</w:t>
            </w:r>
          </w:p>
        </w:tc>
        <w:tc>
          <w:tcPr>
            <w:tcW w:w="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443</w:t>
            </w:r>
          </w:p>
        </w:tc>
        <w:tc>
          <w:tcPr>
            <w:tcW w:w="4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273"/>
              <w:spacing w:after="0" w:line="202" w:lineRule="exact"/>
              <w:rPr>
                <w:sz w:val="20"/>
                <w:szCs w:val="20"/>
                <w:color w:val="auto"/>
              </w:rPr>
            </w:pPr>
            <w:r>
              <w:rPr>
                <w:rFonts w:ascii="Arial" w:cs="Arial" w:eastAsia="Arial" w:hAnsi="Arial"/>
                <w:sz w:val="18"/>
                <w:szCs w:val="18"/>
                <w:color w:val="auto"/>
              </w:rPr>
              <w:t>406</w:t>
            </w:r>
          </w:p>
        </w:tc>
      </w:tr>
      <w:tr>
        <w:trPr>
          <w:trHeight w:val="203"/>
        </w:trPr>
        <w:tc>
          <w:tcPr>
            <w:tcW w:w="364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EBIT margin</w:t>
            </w:r>
          </w:p>
        </w:tc>
        <w:tc>
          <w:tcPr>
            <w:tcW w:w="200" w:type="dxa"/>
            <w:vAlign w:val="bottom"/>
            <w:shd w:val="clear" w:color="auto" w:fill="C0C0C0"/>
          </w:tcPr>
          <w:p>
            <w:pPr>
              <w:spacing w:after="0"/>
              <w:rPr>
                <w:sz w:val="17"/>
                <w:szCs w:val="17"/>
                <w:color w:val="auto"/>
              </w:rPr>
            </w:pPr>
          </w:p>
        </w:tc>
        <w:tc>
          <w:tcPr>
            <w:tcW w:w="1120" w:type="dxa"/>
            <w:vAlign w:val="bottom"/>
            <w:shd w:val="clear" w:color="auto" w:fill="C0C0C0"/>
          </w:tcPr>
          <w:p>
            <w:pPr>
              <w:jc w:val="right"/>
              <w:ind w:right="155"/>
              <w:spacing w:after="0" w:line="202" w:lineRule="exact"/>
              <w:rPr>
                <w:sz w:val="20"/>
                <w:szCs w:val="20"/>
                <w:color w:val="auto"/>
              </w:rPr>
            </w:pPr>
            <w:r>
              <w:rPr>
                <w:rFonts w:ascii="Arial" w:cs="Arial" w:eastAsia="Arial" w:hAnsi="Arial"/>
                <w:sz w:val="18"/>
                <w:szCs w:val="18"/>
                <w:b w:val="1"/>
                <w:bCs w:val="1"/>
                <w:color w:val="auto"/>
              </w:rPr>
              <w:t>11.0%</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880" w:type="dxa"/>
            <w:vAlign w:val="bottom"/>
            <w:shd w:val="clear" w:color="auto" w:fill="C0C0C0"/>
          </w:tcPr>
          <w:p>
            <w:pPr>
              <w:jc w:val="right"/>
              <w:ind w:right="73"/>
              <w:spacing w:after="0" w:line="202" w:lineRule="exact"/>
              <w:rPr>
                <w:sz w:val="20"/>
                <w:szCs w:val="20"/>
                <w:color w:val="auto"/>
              </w:rPr>
            </w:pPr>
            <w:r>
              <w:rPr>
                <w:rFonts w:ascii="Arial" w:cs="Arial" w:eastAsia="Arial" w:hAnsi="Arial"/>
                <w:sz w:val="18"/>
                <w:szCs w:val="18"/>
                <w:b w:val="1"/>
                <w:bCs w:val="1"/>
                <w:color w:val="auto"/>
              </w:rPr>
              <w:t>10.4%</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880" w:type="dxa"/>
            <w:vAlign w:val="bottom"/>
            <w:shd w:val="clear" w:color="auto" w:fill="C0C0C0"/>
          </w:tcPr>
          <w:p>
            <w:pPr>
              <w:jc w:val="right"/>
              <w:ind w:right="73"/>
              <w:spacing w:after="0" w:line="202" w:lineRule="exact"/>
              <w:rPr>
                <w:sz w:val="20"/>
                <w:szCs w:val="20"/>
                <w:color w:val="auto"/>
              </w:rPr>
            </w:pPr>
            <w:r>
              <w:rPr>
                <w:rFonts w:ascii="Arial" w:cs="Arial" w:eastAsia="Arial" w:hAnsi="Arial"/>
                <w:sz w:val="18"/>
                <w:szCs w:val="18"/>
                <w:color w:val="auto"/>
              </w:rPr>
              <w:t>9.9%</w:t>
            </w:r>
          </w:p>
        </w:tc>
        <w:tc>
          <w:tcPr>
            <w:tcW w:w="16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940" w:type="dxa"/>
            <w:vAlign w:val="bottom"/>
            <w:shd w:val="clear" w:color="auto" w:fill="C0C0C0"/>
          </w:tcPr>
          <w:p>
            <w:pPr>
              <w:jc w:val="right"/>
              <w:ind w:right="113"/>
              <w:spacing w:after="0" w:line="202" w:lineRule="exact"/>
              <w:rPr>
                <w:sz w:val="20"/>
                <w:szCs w:val="20"/>
                <w:color w:val="auto"/>
              </w:rPr>
            </w:pPr>
            <w:r>
              <w:rPr>
                <w:rFonts w:ascii="Arial" w:cs="Arial" w:eastAsia="Arial" w:hAnsi="Arial"/>
                <w:sz w:val="18"/>
                <w:szCs w:val="18"/>
                <w:color w:val="auto"/>
              </w:rPr>
              <w:t>7.9%</w:t>
            </w:r>
          </w:p>
        </w:tc>
      </w:tr>
      <w:tr>
        <w:trPr>
          <w:trHeight w:val="203"/>
        </w:trPr>
        <w:tc>
          <w:tcPr>
            <w:tcW w:w="3640" w:type="dxa"/>
            <w:vAlign w:val="bottom"/>
          </w:tcPr>
          <w:p>
            <w:pPr>
              <w:ind w:left="20"/>
              <w:spacing w:after="0" w:line="202" w:lineRule="exact"/>
              <w:rPr>
                <w:sz w:val="20"/>
                <w:szCs w:val="20"/>
                <w:color w:val="auto"/>
              </w:rPr>
            </w:pPr>
            <w:r>
              <w:rPr>
                <w:rFonts w:ascii="Arial" w:cs="Arial" w:eastAsia="Arial" w:hAnsi="Arial"/>
                <w:sz w:val="18"/>
                <w:szCs w:val="18"/>
                <w:color w:val="auto"/>
              </w:rPr>
              <w:t>Net income margin</w:t>
            </w:r>
          </w:p>
        </w:tc>
        <w:tc>
          <w:tcPr>
            <w:tcW w:w="200" w:type="dxa"/>
            <w:vAlign w:val="bottom"/>
          </w:tcPr>
          <w:p>
            <w:pPr>
              <w:spacing w:after="0"/>
              <w:rPr>
                <w:sz w:val="17"/>
                <w:szCs w:val="17"/>
                <w:color w:val="auto"/>
              </w:rPr>
            </w:pPr>
          </w:p>
        </w:tc>
        <w:tc>
          <w:tcPr>
            <w:tcW w:w="1120" w:type="dxa"/>
            <w:vAlign w:val="bottom"/>
          </w:tcPr>
          <w:p>
            <w:pPr>
              <w:jc w:val="right"/>
              <w:ind w:right="155"/>
              <w:spacing w:after="0" w:line="202" w:lineRule="exact"/>
              <w:rPr>
                <w:sz w:val="20"/>
                <w:szCs w:val="20"/>
                <w:color w:val="auto"/>
              </w:rPr>
            </w:pPr>
            <w:r>
              <w:rPr>
                <w:rFonts w:ascii="Arial" w:cs="Arial" w:eastAsia="Arial" w:hAnsi="Arial"/>
                <w:sz w:val="18"/>
                <w:szCs w:val="18"/>
                <w:b w:val="1"/>
                <w:bCs w:val="1"/>
                <w:color w:val="auto"/>
              </w:rPr>
              <w:t>7.0%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73"/>
              <w:spacing w:after="0" w:line="202" w:lineRule="exact"/>
              <w:rPr>
                <w:sz w:val="20"/>
                <w:szCs w:val="20"/>
                <w:color w:val="auto"/>
              </w:rPr>
            </w:pPr>
            <w:r>
              <w:rPr>
                <w:rFonts w:ascii="Arial" w:cs="Arial" w:eastAsia="Arial" w:hAnsi="Arial"/>
                <w:sz w:val="18"/>
                <w:szCs w:val="18"/>
                <w:b w:val="1"/>
                <w:bCs w:val="1"/>
                <w:color w:val="auto"/>
              </w:rPr>
              <w:t>6.6%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6.2%</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5.0%</w:t>
            </w:r>
          </w:p>
        </w:tc>
      </w:tr>
      <w:tr>
        <w:trPr>
          <w:trHeight w:val="203"/>
        </w:trPr>
        <w:tc>
          <w:tcPr>
            <w:tcW w:w="364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ROIC</w:t>
            </w:r>
          </w:p>
        </w:tc>
        <w:tc>
          <w:tcPr>
            <w:tcW w:w="200" w:type="dxa"/>
            <w:vAlign w:val="bottom"/>
            <w:shd w:val="clear" w:color="auto" w:fill="C0C0C0"/>
          </w:tcPr>
          <w:p>
            <w:pPr>
              <w:spacing w:after="0"/>
              <w:rPr>
                <w:sz w:val="17"/>
                <w:szCs w:val="17"/>
                <w:color w:val="auto"/>
              </w:rPr>
            </w:pPr>
          </w:p>
        </w:tc>
        <w:tc>
          <w:tcPr>
            <w:tcW w:w="1120" w:type="dxa"/>
            <w:vAlign w:val="bottom"/>
            <w:shd w:val="clear" w:color="auto" w:fill="C0C0C0"/>
          </w:tcPr>
          <w:p>
            <w:pPr>
              <w:jc w:val="right"/>
              <w:ind w:right="155"/>
              <w:spacing w:after="0" w:line="202" w:lineRule="exact"/>
              <w:rPr>
                <w:sz w:val="20"/>
                <w:szCs w:val="20"/>
                <w:color w:val="auto"/>
              </w:rPr>
            </w:pPr>
            <w:r>
              <w:rPr>
                <w:rFonts w:ascii="Arial" w:cs="Arial" w:eastAsia="Arial" w:hAnsi="Arial"/>
                <w:sz w:val="18"/>
                <w:szCs w:val="18"/>
                <w:b w:val="1"/>
                <w:bCs w:val="1"/>
                <w:color w:val="auto"/>
              </w:rPr>
              <w:t>14.0%</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880" w:type="dxa"/>
            <w:vAlign w:val="bottom"/>
            <w:shd w:val="clear" w:color="auto" w:fill="C0C0C0"/>
          </w:tcPr>
          <w:p>
            <w:pPr>
              <w:jc w:val="right"/>
              <w:ind w:right="73"/>
              <w:spacing w:after="0" w:line="202" w:lineRule="exact"/>
              <w:rPr>
                <w:sz w:val="20"/>
                <w:szCs w:val="20"/>
                <w:color w:val="auto"/>
              </w:rPr>
            </w:pPr>
            <w:r>
              <w:rPr>
                <w:rFonts w:ascii="Arial" w:cs="Arial" w:eastAsia="Arial" w:hAnsi="Arial"/>
                <w:sz w:val="18"/>
                <w:szCs w:val="18"/>
                <w:b w:val="1"/>
                <w:bCs w:val="1"/>
                <w:color w:val="auto"/>
              </w:rPr>
              <w:t>14.1%</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880" w:type="dxa"/>
            <w:vAlign w:val="bottom"/>
            <w:shd w:val="clear" w:color="auto" w:fill="C0C0C0"/>
          </w:tcPr>
          <w:p>
            <w:pPr>
              <w:jc w:val="right"/>
              <w:ind w:right="73"/>
              <w:spacing w:after="0" w:line="202" w:lineRule="exact"/>
              <w:rPr>
                <w:sz w:val="20"/>
                <w:szCs w:val="20"/>
                <w:color w:val="auto"/>
              </w:rPr>
            </w:pPr>
            <w:r>
              <w:rPr>
                <w:rFonts w:ascii="Arial" w:cs="Arial" w:eastAsia="Arial" w:hAnsi="Arial"/>
                <w:sz w:val="18"/>
                <w:szCs w:val="18"/>
                <w:color w:val="auto"/>
              </w:rPr>
              <w:t>14.2%</w:t>
            </w:r>
          </w:p>
        </w:tc>
        <w:tc>
          <w:tcPr>
            <w:tcW w:w="16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940" w:type="dxa"/>
            <w:vAlign w:val="bottom"/>
            <w:shd w:val="clear" w:color="auto" w:fill="C0C0C0"/>
          </w:tcPr>
          <w:p>
            <w:pPr>
              <w:jc w:val="right"/>
              <w:ind w:right="113"/>
              <w:spacing w:after="0" w:line="202" w:lineRule="exact"/>
              <w:rPr>
                <w:sz w:val="20"/>
                <w:szCs w:val="20"/>
                <w:color w:val="auto"/>
              </w:rPr>
            </w:pPr>
            <w:r>
              <w:rPr>
                <w:rFonts w:ascii="Arial" w:cs="Arial" w:eastAsia="Arial" w:hAnsi="Arial"/>
                <w:sz w:val="18"/>
                <w:szCs w:val="18"/>
                <w:color w:val="auto"/>
              </w:rPr>
              <w:t>11.8%</w:t>
            </w:r>
          </w:p>
        </w:tc>
      </w:tr>
    </w:tbl>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Highlights of our 2013 financial performance include:</w:t>
      </w:r>
    </w:p>
    <w:p>
      <w:pPr>
        <w:spacing w:after="0" w:line="117" w:lineRule="exact"/>
        <w:rPr>
          <w:sz w:val="20"/>
          <w:szCs w:val="20"/>
          <w:color w:val="auto"/>
        </w:rPr>
      </w:pPr>
    </w:p>
    <w:p>
      <w:pPr>
        <w:jc w:val="both"/>
        <w:ind w:left="620" w:right="519" w:hanging="322"/>
        <w:spacing w:after="0" w:line="250" w:lineRule="auto"/>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and comparable-store sales, as noted in the table below, both increased and continued to benefit from exciting assortments and enhanced store formats across our various banners, as well as improved performance of the Company’s store banner.com websites. Our recent acquisition, Runners Point Group, contributed $164</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million to the 2013 sales results; these sales are not included in the computation of comparable-store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11111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1111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4400" w:type="dxa"/>
            <w:vAlign w:val="bottom"/>
          </w:tcPr>
          <w:p>
            <w:pPr>
              <w:spacing w:after="0"/>
              <w:rPr>
                <w:sz w:val="15"/>
                <w:szCs w:val="15"/>
                <w:color w:val="auto"/>
              </w:rPr>
            </w:pPr>
          </w:p>
        </w:tc>
        <w:tc>
          <w:tcPr>
            <w:tcW w:w="10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5"/>
                <w:szCs w:val="15"/>
                <w:color w:val="auto"/>
              </w:rPr>
            </w:pPr>
          </w:p>
        </w:tc>
        <w:tc>
          <w:tcPr>
            <w:tcW w:w="10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5"/>
                <w:szCs w:val="15"/>
                <w:color w:val="auto"/>
              </w:rPr>
            </w:pPr>
          </w:p>
        </w:tc>
        <w:tc>
          <w:tcPr>
            <w:tcW w:w="11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2011</w:t>
            </w:r>
          </w:p>
        </w:tc>
      </w:tr>
      <w:tr>
        <w:trPr>
          <w:trHeight w:val="196"/>
        </w:trPr>
        <w:tc>
          <w:tcPr>
            <w:tcW w:w="4400" w:type="dxa"/>
            <w:vAlign w:val="bottom"/>
            <w:shd w:val="clear" w:color="auto" w:fill="C0C0C0"/>
          </w:tcPr>
          <w:p>
            <w:pPr>
              <w:ind w:left="20"/>
              <w:spacing w:after="0" w:line="196" w:lineRule="exact"/>
              <w:rPr>
                <w:sz w:val="20"/>
                <w:szCs w:val="20"/>
                <w:color w:val="auto"/>
              </w:rPr>
            </w:pPr>
            <w:r>
              <w:rPr>
                <w:rFonts w:ascii="Arial" w:cs="Arial" w:eastAsia="Arial" w:hAnsi="Arial"/>
                <w:sz w:val="18"/>
                <w:szCs w:val="18"/>
                <w:color w:val="auto"/>
              </w:rPr>
              <w:t>Sales increase</w:t>
            </w:r>
          </w:p>
        </w:tc>
        <w:tc>
          <w:tcPr>
            <w:tcW w:w="1080" w:type="dxa"/>
            <w:vAlign w:val="bottom"/>
            <w:shd w:val="clear" w:color="auto" w:fill="C0C0C0"/>
          </w:tcPr>
          <w:p>
            <w:pPr>
              <w:ind w:left="380"/>
              <w:spacing w:after="0" w:line="196" w:lineRule="exact"/>
              <w:rPr>
                <w:sz w:val="20"/>
                <w:szCs w:val="20"/>
                <w:color w:val="auto"/>
              </w:rPr>
            </w:pPr>
            <w:r>
              <w:rPr>
                <w:rFonts w:ascii="Arial" w:cs="Arial" w:eastAsia="Arial" w:hAnsi="Arial"/>
                <w:sz w:val="18"/>
                <w:szCs w:val="18"/>
                <w:color w:val="auto"/>
              </w:rPr>
              <w:t>6.6</w:t>
            </w:r>
            <w:r>
              <w:rPr>
                <w:rFonts w:ascii="Arial" w:cs="Arial" w:eastAsia="Arial" w:hAnsi="Arial"/>
                <w:sz w:val="18"/>
                <w:szCs w:val="18"/>
                <w:b w:val="1"/>
                <w:bCs w:val="1"/>
                <w:color w:val="auto"/>
              </w:rPr>
              <w:t>%</w:t>
            </w:r>
          </w:p>
        </w:tc>
        <w:tc>
          <w:tcPr>
            <w:tcW w:w="1240" w:type="dxa"/>
            <w:vAlign w:val="bottom"/>
            <w:gridSpan w:val="2"/>
            <w:shd w:val="clear" w:color="auto" w:fill="C0C0C0"/>
          </w:tcPr>
          <w:p>
            <w:pPr>
              <w:ind w:left="540"/>
              <w:spacing w:after="0" w:line="196" w:lineRule="exact"/>
              <w:rPr>
                <w:sz w:val="20"/>
                <w:szCs w:val="20"/>
                <w:color w:val="auto"/>
              </w:rPr>
            </w:pPr>
            <w:r>
              <w:rPr>
                <w:rFonts w:ascii="Arial" w:cs="Arial" w:eastAsia="Arial" w:hAnsi="Arial"/>
                <w:sz w:val="18"/>
                <w:szCs w:val="18"/>
                <w:color w:val="auto"/>
              </w:rPr>
              <w:t>8.5%</w:t>
            </w:r>
          </w:p>
        </w:tc>
        <w:tc>
          <w:tcPr>
            <w:tcW w:w="1340" w:type="dxa"/>
            <w:vAlign w:val="bottom"/>
            <w:gridSpan w:val="2"/>
            <w:shd w:val="clear" w:color="auto" w:fill="C0C0C0"/>
          </w:tcPr>
          <w:p>
            <w:pPr>
              <w:jc w:val="right"/>
              <w:ind w:right="188"/>
              <w:spacing w:after="0" w:line="196" w:lineRule="exact"/>
              <w:rPr>
                <w:sz w:val="20"/>
                <w:szCs w:val="20"/>
                <w:color w:val="auto"/>
              </w:rPr>
            </w:pPr>
            <w:r>
              <w:rPr>
                <w:rFonts w:ascii="Arial" w:cs="Arial" w:eastAsia="Arial" w:hAnsi="Arial"/>
                <w:sz w:val="18"/>
                <w:szCs w:val="18"/>
                <w:color w:val="auto"/>
              </w:rPr>
              <w:t>11.4%</w:t>
            </w:r>
          </w:p>
        </w:tc>
      </w:tr>
      <w:tr>
        <w:trPr>
          <w:trHeight w:val="239"/>
        </w:trPr>
        <w:tc>
          <w:tcPr>
            <w:tcW w:w="4400" w:type="dxa"/>
            <w:vAlign w:val="bottom"/>
          </w:tcPr>
          <w:p>
            <w:pPr>
              <w:ind w:left="20"/>
              <w:spacing w:after="0"/>
              <w:rPr>
                <w:sz w:val="20"/>
                <w:szCs w:val="20"/>
                <w:color w:val="auto"/>
              </w:rPr>
            </w:pPr>
            <w:r>
              <w:rPr>
                <w:rFonts w:ascii="Arial" w:cs="Arial" w:eastAsia="Arial" w:hAnsi="Arial"/>
                <w:sz w:val="18"/>
                <w:szCs w:val="18"/>
                <w:color w:val="auto"/>
              </w:rPr>
              <w:t>Comparable-store sales increase</w:t>
            </w:r>
          </w:p>
        </w:tc>
        <w:tc>
          <w:tcPr>
            <w:tcW w:w="1080" w:type="dxa"/>
            <w:vAlign w:val="bottom"/>
          </w:tcPr>
          <w:p>
            <w:pPr>
              <w:ind w:left="380"/>
              <w:spacing w:after="0"/>
              <w:rPr>
                <w:sz w:val="20"/>
                <w:szCs w:val="20"/>
                <w:color w:val="auto"/>
              </w:rPr>
            </w:pPr>
            <w:r>
              <w:rPr>
                <w:rFonts w:ascii="Arial" w:cs="Arial" w:eastAsia="Arial" w:hAnsi="Arial"/>
                <w:sz w:val="18"/>
                <w:szCs w:val="18"/>
                <w:b w:val="1"/>
                <w:bCs w:val="1"/>
                <w:color w:val="auto"/>
              </w:rPr>
              <w:t>4.2%</w:t>
            </w:r>
          </w:p>
        </w:tc>
        <w:tc>
          <w:tcPr>
            <w:tcW w:w="1240" w:type="dxa"/>
            <w:vAlign w:val="bottom"/>
            <w:gridSpan w:val="2"/>
          </w:tcPr>
          <w:p>
            <w:pPr>
              <w:ind w:left="540"/>
              <w:spacing w:after="0"/>
              <w:rPr>
                <w:sz w:val="20"/>
                <w:szCs w:val="20"/>
                <w:color w:val="auto"/>
              </w:rPr>
            </w:pPr>
            <w:r>
              <w:rPr>
                <w:rFonts w:ascii="Arial" w:cs="Arial" w:eastAsia="Arial" w:hAnsi="Arial"/>
                <w:sz w:val="18"/>
                <w:szCs w:val="18"/>
                <w:color w:val="auto"/>
              </w:rPr>
              <w:t>9.4%</w:t>
            </w:r>
          </w:p>
        </w:tc>
        <w:tc>
          <w:tcPr>
            <w:tcW w:w="1340" w:type="dxa"/>
            <w:vAlign w:val="bottom"/>
            <w:gridSpan w:val="2"/>
          </w:tcPr>
          <w:p>
            <w:pPr>
              <w:jc w:val="right"/>
              <w:ind w:right="188"/>
              <w:spacing w:after="0"/>
              <w:rPr>
                <w:sz w:val="20"/>
                <w:szCs w:val="20"/>
                <w:color w:val="auto"/>
              </w:rPr>
            </w:pPr>
            <w:r>
              <w:rPr>
                <w:rFonts w:ascii="Arial" w:cs="Arial" w:eastAsia="Arial" w:hAnsi="Arial"/>
                <w:sz w:val="18"/>
                <w:szCs w:val="18"/>
                <w:color w:val="auto"/>
              </w:rPr>
              <w:t>9.8%</w:t>
            </w:r>
          </w:p>
        </w:tc>
      </w:tr>
    </w:tbl>
    <w:p>
      <w:pPr>
        <w:spacing w:after="0" w:line="71" w:lineRule="exact"/>
        <w:rPr>
          <w:sz w:val="20"/>
          <w:szCs w:val="20"/>
          <w:color w:val="auto"/>
        </w:rPr>
      </w:pPr>
    </w:p>
    <w:p>
      <w:pPr>
        <w:ind w:left="620" w:right="539" w:hanging="322"/>
        <w:spacing w:after="0" w:line="262"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Gross margin, as a percentage of sales, was 32.8 percent in 2013 which was unchanged as compared with the prior-year period.</w:t>
      </w:r>
    </w:p>
    <w:p>
      <w:pPr>
        <w:spacing w:after="0" w:line="88" w:lineRule="exact"/>
        <w:rPr>
          <w:rFonts w:ascii="Arial" w:cs="Arial" w:eastAsia="Arial" w:hAnsi="Arial"/>
          <w:sz w:val="18"/>
          <w:szCs w:val="18"/>
          <w:color w:val="auto"/>
        </w:rPr>
      </w:pPr>
    </w:p>
    <w:p>
      <w:pPr>
        <w:ind w:left="620" w:right="519" w:hanging="322"/>
        <w:spacing w:after="0" w:line="262"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SG&amp;A expenses on a non-GAAP basis were 20.4 percent of sales, an improvement of 60 basis points as compared with the prior year, as we carefully managed expenses.</w:t>
      </w:r>
    </w:p>
    <w:p>
      <w:pPr>
        <w:spacing w:after="0" w:line="88" w:lineRule="exact"/>
        <w:rPr>
          <w:rFonts w:ascii="Arial" w:cs="Arial" w:eastAsia="Arial" w:hAnsi="Arial"/>
          <w:sz w:val="18"/>
          <w:szCs w:val="18"/>
          <w:color w:val="auto"/>
        </w:rPr>
      </w:pPr>
    </w:p>
    <w:p>
      <w:pPr>
        <w:ind w:left="620" w:right="519" w:hanging="322"/>
        <w:spacing w:after="0" w:line="262"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income on a non-GAAP basis was $432 million or $2.87 diluted earnings per share, an increase of 16.2 percent from the prior-year period.</w:t>
      </w:r>
    </w:p>
    <w:p>
      <w:pPr>
        <w:spacing w:after="0" w:line="88" w:lineRule="exact"/>
        <w:rPr>
          <w:rFonts w:ascii="Arial" w:cs="Arial" w:eastAsia="Arial" w:hAnsi="Arial"/>
          <w:sz w:val="18"/>
          <w:szCs w:val="18"/>
          <w:color w:val="auto"/>
        </w:rPr>
      </w:pPr>
    </w:p>
    <w:p>
      <w:pPr>
        <w:jc w:val="both"/>
        <w:ind w:left="620" w:right="519" w:hanging="322"/>
        <w:spacing w:after="0" w:line="254"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Cash, cash equivalents, and short-term investments at February 1, 2014 were $867 million, representing a decrease of $61 million. This reflects both the execution of various key initiatives noted in the items below and the Company’s strong performance. The Company ended the year in a strong financial position, with $728 million of cash, cash equivalents and short-term investments, net of debt and obligations under capital leases.</w:t>
      </w:r>
    </w:p>
    <w:p>
      <w:pPr>
        <w:spacing w:after="0" w:line="96" w:lineRule="exact"/>
        <w:rPr>
          <w:rFonts w:ascii="Arial" w:cs="Arial" w:eastAsia="Arial" w:hAnsi="Arial"/>
          <w:sz w:val="18"/>
          <w:szCs w:val="18"/>
          <w:color w:val="auto"/>
        </w:rPr>
      </w:pPr>
    </w:p>
    <w:p>
      <w:pPr>
        <w:jc w:val="both"/>
        <w:ind w:left="620" w:right="539" w:hanging="322"/>
        <w:spacing w:after="0" w:line="254"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completed the acquisition of Runners Point Group during the second quarter of 2013 for $81 million, net of cash acquired. The Runners Point Group is a leading specialty athletic footwear and apparel multi-channel German retailer. The acquisition increases the Company’s market position in Germany. While only a partial year, its operations were accretive to the 2013 results.</w:t>
      </w:r>
    </w:p>
    <w:p>
      <w:pPr>
        <w:spacing w:after="0" w:line="96" w:lineRule="exact"/>
        <w:rPr>
          <w:rFonts w:ascii="Arial" w:cs="Arial" w:eastAsia="Arial" w:hAnsi="Arial"/>
          <w:sz w:val="18"/>
          <w:szCs w:val="18"/>
          <w:color w:val="auto"/>
        </w:rPr>
      </w:pPr>
    </w:p>
    <w:p>
      <w:pPr>
        <w:ind w:left="620" w:right="519" w:hanging="322"/>
        <w:spacing w:after="0" w:line="262"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Capital expenditures during 2013 totaled $206 million and were primarily directed to the remodeling or relocation of 320 stores, the build-out of 84 new stores, as well as other technology and infrastructure projects.</w:t>
      </w:r>
    </w:p>
    <w:p>
      <w:pPr>
        <w:spacing w:after="0" w:line="88" w:lineRule="exact"/>
        <w:rPr>
          <w:rFonts w:ascii="Arial" w:cs="Arial" w:eastAsia="Arial" w:hAnsi="Arial"/>
          <w:sz w:val="18"/>
          <w:szCs w:val="18"/>
          <w:color w:val="auto"/>
        </w:rPr>
      </w:pPr>
    </w:p>
    <w:p>
      <w:pPr>
        <w:ind w:left="620" w:right="519" w:hanging="322"/>
        <w:spacing w:after="0" w:line="262"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Dividends totaling $118 million were declared and paid during 2013, returning significant value to our shareholders.</w:t>
      </w:r>
    </w:p>
    <w:p>
      <w:pPr>
        <w:spacing w:after="0" w:line="88" w:lineRule="exact"/>
        <w:rPr>
          <w:rFonts w:ascii="Arial" w:cs="Arial" w:eastAsia="Arial" w:hAnsi="Arial"/>
          <w:sz w:val="18"/>
          <w:szCs w:val="18"/>
          <w:color w:val="auto"/>
        </w:rPr>
      </w:pPr>
    </w:p>
    <w:p>
      <w:pPr>
        <w:ind w:left="620" w:right="539" w:hanging="322"/>
        <w:spacing w:after="0" w:line="262"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total of 6.4 million shares were repurchased in the first year of our current share repurchase program at a cost of $229 million.</w:t>
      </w:r>
    </w:p>
    <w:p>
      <w:pPr>
        <w:spacing w:after="0" w:line="200" w:lineRule="exact"/>
        <w:rPr>
          <w:sz w:val="20"/>
          <w:szCs w:val="20"/>
          <w:color w:val="auto"/>
        </w:rPr>
      </w:pPr>
    </w:p>
    <w:p>
      <w:pPr>
        <w:spacing w:after="0" w:line="34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96520</wp:posOffset>
            </wp:positionV>
            <wp:extent cx="6114415" cy="596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1" w:right="1440" w:bottom="1440" w:gutter="0" w:footer="0" w:header="0"/>
        </w:sectPr>
      </w:pPr>
    </w:p>
    <w:bookmarkStart w:id="20" w:name="page21"/>
    <w:bookmarkEnd w:id="20"/>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-56515</wp:posOffset>
            </wp:positionV>
            <wp:extent cx="5565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2011</w:t>
            </w:r>
          </w:p>
        </w:tc>
      </w:tr>
      <w:tr>
        <w:trPr>
          <w:trHeight w:val="173"/>
        </w:trPr>
        <w:tc>
          <w:tcPr>
            <w:tcW w:w="5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20" w:type="dxa"/>
            <w:vAlign w:val="bottom"/>
            <w:gridSpan w:val="7"/>
          </w:tcPr>
          <w:p>
            <w:pPr>
              <w:jc w:val="right"/>
              <w:ind w:right="232"/>
              <w:spacing w:after="0"/>
              <w:rPr>
                <w:sz w:val="20"/>
                <w:szCs w:val="20"/>
                <w:color w:val="auto"/>
              </w:rPr>
            </w:pPr>
            <w:r>
              <w:rPr>
                <w:rFonts w:ascii="Arial" w:cs="Arial" w:eastAsia="Arial" w:hAnsi="Arial"/>
                <w:sz w:val="14"/>
                <w:szCs w:val="14"/>
                <w:b w:val="1"/>
                <w:bCs w:val="1"/>
                <w:color w:val="auto"/>
              </w:rPr>
              <w:t>(in millions, except per share data)</w:t>
            </w:r>
          </w:p>
        </w:tc>
      </w:tr>
      <w:tr>
        <w:trPr>
          <w:trHeight w:val="225"/>
        </w:trPr>
        <w:tc>
          <w:tcPr>
            <w:tcW w:w="5760" w:type="dxa"/>
            <w:vAlign w:val="bottom"/>
          </w:tcPr>
          <w:p>
            <w:pPr>
              <w:ind w:left="20"/>
              <w:spacing w:after="0"/>
              <w:rPr>
                <w:sz w:val="20"/>
                <w:szCs w:val="20"/>
                <w:color w:val="auto"/>
              </w:rPr>
            </w:pPr>
            <w:r>
              <w:rPr>
                <w:rFonts w:ascii="Arial" w:cs="Arial" w:eastAsia="Arial" w:hAnsi="Arial"/>
                <w:sz w:val="18"/>
                <w:szCs w:val="18"/>
                <w:color w:val="auto"/>
              </w:rPr>
              <w:t>Sales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6,505</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6,182</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5,623</w:t>
            </w:r>
          </w:p>
        </w:tc>
      </w:tr>
      <w:tr>
        <w:trPr>
          <w:trHeight w:val="203"/>
        </w:trPr>
        <w:tc>
          <w:tcPr>
            <w:tcW w:w="57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Gross margin</w:t>
            </w:r>
          </w:p>
        </w:tc>
        <w:tc>
          <w:tcPr>
            <w:tcW w:w="200" w:type="dxa"/>
            <w:vAlign w:val="bottom"/>
            <w:shd w:val="clear" w:color="auto" w:fill="C0C0C0"/>
          </w:tcPr>
          <w:p>
            <w:pPr>
              <w:spacing w:after="0"/>
              <w:rPr>
                <w:sz w:val="17"/>
                <w:szCs w:val="17"/>
                <w:color w:val="auto"/>
              </w:rPr>
            </w:pPr>
          </w:p>
        </w:tc>
        <w:tc>
          <w:tcPr>
            <w:tcW w:w="66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rPr>
              <w:t>2,133</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8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2,034</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shd w:val="clear" w:color="auto" w:fill="C0C0C0"/>
          </w:tcPr>
          <w:p>
            <w:pPr>
              <w:jc w:val="right"/>
              <w:ind w:right="12"/>
              <w:spacing w:after="0" w:line="202" w:lineRule="exact"/>
              <w:rPr>
                <w:sz w:val="20"/>
                <w:szCs w:val="20"/>
                <w:color w:val="auto"/>
              </w:rPr>
            </w:pPr>
            <w:r>
              <w:rPr>
                <w:rFonts w:ascii="Arial" w:cs="Arial" w:eastAsia="Arial" w:hAnsi="Arial"/>
                <w:sz w:val="18"/>
                <w:szCs w:val="18"/>
                <w:color w:val="auto"/>
              </w:rPr>
              <w:t>1,796</w:t>
            </w: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1,334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1,294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1,244</w:t>
            </w:r>
          </w:p>
        </w:tc>
      </w:tr>
      <w:tr>
        <w:trPr>
          <w:trHeight w:val="203"/>
        </w:trPr>
        <w:tc>
          <w:tcPr>
            <w:tcW w:w="57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0C0C0"/>
          </w:tcPr>
          <w:p>
            <w:pPr>
              <w:spacing w:after="0"/>
              <w:rPr>
                <w:sz w:val="17"/>
                <w:szCs w:val="17"/>
                <w:color w:val="auto"/>
              </w:rPr>
            </w:pPr>
          </w:p>
        </w:tc>
        <w:tc>
          <w:tcPr>
            <w:tcW w:w="66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rPr>
              <w:t>133</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8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118</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shd w:val="clear" w:color="auto" w:fill="C0C0C0"/>
          </w:tcPr>
          <w:p>
            <w:pPr>
              <w:jc w:val="right"/>
              <w:ind w:right="12"/>
              <w:spacing w:after="0" w:line="202" w:lineRule="exact"/>
              <w:rPr>
                <w:sz w:val="20"/>
                <w:szCs w:val="20"/>
                <w:color w:val="auto"/>
              </w:rPr>
            </w:pPr>
            <w:r>
              <w:rPr>
                <w:rFonts w:ascii="Arial" w:cs="Arial" w:eastAsia="Arial" w:hAnsi="Arial"/>
                <w:sz w:val="18"/>
                <w:szCs w:val="18"/>
                <w:color w:val="auto"/>
              </w:rPr>
              <w:t>110</w:t>
            </w: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w:t>
            </w:r>
          </w:p>
        </w:tc>
      </w:tr>
      <w:tr>
        <w:trPr>
          <w:trHeight w:val="203"/>
        </w:trPr>
        <w:tc>
          <w:tcPr>
            <w:tcW w:w="57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Net income</w:t>
            </w:r>
          </w:p>
        </w:tc>
        <w:tc>
          <w:tcPr>
            <w:tcW w:w="20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rPr>
              <w:t>429</w:t>
            </w:r>
          </w:p>
        </w:tc>
        <w:tc>
          <w:tcPr>
            <w:tcW w:w="360" w:type="dxa"/>
            <w:vAlign w:val="bottom"/>
            <w:gridSpan w:val="2"/>
            <w:shd w:val="clear" w:color="auto" w:fill="C0C0C0"/>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397</w:t>
            </w:r>
          </w:p>
        </w:tc>
        <w:tc>
          <w:tcPr>
            <w:tcW w:w="360" w:type="dxa"/>
            <w:vAlign w:val="bottom"/>
            <w:gridSpan w:val="2"/>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ind w:right="12"/>
              <w:spacing w:after="0" w:line="202" w:lineRule="exact"/>
              <w:rPr>
                <w:sz w:val="20"/>
                <w:szCs w:val="20"/>
                <w:color w:val="auto"/>
              </w:rPr>
            </w:pPr>
            <w:r>
              <w:rPr>
                <w:rFonts w:ascii="Arial" w:cs="Arial" w:eastAsia="Arial" w:hAnsi="Arial"/>
                <w:sz w:val="18"/>
                <w:szCs w:val="18"/>
                <w:color w:val="auto"/>
              </w:rPr>
              <w:t>278</w:t>
            </w:r>
          </w:p>
        </w:tc>
      </w:tr>
      <w:tr>
        <w:trPr>
          <w:trHeight w:val="239"/>
        </w:trPr>
        <w:tc>
          <w:tcPr>
            <w:tcW w:w="576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2.85</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2.58</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1.80</w:t>
            </w:r>
          </w:p>
        </w:tc>
      </w:tr>
    </w:tbl>
    <w:p>
      <w:pPr>
        <w:spacing w:after="0" w:line="53"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Sales</w:t>
      </w:r>
    </w:p>
    <w:p>
      <w:pPr>
        <w:spacing w:after="0" w:line="135" w:lineRule="exact"/>
        <w:rPr>
          <w:sz w:val="20"/>
          <w:szCs w:val="20"/>
          <w:color w:val="auto"/>
        </w:rPr>
      </w:pPr>
    </w:p>
    <w:p>
      <w:pPr>
        <w:jc w:val="both"/>
        <w:ind w:left="60" w:right="519"/>
        <w:spacing w:after="0" w:line="253" w:lineRule="auto"/>
        <w:rPr>
          <w:sz w:val="20"/>
          <w:szCs w:val="20"/>
          <w:color w:val="auto"/>
        </w:rPr>
      </w:pPr>
      <w:r>
        <w:rPr>
          <w:rFonts w:ascii="Arial" w:cs="Arial" w:eastAsia="Arial" w:hAnsi="Arial"/>
          <w:sz w:val="18"/>
          <w:szCs w:val="18"/>
          <w:color w:val="auto"/>
        </w:rPr>
        <w:t>All references to comparable-store sales for a given period relate to sales of stores that are open at the period-end and have been open for more than one year. The computation of comparable-store sales also includes the sales of the Direct-to-Customers segment. Stores opened or closed during the period are not included in the comparable-store base; however, stores closed temporarily for relocation or remodeling are included. Computations exclude the effects of foreign currency fluctuations.</w:t>
      </w:r>
    </w:p>
    <w:p>
      <w:pPr>
        <w:spacing w:after="0" w:line="97" w:lineRule="exact"/>
        <w:rPr>
          <w:sz w:val="20"/>
          <w:szCs w:val="20"/>
          <w:color w:val="auto"/>
        </w:rPr>
      </w:pPr>
    </w:p>
    <w:p>
      <w:pPr>
        <w:jc w:val="both"/>
        <w:ind w:left="60" w:right="519"/>
        <w:spacing w:after="0" w:line="256" w:lineRule="auto"/>
        <w:rPr>
          <w:sz w:val="20"/>
          <w:szCs w:val="20"/>
          <w:color w:val="auto"/>
        </w:rPr>
      </w:pPr>
      <w:r>
        <w:rPr>
          <w:rFonts w:ascii="Arial" w:cs="Arial" w:eastAsia="Arial" w:hAnsi="Arial"/>
          <w:sz w:val="18"/>
          <w:szCs w:val="18"/>
          <w:color w:val="auto"/>
        </w:rPr>
        <w:t>Sales from acquired businesses that include inventory are included in the computation of comparable-store sales after 15 months of operations. Accordingly, sales of Runners Point Group have been excluded from the computation of comparable-store sales. Runners Point Group sales will be included in the computation beginning in October 2014.</w:t>
      </w:r>
    </w:p>
    <w:p>
      <w:pPr>
        <w:spacing w:after="0" w:line="94" w:lineRule="exact"/>
        <w:rPr>
          <w:sz w:val="20"/>
          <w:szCs w:val="20"/>
          <w:color w:val="auto"/>
        </w:rPr>
      </w:pPr>
    </w:p>
    <w:p>
      <w:pPr>
        <w:jc w:val="both"/>
        <w:ind w:left="60" w:right="519"/>
        <w:spacing w:after="0" w:line="256" w:lineRule="auto"/>
        <w:rPr>
          <w:sz w:val="20"/>
          <w:szCs w:val="20"/>
          <w:color w:val="auto"/>
        </w:rPr>
      </w:pPr>
      <w:r>
        <w:rPr>
          <w:rFonts w:ascii="Arial" w:cs="Arial" w:eastAsia="Arial" w:hAnsi="Arial"/>
          <w:sz w:val="18"/>
          <w:szCs w:val="18"/>
          <w:color w:val="auto"/>
        </w:rPr>
        <w:t>Sales of $6,505 million in 2013 increased by 5.2 percent from sales of $6,182 million in 2012, this represented a comparable-store sales increase of 4.2 percent. Excluding the effect of foreign currency fluctuations and sales of Runners Point Group, sales increased 2.4 percent as compared with the 53 weeks of 2012. Results for 2012 include</w:t>
      </w:r>
    </w:p>
    <w:p>
      <w:pPr>
        <w:spacing w:after="0" w:line="13" w:lineRule="exact"/>
        <w:rPr>
          <w:sz w:val="20"/>
          <w:szCs w:val="20"/>
          <w:color w:val="auto"/>
        </w:rPr>
      </w:pPr>
    </w:p>
    <w:p>
      <w:pPr>
        <w:jc w:val="both"/>
        <w:ind w:left="60" w:right="519"/>
        <w:spacing w:after="0" w:line="205" w:lineRule="auto"/>
        <w:rPr>
          <w:sz w:val="20"/>
          <w:szCs w:val="20"/>
          <w:color w:val="auto"/>
        </w:rPr>
      </w:pPr>
      <w:r>
        <w:rPr>
          <w:rFonts w:ascii="Arial" w:cs="Arial" w:eastAsia="Arial" w:hAnsi="Arial"/>
          <w:sz w:val="18"/>
          <w:szCs w:val="18"/>
          <w:color w:val="auto"/>
        </w:rPr>
        <w:t>the effect of the 53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week, which represented sales of $81 million. Overall in 2013, footwear sales and apparel and accessories sales represented 77 percent and 23 percent of total sales, respectively.</w:t>
      </w:r>
    </w:p>
    <w:p>
      <w:pPr>
        <w:spacing w:after="0" w:line="109" w:lineRule="exact"/>
        <w:rPr>
          <w:sz w:val="20"/>
          <w:szCs w:val="20"/>
          <w:color w:val="auto"/>
        </w:rPr>
      </w:pPr>
    </w:p>
    <w:p>
      <w:pPr>
        <w:jc w:val="both"/>
        <w:ind w:left="60" w:right="519"/>
        <w:spacing w:after="0" w:line="254" w:lineRule="auto"/>
        <w:rPr>
          <w:sz w:val="20"/>
          <w:szCs w:val="20"/>
          <w:color w:val="auto"/>
        </w:rPr>
      </w:pPr>
      <w:r>
        <w:rPr>
          <w:rFonts w:ascii="Arial" w:cs="Arial" w:eastAsia="Arial" w:hAnsi="Arial"/>
          <w:sz w:val="18"/>
          <w:szCs w:val="18"/>
          <w:color w:val="auto"/>
        </w:rPr>
        <w:t>Sales in 2012 increased to $6,182 million, or by 9.9 percent as compared with 2011. Excluding the effect of foreign currency fluctuations, sales increased 11.4 percent as compared with 2011. Comparable-store sales increased by 9.4 percent. This increase primarily reflected higher footwear sales, which represented approximately 76 percent of sales. Apparel and accessories sales, also increased during 2012 and represented 24 percent of total sales.</w:t>
      </w:r>
    </w:p>
    <w:p>
      <w:pPr>
        <w:spacing w:after="0" w:line="7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55688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56885" cy="8890"/>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40" w:type="dxa"/>
            <w:vAlign w:val="bottom"/>
          </w:tcPr>
          <w:p>
            <w:pPr>
              <w:spacing w:after="0"/>
              <w:rPr>
                <w:sz w:val="15"/>
                <w:szCs w:val="15"/>
                <w:color w:val="auto"/>
              </w:rPr>
            </w:pPr>
          </w:p>
        </w:tc>
        <w:tc>
          <w:tcPr>
            <w:tcW w:w="8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5"/>
                <w:szCs w:val="15"/>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5"/>
                <w:szCs w:val="15"/>
                <w:color w:val="auto"/>
              </w:rPr>
            </w:pPr>
          </w:p>
        </w:tc>
        <w:tc>
          <w:tcPr>
            <w:tcW w:w="9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2011</w:t>
            </w:r>
          </w:p>
        </w:tc>
      </w:tr>
      <w:tr>
        <w:trPr>
          <w:trHeight w:val="196"/>
        </w:trPr>
        <w:tc>
          <w:tcPr>
            <w:tcW w:w="5740" w:type="dxa"/>
            <w:vAlign w:val="bottom"/>
            <w:shd w:val="clear" w:color="auto" w:fill="C0C0C0"/>
          </w:tcPr>
          <w:p>
            <w:pPr>
              <w:ind w:left="20"/>
              <w:spacing w:after="0" w:line="196" w:lineRule="exact"/>
              <w:rPr>
                <w:sz w:val="20"/>
                <w:szCs w:val="20"/>
                <w:color w:val="auto"/>
              </w:rPr>
            </w:pPr>
            <w:r>
              <w:rPr>
                <w:rFonts w:ascii="Arial" w:cs="Arial" w:eastAsia="Arial" w:hAnsi="Arial"/>
                <w:sz w:val="18"/>
                <w:szCs w:val="18"/>
                <w:color w:val="auto"/>
              </w:rPr>
              <w:t>Gross margin rate</w:t>
            </w:r>
          </w:p>
        </w:tc>
        <w:tc>
          <w:tcPr>
            <w:tcW w:w="880" w:type="dxa"/>
            <w:vAlign w:val="bottom"/>
            <w:shd w:val="clear" w:color="auto" w:fill="C0C0C0"/>
          </w:tcPr>
          <w:p>
            <w:pPr>
              <w:jc w:val="right"/>
              <w:ind w:right="79"/>
              <w:spacing w:after="0" w:line="196" w:lineRule="exact"/>
              <w:rPr>
                <w:sz w:val="20"/>
                <w:szCs w:val="20"/>
                <w:color w:val="auto"/>
              </w:rPr>
            </w:pPr>
            <w:r>
              <w:rPr>
                <w:rFonts w:ascii="Arial" w:cs="Arial" w:eastAsia="Arial" w:hAnsi="Arial"/>
                <w:sz w:val="18"/>
                <w:szCs w:val="18"/>
                <w:b w:val="1"/>
                <w:bCs w:val="1"/>
                <w:color w:val="auto"/>
              </w:rPr>
              <w:t>32.8%</w:t>
            </w:r>
          </w:p>
        </w:tc>
        <w:tc>
          <w:tcPr>
            <w:tcW w:w="1020" w:type="dxa"/>
            <w:vAlign w:val="bottom"/>
            <w:gridSpan w:val="2"/>
            <w:shd w:val="clear" w:color="auto" w:fill="C0C0C0"/>
          </w:tcPr>
          <w:p>
            <w:pPr>
              <w:jc w:val="right"/>
              <w:ind w:right="68"/>
              <w:spacing w:after="0" w:line="196" w:lineRule="exact"/>
              <w:rPr>
                <w:sz w:val="20"/>
                <w:szCs w:val="20"/>
                <w:color w:val="auto"/>
              </w:rPr>
            </w:pPr>
            <w:r>
              <w:rPr>
                <w:rFonts w:ascii="Arial" w:cs="Arial" w:eastAsia="Arial" w:hAnsi="Arial"/>
                <w:sz w:val="18"/>
                <w:szCs w:val="18"/>
                <w:color w:val="auto"/>
              </w:rPr>
              <w:t>32.9%</w:t>
            </w:r>
          </w:p>
        </w:tc>
        <w:tc>
          <w:tcPr>
            <w:tcW w:w="1140" w:type="dxa"/>
            <w:vAlign w:val="bottom"/>
            <w:gridSpan w:val="2"/>
            <w:shd w:val="clear" w:color="auto" w:fill="C0C0C0"/>
          </w:tcPr>
          <w:p>
            <w:pPr>
              <w:jc w:val="right"/>
              <w:ind w:right="128"/>
              <w:spacing w:after="0" w:line="196" w:lineRule="exact"/>
              <w:rPr>
                <w:sz w:val="20"/>
                <w:szCs w:val="20"/>
                <w:color w:val="auto"/>
              </w:rPr>
            </w:pPr>
            <w:r>
              <w:rPr>
                <w:rFonts w:ascii="Arial" w:cs="Arial" w:eastAsia="Arial" w:hAnsi="Arial"/>
                <w:sz w:val="18"/>
                <w:szCs w:val="18"/>
                <w:color w:val="auto"/>
              </w:rPr>
              <w:t>31.9%</w:t>
            </w:r>
          </w:p>
        </w:tc>
      </w:tr>
    </w:tbl>
    <w:p>
      <w:pPr>
        <w:spacing w:after="0" w:line="107" w:lineRule="exact"/>
        <w:rPr>
          <w:sz w:val="20"/>
          <w:szCs w:val="20"/>
          <w:color w:val="auto"/>
        </w:rPr>
      </w:pPr>
    </w:p>
    <w:p>
      <w:pPr>
        <w:jc w:val="both"/>
        <w:ind w:left="60" w:right="519"/>
        <w:spacing w:after="0" w:line="253" w:lineRule="auto"/>
        <w:rPr>
          <w:sz w:val="20"/>
          <w:szCs w:val="20"/>
          <w:color w:val="auto"/>
        </w:rPr>
      </w:pPr>
      <w:r>
        <w:rPr>
          <w:rFonts w:ascii="Arial" w:cs="Arial" w:eastAsia="Arial" w:hAnsi="Arial"/>
          <w:sz w:val="18"/>
          <w:szCs w:val="18"/>
          <w:color w:val="auto"/>
        </w:rPr>
        <w:t>Gross margin as a percentage of sales was 32.8 percent in 2013, representing a decrease of 10 basis points as compared with the prior year. The decrease in the gross margin rate included an increase in the cost of merchandise of 10 basis points. Occupancy and buyers’ compensation expense rate remained unchanged, as a percentage of sales, as compared with the 53 weeks of 2012. The decline in the merchandise margin rate primarily reflects the effect of lower initial markups. Vendor allowances had no effect on the gross margin rate, as compared with the prior year.</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Excluding the effect of the 53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week in 2012, the gross margin rate was flat as compared with the prior year.</w:t>
      </w:r>
    </w:p>
    <w:p>
      <w:pPr>
        <w:spacing w:after="0" w:line="20"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Gross margin as a percentage of sales was 32.9 percent in 2012, representing an increase of 100 basis points as compared with the prior year. The increase in the gross margin rate included a decrease of 110 basis points in the occupancy and buyers’ compensation expense rate reflecting improved leverage on largely fixed costs, offset by an increase in the cost of merchandise of 10 basis points. The decline in the merchandise margin rate primarily reflected the effect of lower initial markups, higher markdowns in Europe, and the effect of lower shipping and handling income. The markdowns in Europe were necessary to ensure that merchandise inventories remained current and in line with sales trend. The Direct-to-Customers segment continued to provide free</w:t>
      </w:r>
    </w:p>
    <w:p>
      <w:pPr>
        <w:spacing w:after="0" w:line="200" w:lineRule="exact"/>
        <w:rPr>
          <w:sz w:val="20"/>
          <w:szCs w:val="20"/>
          <w:color w:val="auto"/>
        </w:rPr>
      </w:pPr>
    </w:p>
    <w:p>
      <w:pPr>
        <w:spacing w:after="0" w:line="35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96520</wp:posOffset>
            </wp:positionV>
            <wp:extent cx="6114415" cy="596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21" w:name="page22"/>
    <w:bookmarkEnd w:id="2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shipping offers to remain competitive with other Internet retailers. Vendor allowances had no effect on the gross margin</w:t>
      </w:r>
    </w:p>
    <w:p>
      <w:pPr>
        <w:spacing w:after="0" w:line="36" w:lineRule="exact"/>
        <w:rPr>
          <w:sz w:val="20"/>
          <w:szCs w:val="20"/>
          <w:color w:val="auto"/>
        </w:rPr>
      </w:pPr>
    </w:p>
    <w:p>
      <w:pPr>
        <w:jc w:val="both"/>
        <w:ind w:left="60" w:right="519"/>
        <w:spacing w:after="0" w:line="205" w:lineRule="auto"/>
        <w:rPr>
          <w:sz w:val="20"/>
          <w:szCs w:val="20"/>
          <w:color w:val="auto"/>
        </w:rPr>
      </w:pPr>
      <w:r>
        <w:rPr>
          <w:rFonts w:ascii="Arial" w:cs="Arial" w:eastAsia="Arial" w:hAnsi="Arial"/>
          <w:sz w:val="18"/>
          <w:szCs w:val="18"/>
          <w:color w:val="auto"/>
        </w:rPr>
        <w:t>rate, as compared with the prior year. Excluding the effect of the 53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week in 2012, gross margin increased by 90 basis points as compared with 2011.</w:t>
      </w:r>
    </w:p>
    <w:p>
      <w:pPr>
        <w:spacing w:after="0" w:line="9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5568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56885" cy="8890"/>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40" w:type="dxa"/>
            <w:vAlign w:val="bottom"/>
          </w:tcPr>
          <w:p>
            <w:pPr>
              <w:spacing w:after="0"/>
              <w:rPr>
                <w:sz w:val="15"/>
                <w:szCs w:val="15"/>
                <w:color w:val="auto"/>
              </w:rPr>
            </w:pPr>
          </w:p>
        </w:tc>
        <w:tc>
          <w:tcPr>
            <w:tcW w:w="8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5"/>
                <w:szCs w:val="15"/>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5"/>
                <w:szCs w:val="15"/>
                <w:color w:val="auto"/>
              </w:rPr>
            </w:pPr>
          </w:p>
        </w:tc>
        <w:tc>
          <w:tcPr>
            <w:tcW w:w="9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2011</w:t>
            </w:r>
          </w:p>
        </w:tc>
      </w:tr>
      <w:tr>
        <w:trPr>
          <w:trHeight w:val="196"/>
        </w:trPr>
        <w:tc>
          <w:tcPr>
            <w:tcW w:w="5740" w:type="dxa"/>
            <w:vAlign w:val="bottom"/>
            <w:shd w:val="clear" w:color="auto" w:fill="C0C0C0"/>
          </w:tcPr>
          <w:p>
            <w:pPr>
              <w:ind w:left="20"/>
              <w:spacing w:after="0" w:line="196" w:lineRule="exact"/>
              <w:rPr>
                <w:sz w:val="20"/>
                <w:szCs w:val="20"/>
                <w:color w:val="auto"/>
              </w:rPr>
            </w:pPr>
            <w:r>
              <w:rPr>
                <w:rFonts w:ascii="Arial" w:cs="Arial" w:eastAsia="Arial" w:hAnsi="Arial"/>
                <w:sz w:val="18"/>
                <w:szCs w:val="18"/>
                <w:color w:val="auto"/>
              </w:rPr>
              <w:t>SG&amp;A as a percentage of sales</w:t>
            </w:r>
          </w:p>
        </w:tc>
        <w:tc>
          <w:tcPr>
            <w:tcW w:w="880" w:type="dxa"/>
            <w:vAlign w:val="bottom"/>
            <w:shd w:val="clear" w:color="auto" w:fill="C0C0C0"/>
          </w:tcPr>
          <w:p>
            <w:pPr>
              <w:jc w:val="right"/>
              <w:ind w:right="79"/>
              <w:spacing w:after="0" w:line="196" w:lineRule="exact"/>
              <w:rPr>
                <w:sz w:val="20"/>
                <w:szCs w:val="20"/>
                <w:color w:val="auto"/>
              </w:rPr>
            </w:pPr>
            <w:r>
              <w:rPr>
                <w:rFonts w:ascii="Arial" w:cs="Arial" w:eastAsia="Arial" w:hAnsi="Arial"/>
                <w:sz w:val="18"/>
                <w:szCs w:val="18"/>
                <w:b w:val="1"/>
                <w:bCs w:val="1"/>
                <w:color w:val="auto"/>
              </w:rPr>
              <w:t>20.5%</w:t>
            </w:r>
          </w:p>
        </w:tc>
        <w:tc>
          <w:tcPr>
            <w:tcW w:w="1020" w:type="dxa"/>
            <w:vAlign w:val="bottom"/>
            <w:gridSpan w:val="2"/>
            <w:shd w:val="clear" w:color="auto" w:fill="C0C0C0"/>
          </w:tcPr>
          <w:p>
            <w:pPr>
              <w:jc w:val="right"/>
              <w:ind w:right="68"/>
              <w:spacing w:after="0" w:line="196" w:lineRule="exact"/>
              <w:rPr>
                <w:sz w:val="20"/>
                <w:szCs w:val="20"/>
                <w:color w:val="auto"/>
              </w:rPr>
            </w:pPr>
            <w:r>
              <w:rPr>
                <w:rFonts w:ascii="Arial" w:cs="Arial" w:eastAsia="Arial" w:hAnsi="Arial"/>
                <w:sz w:val="18"/>
                <w:szCs w:val="18"/>
                <w:color w:val="auto"/>
              </w:rPr>
              <w:t>20.9%</w:t>
            </w:r>
          </w:p>
        </w:tc>
        <w:tc>
          <w:tcPr>
            <w:tcW w:w="1140" w:type="dxa"/>
            <w:vAlign w:val="bottom"/>
            <w:gridSpan w:val="2"/>
            <w:shd w:val="clear" w:color="auto" w:fill="C0C0C0"/>
          </w:tcPr>
          <w:p>
            <w:pPr>
              <w:jc w:val="right"/>
              <w:ind w:right="128"/>
              <w:spacing w:after="0" w:line="196" w:lineRule="exact"/>
              <w:rPr>
                <w:sz w:val="20"/>
                <w:szCs w:val="20"/>
                <w:color w:val="auto"/>
              </w:rPr>
            </w:pPr>
            <w:r>
              <w:rPr>
                <w:rFonts w:ascii="Arial" w:cs="Arial" w:eastAsia="Arial" w:hAnsi="Arial"/>
                <w:sz w:val="18"/>
                <w:szCs w:val="18"/>
                <w:color w:val="auto"/>
              </w:rPr>
              <w:t>22.1%</w:t>
            </w:r>
          </w:p>
        </w:tc>
      </w:tr>
    </w:tbl>
    <w:p>
      <w:pPr>
        <w:spacing w:after="0" w:line="107" w:lineRule="exact"/>
        <w:rPr>
          <w:sz w:val="20"/>
          <w:szCs w:val="20"/>
          <w:color w:val="auto"/>
        </w:rPr>
      </w:pPr>
    </w:p>
    <w:p>
      <w:pPr>
        <w:jc w:val="both"/>
        <w:ind w:left="60" w:right="519"/>
        <w:spacing w:after="0" w:line="254" w:lineRule="auto"/>
        <w:rPr>
          <w:sz w:val="20"/>
          <w:szCs w:val="20"/>
          <w:color w:val="auto"/>
        </w:rPr>
      </w:pPr>
      <w:r>
        <w:rPr>
          <w:rFonts w:ascii="Arial" w:cs="Arial" w:eastAsia="Arial" w:hAnsi="Arial"/>
          <w:sz w:val="18"/>
          <w:szCs w:val="18"/>
          <w:color w:val="auto"/>
        </w:rPr>
        <w:t>Selling, general and administrative (“SG&amp;A”) expenses increased by $40 million, or 3.1 percent, to $ 1,334 million in 2013, as compared with 2012. Excluding the effect of foreign currency fluctuations, SG&amp;A increased by $34 million. Runners Point Group, which was acquired in early July 2013, represented an incremental $45 million in expenses. Additionally, the Company incurred $6 million in integration and acquisition costs during 2013. Excluding foreign</w:t>
      </w:r>
    </w:p>
    <w:p>
      <w:pPr>
        <w:spacing w:after="0" w:line="15" w:lineRule="exact"/>
        <w:rPr>
          <w:sz w:val="20"/>
          <w:szCs w:val="20"/>
          <w:color w:val="auto"/>
        </w:rPr>
      </w:pPr>
    </w:p>
    <w:p>
      <w:pPr>
        <w:jc w:val="both"/>
        <w:ind w:left="60" w:right="539"/>
        <w:spacing w:after="0" w:line="205" w:lineRule="auto"/>
        <w:rPr>
          <w:sz w:val="20"/>
          <w:szCs w:val="20"/>
          <w:color w:val="auto"/>
        </w:rPr>
      </w:pPr>
      <w:r>
        <w:rPr>
          <w:rFonts w:ascii="Arial" w:cs="Arial" w:eastAsia="Arial" w:hAnsi="Arial"/>
          <w:sz w:val="18"/>
          <w:szCs w:val="18"/>
          <w:color w:val="auto"/>
        </w:rPr>
        <w:t>currency fluctuations, the effect of the recent acquisition, and the effect of the 53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week in 2012, SG&amp;A decreased by $4 million. The decrease reflects effective expense management, specifically variable costs.</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SG&amp;A expenses increased by $50 million, or 4.0 percent, to $1,294 million in 2012, as compared with 2011. Excluding</w:t>
      </w:r>
    </w:p>
    <w:p>
      <w:pPr>
        <w:spacing w:after="0" w:line="36" w:lineRule="exact"/>
        <w:rPr>
          <w:sz w:val="20"/>
          <w:szCs w:val="20"/>
          <w:color w:val="auto"/>
        </w:rPr>
      </w:pPr>
    </w:p>
    <w:p>
      <w:pPr>
        <w:jc w:val="both"/>
        <w:ind w:left="60" w:right="519"/>
        <w:spacing w:after="0" w:line="225" w:lineRule="auto"/>
        <w:rPr>
          <w:sz w:val="20"/>
          <w:szCs w:val="20"/>
          <w:color w:val="auto"/>
        </w:rPr>
      </w:pPr>
      <w:r>
        <w:rPr>
          <w:rFonts w:ascii="Arial" w:cs="Arial" w:eastAsia="Arial" w:hAnsi="Arial"/>
          <w:sz w:val="18"/>
          <w:szCs w:val="18"/>
          <w:color w:val="auto"/>
        </w:rPr>
        <w:t>the effect of foreign currency fluctuations, SG&amp;A increased by $69 million. This increase reflects the effect of the 53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week, which contributed $13 million in additional expenses, as well as higher variable expenses to support sales, such as store wages and banking expenses. The Company also increased its marketing and advertising spending by $8 million during 2012 in order to support the Company’s strategic objective of differentiating its formats.</w:t>
      </w:r>
    </w:p>
    <w:p>
      <w:pPr>
        <w:spacing w:after="0" w:line="8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5657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60" w:type="dxa"/>
            <w:vAlign w:val="bottom"/>
          </w:tcPr>
          <w:p>
            <w:pPr>
              <w:spacing w:after="0"/>
              <w:rPr>
                <w:sz w:val="15"/>
                <w:szCs w:val="15"/>
                <w:color w:val="auto"/>
              </w:rPr>
            </w:pP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5"/>
                <w:szCs w:val="15"/>
                <w:color w:val="auto"/>
              </w:rPr>
            </w:pPr>
          </w:p>
        </w:tc>
        <w:tc>
          <w:tcPr>
            <w:tcW w:w="8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5"/>
                <w:szCs w:val="15"/>
                <w:color w:val="auto"/>
              </w:rPr>
            </w:pPr>
          </w:p>
        </w:tc>
        <w:tc>
          <w:tcPr>
            <w:tcW w:w="9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2011</w:t>
            </w:r>
          </w:p>
        </w:tc>
      </w:tr>
      <w:tr>
        <w:trPr>
          <w:trHeight w:val="196"/>
        </w:trPr>
        <w:tc>
          <w:tcPr>
            <w:tcW w:w="5760" w:type="dxa"/>
            <w:vAlign w:val="bottom"/>
            <w:shd w:val="clear" w:color="auto" w:fill="C0C0C0"/>
          </w:tcPr>
          <w:p>
            <w:pPr>
              <w:ind w:left="20"/>
              <w:spacing w:after="0" w:line="196" w:lineRule="exact"/>
              <w:rPr>
                <w:sz w:val="20"/>
                <w:szCs w:val="20"/>
                <w:color w:val="auto"/>
              </w:rPr>
            </w:pPr>
            <w:r>
              <w:rPr>
                <w:rFonts w:ascii="Arial" w:cs="Arial" w:eastAsia="Arial" w:hAnsi="Arial"/>
                <w:sz w:val="18"/>
                <w:szCs w:val="18"/>
                <w:color w:val="auto"/>
              </w:rPr>
              <w:t>Percentage increase</w:t>
            </w:r>
          </w:p>
        </w:tc>
        <w:tc>
          <w:tcPr>
            <w:tcW w:w="860" w:type="dxa"/>
            <w:vAlign w:val="bottom"/>
            <w:shd w:val="clear" w:color="auto" w:fill="C0C0C0"/>
          </w:tcPr>
          <w:p>
            <w:pPr>
              <w:jc w:val="right"/>
              <w:ind w:right="59"/>
              <w:spacing w:after="0" w:line="196" w:lineRule="exact"/>
              <w:rPr>
                <w:sz w:val="20"/>
                <w:szCs w:val="20"/>
                <w:color w:val="auto"/>
              </w:rPr>
            </w:pPr>
            <w:r>
              <w:rPr>
                <w:rFonts w:ascii="Arial" w:cs="Arial" w:eastAsia="Arial" w:hAnsi="Arial"/>
                <w:sz w:val="18"/>
                <w:szCs w:val="18"/>
                <w:b w:val="1"/>
                <w:bCs w:val="1"/>
                <w:color w:val="auto"/>
              </w:rPr>
              <w:t>12.7%</w:t>
            </w:r>
          </w:p>
        </w:tc>
        <w:tc>
          <w:tcPr>
            <w:tcW w:w="1040" w:type="dxa"/>
            <w:vAlign w:val="bottom"/>
            <w:gridSpan w:val="2"/>
            <w:shd w:val="clear" w:color="auto" w:fill="C0C0C0"/>
          </w:tcPr>
          <w:p>
            <w:pPr>
              <w:ind w:left="420"/>
              <w:spacing w:after="0" w:line="196" w:lineRule="exact"/>
              <w:rPr>
                <w:sz w:val="20"/>
                <w:szCs w:val="20"/>
                <w:color w:val="auto"/>
              </w:rPr>
            </w:pPr>
            <w:r>
              <w:rPr>
                <w:rFonts w:ascii="Arial" w:cs="Arial" w:eastAsia="Arial" w:hAnsi="Arial"/>
                <w:sz w:val="18"/>
                <w:szCs w:val="18"/>
                <w:color w:val="auto"/>
              </w:rPr>
              <w:t>7.3%</w:t>
            </w:r>
          </w:p>
        </w:tc>
        <w:tc>
          <w:tcPr>
            <w:tcW w:w="1120" w:type="dxa"/>
            <w:vAlign w:val="bottom"/>
            <w:gridSpan w:val="2"/>
            <w:shd w:val="clear" w:color="auto" w:fill="C0C0C0"/>
          </w:tcPr>
          <w:p>
            <w:pPr>
              <w:ind w:left="460"/>
              <w:spacing w:after="0" w:line="196" w:lineRule="exact"/>
              <w:rPr>
                <w:sz w:val="20"/>
                <w:szCs w:val="20"/>
                <w:color w:val="auto"/>
              </w:rPr>
            </w:pPr>
            <w:r>
              <w:rPr>
                <w:rFonts w:ascii="Arial" w:cs="Arial" w:eastAsia="Arial" w:hAnsi="Arial"/>
                <w:sz w:val="18"/>
                <w:szCs w:val="18"/>
                <w:color w:val="auto"/>
              </w:rPr>
              <w:t>3.8%</w:t>
            </w:r>
          </w:p>
        </w:tc>
      </w:tr>
    </w:tbl>
    <w:p>
      <w:pPr>
        <w:spacing w:after="0" w:line="107" w:lineRule="exact"/>
        <w:rPr>
          <w:sz w:val="20"/>
          <w:szCs w:val="20"/>
          <w:color w:val="auto"/>
        </w:rPr>
      </w:pPr>
    </w:p>
    <w:p>
      <w:pPr>
        <w:jc w:val="both"/>
        <w:ind w:left="60" w:right="539"/>
        <w:spacing w:after="0" w:line="256" w:lineRule="auto"/>
        <w:rPr>
          <w:sz w:val="20"/>
          <w:szCs w:val="20"/>
          <w:color w:val="auto"/>
        </w:rPr>
      </w:pPr>
      <w:r>
        <w:rPr>
          <w:rFonts w:ascii="Arial" w:cs="Arial" w:eastAsia="Arial" w:hAnsi="Arial"/>
          <w:sz w:val="18"/>
          <w:szCs w:val="18"/>
          <w:color w:val="auto"/>
        </w:rPr>
        <w:t>The increases in both 2013 and 2012 reflect increased capital spending on store improvements and technology. In addition, the increase in the current year reflects the inclusion of depreciation and amortization relating to the Runners Point Group of $6 million. The effect of foreign currency fluctuations was not significant for 2013.</w:t>
      </w:r>
    </w:p>
    <w:p>
      <w:pPr>
        <w:spacing w:after="0" w:line="7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5657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5"/>
        </w:trPr>
        <w:tc>
          <w:tcPr>
            <w:tcW w:w="576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rPr>
              <w:t>11</w:t>
            </w:r>
          </w:p>
        </w:tc>
        <w:tc>
          <w:tcPr>
            <w:tcW w:w="160" w:type="dxa"/>
            <w:vAlign w:val="bottom"/>
          </w:tcPr>
          <w:p>
            <w:pPr>
              <w:spacing w:after="0"/>
              <w:rPr>
                <w:sz w:val="16"/>
                <w:szCs w:val="16"/>
                <w:color w:val="auto"/>
              </w:rPr>
            </w:pPr>
          </w:p>
        </w:tc>
        <w:tc>
          <w:tcPr>
            <w:tcW w:w="1040" w:type="dxa"/>
            <w:vAlign w:val="bottom"/>
            <w:gridSpan w:val="4"/>
          </w:tcPr>
          <w:p>
            <w:pPr>
              <w:ind w:left="8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3" w:lineRule="exact"/>
              <w:rPr>
                <w:sz w:val="20"/>
                <w:szCs w:val="20"/>
                <w:color w:val="auto"/>
              </w:rPr>
            </w:pPr>
            <w:r>
              <w:rPr>
                <w:rFonts w:ascii="Arial" w:cs="Arial" w:eastAsia="Arial" w:hAnsi="Arial"/>
                <w:sz w:val="18"/>
                <w:szCs w:val="18"/>
                <w:color w:val="auto"/>
              </w:rPr>
              <w:t>Interest expense</w:t>
            </w:r>
          </w:p>
        </w:tc>
        <w:tc>
          <w:tcPr>
            <w:tcW w:w="180" w:type="dxa"/>
            <w:vAlign w:val="bottom"/>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360" w:type="dxa"/>
            <w:vAlign w:val="bottom"/>
            <w:gridSpan w:val="2"/>
          </w:tcPr>
          <w:p>
            <w:pPr>
              <w:jc w:val="right"/>
              <w:ind w:right="8"/>
              <w:spacing w:after="0" w:line="203"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60"/>
              <w:spacing w:after="0" w:line="203" w:lineRule="exact"/>
              <w:rPr>
                <w:sz w:val="20"/>
                <w:szCs w:val="20"/>
                <w:color w:val="auto"/>
              </w:rPr>
            </w:pPr>
            <w:r>
              <w:rPr>
                <w:rFonts w:ascii="Arial" w:cs="Arial" w:eastAsia="Arial" w:hAnsi="Arial"/>
                <w:sz w:val="18"/>
                <w:szCs w:val="18"/>
                <w:color w:val="auto"/>
              </w:rPr>
              <w:t>11</w:t>
            </w:r>
          </w:p>
        </w:tc>
        <w:tc>
          <w:tcPr>
            <w:tcW w:w="160" w:type="dxa"/>
            <w:vAlign w:val="bottom"/>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00"/>
              <w:spacing w:after="0" w:line="203"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57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18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280"/>
              <w:spacing w:after="0" w:line="202" w:lineRule="exact"/>
              <w:rPr>
                <w:sz w:val="20"/>
                <w:szCs w:val="20"/>
                <w:color w:val="auto"/>
              </w:rPr>
            </w:pPr>
            <w:r>
              <w:rPr>
                <w:rFonts w:ascii="Arial" w:cs="Arial" w:eastAsia="Arial" w:hAnsi="Arial"/>
                <w:sz w:val="18"/>
                <w:szCs w:val="18"/>
                <w:b w:val="1"/>
                <w:bCs w:val="1"/>
                <w:color w:val="auto"/>
              </w:rPr>
              <w:t>(6)</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300"/>
              <w:spacing w:after="0" w:line="202" w:lineRule="exact"/>
              <w:rPr>
                <w:sz w:val="20"/>
                <w:szCs w:val="20"/>
                <w:color w:val="auto"/>
              </w:rPr>
            </w:pPr>
            <w:r>
              <w:rPr>
                <w:rFonts w:ascii="Arial" w:cs="Arial" w:eastAsia="Arial" w:hAnsi="Arial"/>
                <w:sz w:val="18"/>
                <w:szCs w:val="18"/>
                <w:color w:val="auto"/>
              </w:rPr>
              <w:t>(6)</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34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76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tcPr>
          <w:p>
            <w:pPr>
              <w:ind w:left="200"/>
              <w:spacing w:after="0" w:line="196" w:lineRule="exact"/>
              <w:rPr>
                <w:sz w:val="20"/>
                <w:szCs w:val="20"/>
                <w:color w:val="auto"/>
              </w:rPr>
            </w:pPr>
            <w:r>
              <w:rPr>
                <w:rFonts w:ascii="Arial" w:cs="Arial" w:eastAsia="Arial" w:hAnsi="Arial"/>
                <w:sz w:val="18"/>
                <w:szCs w:val="18"/>
                <w:color w:val="auto"/>
              </w:rPr>
              <w:t>Interest expense, net</w:t>
            </w:r>
          </w:p>
        </w:tc>
        <w:tc>
          <w:tcPr>
            <w:tcW w:w="1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680" w:type="dxa"/>
            <w:vAlign w:val="bottom"/>
            <w:gridSpan w:val="2"/>
          </w:tcPr>
          <w:p>
            <w:pPr>
              <w:jc w:val="right"/>
              <w:ind w:right="340"/>
              <w:spacing w:after="0" w:line="196" w:lineRule="exact"/>
              <w:rPr>
                <w:sz w:val="20"/>
                <w:szCs w:val="20"/>
                <w:color w:val="auto"/>
              </w:rPr>
            </w:pPr>
            <w:r>
              <w:rPr>
                <w:rFonts w:ascii="Arial" w:cs="Arial" w:eastAsia="Arial" w:hAnsi="Arial"/>
                <w:sz w:val="18"/>
                <w:szCs w:val="18"/>
                <w:b w:val="1"/>
                <w:bCs w:val="1"/>
                <w:color w:val="auto"/>
              </w:rPr>
              <w:t>5</w:t>
            </w:r>
          </w:p>
        </w:tc>
        <w:tc>
          <w:tcPr>
            <w:tcW w:w="360" w:type="dxa"/>
            <w:vAlign w:val="bottom"/>
            <w:gridSpan w:val="2"/>
          </w:tcPr>
          <w:p>
            <w:pPr>
              <w:jc w:val="right"/>
              <w:ind w:right="8"/>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60"/>
              <w:spacing w:after="0" w:line="196" w:lineRule="exact"/>
              <w:rPr>
                <w:sz w:val="20"/>
                <w:szCs w:val="20"/>
                <w:color w:val="auto"/>
              </w:rPr>
            </w:pPr>
            <w:r>
              <w:rPr>
                <w:rFonts w:ascii="Arial" w:cs="Arial" w:eastAsia="Arial" w:hAnsi="Arial"/>
                <w:sz w:val="18"/>
                <w:szCs w:val="18"/>
                <w:color w:val="auto"/>
              </w:rPr>
              <w:t>5</w:t>
            </w:r>
          </w:p>
        </w:tc>
        <w:tc>
          <w:tcPr>
            <w:tcW w:w="16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5760" w:type="dxa"/>
            <w:vAlign w:val="bottom"/>
            <w:shd w:val="clear" w:color="auto" w:fill="C0C0C0"/>
          </w:tcPr>
          <w:p>
            <w:pPr>
              <w:ind w:left="200"/>
              <w:spacing w:after="0" w:line="202" w:lineRule="exact"/>
              <w:rPr>
                <w:sz w:val="20"/>
                <w:szCs w:val="20"/>
                <w:color w:val="auto"/>
              </w:rPr>
            </w:pPr>
            <w:r>
              <w:rPr>
                <w:rFonts w:ascii="Arial" w:cs="Arial" w:eastAsia="Arial" w:hAnsi="Arial"/>
                <w:sz w:val="18"/>
                <w:szCs w:val="18"/>
                <w:color w:val="auto"/>
              </w:rPr>
              <w:t>Weighted-average interest rate (excluding fees)</w:t>
            </w:r>
          </w:p>
        </w:tc>
        <w:tc>
          <w:tcPr>
            <w:tcW w:w="18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180"/>
              <w:spacing w:after="0" w:line="202" w:lineRule="exact"/>
              <w:rPr>
                <w:sz w:val="20"/>
                <w:szCs w:val="20"/>
                <w:color w:val="auto"/>
              </w:rPr>
            </w:pPr>
            <w:r>
              <w:rPr>
                <w:rFonts w:ascii="Arial" w:cs="Arial" w:eastAsia="Arial" w:hAnsi="Arial"/>
                <w:sz w:val="18"/>
                <w:szCs w:val="18"/>
                <w:b w:val="1"/>
                <w:bCs w:val="1"/>
                <w:color w:val="auto"/>
              </w:rPr>
              <w:t>7.1%</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200"/>
              <w:spacing w:after="0" w:line="202" w:lineRule="exact"/>
              <w:rPr>
                <w:sz w:val="20"/>
                <w:szCs w:val="20"/>
                <w:color w:val="auto"/>
              </w:rPr>
            </w:pPr>
            <w:r>
              <w:rPr>
                <w:rFonts w:ascii="Arial" w:cs="Arial" w:eastAsia="Arial" w:hAnsi="Arial"/>
                <w:sz w:val="18"/>
                <w:szCs w:val="18"/>
                <w:color w:val="auto"/>
              </w:rPr>
              <w:t>7.6%</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240"/>
              <w:spacing w:after="0" w:line="20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-265430</wp:posOffset>
            </wp:positionV>
            <wp:extent cx="5565775"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65775" cy="137160"/>
                    </a:xfrm>
                    <a:prstGeom prst="rect">
                      <a:avLst/>
                    </a:prstGeom>
                    <a:noFill/>
                  </pic:spPr>
                </pic:pic>
              </a:graphicData>
            </a:graphic>
          </wp:anchor>
        </w:drawing>
      </w:r>
    </w:p>
    <w:p>
      <w:pPr>
        <w:spacing w:after="0" w:line="87" w:lineRule="exact"/>
        <w:rPr>
          <w:sz w:val="20"/>
          <w:szCs w:val="20"/>
          <w:color w:val="auto"/>
        </w:rPr>
      </w:pPr>
    </w:p>
    <w:p>
      <w:pPr>
        <w:jc w:val="both"/>
        <w:ind w:left="60" w:right="519"/>
        <w:spacing w:after="0" w:line="256" w:lineRule="auto"/>
        <w:rPr>
          <w:sz w:val="20"/>
          <w:szCs w:val="20"/>
          <w:color w:val="auto"/>
        </w:rPr>
      </w:pPr>
      <w:r>
        <w:rPr>
          <w:rFonts w:ascii="Arial" w:cs="Arial" w:eastAsia="Arial" w:hAnsi="Arial"/>
          <w:sz w:val="18"/>
          <w:szCs w:val="18"/>
          <w:color w:val="auto"/>
        </w:rPr>
        <w:t>Net interest expense in 2013 was essentially unchanged from the prior year. The overall reduction in net interest expense in 2012 as compared with 2011 primarily reflected lower expenses associated with the Company’s revolving credit facility, which was amended at the end of 2011 with lower annual fees.</w:t>
      </w:r>
    </w:p>
    <w:p>
      <w:pPr>
        <w:spacing w:after="0" w:line="94" w:lineRule="exact"/>
        <w:rPr>
          <w:sz w:val="20"/>
          <w:szCs w:val="20"/>
          <w:color w:val="auto"/>
        </w:rPr>
      </w:pPr>
    </w:p>
    <w:p>
      <w:pPr>
        <w:jc w:val="both"/>
        <w:ind w:left="60" w:right="539"/>
        <w:spacing w:after="0" w:line="262" w:lineRule="auto"/>
        <w:rPr>
          <w:sz w:val="20"/>
          <w:szCs w:val="20"/>
          <w:color w:val="auto"/>
        </w:rPr>
      </w:pPr>
      <w:r>
        <w:rPr>
          <w:rFonts w:ascii="Arial" w:cs="Arial" w:eastAsia="Arial" w:hAnsi="Arial"/>
          <w:sz w:val="18"/>
          <w:szCs w:val="18"/>
          <w:color w:val="auto"/>
        </w:rPr>
        <w:t>The Company did not have any short-term borrowings, other than amounts outstanding in connection with capital leases, for any of the periods presented.</w:t>
      </w:r>
    </w:p>
    <w:p>
      <w:pPr>
        <w:spacing w:after="0" w:line="7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35"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The effective tax rate for 2013 was 35.3 percent, as compared with 34.6 percent in 2012. The Company regularly assesses the adequacy of the provisions for income tax contingencies in accordance with the applicable authoritative guidance on accounting for income taxes. As a result, the reserves for unrecognized tax benefits may be adjusted as a result of new facts and developments, such as changes to interpretations of relevant tax law, assessments from taxing authorities, settlements with taxing authorities, and lapses of statutes of limitation. During the third quarter of 2013, the Company settled a foreign tax audit resulting in a reserve release of $3 million. The effective tax rate for 2013 also includes other reserve releases totaling $3 million due to audit settlements and lapses of statutes of limitations. Additionally, in connection with the purchase of Runners Point</w:t>
      </w:r>
    </w:p>
    <w:p>
      <w:pPr>
        <w:spacing w:after="0" w:line="200" w:lineRule="exact"/>
        <w:rPr>
          <w:sz w:val="20"/>
          <w:szCs w:val="20"/>
          <w:color w:val="auto"/>
        </w:rPr>
      </w:pPr>
    </w:p>
    <w:p>
      <w:pPr>
        <w:spacing w:after="0" w:line="34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96520</wp:posOffset>
            </wp:positionV>
            <wp:extent cx="6114415" cy="596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22" w:name="page23"/>
    <w:bookmarkEnd w:id="22"/>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jc w:val="both"/>
        <w:ind w:left="60" w:right="519"/>
        <w:spacing w:after="0" w:line="256" w:lineRule="auto"/>
        <w:rPr>
          <w:sz w:val="20"/>
          <w:szCs w:val="20"/>
          <w:color w:val="auto"/>
        </w:rPr>
      </w:pPr>
      <w:r>
        <w:rPr>
          <w:rFonts w:ascii="Arial" w:cs="Arial" w:eastAsia="Arial" w:hAnsi="Arial"/>
          <w:sz w:val="18"/>
          <w:szCs w:val="18"/>
          <w:color w:val="auto"/>
        </w:rPr>
        <w:t>Group, the Company recorded a tax expense of $1 million related to non-deductible acquisition costs. Excluding these items as well as the reserve releases in 2012, the effective tax rate for 2013 decreased as compared with 2012 primarily due to the effect of full implementation of international tax planning initiatives in 2013.</w:t>
      </w:r>
    </w:p>
    <w:p>
      <w:pPr>
        <w:spacing w:after="0" w:line="94"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The effective tax rate for 2012 was 34.6 percent, as compared with 36.0 percent in 2011. The effective tax rate for 2012 includes reserve releases of $13 million due to foreign and domestic audit settlements and lapses of statute of limitations. Additionally, included in 2012 are one time benefits totaling $4 million, representing foreign tax law changes of $2 million, additional U.S. tax credits of $1 million, and a $1 million benefit related to a Canadian provincial tax rate change that increased the value of the Company’s net deferred tax assets. The 2011 effective rate included a benefit of $3 million from reserve releases as well as other true-up adjustments. Excluding these items, the effective tax rate increased primarily due to the higher proportion of income earned in higher tax jurisdictions in 2012.</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Information</w:t>
      </w:r>
    </w:p>
    <w:p>
      <w:pPr>
        <w:spacing w:after="0" w:line="139" w:lineRule="exact"/>
        <w:rPr>
          <w:sz w:val="20"/>
          <w:szCs w:val="20"/>
          <w:color w:val="auto"/>
        </w:rPr>
      </w:pPr>
    </w:p>
    <w:p>
      <w:pPr>
        <w:jc w:val="both"/>
        <w:ind w:left="60" w:right="519"/>
        <w:spacing w:after="0" w:line="250" w:lineRule="auto"/>
        <w:rPr>
          <w:sz w:val="20"/>
          <w:szCs w:val="20"/>
          <w:color w:val="auto"/>
        </w:rPr>
      </w:pPr>
      <w:r>
        <w:rPr>
          <w:rFonts w:ascii="Arial" w:cs="Arial" w:eastAsia="Arial" w:hAnsi="Arial"/>
          <w:sz w:val="18"/>
          <w:szCs w:val="18"/>
          <w:color w:val="auto"/>
        </w:rPr>
        <w:t>The Company’s two reportable segments, Athletic Stores and Direct-to-Customers, are based on its method of internal reporting. The Company evaluates performance based on several factors, the primary financial measure of which is division results. Division profit reflects income before income taxes, corporate expense, non-operating income, and net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-74930</wp:posOffset>
            </wp:positionV>
            <wp:extent cx="55657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57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7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Sales</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4"/>
          </w:tcPr>
          <w:p>
            <w:pPr>
              <w:ind w:left="8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7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Athletic Stores</w:t>
            </w:r>
          </w:p>
        </w:tc>
        <w:tc>
          <w:tcPr>
            <w:tcW w:w="20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C0C0C0"/>
          </w:tcPr>
          <w:p>
            <w:pPr>
              <w:jc w:val="right"/>
              <w:ind w:right="60"/>
              <w:spacing w:after="0" w:line="202" w:lineRule="exact"/>
              <w:rPr>
                <w:sz w:val="20"/>
                <w:szCs w:val="20"/>
                <w:color w:val="auto"/>
              </w:rPr>
            </w:pPr>
            <w:r>
              <w:rPr>
                <w:rFonts w:ascii="Arial" w:cs="Arial" w:eastAsia="Arial" w:hAnsi="Arial"/>
                <w:sz w:val="18"/>
                <w:szCs w:val="18"/>
                <w:b w:val="1"/>
                <w:bCs w:val="1"/>
                <w:color w:val="auto"/>
              </w:rPr>
              <w:t>5,790</w:t>
            </w:r>
          </w:p>
        </w:tc>
        <w:tc>
          <w:tcPr>
            <w:tcW w:w="360" w:type="dxa"/>
            <w:vAlign w:val="bottom"/>
            <w:gridSpan w:val="2"/>
            <w:shd w:val="clear" w:color="auto" w:fill="C0C0C0"/>
          </w:tcPr>
          <w:p>
            <w:pPr>
              <w:jc w:val="right"/>
              <w:ind w:right="8"/>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0C0C0"/>
          </w:tcPr>
          <w:p>
            <w:pPr>
              <w:jc w:val="right"/>
              <w:ind w:right="80"/>
              <w:spacing w:after="0" w:line="202" w:lineRule="exact"/>
              <w:rPr>
                <w:sz w:val="20"/>
                <w:szCs w:val="20"/>
                <w:color w:val="auto"/>
              </w:rPr>
            </w:pPr>
            <w:r>
              <w:rPr>
                <w:rFonts w:ascii="Arial" w:cs="Arial" w:eastAsia="Arial" w:hAnsi="Arial"/>
                <w:sz w:val="18"/>
                <w:szCs w:val="18"/>
                <w:color w:val="auto"/>
              </w:rPr>
              <w:t>5,568</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0C0C0"/>
          </w:tcPr>
          <w:p>
            <w:pPr>
              <w:jc w:val="right"/>
              <w:ind w:right="180"/>
              <w:spacing w:after="0" w:line="202" w:lineRule="exact"/>
              <w:rPr>
                <w:sz w:val="20"/>
                <w:szCs w:val="20"/>
                <w:color w:val="auto"/>
              </w:rPr>
            </w:pPr>
            <w:r>
              <w:rPr>
                <w:rFonts w:ascii="Arial" w:cs="Arial" w:eastAsia="Arial" w:hAnsi="Arial"/>
                <w:sz w:val="18"/>
                <w:szCs w:val="18"/>
                <w:color w:val="auto"/>
              </w:rPr>
              <w:t>5,110</w:t>
            </w: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Direct-to-Customers</w:t>
            </w:r>
          </w:p>
        </w:tc>
        <w:tc>
          <w:tcPr>
            <w:tcW w:w="200" w:type="dxa"/>
            <w:vAlign w:val="bottom"/>
          </w:tcPr>
          <w:p>
            <w:pPr>
              <w:spacing w:after="0"/>
              <w:rPr>
                <w:sz w:val="17"/>
                <w:szCs w:val="17"/>
                <w:color w:val="auto"/>
              </w:rPr>
            </w:pP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715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614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shd w:val="clear" w:color="auto" w:fill="C0C0C0"/>
          </w:tcPr>
          <w:p>
            <w:pPr>
              <w:spacing w:after="0"/>
              <w:rPr>
                <w:sz w:val="17"/>
                <w:szCs w:val="17"/>
                <w:color w:val="auto"/>
              </w:rPr>
            </w:pPr>
          </w:p>
        </w:tc>
        <w:tc>
          <w:tcPr>
            <w:tcW w:w="200" w:type="dxa"/>
            <w:vAlign w:val="bottom"/>
            <w:shd w:val="clear" w:color="auto" w:fill="C0C0C0"/>
          </w:tcPr>
          <w:p>
            <w:pPr>
              <w:jc w:val="right"/>
              <w:ind w:right="10"/>
              <w:spacing w:after="0" w:line="196" w:lineRule="exact"/>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C0C0C0"/>
          </w:tcPr>
          <w:p>
            <w:pPr>
              <w:jc w:val="right"/>
              <w:ind w:right="60"/>
              <w:spacing w:after="0" w:line="196" w:lineRule="exact"/>
              <w:rPr>
                <w:sz w:val="20"/>
                <w:szCs w:val="20"/>
                <w:color w:val="auto"/>
              </w:rPr>
            </w:pPr>
            <w:r>
              <w:rPr>
                <w:rFonts w:ascii="Arial" w:cs="Arial" w:eastAsia="Arial" w:hAnsi="Arial"/>
                <w:sz w:val="18"/>
                <w:szCs w:val="18"/>
                <w:b w:val="1"/>
                <w:bCs w:val="1"/>
                <w:color w:val="auto"/>
              </w:rPr>
              <w:t>6,505</w:t>
            </w:r>
          </w:p>
        </w:tc>
        <w:tc>
          <w:tcPr>
            <w:tcW w:w="360" w:type="dxa"/>
            <w:vAlign w:val="bottom"/>
            <w:gridSpan w:val="2"/>
            <w:shd w:val="clear" w:color="auto" w:fill="C0C0C0"/>
          </w:tcPr>
          <w:p>
            <w:pPr>
              <w:jc w:val="right"/>
              <w:ind w:right="8"/>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0C0C0"/>
          </w:tcPr>
          <w:p>
            <w:pPr>
              <w:jc w:val="right"/>
              <w:ind w:right="80"/>
              <w:spacing w:after="0" w:line="196" w:lineRule="exact"/>
              <w:rPr>
                <w:sz w:val="20"/>
                <w:szCs w:val="20"/>
                <w:color w:val="auto"/>
              </w:rPr>
            </w:pPr>
            <w:r>
              <w:rPr>
                <w:rFonts w:ascii="Arial" w:cs="Arial" w:eastAsia="Arial" w:hAnsi="Arial"/>
                <w:sz w:val="18"/>
                <w:szCs w:val="18"/>
                <w:color w:val="auto"/>
              </w:rPr>
              <w:t>6,182</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0C0C0"/>
          </w:tcPr>
          <w:p>
            <w:pPr>
              <w:jc w:val="right"/>
              <w:ind w:right="180"/>
              <w:spacing w:after="0" w:line="196" w:lineRule="exact"/>
              <w:rPr>
                <w:sz w:val="20"/>
                <w:szCs w:val="20"/>
                <w:color w:val="auto"/>
              </w:rPr>
            </w:pPr>
            <w:r>
              <w:rPr>
                <w:rFonts w:ascii="Arial" w:cs="Arial" w:eastAsia="Arial" w:hAnsi="Arial"/>
                <w:sz w:val="18"/>
                <w:szCs w:val="18"/>
                <w:color w:val="auto"/>
              </w:rPr>
              <w:t>5,623</w:t>
            </w: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Operating Results</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760" w:type="dxa"/>
            <w:vAlign w:val="bottom"/>
            <w:shd w:val="clear" w:color="auto" w:fill="C0C0C0"/>
          </w:tcPr>
          <w:p>
            <w:pPr>
              <w:ind w:left="20"/>
              <w:spacing w:after="0" w:line="243" w:lineRule="exact"/>
              <w:rPr>
                <w:sz w:val="20"/>
                <w:szCs w:val="20"/>
                <w:color w:val="auto"/>
              </w:rPr>
            </w:pPr>
            <w:r>
              <w:rPr>
                <w:rFonts w:ascii="Arial" w:cs="Arial" w:eastAsia="Arial" w:hAnsi="Arial"/>
                <w:sz w:val="17"/>
                <w:szCs w:val="17"/>
                <w:color w:val="auto"/>
              </w:rPr>
              <w:t>Athletic Stores</w:t>
            </w:r>
            <w:r>
              <w:rPr>
                <w:rFonts w:ascii="Arial" w:cs="Arial" w:eastAsia="Arial" w:hAnsi="Arial"/>
                <w:sz w:val="28"/>
                <w:szCs w:val="28"/>
                <w:color w:val="auto"/>
                <w:vertAlign w:val="superscript"/>
              </w:rPr>
              <w:t>(1)</w:t>
            </w:r>
          </w:p>
        </w:tc>
        <w:tc>
          <w:tcPr>
            <w:tcW w:w="200" w:type="dxa"/>
            <w:vAlign w:val="bottom"/>
            <w:shd w:val="clear" w:color="auto" w:fill="C0C0C0"/>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b w:val="1"/>
                <w:bCs w:val="1"/>
                <w:color w:val="auto"/>
              </w:rPr>
              <w:t>656</w:t>
            </w:r>
          </w:p>
        </w:tc>
        <w:tc>
          <w:tcPr>
            <w:tcW w:w="360" w:type="dxa"/>
            <w:vAlign w:val="bottom"/>
            <w:gridSpan w:val="2"/>
            <w:shd w:val="clear" w:color="auto" w:fill="C0C0C0"/>
          </w:tcPr>
          <w:p>
            <w:pPr>
              <w:jc w:val="right"/>
              <w:ind w:right="8"/>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653</w:t>
            </w:r>
          </w:p>
        </w:tc>
        <w:tc>
          <w:tcPr>
            <w:tcW w:w="160" w:type="dxa"/>
            <w:vAlign w:val="bottom"/>
            <w:shd w:val="clear" w:color="auto" w:fill="C0C0C0"/>
          </w:tcPr>
          <w:p>
            <w:pPr>
              <w:spacing w:after="0"/>
              <w:rPr>
                <w:sz w:val="21"/>
                <w:szCs w:val="21"/>
                <w:color w:val="auto"/>
              </w:rPr>
            </w:pPr>
          </w:p>
        </w:tc>
        <w:tc>
          <w:tcPr>
            <w:tcW w:w="20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0C0C0"/>
          </w:tcPr>
          <w:p>
            <w:pPr>
              <w:jc w:val="right"/>
              <w:ind w:right="2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43"/>
        </w:trPr>
        <w:tc>
          <w:tcPr>
            <w:tcW w:w="5760" w:type="dxa"/>
            <w:vAlign w:val="bottom"/>
          </w:tcPr>
          <w:p>
            <w:pPr>
              <w:ind w:left="20"/>
              <w:spacing w:after="0" w:line="243" w:lineRule="exact"/>
              <w:rPr>
                <w:sz w:val="20"/>
                <w:szCs w:val="20"/>
                <w:color w:val="auto"/>
              </w:rPr>
            </w:pPr>
            <w:r>
              <w:rPr>
                <w:rFonts w:ascii="Arial" w:cs="Arial" w:eastAsia="Arial" w:hAnsi="Arial"/>
                <w:sz w:val="17"/>
                <w:szCs w:val="17"/>
                <w:color w:val="auto"/>
              </w:rPr>
              <w:t>Direct-to-Customers</w:t>
            </w:r>
            <w:r>
              <w:rPr>
                <w:rFonts w:ascii="Arial" w:cs="Arial" w:eastAsia="Arial" w:hAnsi="Arial"/>
                <w:sz w:val="28"/>
                <w:szCs w:val="28"/>
                <w:color w:val="auto"/>
                <w:vertAlign w:val="superscript"/>
              </w:rPr>
              <w:t>(2)</w:t>
            </w:r>
          </w:p>
        </w:tc>
        <w:tc>
          <w:tcPr>
            <w:tcW w:w="20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84</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60" w:type="dxa"/>
            <w:vAlign w:val="bottom"/>
            <w:gridSpan w:val="2"/>
            <w:shd w:val="clear" w:color="auto" w:fill="C0C0C0"/>
          </w:tcPr>
          <w:p>
            <w:pPr>
              <w:jc w:val="right"/>
              <w:ind w:right="60"/>
              <w:spacing w:after="0" w:line="196" w:lineRule="exact"/>
              <w:rPr>
                <w:sz w:val="20"/>
                <w:szCs w:val="20"/>
                <w:color w:val="auto"/>
              </w:rPr>
            </w:pPr>
            <w:r>
              <w:rPr>
                <w:rFonts w:ascii="Arial" w:cs="Arial" w:eastAsia="Arial" w:hAnsi="Arial"/>
                <w:sz w:val="18"/>
                <w:szCs w:val="18"/>
                <w:b w:val="1"/>
                <w:bCs w:val="1"/>
                <w:color w:val="auto"/>
              </w:rPr>
              <w:t>740</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80"/>
              <w:spacing w:after="0" w:line="196" w:lineRule="exact"/>
              <w:rPr>
                <w:sz w:val="20"/>
                <w:szCs w:val="20"/>
                <w:color w:val="auto"/>
              </w:rPr>
            </w:pPr>
            <w:r>
              <w:rPr>
                <w:rFonts w:ascii="Arial" w:cs="Arial" w:eastAsia="Arial" w:hAnsi="Arial"/>
                <w:sz w:val="18"/>
                <w:szCs w:val="18"/>
                <w:color w:val="auto"/>
              </w:rPr>
              <w:t>718</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200"/>
              <w:spacing w:after="0" w:line="196" w:lineRule="exact"/>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43"/>
        </w:trPr>
        <w:tc>
          <w:tcPr>
            <w:tcW w:w="5760" w:type="dxa"/>
            <w:vAlign w:val="bottom"/>
          </w:tcPr>
          <w:p>
            <w:pPr>
              <w:ind w:left="20"/>
              <w:spacing w:after="0" w:line="243" w:lineRule="exact"/>
              <w:rPr>
                <w:sz w:val="20"/>
                <w:szCs w:val="20"/>
                <w:color w:val="auto"/>
              </w:rPr>
            </w:pPr>
            <w:r>
              <w:rPr>
                <w:rFonts w:ascii="Arial" w:cs="Arial" w:eastAsia="Arial" w:hAnsi="Arial"/>
                <w:sz w:val="17"/>
                <w:szCs w:val="17"/>
                <w:color w:val="auto"/>
              </w:rPr>
              <w:t>Restructuring charge</w:t>
            </w:r>
            <w:r>
              <w:rPr>
                <w:rFonts w:ascii="Arial" w:cs="Arial" w:eastAsia="Arial" w:hAnsi="Arial"/>
                <w:sz w:val="28"/>
                <w:szCs w:val="28"/>
                <w:color w:val="auto"/>
                <w:vertAlign w:val="superscript"/>
              </w:rPr>
              <w:t>(3)</w:t>
            </w:r>
          </w:p>
        </w:tc>
        <w:tc>
          <w:tcPr>
            <w:tcW w:w="20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shd w:val="clear" w:color="auto" w:fill="C0C0C0"/>
          </w:tcPr>
          <w:p>
            <w:pPr>
              <w:ind w:left="20"/>
              <w:spacing w:after="0" w:line="196" w:lineRule="exact"/>
              <w:rPr>
                <w:sz w:val="20"/>
                <w:szCs w:val="20"/>
                <w:color w:val="auto"/>
              </w:rPr>
            </w:pPr>
            <w:r>
              <w:rPr>
                <w:rFonts w:ascii="Arial" w:cs="Arial" w:eastAsia="Arial" w:hAnsi="Arial"/>
                <w:sz w:val="18"/>
                <w:szCs w:val="18"/>
                <w:color w:val="auto"/>
              </w:rPr>
              <w:t>Division profit</w:t>
            </w:r>
          </w:p>
        </w:tc>
        <w:tc>
          <w:tcPr>
            <w:tcW w:w="200" w:type="dxa"/>
            <w:vAlign w:val="bottom"/>
            <w:shd w:val="clear" w:color="auto" w:fill="C0C0C0"/>
          </w:tcPr>
          <w:p>
            <w:pPr>
              <w:spacing w:after="0"/>
              <w:rPr>
                <w:sz w:val="17"/>
                <w:szCs w:val="17"/>
                <w:color w:val="auto"/>
              </w:rPr>
            </w:pPr>
          </w:p>
        </w:tc>
        <w:tc>
          <w:tcPr>
            <w:tcW w:w="660" w:type="dxa"/>
            <w:vAlign w:val="bottom"/>
            <w:gridSpan w:val="2"/>
            <w:shd w:val="clear" w:color="auto" w:fill="C0C0C0"/>
          </w:tcPr>
          <w:p>
            <w:pPr>
              <w:jc w:val="right"/>
              <w:ind w:right="60"/>
              <w:spacing w:after="0" w:line="196" w:lineRule="exact"/>
              <w:rPr>
                <w:sz w:val="20"/>
                <w:szCs w:val="20"/>
                <w:color w:val="auto"/>
              </w:rPr>
            </w:pPr>
            <w:r>
              <w:rPr>
                <w:rFonts w:ascii="Arial" w:cs="Arial" w:eastAsia="Arial" w:hAnsi="Arial"/>
                <w:sz w:val="18"/>
                <w:szCs w:val="18"/>
                <w:b w:val="1"/>
                <w:bCs w:val="1"/>
                <w:color w:val="auto"/>
              </w:rPr>
              <w:t>740</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80"/>
              <w:spacing w:after="0" w:line="196" w:lineRule="exact"/>
              <w:rPr>
                <w:sz w:val="20"/>
                <w:szCs w:val="20"/>
                <w:color w:val="auto"/>
              </w:rPr>
            </w:pPr>
            <w:r>
              <w:rPr>
                <w:rFonts w:ascii="Arial" w:cs="Arial" w:eastAsia="Arial" w:hAnsi="Arial"/>
                <w:sz w:val="18"/>
                <w:szCs w:val="18"/>
                <w:color w:val="auto"/>
              </w:rPr>
              <w:t>718</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200"/>
              <w:spacing w:after="0" w:line="196" w:lineRule="exact"/>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43"/>
        </w:trPr>
        <w:tc>
          <w:tcPr>
            <w:tcW w:w="5760" w:type="dxa"/>
            <w:vAlign w:val="bottom"/>
          </w:tcPr>
          <w:p>
            <w:pPr>
              <w:ind w:left="20"/>
              <w:spacing w:after="0" w:line="243" w:lineRule="exact"/>
              <w:rPr>
                <w:sz w:val="20"/>
                <w:szCs w:val="20"/>
                <w:color w:val="auto"/>
              </w:rPr>
            </w:pPr>
            <w:r>
              <w:rPr>
                <w:rFonts w:ascii="Arial" w:cs="Arial" w:eastAsia="Arial" w:hAnsi="Arial"/>
                <w:sz w:val="17"/>
                <w:szCs w:val="17"/>
                <w:color w:val="auto"/>
              </w:rPr>
              <w:t>Less: Corporate expense</w:t>
            </w:r>
            <w:r>
              <w:rPr>
                <w:rFonts w:ascii="Arial" w:cs="Arial" w:eastAsia="Arial" w:hAnsi="Arial"/>
                <w:sz w:val="28"/>
                <w:szCs w:val="28"/>
                <w:color w:val="auto"/>
                <w:vertAlign w:val="superscript"/>
              </w:rPr>
              <w:t>(4)</w:t>
            </w:r>
          </w:p>
        </w:tc>
        <w:tc>
          <w:tcPr>
            <w:tcW w:w="20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76</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shd w:val="clear" w:color="auto" w:fill="C0C0C0"/>
          </w:tcPr>
          <w:p>
            <w:pPr>
              <w:ind w:left="20"/>
              <w:spacing w:after="0" w:line="196" w:lineRule="exact"/>
              <w:rPr>
                <w:sz w:val="20"/>
                <w:szCs w:val="20"/>
                <w:color w:val="auto"/>
              </w:rPr>
            </w:pPr>
            <w:r>
              <w:rPr>
                <w:rFonts w:ascii="Arial" w:cs="Arial" w:eastAsia="Arial" w:hAnsi="Arial"/>
                <w:sz w:val="18"/>
                <w:szCs w:val="18"/>
                <w:color w:val="auto"/>
              </w:rPr>
              <w:t>Operating profit</w:t>
            </w:r>
          </w:p>
        </w:tc>
        <w:tc>
          <w:tcPr>
            <w:tcW w:w="200" w:type="dxa"/>
            <w:vAlign w:val="bottom"/>
            <w:shd w:val="clear" w:color="auto" w:fill="C0C0C0"/>
          </w:tcPr>
          <w:p>
            <w:pPr>
              <w:spacing w:after="0"/>
              <w:rPr>
                <w:sz w:val="17"/>
                <w:szCs w:val="17"/>
                <w:color w:val="auto"/>
              </w:rPr>
            </w:pPr>
          </w:p>
        </w:tc>
        <w:tc>
          <w:tcPr>
            <w:tcW w:w="660" w:type="dxa"/>
            <w:vAlign w:val="bottom"/>
            <w:gridSpan w:val="2"/>
            <w:shd w:val="clear" w:color="auto" w:fill="C0C0C0"/>
          </w:tcPr>
          <w:p>
            <w:pPr>
              <w:jc w:val="right"/>
              <w:ind w:right="60"/>
              <w:spacing w:after="0" w:line="196" w:lineRule="exact"/>
              <w:rPr>
                <w:sz w:val="20"/>
                <w:szCs w:val="20"/>
                <w:color w:val="auto"/>
              </w:rPr>
            </w:pPr>
            <w:r>
              <w:rPr>
                <w:rFonts w:ascii="Arial" w:cs="Arial" w:eastAsia="Arial" w:hAnsi="Arial"/>
                <w:sz w:val="18"/>
                <w:szCs w:val="18"/>
                <w:b w:val="1"/>
                <w:bCs w:val="1"/>
                <w:color w:val="auto"/>
              </w:rPr>
              <w:t>664</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80"/>
              <w:spacing w:after="0" w:line="196" w:lineRule="exact"/>
              <w:rPr>
                <w:sz w:val="20"/>
                <w:szCs w:val="20"/>
                <w:color w:val="auto"/>
              </w:rPr>
            </w:pPr>
            <w:r>
              <w:rPr>
                <w:rFonts w:ascii="Arial" w:cs="Arial" w:eastAsia="Arial" w:hAnsi="Arial"/>
                <w:sz w:val="18"/>
                <w:szCs w:val="18"/>
                <w:color w:val="auto"/>
              </w:rPr>
              <w:t>610</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200"/>
              <w:spacing w:after="0" w:line="196" w:lineRule="exact"/>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43"/>
        </w:trPr>
        <w:tc>
          <w:tcPr>
            <w:tcW w:w="5760" w:type="dxa"/>
            <w:vAlign w:val="bottom"/>
          </w:tcPr>
          <w:p>
            <w:pPr>
              <w:ind w:left="20"/>
              <w:spacing w:after="0" w:line="243" w:lineRule="exact"/>
              <w:rPr>
                <w:sz w:val="20"/>
                <w:szCs w:val="20"/>
                <w:color w:val="auto"/>
              </w:rPr>
            </w:pPr>
            <w:r>
              <w:rPr>
                <w:rFonts w:ascii="Arial" w:cs="Arial" w:eastAsia="Arial" w:hAnsi="Arial"/>
                <w:sz w:val="17"/>
                <w:szCs w:val="17"/>
                <w:color w:val="auto"/>
              </w:rPr>
              <w:t>Other income</w:t>
            </w:r>
            <w:r>
              <w:rPr>
                <w:rFonts w:ascii="Arial" w:cs="Arial" w:eastAsia="Arial" w:hAnsi="Arial"/>
                <w:sz w:val="28"/>
                <w:szCs w:val="28"/>
                <w:color w:val="auto"/>
                <w:vertAlign w:val="superscript"/>
              </w:rPr>
              <w:t>(5)</w:t>
            </w:r>
          </w:p>
        </w:tc>
        <w:tc>
          <w:tcPr>
            <w:tcW w:w="20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shd w:val="clear" w:color="auto" w:fill="C0C0C0"/>
          </w:tcPr>
          <w:p>
            <w:pPr>
              <w:ind w:left="20"/>
              <w:spacing w:after="0" w:line="196" w:lineRule="exact"/>
              <w:rPr>
                <w:sz w:val="20"/>
                <w:szCs w:val="20"/>
                <w:color w:val="auto"/>
              </w:rPr>
            </w:pPr>
            <w:r>
              <w:rPr>
                <w:rFonts w:ascii="Arial" w:cs="Arial" w:eastAsia="Arial" w:hAnsi="Arial"/>
                <w:sz w:val="18"/>
                <w:szCs w:val="18"/>
                <w:color w:val="auto"/>
              </w:rPr>
              <w:t>Earnings before interest expense and income taxes</w:t>
            </w:r>
          </w:p>
        </w:tc>
        <w:tc>
          <w:tcPr>
            <w:tcW w:w="200" w:type="dxa"/>
            <w:vAlign w:val="bottom"/>
            <w:shd w:val="clear" w:color="auto" w:fill="C0C0C0"/>
          </w:tcPr>
          <w:p>
            <w:pPr>
              <w:spacing w:after="0"/>
              <w:rPr>
                <w:sz w:val="17"/>
                <w:szCs w:val="17"/>
                <w:color w:val="auto"/>
              </w:rPr>
            </w:pPr>
          </w:p>
        </w:tc>
        <w:tc>
          <w:tcPr>
            <w:tcW w:w="660" w:type="dxa"/>
            <w:vAlign w:val="bottom"/>
            <w:gridSpan w:val="2"/>
            <w:shd w:val="clear" w:color="auto" w:fill="C0C0C0"/>
          </w:tcPr>
          <w:p>
            <w:pPr>
              <w:jc w:val="right"/>
              <w:ind w:right="60"/>
              <w:spacing w:after="0" w:line="196" w:lineRule="exact"/>
              <w:rPr>
                <w:sz w:val="20"/>
                <w:szCs w:val="20"/>
                <w:color w:val="auto"/>
              </w:rPr>
            </w:pPr>
            <w:r>
              <w:rPr>
                <w:rFonts w:ascii="Arial" w:cs="Arial" w:eastAsia="Arial" w:hAnsi="Arial"/>
                <w:sz w:val="18"/>
                <w:szCs w:val="18"/>
                <w:b w:val="1"/>
                <w:bCs w:val="1"/>
                <w:color w:val="auto"/>
              </w:rPr>
              <w:t>668</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80"/>
              <w:spacing w:after="0" w:line="196" w:lineRule="exact"/>
              <w:rPr>
                <w:sz w:val="20"/>
                <w:szCs w:val="20"/>
                <w:color w:val="auto"/>
              </w:rPr>
            </w:pPr>
            <w:r>
              <w:rPr>
                <w:rFonts w:ascii="Arial" w:cs="Arial" w:eastAsia="Arial" w:hAnsi="Arial"/>
                <w:sz w:val="18"/>
                <w:szCs w:val="18"/>
                <w:color w:val="auto"/>
              </w:rPr>
              <w:t>612</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200"/>
              <w:spacing w:after="0" w:line="196" w:lineRule="exact"/>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7"/>
                <w:szCs w:val="17"/>
                <w:color w:val="auto"/>
              </w:rPr>
            </w:pP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60" w:type="dxa"/>
            <w:vAlign w:val="bottom"/>
            <w:shd w:val="clear" w:color="auto" w:fill="C0C0C0"/>
          </w:tcPr>
          <w:p>
            <w:pPr>
              <w:ind w:left="20"/>
              <w:spacing w:after="0" w:line="196" w:lineRule="exact"/>
              <w:rPr>
                <w:sz w:val="20"/>
                <w:szCs w:val="20"/>
                <w:color w:val="auto"/>
              </w:rPr>
            </w:pPr>
            <w:r>
              <w:rPr>
                <w:rFonts w:ascii="Arial" w:cs="Arial" w:eastAsia="Arial" w:hAnsi="Arial"/>
                <w:sz w:val="18"/>
                <w:szCs w:val="18"/>
                <w:color w:val="auto"/>
              </w:rPr>
              <w:t>Income before income taxes</w:t>
            </w:r>
          </w:p>
        </w:tc>
        <w:tc>
          <w:tcPr>
            <w:tcW w:w="200" w:type="dxa"/>
            <w:vAlign w:val="bottom"/>
            <w:shd w:val="clear" w:color="auto" w:fill="C0C0C0"/>
          </w:tcPr>
          <w:p>
            <w:pPr>
              <w:jc w:val="right"/>
              <w:ind w:right="10"/>
              <w:spacing w:after="0" w:line="196" w:lineRule="exact"/>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C0C0C0"/>
          </w:tcPr>
          <w:p>
            <w:pPr>
              <w:jc w:val="right"/>
              <w:ind w:right="60"/>
              <w:spacing w:after="0" w:line="196" w:lineRule="exact"/>
              <w:rPr>
                <w:sz w:val="20"/>
                <w:szCs w:val="20"/>
                <w:color w:val="auto"/>
              </w:rPr>
            </w:pPr>
            <w:r>
              <w:rPr>
                <w:rFonts w:ascii="Arial" w:cs="Arial" w:eastAsia="Arial" w:hAnsi="Arial"/>
                <w:sz w:val="18"/>
                <w:szCs w:val="18"/>
                <w:b w:val="1"/>
                <w:bCs w:val="1"/>
                <w:color w:val="auto"/>
              </w:rPr>
              <w:t>663</w:t>
            </w:r>
          </w:p>
        </w:tc>
        <w:tc>
          <w:tcPr>
            <w:tcW w:w="360" w:type="dxa"/>
            <w:vAlign w:val="bottom"/>
            <w:gridSpan w:val="2"/>
            <w:shd w:val="clear" w:color="auto" w:fill="C0C0C0"/>
          </w:tcPr>
          <w:p>
            <w:pPr>
              <w:jc w:val="right"/>
              <w:ind w:right="8"/>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0C0C0"/>
          </w:tcPr>
          <w:p>
            <w:pPr>
              <w:jc w:val="right"/>
              <w:ind w:right="80"/>
              <w:spacing w:after="0" w:line="196" w:lineRule="exact"/>
              <w:rPr>
                <w:sz w:val="20"/>
                <w:szCs w:val="20"/>
                <w:color w:val="auto"/>
              </w:rPr>
            </w:pPr>
            <w:r>
              <w:rPr>
                <w:rFonts w:ascii="Arial" w:cs="Arial" w:eastAsia="Arial" w:hAnsi="Arial"/>
                <w:sz w:val="18"/>
                <w:szCs w:val="18"/>
                <w:color w:val="auto"/>
              </w:rPr>
              <w:t>607</w:t>
            </w:r>
          </w:p>
        </w:tc>
        <w:tc>
          <w:tcPr>
            <w:tcW w:w="160" w:type="dxa"/>
            <w:vAlign w:val="bottom"/>
            <w:shd w:val="clear" w:color="auto" w:fill="C0C0C0"/>
          </w:tcPr>
          <w:p>
            <w:pPr>
              <w:spacing w:after="0"/>
              <w:rPr>
                <w:sz w:val="18"/>
                <w:szCs w:val="18"/>
                <w:color w:val="auto"/>
              </w:rPr>
            </w:pPr>
          </w:p>
        </w:tc>
        <w:tc>
          <w:tcPr>
            <w:tcW w:w="200" w:type="dxa"/>
            <w:vAlign w:val="bottom"/>
            <w:shd w:val="clear" w:color="auto" w:fill="C0C0C0"/>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0C0C0"/>
          </w:tcPr>
          <w:p>
            <w:pPr>
              <w:jc w:val="right"/>
              <w:ind w:right="200"/>
              <w:spacing w:after="0" w:line="196" w:lineRule="exact"/>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
        </w:trPr>
        <w:tc>
          <w:tcPr>
            <w:tcW w:w="5760" w:type="dxa"/>
            <w:vAlign w:val="bottom"/>
            <w:tcBorders>
              <w:top w:val="single" w:sz="8" w:color="C0C0C0"/>
            </w:tcBorders>
            <w:shd w:val="clear" w:color="auto" w:fill="C0C0C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0C0C0"/>
            </w:tcBorders>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565775"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65775" cy="34290"/>
                    </a:xfrm>
                    <a:prstGeom prst="rect">
                      <a:avLst/>
                    </a:prstGeom>
                    <a:noFill/>
                  </pic:spPr>
                </pic:pic>
              </a:graphicData>
            </a:graphic>
          </wp:anchor>
        </w:drawing>
      </w:r>
    </w:p>
    <w:p>
      <w:pPr>
        <w:spacing w:after="0" w:line="93" w:lineRule="exact"/>
        <w:rPr>
          <w:sz w:val="20"/>
          <w:szCs w:val="20"/>
          <w:color w:val="auto"/>
        </w:rPr>
      </w:pPr>
    </w:p>
    <w:p>
      <w:pPr>
        <w:jc w:val="both"/>
        <w:ind w:left="300" w:right="539" w:hanging="272"/>
        <w:spacing w:after="0" w:line="270" w:lineRule="auto"/>
        <w:tabs>
          <w:tab w:leader="none" w:pos="3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results for 2013 include a $2 million charge recorded in connection with the closure of all CCS stores. The results of 2012 include a non-cash impairment charge of $5 million to write down long-lived assets of the CCS stores as a result of the Company’s decision to close the stores during the first quarter of 2013.</w:t>
      </w:r>
    </w:p>
    <w:p>
      <w:pPr>
        <w:spacing w:after="0" w:line="91" w:lineRule="exact"/>
        <w:rPr>
          <w:rFonts w:ascii="Arial" w:cs="Arial" w:eastAsia="Arial" w:hAnsi="Arial"/>
          <w:sz w:val="14"/>
          <w:szCs w:val="14"/>
          <w:color w:val="auto"/>
        </w:rPr>
      </w:pPr>
    </w:p>
    <w:p>
      <w:pPr>
        <w:ind w:left="300" w:hanging="272"/>
        <w:spacing w:after="0"/>
        <w:tabs>
          <w:tab w:leader="none" w:pos="3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Included in the results for 2012 and 2011 are non-cash impairment charges of $7 million and $5 million, respectively, related to the CCS business.</w:t>
      </w:r>
    </w:p>
    <w:p>
      <w:pPr>
        <w:spacing w:after="0" w:line="122" w:lineRule="exact"/>
        <w:rPr>
          <w:rFonts w:ascii="Arial" w:cs="Arial" w:eastAsia="Arial" w:hAnsi="Arial"/>
          <w:sz w:val="14"/>
          <w:szCs w:val="14"/>
          <w:color w:val="auto"/>
        </w:rPr>
      </w:pPr>
    </w:p>
    <w:p>
      <w:pPr>
        <w:ind w:left="300" w:right="519" w:hanging="272"/>
        <w:spacing w:after="0" w:line="278" w:lineRule="auto"/>
        <w:tabs>
          <w:tab w:leader="none" w:pos="3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 2011, the Company increased its 1993 Repositioning and 1991 Restructuring reserve by $1 million for repairs necessary to one of the locations comprising this reserve. This amount is included in selling, general and administrative expenses.</w:t>
      </w:r>
    </w:p>
    <w:p>
      <w:pPr>
        <w:spacing w:after="0" w:line="86" w:lineRule="exact"/>
        <w:rPr>
          <w:rFonts w:ascii="Arial" w:cs="Arial" w:eastAsia="Arial" w:hAnsi="Arial"/>
          <w:sz w:val="14"/>
          <w:szCs w:val="14"/>
          <w:color w:val="auto"/>
        </w:rPr>
      </w:pPr>
    </w:p>
    <w:p>
      <w:pPr>
        <w:ind w:left="300" w:right="539" w:hanging="272"/>
        <w:spacing w:after="0" w:line="278" w:lineRule="auto"/>
        <w:tabs>
          <w:tab w:leader="none" w:pos="3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Corporate expense for 2013 reflects the reallocation of expense between corporate and the operating divisions. Based upon an internal study of corporate expense, the allocation of such expenses to the operating divisions was increased by $27 million thereby reducing corporate expense.</w:t>
      </w:r>
    </w:p>
    <w:p>
      <w:pPr>
        <w:spacing w:after="0" w:line="86" w:lineRule="exact"/>
        <w:rPr>
          <w:rFonts w:ascii="Arial" w:cs="Arial" w:eastAsia="Arial" w:hAnsi="Arial"/>
          <w:sz w:val="14"/>
          <w:szCs w:val="14"/>
          <w:color w:val="auto"/>
        </w:rPr>
      </w:pPr>
    </w:p>
    <w:p>
      <w:pPr>
        <w:ind w:left="300" w:right="539" w:hanging="272"/>
        <w:spacing w:after="0" w:line="278" w:lineRule="auto"/>
        <w:tabs>
          <w:tab w:leader="none" w:pos="3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Other income includes non-operating items such as: gains from insurance recoveries; discounts/premiums paid on the repurchase and retirement of bonds; royalty income; and the changes in fair value, premiums paid, and realized gains associated with foreign currency option contracts.</w:t>
      </w:r>
    </w:p>
    <w:p>
      <w:pPr>
        <w:spacing w:after="0" w:line="200" w:lineRule="exact"/>
        <w:rPr>
          <w:sz w:val="20"/>
          <w:szCs w:val="20"/>
          <w:color w:val="auto"/>
        </w:rPr>
      </w:pPr>
    </w:p>
    <w:p>
      <w:pPr>
        <w:spacing w:after="0" w:line="34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96520</wp:posOffset>
            </wp:positionV>
            <wp:extent cx="6114415" cy="596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1" w:right="1440" w:bottom="1440" w:gutter="0" w:footer="0" w:header="0"/>
        </w:sectPr>
      </w:pPr>
    </w:p>
    <w:bookmarkStart w:id="23" w:name="page24"/>
    <w:bookmarkEnd w:id="2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Athletic Stores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5486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48630" cy="8890"/>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5"/>
        </w:trPr>
        <w:tc>
          <w:tcPr>
            <w:tcW w:w="57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vMerge w:val="restart"/>
          </w:tcPr>
          <w:p>
            <w:pPr>
              <w:jc w:val="right"/>
              <w:ind w:right="154"/>
              <w:spacing w:after="0"/>
              <w:rPr>
                <w:sz w:val="20"/>
                <w:szCs w:val="20"/>
                <w:color w:val="auto"/>
              </w:rPr>
            </w:pPr>
            <w:r>
              <w:rPr>
                <w:rFonts w:ascii="Arial" w:cs="Arial" w:eastAsia="Arial" w:hAnsi="Arial"/>
                <w:sz w:val="18"/>
                <w:szCs w:val="18"/>
                <w:b w:val="1"/>
                <w:bCs w:val="1"/>
                <w:color w:val="auto"/>
              </w:rPr>
              <w:t>5,790</w:t>
            </w:r>
          </w:p>
        </w:tc>
        <w:tc>
          <w:tcPr>
            <w:tcW w:w="160" w:type="dxa"/>
            <w:vAlign w:val="bottom"/>
          </w:tcPr>
          <w:p>
            <w:pPr>
              <w:spacing w:after="0"/>
              <w:rPr>
                <w:sz w:val="16"/>
                <w:szCs w:val="16"/>
                <w:color w:val="auto"/>
              </w:rPr>
            </w:pPr>
          </w:p>
        </w:tc>
        <w:tc>
          <w:tcPr>
            <w:tcW w:w="1040" w:type="dxa"/>
            <w:vAlign w:val="bottom"/>
            <w:gridSpan w:val="3"/>
          </w:tcPr>
          <w:p>
            <w:pPr>
              <w:ind w:left="10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20"/>
              <w:spacing w:after="0" w:line="203" w:lineRule="exact"/>
              <w:rPr>
                <w:sz w:val="20"/>
                <w:szCs w:val="20"/>
                <w:color w:val="auto"/>
              </w:rPr>
            </w:pPr>
            <w:r>
              <w:rPr>
                <w:rFonts w:ascii="Arial" w:cs="Arial" w:eastAsia="Arial" w:hAnsi="Arial"/>
                <w:sz w:val="18"/>
                <w:szCs w:val="18"/>
                <w:color w:val="auto"/>
              </w:rPr>
              <w:t>Sales</w:t>
            </w:r>
          </w:p>
        </w:tc>
        <w:tc>
          <w:tcPr>
            <w:tcW w:w="16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3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54"/>
              <w:spacing w:after="0" w:line="203" w:lineRule="exact"/>
              <w:rPr>
                <w:sz w:val="20"/>
                <w:szCs w:val="20"/>
                <w:color w:val="auto"/>
              </w:rPr>
            </w:pPr>
            <w:r>
              <w:rPr>
                <w:rFonts w:ascii="Arial" w:cs="Arial" w:eastAsia="Arial" w:hAnsi="Arial"/>
                <w:sz w:val="18"/>
                <w:szCs w:val="18"/>
                <w:color w:val="auto"/>
              </w:rPr>
              <w:t>5,568</w:t>
            </w:r>
          </w:p>
        </w:tc>
        <w:tc>
          <w:tcPr>
            <w:tcW w:w="16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ind w:right="194"/>
              <w:spacing w:after="0" w:line="203" w:lineRule="exact"/>
              <w:rPr>
                <w:sz w:val="20"/>
                <w:szCs w:val="20"/>
                <w:color w:val="auto"/>
              </w:rPr>
            </w:pPr>
            <w:r>
              <w:rPr>
                <w:rFonts w:ascii="Arial" w:cs="Arial" w:eastAsia="Arial" w:hAnsi="Arial"/>
                <w:sz w:val="18"/>
                <w:szCs w:val="18"/>
                <w:color w:val="auto"/>
              </w:rPr>
              <w:t>5,110</w:t>
            </w:r>
          </w:p>
        </w:tc>
        <w:tc>
          <w:tcPr>
            <w:tcW w:w="0" w:type="dxa"/>
            <w:vAlign w:val="bottom"/>
          </w:tcPr>
          <w:p>
            <w:pPr>
              <w:spacing w:after="0"/>
              <w:rPr>
                <w:sz w:val="1"/>
                <w:szCs w:val="1"/>
                <w:color w:val="auto"/>
              </w:rPr>
            </w:pPr>
          </w:p>
        </w:tc>
      </w:tr>
      <w:tr>
        <w:trPr>
          <w:trHeight w:val="203"/>
        </w:trPr>
        <w:tc>
          <w:tcPr>
            <w:tcW w:w="570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Division profit</w:t>
            </w:r>
          </w:p>
        </w:tc>
        <w:tc>
          <w:tcPr>
            <w:tcW w:w="16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w w:val="99"/>
              </w:rPr>
              <w:t>$</w:t>
            </w:r>
          </w:p>
        </w:tc>
        <w:tc>
          <w:tcPr>
            <w:tcW w:w="720" w:type="dxa"/>
            <w:vAlign w:val="bottom"/>
            <w:shd w:val="clear" w:color="auto" w:fill="C0C0C0"/>
          </w:tcPr>
          <w:p>
            <w:pPr>
              <w:jc w:val="right"/>
              <w:ind w:right="154"/>
              <w:spacing w:after="0" w:line="202" w:lineRule="exact"/>
              <w:rPr>
                <w:sz w:val="20"/>
                <w:szCs w:val="20"/>
                <w:color w:val="auto"/>
              </w:rPr>
            </w:pPr>
            <w:r>
              <w:rPr>
                <w:rFonts w:ascii="Arial" w:cs="Arial" w:eastAsia="Arial" w:hAnsi="Arial"/>
                <w:sz w:val="18"/>
                <w:szCs w:val="18"/>
                <w:b w:val="1"/>
                <w:bCs w:val="1"/>
                <w:color w:val="auto"/>
              </w:rPr>
              <w:t>656</w:t>
            </w:r>
          </w:p>
        </w:tc>
        <w:tc>
          <w:tcPr>
            <w:tcW w:w="320" w:type="dxa"/>
            <w:vAlign w:val="bottom"/>
            <w:gridSpan w:val="2"/>
            <w:shd w:val="clear" w:color="auto" w:fill="C0C0C0"/>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ind w:right="154"/>
              <w:spacing w:after="0" w:line="202" w:lineRule="exact"/>
              <w:rPr>
                <w:sz w:val="20"/>
                <w:szCs w:val="20"/>
                <w:color w:val="auto"/>
              </w:rPr>
            </w:pPr>
            <w:r>
              <w:rPr>
                <w:rFonts w:ascii="Arial" w:cs="Arial" w:eastAsia="Arial" w:hAnsi="Arial"/>
                <w:sz w:val="18"/>
                <w:szCs w:val="18"/>
                <w:color w:val="auto"/>
              </w:rPr>
              <w:t>653</w:t>
            </w:r>
          </w:p>
        </w:tc>
        <w:tc>
          <w:tcPr>
            <w:tcW w:w="160" w:type="dxa"/>
            <w:vAlign w:val="bottom"/>
            <w:shd w:val="clear" w:color="auto" w:fill="C0C0C0"/>
          </w:tcPr>
          <w:p>
            <w:pPr>
              <w:spacing w:after="0"/>
              <w:rPr>
                <w:sz w:val="17"/>
                <w:szCs w:val="17"/>
                <w:color w:val="auto"/>
              </w:rPr>
            </w:pPr>
          </w:p>
        </w:tc>
        <w:tc>
          <w:tcPr>
            <w:tcW w:w="18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0C0C0"/>
          </w:tcPr>
          <w:p>
            <w:pPr>
              <w:jc w:val="right"/>
              <w:ind w:right="194"/>
              <w:spacing w:after="0" w:line="202" w:lineRule="exact"/>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39"/>
        </w:trPr>
        <w:tc>
          <w:tcPr>
            <w:tcW w:w="5700" w:type="dxa"/>
            <w:vAlign w:val="bottom"/>
          </w:tcPr>
          <w:p>
            <w:pPr>
              <w:ind w:left="20"/>
              <w:spacing w:after="0"/>
              <w:rPr>
                <w:sz w:val="20"/>
                <w:szCs w:val="20"/>
                <w:color w:val="auto"/>
              </w:rPr>
            </w:pPr>
            <w:r>
              <w:rPr>
                <w:rFonts w:ascii="Arial" w:cs="Arial" w:eastAsia="Arial" w:hAnsi="Arial"/>
                <w:sz w:val="18"/>
                <w:szCs w:val="18"/>
                <w:color w:val="auto"/>
              </w:rPr>
              <w:t>Division profit margin</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2013 compared with 2012</w:t>
      </w:r>
    </w:p>
    <w:p>
      <w:pPr>
        <w:spacing w:after="0" w:line="135" w:lineRule="exact"/>
        <w:rPr>
          <w:sz w:val="20"/>
          <w:szCs w:val="20"/>
          <w:color w:val="auto"/>
        </w:rPr>
      </w:pPr>
    </w:p>
    <w:p>
      <w:pPr>
        <w:jc w:val="both"/>
        <w:ind w:left="60" w:right="519"/>
        <w:spacing w:after="0" w:line="251" w:lineRule="auto"/>
        <w:rPr>
          <w:sz w:val="20"/>
          <w:szCs w:val="20"/>
          <w:color w:val="auto"/>
        </w:rPr>
      </w:pPr>
      <w:r>
        <w:rPr>
          <w:rFonts w:ascii="Arial" w:cs="Arial" w:eastAsia="Arial" w:hAnsi="Arial"/>
          <w:sz w:val="18"/>
          <w:szCs w:val="18"/>
          <w:color w:val="auto"/>
        </w:rPr>
        <w:t>Athletic Stores sales were $5,790 million in 2013, an increase of 4.0 percent as compared with the prior year. Excluding the effect of foreign currency fluctuations, primarily related to the euro, sales from the Athletic Stores segment increased by 3.7 percent in 2013. Comparable-store sales increased by 3.0 percent. The Athletic Stores segment includes $146 million of sales related to the Runners Point stores, which was acquired in early July 2013. Excluding the sales of the Runners Point stores, the increase was primarily driven by Kids Foot Locker, Foot Locker Europe, and domestic Foot Locker. Kids Foot Locker and Foot Locker Europe increased their store count by 31 and 14 stores, respectively, during 2013. The increase in these banners was partially offset by sales declines in Lady Foot Locker, Footaction, and Champs Sports. Lady Foot Locker’s sales declined in 2013 as management continues to close underperforming stores and redefine the product offerings. Lady Foot Locker’s store count declined by 46 stores during 2013. Test locations, including SIX:02 stores, are performing better than the balance of the chain and continue to be evaluated. Various initiatives are being implemented including the recent launch of the SIX:02 e-commerce website, in order to optimize performance before a roll-out strategy is determined. On a comparable-store sales basis, Footaction reported a modest increase for the year. Comparable-store sales for Champs Sports were negatively affected, in part, by the level of store remodel projects, which require temporary store closure during remodel.</w:t>
      </w:r>
    </w:p>
    <w:p>
      <w:pPr>
        <w:spacing w:after="0" w:line="103" w:lineRule="exact"/>
        <w:rPr>
          <w:sz w:val="20"/>
          <w:szCs w:val="20"/>
          <w:color w:val="auto"/>
        </w:rPr>
      </w:pPr>
    </w:p>
    <w:p>
      <w:pPr>
        <w:jc w:val="both"/>
        <w:ind w:left="60" w:right="519"/>
        <w:spacing w:after="0" w:line="254" w:lineRule="auto"/>
        <w:rPr>
          <w:sz w:val="20"/>
          <w:szCs w:val="20"/>
          <w:color w:val="auto"/>
        </w:rPr>
      </w:pPr>
      <w:r>
        <w:rPr>
          <w:rFonts w:ascii="Arial" w:cs="Arial" w:eastAsia="Arial" w:hAnsi="Arial"/>
          <w:sz w:val="18"/>
          <w:szCs w:val="18"/>
          <w:color w:val="auto"/>
        </w:rPr>
        <w:t>Within the Athletic Stores segment footwear was the biggest driver, led by our children’s category, which had strong gains across all banners. Footwear sales increased in our largest category, basketball, which benefited from key marquee player shoes. The segment is also benefiting from the continued expansion of the shop-in-shop partnerships with our various vendors.</w:t>
      </w:r>
    </w:p>
    <w:p>
      <w:pPr>
        <w:spacing w:after="0" w:line="96" w:lineRule="exact"/>
        <w:rPr>
          <w:sz w:val="20"/>
          <w:szCs w:val="20"/>
          <w:color w:val="auto"/>
        </w:rPr>
      </w:pPr>
    </w:p>
    <w:p>
      <w:pPr>
        <w:jc w:val="both"/>
        <w:ind w:left="60" w:right="519"/>
        <w:spacing w:after="0" w:line="253" w:lineRule="auto"/>
        <w:rPr>
          <w:sz w:val="20"/>
          <w:szCs w:val="20"/>
          <w:color w:val="auto"/>
        </w:rPr>
      </w:pPr>
      <w:r>
        <w:rPr>
          <w:rFonts w:ascii="Arial" w:cs="Arial" w:eastAsia="Arial" w:hAnsi="Arial"/>
          <w:sz w:val="18"/>
          <w:szCs w:val="18"/>
          <w:color w:val="auto"/>
        </w:rPr>
        <w:t>Athletic Stores reported a division profit of $656 million in 2013 as compared with $653 million in 2012, an increase of $3 million. Included in the 2013 results are costs of $2 million associated with the closure of the CCS stores. While the results of the Runners Point stores were accretive during the period, it was not significant. Additionally, the 2013 results reflect the reallocation of corporate expense to this segment, discussed more fully below. Excluding these items, division profit margin for 2013 would have been essentially unchanged.</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2012 compared with 2011</w:t>
      </w:r>
    </w:p>
    <w:p>
      <w:pPr>
        <w:spacing w:after="0" w:line="135" w:lineRule="exact"/>
        <w:rPr>
          <w:sz w:val="20"/>
          <w:szCs w:val="20"/>
          <w:color w:val="auto"/>
        </w:rPr>
      </w:pPr>
    </w:p>
    <w:p>
      <w:pPr>
        <w:jc w:val="both"/>
        <w:ind w:left="60" w:right="519"/>
        <w:spacing w:after="0" w:line="251" w:lineRule="auto"/>
        <w:rPr>
          <w:sz w:val="20"/>
          <w:szCs w:val="20"/>
          <w:color w:val="auto"/>
        </w:rPr>
      </w:pPr>
      <w:r>
        <w:rPr>
          <w:rFonts w:ascii="Arial" w:cs="Arial" w:eastAsia="Arial" w:hAnsi="Arial"/>
          <w:sz w:val="18"/>
          <w:szCs w:val="18"/>
          <w:color w:val="auto"/>
        </w:rPr>
        <w:t>Athletic Stores sales of $5,568 million increased 9.0 percent in 2012. Excluding the effect of foreign currency fluctuations, primarily related to the euro, sales from the Athletic Stores segment increased by 10.6 percent in 2012. Comparable-store sales increased by 8.5 percent. Most divisions within this segment experienced strong increases as compared with the prior year, led by Champs Sports and domestic Foot Locker. Foot Locker Europe had a modest comparable-store sales decline for the year reflecting the macroeconomic conditions in that region. Lady Foot Locker’s sales declined in 2012 reflecting losses from certain classic and lifestyle footwear, partially offset by an increase in performance footwear. Additionally, Lady Foot Locker operated 29 fewer stores as management has continued to focus on closing underperforming stores. Comparable-store sales for the division were down slightly for the year. During 2012, the Company introduced a new banner, SIX:02, an elevated retail concept featuring top brands in fitness apparel and athletic footwear for women. The Company opened 3 SIX:02 stores during the fourth quarter of 2012. In total, all categories, footwear, apparel and accessories, increased during 2012. Within the footwear category, the highest percentage increase came from our children’s category, which had strong gains across all banners, supported by the “Go Big” marketing campaign in Kids Foot Locker. Footwear sales increased in our largest category, basketball, which benefited from key marquee player shoes. Despite the overall decline in Lady Foot Locker sales, our overall women’s business modestly increased, as some of those customers found appealing product in our other banners. Apparel sales reflected strength in domestic sales, partially offset by a slight decline in Europe’s apparel sales.</w:t>
      </w:r>
    </w:p>
    <w:p>
      <w:pPr>
        <w:spacing w:after="0" w:line="200" w:lineRule="exact"/>
        <w:rPr>
          <w:sz w:val="20"/>
          <w:szCs w:val="20"/>
          <w:color w:val="auto"/>
        </w:rPr>
      </w:pPr>
    </w:p>
    <w:p>
      <w:pPr>
        <w:spacing w:after="0" w:line="34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96520</wp:posOffset>
            </wp:positionV>
            <wp:extent cx="6114415" cy="596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24" w:name="page25"/>
    <w:bookmarkEnd w:id="2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Athletic Stores reported a division profit of $653 million in 2012 as compared with $ 495 million in 2011, an increase of $158 million. During the fourth quarter of 2012 an impairment charge of $5 million was recorded to write down long-lived assets of the CCS stores as a result of the Company’s decision to close these stores. Foreign currency fluctuations negatively affected division profit by approximately $9 million as compared with the corresponding prior-year period. Division profit increased primarily as a result of strong sales and an improved gross margin rate driven by improved leverage of the fixed expenses within gross margin, contributing to an overall profit flow-through of 34.5 percent.</w:t>
      </w:r>
    </w:p>
    <w:p>
      <w:pPr>
        <w:spacing w:after="0" w:line="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Direct-to-Customers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5657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5"/>
        </w:trPr>
        <w:tc>
          <w:tcPr>
            <w:tcW w:w="576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vMerge w:val="restart"/>
          </w:tcPr>
          <w:p>
            <w:pPr>
              <w:jc w:val="right"/>
              <w:ind w:right="194"/>
              <w:spacing w:after="0"/>
              <w:rPr>
                <w:sz w:val="20"/>
                <w:szCs w:val="20"/>
                <w:color w:val="auto"/>
              </w:rPr>
            </w:pPr>
            <w:r>
              <w:rPr>
                <w:rFonts w:ascii="Arial" w:cs="Arial" w:eastAsia="Arial" w:hAnsi="Arial"/>
                <w:sz w:val="18"/>
                <w:szCs w:val="18"/>
                <w:b w:val="1"/>
                <w:bCs w:val="1"/>
                <w:color w:val="auto"/>
              </w:rPr>
              <w:t>715</w:t>
            </w:r>
          </w:p>
        </w:tc>
        <w:tc>
          <w:tcPr>
            <w:tcW w:w="160" w:type="dxa"/>
            <w:vAlign w:val="bottom"/>
          </w:tcPr>
          <w:p>
            <w:pPr>
              <w:spacing w:after="0"/>
              <w:rPr>
                <w:sz w:val="16"/>
                <w:szCs w:val="16"/>
                <w:color w:val="auto"/>
              </w:rPr>
            </w:pP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3" w:lineRule="exact"/>
              <w:rPr>
                <w:sz w:val="20"/>
                <w:szCs w:val="20"/>
                <w:color w:val="auto"/>
              </w:rPr>
            </w:pPr>
            <w:r>
              <w:rPr>
                <w:rFonts w:ascii="Arial" w:cs="Arial" w:eastAsia="Arial" w:hAnsi="Arial"/>
                <w:sz w:val="18"/>
                <w:szCs w:val="18"/>
                <w:color w:val="auto"/>
              </w:rPr>
              <w:t>Sales</w:t>
            </w:r>
          </w:p>
        </w:tc>
        <w:tc>
          <w:tcPr>
            <w:tcW w:w="16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3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214"/>
              <w:spacing w:after="0" w:line="203" w:lineRule="exact"/>
              <w:rPr>
                <w:sz w:val="20"/>
                <w:szCs w:val="20"/>
                <w:color w:val="auto"/>
              </w:rPr>
            </w:pPr>
            <w:r>
              <w:rPr>
                <w:rFonts w:ascii="Arial" w:cs="Arial" w:eastAsia="Arial" w:hAnsi="Arial"/>
                <w:sz w:val="18"/>
                <w:szCs w:val="18"/>
                <w:color w:val="auto"/>
              </w:rPr>
              <w:t>614</w:t>
            </w:r>
          </w:p>
        </w:tc>
        <w:tc>
          <w:tcPr>
            <w:tcW w:w="160" w:type="dxa"/>
            <w:vAlign w:val="bottom"/>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ind w:right="274"/>
              <w:spacing w:after="0" w:line="203" w:lineRule="exact"/>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03"/>
        </w:trPr>
        <w:tc>
          <w:tcPr>
            <w:tcW w:w="57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Division profit</w:t>
            </w:r>
          </w:p>
        </w:tc>
        <w:tc>
          <w:tcPr>
            <w:tcW w:w="16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0C0C0"/>
          </w:tcPr>
          <w:p>
            <w:pPr>
              <w:jc w:val="right"/>
              <w:ind w:right="194"/>
              <w:spacing w:after="0" w:line="202" w:lineRule="exact"/>
              <w:rPr>
                <w:sz w:val="20"/>
                <w:szCs w:val="20"/>
                <w:color w:val="auto"/>
              </w:rPr>
            </w:pPr>
            <w:r>
              <w:rPr>
                <w:rFonts w:ascii="Arial" w:cs="Arial" w:eastAsia="Arial" w:hAnsi="Arial"/>
                <w:sz w:val="18"/>
                <w:szCs w:val="18"/>
                <w:b w:val="1"/>
                <w:bCs w:val="1"/>
                <w:color w:val="auto"/>
              </w:rPr>
              <w:t>84</w:t>
            </w:r>
          </w:p>
        </w:tc>
        <w:tc>
          <w:tcPr>
            <w:tcW w:w="340" w:type="dxa"/>
            <w:vAlign w:val="bottom"/>
            <w:gridSpan w:val="2"/>
            <w:shd w:val="clear" w:color="auto" w:fill="C0C0C0"/>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ind w:right="214"/>
              <w:spacing w:after="0" w:line="202" w:lineRule="exact"/>
              <w:rPr>
                <w:sz w:val="20"/>
                <w:szCs w:val="20"/>
                <w:color w:val="auto"/>
              </w:rPr>
            </w:pPr>
            <w:r>
              <w:rPr>
                <w:rFonts w:ascii="Arial" w:cs="Arial" w:eastAsia="Arial" w:hAnsi="Arial"/>
                <w:sz w:val="18"/>
                <w:szCs w:val="18"/>
                <w:color w:val="auto"/>
              </w:rPr>
              <w:t>65</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0C0C0"/>
          </w:tcPr>
          <w:p>
            <w:pPr>
              <w:jc w:val="right"/>
              <w:ind w:right="274"/>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9"/>
        </w:trPr>
        <w:tc>
          <w:tcPr>
            <w:tcW w:w="5760" w:type="dxa"/>
            <w:vAlign w:val="bottom"/>
          </w:tcPr>
          <w:p>
            <w:pPr>
              <w:ind w:left="20"/>
              <w:spacing w:after="0"/>
              <w:rPr>
                <w:sz w:val="20"/>
                <w:szCs w:val="20"/>
                <w:color w:val="auto"/>
              </w:rPr>
            </w:pPr>
            <w:r>
              <w:rPr>
                <w:rFonts w:ascii="Arial" w:cs="Arial" w:eastAsia="Arial" w:hAnsi="Arial"/>
                <w:sz w:val="18"/>
                <w:szCs w:val="18"/>
                <w:color w:val="auto"/>
              </w:rPr>
              <w:t>Division profit margin</w:t>
            </w:r>
          </w:p>
        </w:tc>
        <w:tc>
          <w:tcPr>
            <w:tcW w:w="160" w:type="dxa"/>
            <w:vAlign w:val="bottom"/>
          </w:tcPr>
          <w:p>
            <w:pPr>
              <w:spacing w:after="0"/>
              <w:rPr>
                <w:sz w:val="20"/>
                <w:szCs w:val="20"/>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b w:val="1"/>
                <w:bCs w:val="1"/>
                <w:color w:val="auto"/>
              </w:rPr>
              <w:t>11.7%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2013 compared with 2012</w:t>
      </w:r>
    </w:p>
    <w:p>
      <w:pPr>
        <w:spacing w:after="0" w:line="135" w:lineRule="exact"/>
        <w:rPr>
          <w:sz w:val="20"/>
          <w:szCs w:val="20"/>
          <w:color w:val="auto"/>
        </w:rPr>
      </w:pPr>
    </w:p>
    <w:p>
      <w:pPr>
        <w:jc w:val="both"/>
        <w:ind w:left="60" w:right="519"/>
        <w:spacing w:after="0" w:line="251" w:lineRule="auto"/>
        <w:rPr>
          <w:sz w:val="20"/>
          <w:szCs w:val="20"/>
          <w:color w:val="auto"/>
        </w:rPr>
      </w:pPr>
      <w:r>
        <w:rPr>
          <w:rFonts w:ascii="Arial" w:cs="Arial" w:eastAsia="Arial" w:hAnsi="Arial"/>
          <w:sz w:val="18"/>
          <w:szCs w:val="18"/>
          <w:color w:val="auto"/>
        </w:rPr>
        <w:t>Direct-to-Customers sales increased 16.4 percent to $ 715 million in 2013, as compared with $614 million in 2012. Comparable sales increased 14.8 percent from the prior year. The Direct-to-Customers segment includes $ 18 million of sales related to the e-commerce division of Runners Point Group, which the Company acquired during the second quarter of 2013. Excluding these sales, the increase was primarily a result of continued strong sales performance related to the Company’s store-banner websites, as well as increased Eastbay sales. Of the total increase, sales from our store-banner websites comprised approximately three quarters of the increase reflecting success of several initiatives, including improving the connectivity of the store banners to the e-commerce sites, investments in technology to improve the shopping experience, and investments in making the sites more engaging. These increases were offset, in part, by a further decline in the CCS business.</w:t>
      </w:r>
    </w:p>
    <w:p>
      <w:pPr>
        <w:spacing w:after="0" w:line="105"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The Direct-to-Customers business generated division profit of $84 million in 2013, as compared with $ 65 million in 2012. Division profit, as a percentage of sales, was 11.7 percent in 2013 and 10.6 percent in 2012. The 2013 results reflect the reallocation of corporate expense, discussed more fully below. Excluding this change division profit margin would have been 12.3 percent. During 2012, an impairment charge of $7 million was recorded to write down CCS intangible assets. Excluding these items, division profit increased by $17 million. The effect of the acquisition was not significant to this segment’s division profit.</w:t>
      </w:r>
    </w:p>
    <w:p>
      <w:pPr>
        <w:spacing w:after="0" w:line="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2012 compared with 2011</w:t>
      </w:r>
    </w:p>
    <w:p>
      <w:pPr>
        <w:spacing w:after="0" w:line="135"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Direct-to-Customers sales increased 19.7 percent to $614 million in 2012, as compared with $513 million in 2011. On a comparable 52 week basis, sales increased 17.7 percent. The increase was primarily a result of continued strong sales performance for the Company’s store-banner websites, as well as increased Eastbay sales. Of the total increase, sales from our store-banner websites comprised approximately 60 percent of the increase. This improvement reflected further investment in our websites in order to provide excellent service in our digital channels, including easy navigation, timely shipping, helpful call center assistance, and entertaining and engaging content.</w:t>
      </w:r>
    </w:p>
    <w:p>
      <w:pPr>
        <w:spacing w:after="0" w:line="101"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The Direct-to-Customers business generated division profit of $65 million in 2012, as compared with $45 million in 2011. Division profit, as a percentage of sales, was 10.6 percent in 2012 and 8.8 percent in 2011. During the fourth quarters of 2012 and 2011, impairment charges of $7 million and $5 million, respectively, were recorded to write down CCS intangible assets, specifically the non-amortizing tradename. The 2012 impairment was primarily the result of continued reductions in revenue projections, coupled with a decrease in the assumed royalty rate as a result of lower profitability. Excluding the impairment charges in each of the periods, division profit increased by $22 million reflecting the strong sales performance and a lower expense rate.</w:t>
      </w:r>
    </w:p>
    <w:p>
      <w:pPr>
        <w:spacing w:after="0" w:line="8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Corporate Expense</w:t>
      </w:r>
    </w:p>
    <w:p>
      <w:pPr>
        <w:spacing w:after="0" w:line="135" w:lineRule="exact"/>
        <w:rPr>
          <w:sz w:val="20"/>
          <w:szCs w:val="20"/>
          <w:color w:val="auto"/>
        </w:rPr>
      </w:pPr>
    </w:p>
    <w:p>
      <w:pPr>
        <w:jc w:val="both"/>
        <w:ind w:left="60" w:right="539"/>
        <w:spacing w:after="0" w:line="262" w:lineRule="auto"/>
        <w:rPr>
          <w:sz w:val="20"/>
          <w:szCs w:val="20"/>
          <w:color w:val="auto"/>
        </w:rPr>
      </w:pPr>
      <w:r>
        <w:rPr>
          <w:rFonts w:ascii="Arial" w:cs="Arial" w:eastAsia="Arial" w:hAnsi="Arial"/>
          <w:sz w:val="18"/>
          <w:szCs w:val="18"/>
          <w:color w:val="auto"/>
        </w:rPr>
        <w:t>Corporate expense consists of unallocated general and administrative expenses as well as depreciation and amortization related to the Company’s corporate headquarters, centrally managed departments, unallocated</w:t>
      </w:r>
    </w:p>
    <w:p>
      <w:pPr>
        <w:spacing w:after="0" w:line="200" w:lineRule="exact"/>
        <w:rPr>
          <w:sz w:val="20"/>
          <w:szCs w:val="20"/>
          <w:color w:val="auto"/>
        </w:rPr>
      </w:pPr>
    </w:p>
    <w:p>
      <w:pPr>
        <w:spacing w:after="0" w:line="33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96520</wp:posOffset>
            </wp:positionV>
            <wp:extent cx="6114415" cy="596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jc w:val="both"/>
        <w:ind w:left="40" w:right="539"/>
        <w:spacing w:after="0" w:line="256" w:lineRule="auto"/>
        <w:rPr>
          <w:sz w:val="20"/>
          <w:szCs w:val="20"/>
          <w:color w:val="auto"/>
        </w:rPr>
      </w:pPr>
      <w:r>
        <w:rPr>
          <w:rFonts w:ascii="Arial" w:cs="Arial" w:eastAsia="Arial" w:hAnsi="Arial"/>
          <w:sz w:val="18"/>
          <w:szCs w:val="18"/>
          <w:color w:val="auto"/>
        </w:rPr>
        <w:t>insurance and benefit programs, certain foreign exchange transaction gains and losses, and other items. Depreciation and amortization included in corporate expense was $12 million, $13 million, and $11 million in 2013, 2012, and 2011, respectively.</w:t>
      </w:r>
    </w:p>
    <w:p>
      <w:pPr>
        <w:spacing w:after="0" w:line="94"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Corporate expense decreased by $32 million to $ 76 million in 2013, as compared with 2012. Based upon an internal study of corporate expense, the allocation of such expenses to the operating divisions was increased thereby reducing corporate expense by $27 million for 2013. In addition, incentive compensation decreased $11 million and legal expenses decreased by $4 million as 2012 reflected a litigation charge. Additionally, as noted above depreciation and amortization expense decreased by $1 million. These decreases were partially offset by $6 million of costs related to the Company’s acquisition and integration of Runners Point Group as well as an increase of $5 million for share-based compensation expense.</w:t>
      </w:r>
    </w:p>
    <w:p>
      <w:pPr>
        <w:spacing w:after="0" w:line="99" w:lineRule="exact"/>
        <w:rPr>
          <w:sz w:val="20"/>
          <w:szCs w:val="20"/>
          <w:color w:val="auto"/>
        </w:rPr>
      </w:pPr>
    </w:p>
    <w:p>
      <w:pPr>
        <w:jc w:val="both"/>
        <w:ind w:left="40" w:right="519"/>
        <w:spacing w:after="0" w:line="256" w:lineRule="auto"/>
        <w:rPr>
          <w:sz w:val="20"/>
          <w:szCs w:val="20"/>
          <w:color w:val="auto"/>
        </w:rPr>
      </w:pPr>
      <w:r>
        <w:rPr>
          <w:rFonts w:ascii="Arial" w:cs="Arial" w:eastAsia="Arial" w:hAnsi="Arial"/>
          <w:sz w:val="18"/>
          <w:szCs w:val="18"/>
          <w:color w:val="auto"/>
        </w:rPr>
        <w:t>Corporate expense increased by $6 million to $108 million in 2012, as compared with 2011. The increase represents increased depreciation and amortization of $2 million, $2 million of increased share-based compensation expense, and a charge of $4 million related to litigation, offset, in part, by expense savings in other corporate areas. The effect of the</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53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week on corporate expense was not significant.</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Liquidity</w:t>
      </w:r>
    </w:p>
    <w:p>
      <w:pPr>
        <w:spacing w:after="0" w:line="135"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The Company’s primary source of liquidity has been cash flow from operations, while the principal uses of cash have been to: fund inventory and other working capital requirements; finance capital expenditures related to store openings, store remodelings, Internet and mobile sites, information systems, and other support facilities; make retirement plan contributions, quarterly dividend payments, and interest payments; and fund other cash requirements to support the development of its short-term and long-term operating strategies. The Company generally finances real estate with operating leases. Management believes its cash, cash equivalents, and future cash flow from operations will be adequate to fund these requirements.</w:t>
      </w:r>
    </w:p>
    <w:p>
      <w:pPr>
        <w:spacing w:after="0" w:line="99"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As of February 1, 2014, the Company had $426 million of cash and cash equivalents held in foreign jurisdictions. Because we plan to permanently reinvest our foreign earnings, in accordance with U.S. GAAP, we have not provided for U.S. federal and state income taxes or foreign withholding taxes that may result from potential future remittances of undistributed earnings of foreign subsidiaries. Depending on the source, amount, and timing of a repatriation, some tax may be payable. The Company believes that its cash invested domestically and future domestic cash flows are sufficient to satisfy domestic requirements.</w:t>
      </w:r>
    </w:p>
    <w:p>
      <w:pPr>
        <w:spacing w:after="0" w:line="101"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The Company may also from time to time repurchase its common stock or seek to retire or purchase outstanding debt through open market purchases, privately negotiated transactions, or otherwise. Such repurchases, if any, will depend on prevailing market conditions, liquidity requirements, contractual restrictions, and other factors. The amounts involved may be material. On February 20, 2013, the Board of Directors approved a new 3-year, $600 million share repurchase program extending through January 2016, replacing the Company’s previous $400 million program which terminated on that date. As of February 1, 2014, approximately $371 million is remaining on this program.</w:t>
      </w:r>
    </w:p>
    <w:p>
      <w:pPr>
        <w:spacing w:after="0" w:line="101"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Any material adverse change in customer demand, fashion trends, competitive market forces, or customer acceptance of the Company’s merchandise mix and retail locations, uncertainties related to the effect of competitive products and pricing, the Company’s reliance on a few key vendors for a significant portion of its merchandise purchases and risks associated with global product sourcing, economic conditions worldwide, the effects of currency fluctuations, as well as other factors listed under the heading “Disclosure Regarding Forward-Looking Statements,” could affect the ability of the Company to continue to fund its needs from business operations.</w:t>
      </w:r>
    </w:p>
    <w:p>
      <w:pPr>
        <w:spacing w:after="0" w:line="101"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Maintaining access to merchandise that the Company considers appropriate for its business may be subject to the policies and practices of its key vendors. Therefore, the Company believes that it is critical to continue to maintain satisfactory relationships with its key vendors. In 2013 and 2012, the Company purchased approximately 88 percent and 86 percent, respectively, of its merchandise from its top five vendors and expects to continue to obtain a significant percentage of its athletic product from these vendors in future periods. Approximately 68 percent in 2013 and 65 percent in 2012 was purchased from one vendor — Nike, Inc.</w:t>
      </w:r>
    </w:p>
    <w:p>
      <w:pPr>
        <w:spacing w:after="0" w:line="200" w:lineRule="exact"/>
        <w:rPr>
          <w:sz w:val="20"/>
          <w:szCs w:val="20"/>
          <w:color w:val="auto"/>
        </w:rPr>
      </w:pPr>
    </w:p>
    <w:p>
      <w:pPr>
        <w:spacing w:after="0" w:line="36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96520</wp:posOffset>
            </wp:positionV>
            <wp:extent cx="6114415" cy="596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26" w:name="page27"/>
    <w:bookmarkEnd w:id="26"/>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The Company’s 2014 planned capital expenditures and lease acquisition costs are approximately $220 million. Planned capital expenditures are $ 219 million and planned lease acquisition costs related to the Company’s operations in Europe are $1 million. The Company’s planned capital expenditures include $181 million related to modernizations of existing stores and the planned opening of 62 new stores, as well as $38 million for the development of information systems and infrastructure. The Company has the ability to revise and reschedule much of the anticipated capital expenditure program, should the Company’s financial position require it.</w:t>
      </w:r>
    </w:p>
    <w:p>
      <w:pPr>
        <w:spacing w:after="0" w:line="83"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Free Cash Flow (non-GAAP measure)</w:t>
      </w:r>
    </w:p>
    <w:p>
      <w:pPr>
        <w:spacing w:after="0" w:line="135"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In addition to net cash provided by operating activities, the Company uses free cash flow as a useful measure of performance and as an indication of the strength of the Company and its ability to generate cash. The Company defines free cash flow as net cash provided by operating activities less capital expenditures (which is classified as an investing activity). The Company believes the presentation of free cash flow is relevant and useful for investors because it allows investors to evaluate the cash generated from the Company’s underlying operations in a manner similar to the method used by management.</w:t>
      </w:r>
    </w:p>
    <w:p>
      <w:pPr>
        <w:spacing w:after="0" w:line="101" w:lineRule="exact"/>
        <w:rPr>
          <w:sz w:val="20"/>
          <w:szCs w:val="20"/>
          <w:color w:val="auto"/>
        </w:rPr>
      </w:pPr>
    </w:p>
    <w:p>
      <w:pPr>
        <w:jc w:val="both"/>
        <w:ind w:left="60" w:right="519"/>
        <w:spacing w:after="0" w:line="254" w:lineRule="auto"/>
        <w:rPr>
          <w:sz w:val="20"/>
          <w:szCs w:val="20"/>
          <w:color w:val="auto"/>
        </w:rPr>
      </w:pPr>
      <w:r>
        <w:rPr>
          <w:rFonts w:ascii="Arial" w:cs="Arial" w:eastAsia="Arial" w:hAnsi="Arial"/>
          <w:sz w:val="18"/>
          <w:szCs w:val="18"/>
          <w:color w:val="auto"/>
        </w:rPr>
        <w:t>Free cash flow is not defined under U.S. GAAP. Therefore, it should not be considered a substitute for income or cash flow data prepared in accordance with U.S. GAAP, and may not be comparable to similarly titled measures used by other companies. It should not be inferred that the entire free cash flow amount is available for discretionary expenditures.</w:t>
      </w:r>
    </w:p>
    <w:p>
      <w:pPr>
        <w:spacing w:after="0" w:line="96" w:lineRule="exact"/>
        <w:rPr>
          <w:sz w:val="20"/>
          <w:szCs w:val="20"/>
          <w:color w:val="auto"/>
        </w:rPr>
      </w:pPr>
    </w:p>
    <w:p>
      <w:pPr>
        <w:jc w:val="both"/>
        <w:ind w:left="60" w:right="539"/>
        <w:spacing w:after="0" w:line="251" w:lineRule="auto"/>
        <w:rPr>
          <w:sz w:val="20"/>
          <w:szCs w:val="20"/>
          <w:color w:val="auto"/>
        </w:rPr>
      </w:pPr>
      <w:r>
        <w:rPr>
          <w:rFonts w:ascii="Arial" w:cs="Arial" w:eastAsia="Arial" w:hAnsi="Arial"/>
          <w:sz w:val="18"/>
          <w:szCs w:val="18"/>
          <w:color w:val="auto"/>
        </w:rPr>
        <w:t>The following table presents a reconciliation of the Company’s net cash flow provided by operating activities, the most directly comparable GAAP financial measure, to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-76200</wp:posOffset>
            </wp:positionV>
            <wp:extent cx="55657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57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760" w:type="dxa"/>
            <w:vAlign w:val="bottom"/>
          </w:tcPr>
          <w:p>
            <w:pPr>
              <w:spacing w:after="0"/>
              <w:rPr>
                <w:sz w:val="16"/>
                <w:szCs w:val="16"/>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530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4"/>
          </w:tcPr>
          <w:p>
            <w:pPr>
              <w:ind w:left="8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3" w:lineRule="exact"/>
              <w:rPr>
                <w:sz w:val="20"/>
                <w:szCs w:val="20"/>
                <w:color w:val="auto"/>
              </w:rPr>
            </w:pPr>
            <w:r>
              <w:rPr>
                <w:rFonts w:ascii="Arial" w:cs="Arial" w:eastAsia="Arial" w:hAnsi="Arial"/>
                <w:sz w:val="18"/>
                <w:szCs w:val="18"/>
                <w:color w:val="auto"/>
              </w:rPr>
              <w:t>Net cash provided by operating activities</w:t>
            </w:r>
          </w:p>
        </w:tc>
        <w:tc>
          <w:tcPr>
            <w:tcW w:w="20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416</w:t>
            </w:r>
          </w:p>
        </w:tc>
        <w:tc>
          <w:tcPr>
            <w:tcW w:w="160" w:type="dxa"/>
            <w:vAlign w:val="bottom"/>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03"/>
        </w:trPr>
        <w:tc>
          <w:tcPr>
            <w:tcW w:w="57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Capital expenditures</w:t>
            </w:r>
          </w:p>
        </w:tc>
        <w:tc>
          <w:tcPr>
            <w:tcW w:w="200" w:type="dxa"/>
            <w:vAlign w:val="bottom"/>
            <w:shd w:val="clear" w:color="auto" w:fill="C0C0C0"/>
          </w:tcPr>
          <w:p>
            <w:pPr>
              <w:spacing w:after="0"/>
              <w:rPr>
                <w:sz w:val="17"/>
                <w:szCs w:val="17"/>
                <w:color w:val="auto"/>
              </w:rPr>
            </w:pPr>
          </w:p>
        </w:tc>
        <w:tc>
          <w:tcPr>
            <w:tcW w:w="66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b w:val="1"/>
                <w:bCs w:val="1"/>
                <w:color w:val="auto"/>
              </w:rPr>
              <w:t>(206)</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140"/>
              <w:spacing w:after="0" w:line="202" w:lineRule="exact"/>
              <w:rPr>
                <w:sz w:val="20"/>
                <w:szCs w:val="20"/>
                <w:color w:val="auto"/>
              </w:rPr>
            </w:pPr>
            <w:r>
              <w:rPr>
                <w:rFonts w:ascii="Arial" w:cs="Arial" w:eastAsia="Arial" w:hAnsi="Arial"/>
                <w:sz w:val="18"/>
                <w:szCs w:val="18"/>
                <w:color w:val="auto"/>
              </w:rPr>
              <w:t>(163)</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60"/>
              <w:spacing w:after="0" w:line="202"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57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tcPr>
          <w:p>
            <w:pPr>
              <w:ind w:left="20"/>
              <w:spacing w:after="0" w:line="196" w:lineRule="exact"/>
              <w:rPr>
                <w:sz w:val="20"/>
                <w:szCs w:val="20"/>
                <w:color w:val="auto"/>
              </w:rPr>
            </w:pPr>
            <w:r>
              <w:rPr>
                <w:rFonts w:ascii="Arial" w:cs="Arial" w:eastAsia="Arial" w:hAnsi="Arial"/>
                <w:sz w:val="18"/>
                <w:szCs w:val="18"/>
                <w:color w:val="auto"/>
              </w:rPr>
              <w:t>Free cash flow (non-GAAP)</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324</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253</w:t>
            </w:r>
          </w:p>
        </w:tc>
        <w:tc>
          <w:tcPr>
            <w:tcW w:w="16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-170815</wp:posOffset>
            </wp:positionV>
            <wp:extent cx="5565775"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65775" cy="171450"/>
                    </a:xfrm>
                    <a:prstGeom prst="rect">
                      <a:avLst/>
                    </a:prstGeom>
                    <a:noFill/>
                  </pic:spPr>
                </pic:pic>
              </a:graphicData>
            </a:graphic>
          </wp:anchor>
        </w:drawing>
      </w:r>
    </w:p>
    <w:p>
      <w:pPr>
        <w:spacing w:after="0" w:line="6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135" w:lineRule="exact"/>
        <w:rPr>
          <w:sz w:val="20"/>
          <w:szCs w:val="20"/>
          <w:color w:val="auto"/>
        </w:rPr>
      </w:pPr>
    </w:p>
    <w:p>
      <w:pPr>
        <w:jc w:val="both"/>
        <w:ind w:left="60" w:right="519"/>
        <w:spacing w:after="0" w:line="253" w:lineRule="auto"/>
        <w:rPr>
          <w:sz w:val="20"/>
          <w:szCs w:val="20"/>
          <w:color w:val="auto"/>
        </w:rPr>
      </w:pPr>
      <w:r>
        <w:rPr>
          <w:rFonts w:ascii="Arial" w:cs="Arial" w:eastAsia="Arial" w:hAnsi="Arial"/>
          <w:sz w:val="18"/>
          <w:szCs w:val="18"/>
          <w:color w:val="auto"/>
        </w:rPr>
        <w:t>Operating activities provided cash of $ 530 million in 2013, compared with $ 416 million in 2012. These amounts reflect income adjusted for non-cash items and working capital changes. The improvement represents the Company’s earnings strength. During 2013, the Company contributed $2 million to its Canadian qualified pension plans as compared with $ 25 million and $1 million contributed to the U.S. and Canadian plans, respectively, in 2012. Cash paid for income taxes was $175 million for 2013 as compared with $230 million for 2012.</w:t>
      </w:r>
    </w:p>
    <w:p>
      <w:pPr>
        <w:spacing w:after="0" w:line="97" w:lineRule="exact"/>
        <w:rPr>
          <w:sz w:val="20"/>
          <w:szCs w:val="20"/>
          <w:color w:val="auto"/>
        </w:rPr>
      </w:pPr>
    </w:p>
    <w:p>
      <w:pPr>
        <w:jc w:val="both"/>
        <w:ind w:left="60" w:right="519"/>
        <w:spacing w:after="0" w:line="254" w:lineRule="auto"/>
        <w:rPr>
          <w:sz w:val="20"/>
          <w:szCs w:val="20"/>
          <w:color w:val="auto"/>
        </w:rPr>
      </w:pPr>
      <w:r>
        <w:rPr>
          <w:rFonts w:ascii="Arial" w:cs="Arial" w:eastAsia="Arial" w:hAnsi="Arial"/>
          <w:sz w:val="18"/>
          <w:szCs w:val="18"/>
          <w:color w:val="auto"/>
        </w:rPr>
        <w:t>Operating activities provided cash of $416 million in 2012, compared with $497 million in 2011. Non-cash impairment and other charges were $12 million and $5 million for 2012 and 2011, respectively. These impairment charges were related to the CCS business. During 2012, the Company contributed $26 million to its U.S. and Canadian qualified pension plans as compared with $28 million contributed in 2011. The increase in merchandise inventories for 2012 of</w:t>
      </w:r>
    </w:p>
    <w:p>
      <w:pPr>
        <w:spacing w:after="0" w:line="15" w:lineRule="exact"/>
        <w:rPr>
          <w:sz w:val="20"/>
          <w:szCs w:val="20"/>
          <w:color w:val="auto"/>
        </w:rPr>
      </w:pPr>
    </w:p>
    <w:p>
      <w:pPr>
        <w:jc w:val="both"/>
        <w:ind w:left="60" w:right="519"/>
        <w:spacing w:after="0" w:line="205" w:lineRule="auto"/>
        <w:rPr>
          <w:sz w:val="20"/>
          <w:szCs w:val="20"/>
          <w:color w:val="auto"/>
        </w:rPr>
      </w:pPr>
      <w:r>
        <w:rPr>
          <w:rFonts w:ascii="Arial" w:cs="Arial" w:eastAsia="Arial" w:hAnsi="Arial"/>
          <w:sz w:val="18"/>
          <w:szCs w:val="18"/>
          <w:color w:val="auto"/>
        </w:rPr>
        <w:t>$91 million was due to the shift caused by the 53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week, which was planned in order to support sales for February, which is typically a strong period.</w:t>
      </w:r>
    </w:p>
    <w:p>
      <w:pPr>
        <w:spacing w:after="0" w:line="9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135"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Net cash used in investing activities was $248 million in 2013 as compared with $212 million in 2012. During the second quarter of 2013, the Company completed its purchase of Runners Point Group for $81 million, net of cash acquired. Capital expenditures in 2013 were $206 million, primarily related to the remodeling of 320 stores, the build-out of 84 new stores, and various corporate technology upgrades, representing an increase of $43 million as compared with the prior year. These increases were partially offset by net sales and maturities of $37 million of short-term investments during 2013.</w:t>
      </w:r>
    </w:p>
    <w:p>
      <w:pPr>
        <w:spacing w:after="0" w:line="101" w:lineRule="exact"/>
        <w:rPr>
          <w:sz w:val="20"/>
          <w:szCs w:val="20"/>
          <w:color w:val="auto"/>
        </w:rPr>
      </w:pPr>
    </w:p>
    <w:p>
      <w:pPr>
        <w:jc w:val="both"/>
        <w:ind w:left="60" w:right="539"/>
        <w:spacing w:after="0" w:line="256" w:lineRule="auto"/>
        <w:rPr>
          <w:sz w:val="20"/>
          <w:szCs w:val="20"/>
          <w:color w:val="auto"/>
        </w:rPr>
      </w:pPr>
      <w:r>
        <w:rPr>
          <w:rFonts w:ascii="Arial" w:cs="Arial" w:eastAsia="Arial" w:hAnsi="Arial"/>
          <w:sz w:val="18"/>
          <w:szCs w:val="18"/>
          <w:color w:val="auto"/>
        </w:rPr>
        <w:t>Net cash used in investing activities was $212 million in 2012 as compared with $149 million in 2011. The increase was primarily due to the Company’s net purchases of $49 million of short-term investments as well as higher capital expenditures. Capital expenditures were $163 million, primarily related to the remodeling of 198 stores,</w:t>
      </w:r>
    </w:p>
    <w:p>
      <w:pPr>
        <w:spacing w:after="0" w:line="200" w:lineRule="exact"/>
        <w:rPr>
          <w:sz w:val="20"/>
          <w:szCs w:val="20"/>
          <w:color w:val="auto"/>
        </w:rPr>
      </w:pPr>
    </w:p>
    <w:p>
      <w:pPr>
        <w:spacing w:after="0" w:line="34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96520</wp:posOffset>
            </wp:positionV>
            <wp:extent cx="6114415" cy="596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jc w:val="both"/>
        <w:ind w:left="40" w:right="539"/>
        <w:spacing w:after="0" w:line="262" w:lineRule="auto"/>
        <w:rPr>
          <w:sz w:val="20"/>
          <w:szCs w:val="20"/>
          <w:color w:val="auto"/>
        </w:rPr>
      </w:pPr>
      <w:r>
        <w:rPr>
          <w:rFonts w:ascii="Arial" w:cs="Arial" w:eastAsia="Arial" w:hAnsi="Arial"/>
          <w:sz w:val="18"/>
          <w:szCs w:val="18"/>
          <w:color w:val="auto"/>
        </w:rPr>
        <w:t>the build-out of 85 new stores, and various corporate technology upgrades and e-commerce website enhancements, representing an increase of $11 million as compared with the prior year.</w:t>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135"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Net cash used in financing activities was $309 million in 2013 as compared with $181 million in 2012. During 2013, the Company repurchased 6,424,286 shares of its common stock under its share repurchase program for $229 million. Additionally, the Company declared and paid dividends totaling $118 million and $109 million in 2013 and 2012, respectively, representing a quarterly rate of $0.20 and $0.18 per share in 2013 and 2012, respectively. During 2013 and 2012, the Company received proceeds from the issuance of common stock and treasury stock in connection with the employee stock programs of $30 million and $48 million, respectively. In connection with stock option exercises, the Company recorded excess tax benefits related to share-based compensation of $9 million and $11 million for 2013 and 2012, respectively.</w:t>
      </w:r>
    </w:p>
    <w:p>
      <w:pPr>
        <w:spacing w:after="0" w:line="98"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Net cash used in financing activities was $181 million in 2012 as compared with $178 million in 2011. During 2012, the Company repurchased 4,000,161 shares of its common stock under its share repurchase program for $129 million. Additionally, the Company declared and paid dividends totaling $109 million and $101 million in 2012 and 2011, respectively, representing a quarterly rate of $0.18 and $0.165 per share in 2012 and 2011, respectively. During 2012 and 2011, the Company received proceeds from the issuance of common stock and treasury stock in connection with the employee stock programs of $48 million and $22 million, respectively. In connection with stock option exercises, the Company recorded excess tax benefits related to share-based compensation of $11 million and $5 million for 2012 and 2011, respectively.</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Capital Structure</w:t>
      </w:r>
    </w:p>
    <w:p>
      <w:pPr>
        <w:spacing w:after="0" w:line="139"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On January 27, 2012, the Company entered into an amended and restated credit agreement (the “2011 Restated Credit Agreement”) with its banks. The 2011 Restated Credit Agreement provides for a $200 million asset based revolving credit facility maturing on January 27, 2017. In addition, during the term of the 2011 Restated Credit Agreement, the Company may make up to four requests for additional credit commitments in an aggregate amount not to exceed $200 million. Interest is based on the LIBOR rate in effect at the time of the borrowing plus a 1.25 to 1.50 percent margin depending on certain provisions as defined in the 2011 Restated Credit Agreement. The 2011 Restated Credit Agreement provides for a security interest in certain of the Company’s domestic assets, including certain inventory assets, but excluding intellectual property. The Company is not required to comply with any financial covenants as long as there are no outstanding borrowings. With regard to the payment of dividends and share repurchases, there are no restrictions if the Company is not borrowing and the payments are funded through cash on hand. If the Company is borrowing, Availability as of the end of each fiscal month during the subsequent projected six fiscal months following the payment must be at least 20 percent of the lesser of the Aggregate Commitments and the Borrowing Base (all terms as defined in the 2011 Restated Credit Agreement). The Company’s management does not currently expect to borrow under the facility in 2014, other than amounts used to support standby letters of credit.</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Credit Rating</w:t>
      </w:r>
    </w:p>
    <w:p>
      <w:pPr>
        <w:spacing w:after="0" w:line="135" w:lineRule="exact"/>
        <w:rPr>
          <w:sz w:val="20"/>
          <w:szCs w:val="20"/>
          <w:color w:val="auto"/>
        </w:rPr>
      </w:pPr>
    </w:p>
    <w:p>
      <w:pPr>
        <w:jc w:val="both"/>
        <w:ind w:left="40" w:right="519"/>
        <w:spacing w:after="0" w:line="256" w:lineRule="auto"/>
        <w:rPr>
          <w:sz w:val="20"/>
          <w:szCs w:val="20"/>
          <w:color w:val="auto"/>
        </w:rPr>
      </w:pPr>
      <w:r>
        <w:rPr>
          <w:rFonts w:ascii="Arial" w:cs="Arial" w:eastAsia="Arial" w:hAnsi="Arial"/>
          <w:sz w:val="18"/>
          <w:szCs w:val="18"/>
          <w:color w:val="auto"/>
        </w:rPr>
        <w:t>As of March 31, 2014, the Company’s corporate credit ratings from Standard &amp; Poor’s and Moody’s Investors Service are BB+ and Ba2, respectively. In addition, Moody’s Investors Service has rated the Company’s senior unsecured notes Ba3.</w:t>
      </w:r>
    </w:p>
    <w:p>
      <w:pPr>
        <w:spacing w:after="0" w:line="76"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Debt Capitalization and Equity (non-GAAP Measure)</w:t>
      </w:r>
    </w:p>
    <w:p>
      <w:pPr>
        <w:spacing w:after="0" w:line="135"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For purposes of calculating debt to total capitalization, the Company includes the present value of operating lease commitments in total net debt. Total net debt including the present value of operating leases is considered a non-GAAP financial measure. The present value of operating leases is discounted using various interest rates ranging from 2.8 percent to 14.5 percent, which represent the Company’s incremental borrowing rate at inception of the lease.</w:t>
      </w:r>
    </w:p>
    <w:p>
      <w:pPr>
        <w:spacing w:after="0" w:line="200" w:lineRule="exact"/>
        <w:rPr>
          <w:sz w:val="20"/>
          <w:szCs w:val="20"/>
          <w:color w:val="auto"/>
        </w:rPr>
      </w:pPr>
    </w:p>
    <w:p>
      <w:pPr>
        <w:spacing w:after="0" w:line="35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96520</wp:posOffset>
            </wp:positionV>
            <wp:extent cx="6114415" cy="596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28" w:name="page29"/>
    <w:bookmarkEnd w:id="28"/>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jc w:val="both"/>
        <w:ind w:left="60" w:right="820"/>
        <w:spacing w:after="0" w:line="256" w:lineRule="auto"/>
        <w:rPr>
          <w:sz w:val="20"/>
          <w:szCs w:val="20"/>
          <w:color w:val="auto"/>
        </w:rPr>
      </w:pPr>
      <w:r>
        <w:rPr>
          <w:rFonts w:ascii="Arial" w:cs="Arial" w:eastAsia="Arial" w:hAnsi="Arial"/>
          <w:sz w:val="18"/>
          <w:szCs w:val="18"/>
          <w:color w:val="auto"/>
        </w:rPr>
        <w:t>Operating leases are the primary financing vehicle used to fund store expansion and, therefore, we believe that the inclusion of the present value of operating leases in total debt is useful to our investors, credit constituencies, and rating agencies.</w:t>
      </w:r>
    </w:p>
    <w:p>
      <w:pPr>
        <w:spacing w:after="0" w:line="94" w:lineRule="exact"/>
        <w:rPr>
          <w:sz w:val="20"/>
          <w:szCs w:val="20"/>
          <w:color w:val="auto"/>
        </w:rPr>
      </w:pPr>
    </w:p>
    <w:p>
      <w:pPr>
        <w:jc w:val="both"/>
        <w:ind w:left="60" w:right="820"/>
        <w:spacing w:after="0" w:line="251" w:lineRule="auto"/>
        <w:rPr>
          <w:sz w:val="20"/>
          <w:szCs w:val="20"/>
          <w:color w:val="auto"/>
        </w:rPr>
      </w:pPr>
      <w:r>
        <w:rPr>
          <w:rFonts w:ascii="Arial" w:cs="Arial" w:eastAsia="Arial" w:hAnsi="Arial"/>
          <w:sz w:val="18"/>
          <w:szCs w:val="18"/>
          <w:color w:val="auto"/>
        </w:rPr>
        <w:t>The following table sets forth the components of the Company’s capitalization, both with and without the present value of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-76200</wp:posOffset>
            </wp:positionV>
            <wp:extent cx="56343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3435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69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5"/>
                <w:szCs w:val="15"/>
                <w:color w:val="auto"/>
              </w:rPr>
            </w:pPr>
          </w:p>
        </w:tc>
      </w:tr>
      <w:tr>
        <w:trPr>
          <w:trHeight w:val="173"/>
        </w:trPr>
        <w:tc>
          <w:tcPr>
            <w:tcW w:w="6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(in millions)</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Long-term debt and obligations under capital leases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139</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133</w:t>
            </w:r>
          </w:p>
        </w:tc>
      </w:tr>
      <w:tr>
        <w:trPr>
          <w:trHeight w:val="203"/>
        </w:trPr>
        <w:tc>
          <w:tcPr>
            <w:tcW w:w="690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Present value of operating leases</w:t>
            </w:r>
          </w:p>
        </w:tc>
        <w:tc>
          <w:tcPr>
            <w:tcW w:w="140" w:type="dxa"/>
            <w:vAlign w:val="bottom"/>
            <w:shd w:val="clear" w:color="auto" w:fill="C0C0C0"/>
          </w:tcPr>
          <w:p>
            <w:pPr>
              <w:spacing w:after="0"/>
              <w:rPr>
                <w:sz w:val="17"/>
                <w:szCs w:val="17"/>
                <w:color w:val="auto"/>
              </w:rPr>
            </w:pPr>
          </w:p>
        </w:tc>
        <w:tc>
          <w:tcPr>
            <w:tcW w:w="720" w:type="dxa"/>
            <w:vAlign w:val="bottom"/>
            <w:gridSpan w:val="2"/>
            <w:shd w:val="clear" w:color="auto" w:fill="C0C0C0"/>
          </w:tcPr>
          <w:p>
            <w:pPr>
              <w:jc w:val="right"/>
              <w:ind w:right="240"/>
              <w:spacing w:after="0" w:line="202" w:lineRule="exact"/>
              <w:rPr>
                <w:sz w:val="20"/>
                <w:szCs w:val="20"/>
                <w:color w:val="auto"/>
              </w:rPr>
            </w:pPr>
            <w:r>
              <w:rPr>
                <w:rFonts w:ascii="Arial" w:cs="Arial" w:eastAsia="Arial" w:hAnsi="Arial"/>
                <w:sz w:val="18"/>
                <w:szCs w:val="18"/>
                <w:b w:val="1"/>
                <w:bCs w:val="1"/>
                <w:color w:val="auto"/>
              </w:rPr>
              <w:t>2,571</w:t>
            </w:r>
          </w:p>
        </w:tc>
        <w:tc>
          <w:tcPr>
            <w:tcW w:w="16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780" w:type="dxa"/>
            <w:vAlign w:val="bottom"/>
            <w:gridSpan w:val="2"/>
            <w:shd w:val="clear" w:color="auto" w:fill="C0C0C0"/>
          </w:tcPr>
          <w:p>
            <w:pPr>
              <w:jc w:val="right"/>
              <w:ind w:right="280"/>
              <w:spacing w:after="0" w:line="202" w:lineRule="exact"/>
              <w:rPr>
                <w:sz w:val="20"/>
                <w:szCs w:val="20"/>
                <w:color w:val="auto"/>
              </w:rPr>
            </w:pPr>
            <w:r>
              <w:rPr>
                <w:rFonts w:ascii="Arial" w:cs="Arial" w:eastAsia="Arial" w:hAnsi="Arial"/>
                <w:sz w:val="18"/>
                <w:szCs w:val="18"/>
                <w:color w:val="auto"/>
              </w:rPr>
              <w:t>2,202</w:t>
            </w:r>
          </w:p>
        </w:tc>
      </w:tr>
      <w:tr>
        <w:trPr>
          <w:trHeight w:val="20"/>
        </w:trPr>
        <w:tc>
          <w:tcPr>
            <w:tcW w:w="690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r>
      <w:tr>
        <w:trPr>
          <w:trHeight w:val="196"/>
        </w:trPr>
        <w:tc>
          <w:tcPr>
            <w:tcW w:w="6900" w:type="dxa"/>
            <w:vAlign w:val="bottom"/>
          </w:tcPr>
          <w:p>
            <w:pPr>
              <w:ind w:left="200"/>
              <w:spacing w:after="0" w:line="196" w:lineRule="exact"/>
              <w:rPr>
                <w:sz w:val="20"/>
                <w:szCs w:val="20"/>
                <w:color w:val="auto"/>
              </w:rPr>
            </w:pPr>
            <w:r>
              <w:rPr>
                <w:rFonts w:ascii="Arial" w:cs="Arial" w:eastAsia="Arial" w:hAnsi="Arial"/>
                <w:sz w:val="18"/>
                <w:szCs w:val="18"/>
                <w:color w:val="auto"/>
              </w:rPr>
              <w:t>Total debt including the present value of operating leases</w:t>
            </w:r>
          </w:p>
        </w:tc>
        <w:tc>
          <w:tcPr>
            <w:tcW w:w="140" w:type="dxa"/>
            <w:vAlign w:val="bottom"/>
          </w:tcPr>
          <w:p>
            <w:pPr>
              <w:spacing w:after="0"/>
              <w:rPr>
                <w:sz w:val="17"/>
                <w:szCs w:val="17"/>
                <w:color w:val="auto"/>
              </w:rPr>
            </w:pPr>
          </w:p>
        </w:tc>
        <w:tc>
          <w:tcPr>
            <w:tcW w:w="720" w:type="dxa"/>
            <w:vAlign w:val="bottom"/>
            <w:gridSpan w:val="2"/>
          </w:tcPr>
          <w:p>
            <w:pPr>
              <w:jc w:val="right"/>
              <w:ind w:right="240"/>
              <w:spacing w:after="0" w:line="196" w:lineRule="exact"/>
              <w:rPr>
                <w:sz w:val="20"/>
                <w:szCs w:val="20"/>
                <w:color w:val="auto"/>
              </w:rPr>
            </w:pPr>
            <w:r>
              <w:rPr>
                <w:rFonts w:ascii="Arial" w:cs="Arial" w:eastAsia="Arial" w:hAnsi="Arial"/>
                <w:sz w:val="18"/>
                <w:szCs w:val="18"/>
                <w:b w:val="1"/>
                <w:bCs w:val="1"/>
                <w:color w:val="auto"/>
              </w:rPr>
              <w:t>2,710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2,335</w:t>
            </w:r>
          </w:p>
        </w:tc>
      </w:tr>
      <w:tr>
        <w:trPr>
          <w:trHeight w:val="203"/>
        </w:trPr>
        <w:tc>
          <w:tcPr>
            <w:tcW w:w="690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Less:</w:t>
            </w:r>
          </w:p>
        </w:tc>
        <w:tc>
          <w:tcPr>
            <w:tcW w:w="14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50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r>
      <w:tr>
        <w:trPr>
          <w:trHeight w:val="203"/>
        </w:trPr>
        <w:tc>
          <w:tcPr>
            <w:tcW w:w="6900" w:type="dxa"/>
            <w:vAlign w:val="bottom"/>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17"/>
                <w:szCs w:val="17"/>
                <w:color w:val="auto"/>
              </w:rPr>
            </w:pPr>
          </w:p>
        </w:tc>
        <w:tc>
          <w:tcPr>
            <w:tcW w:w="72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858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880</w:t>
            </w:r>
          </w:p>
        </w:tc>
      </w:tr>
      <w:tr>
        <w:trPr>
          <w:trHeight w:val="203"/>
        </w:trPr>
        <w:tc>
          <w:tcPr>
            <w:tcW w:w="690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C0C0C0"/>
          </w:tcPr>
          <w:p>
            <w:pPr>
              <w:spacing w:after="0"/>
              <w:rPr>
                <w:sz w:val="17"/>
                <w:szCs w:val="17"/>
                <w:color w:val="auto"/>
              </w:rPr>
            </w:pPr>
          </w:p>
        </w:tc>
        <w:tc>
          <w:tcPr>
            <w:tcW w:w="720" w:type="dxa"/>
            <w:vAlign w:val="bottom"/>
            <w:gridSpan w:val="2"/>
            <w:shd w:val="clear" w:color="auto" w:fill="C0C0C0"/>
          </w:tcPr>
          <w:p>
            <w:pPr>
              <w:jc w:val="right"/>
              <w:ind w:right="240"/>
              <w:spacing w:after="0" w:line="202" w:lineRule="exact"/>
              <w:rPr>
                <w:sz w:val="20"/>
                <w:szCs w:val="20"/>
                <w:color w:val="auto"/>
              </w:rPr>
            </w:pPr>
            <w:r>
              <w:rPr>
                <w:rFonts w:ascii="Arial" w:cs="Arial" w:eastAsia="Arial" w:hAnsi="Arial"/>
                <w:sz w:val="18"/>
                <w:szCs w:val="18"/>
                <w:b w:val="1"/>
                <w:bCs w:val="1"/>
                <w:color w:val="auto"/>
              </w:rPr>
              <w:t>9</w:t>
            </w:r>
          </w:p>
        </w:tc>
        <w:tc>
          <w:tcPr>
            <w:tcW w:w="16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780" w:type="dxa"/>
            <w:vAlign w:val="bottom"/>
            <w:gridSpan w:val="2"/>
            <w:shd w:val="clear" w:color="auto" w:fill="C0C0C0"/>
          </w:tcPr>
          <w:p>
            <w:pPr>
              <w:jc w:val="right"/>
              <w:ind w:right="280"/>
              <w:spacing w:after="0" w:line="202" w:lineRule="exact"/>
              <w:rPr>
                <w:sz w:val="20"/>
                <w:szCs w:val="20"/>
                <w:color w:val="auto"/>
              </w:rPr>
            </w:pPr>
            <w:r>
              <w:rPr>
                <w:rFonts w:ascii="Arial" w:cs="Arial" w:eastAsia="Arial" w:hAnsi="Arial"/>
                <w:sz w:val="18"/>
                <w:szCs w:val="18"/>
                <w:color w:val="auto"/>
              </w:rPr>
              <w:t>48</w:t>
            </w:r>
          </w:p>
        </w:tc>
      </w:tr>
      <w:tr>
        <w:trPr>
          <w:trHeight w:val="20"/>
        </w:trPr>
        <w:tc>
          <w:tcPr>
            <w:tcW w:w="690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r>
      <w:tr>
        <w:trPr>
          <w:trHeight w:val="196"/>
        </w:trPr>
        <w:tc>
          <w:tcPr>
            <w:tcW w:w="6900" w:type="dxa"/>
            <w:vAlign w:val="bottom"/>
          </w:tcPr>
          <w:p>
            <w:pPr>
              <w:ind w:left="200"/>
              <w:spacing w:after="0" w:line="196" w:lineRule="exact"/>
              <w:rPr>
                <w:sz w:val="20"/>
                <w:szCs w:val="20"/>
                <w:color w:val="auto"/>
              </w:rPr>
            </w:pPr>
            <w:r>
              <w:rPr>
                <w:rFonts w:ascii="Arial" w:cs="Arial" w:eastAsia="Arial" w:hAnsi="Arial"/>
                <w:sz w:val="18"/>
                <w:szCs w:val="18"/>
                <w:color w:val="auto"/>
              </w:rPr>
              <w:t>Total net debt including the present value of operating leases</w:t>
            </w:r>
          </w:p>
        </w:tc>
        <w:tc>
          <w:tcPr>
            <w:tcW w:w="140" w:type="dxa"/>
            <w:vAlign w:val="bottom"/>
          </w:tcPr>
          <w:p>
            <w:pPr>
              <w:spacing w:after="0"/>
              <w:rPr>
                <w:sz w:val="17"/>
                <w:szCs w:val="17"/>
                <w:color w:val="auto"/>
              </w:rPr>
            </w:pPr>
          </w:p>
        </w:tc>
        <w:tc>
          <w:tcPr>
            <w:tcW w:w="720" w:type="dxa"/>
            <w:vAlign w:val="bottom"/>
            <w:gridSpan w:val="2"/>
          </w:tcPr>
          <w:p>
            <w:pPr>
              <w:jc w:val="right"/>
              <w:ind w:right="240"/>
              <w:spacing w:after="0" w:line="196" w:lineRule="exact"/>
              <w:rPr>
                <w:sz w:val="20"/>
                <w:szCs w:val="20"/>
                <w:color w:val="auto"/>
              </w:rPr>
            </w:pPr>
            <w:r>
              <w:rPr>
                <w:rFonts w:ascii="Arial" w:cs="Arial" w:eastAsia="Arial" w:hAnsi="Arial"/>
                <w:sz w:val="18"/>
                <w:szCs w:val="18"/>
                <w:b w:val="1"/>
                <w:bCs w:val="1"/>
                <w:color w:val="auto"/>
              </w:rPr>
              <w:t>1,843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1,407</w:t>
            </w:r>
          </w:p>
        </w:tc>
      </w:tr>
      <w:tr>
        <w:trPr>
          <w:trHeight w:val="203"/>
        </w:trPr>
        <w:tc>
          <w:tcPr>
            <w:tcW w:w="690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0C0C0"/>
          </w:tcPr>
          <w:p>
            <w:pPr>
              <w:spacing w:after="0"/>
              <w:rPr>
                <w:sz w:val="17"/>
                <w:szCs w:val="17"/>
                <w:color w:val="auto"/>
              </w:rPr>
            </w:pPr>
          </w:p>
        </w:tc>
        <w:tc>
          <w:tcPr>
            <w:tcW w:w="720" w:type="dxa"/>
            <w:vAlign w:val="bottom"/>
            <w:gridSpan w:val="2"/>
            <w:shd w:val="clear" w:color="auto" w:fill="C0C0C0"/>
          </w:tcPr>
          <w:p>
            <w:pPr>
              <w:jc w:val="right"/>
              <w:ind w:right="240"/>
              <w:spacing w:after="0" w:line="202" w:lineRule="exact"/>
              <w:rPr>
                <w:sz w:val="20"/>
                <w:szCs w:val="20"/>
                <w:color w:val="auto"/>
              </w:rPr>
            </w:pPr>
            <w:r>
              <w:rPr>
                <w:rFonts w:ascii="Arial" w:cs="Arial" w:eastAsia="Arial" w:hAnsi="Arial"/>
                <w:sz w:val="18"/>
                <w:szCs w:val="18"/>
                <w:b w:val="1"/>
                <w:bCs w:val="1"/>
                <w:color w:val="auto"/>
              </w:rPr>
              <w:t>2,496</w:t>
            </w:r>
          </w:p>
        </w:tc>
        <w:tc>
          <w:tcPr>
            <w:tcW w:w="16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780" w:type="dxa"/>
            <w:vAlign w:val="bottom"/>
            <w:gridSpan w:val="2"/>
            <w:shd w:val="clear" w:color="auto" w:fill="C0C0C0"/>
          </w:tcPr>
          <w:p>
            <w:pPr>
              <w:jc w:val="right"/>
              <w:ind w:right="280"/>
              <w:spacing w:after="0" w:line="202" w:lineRule="exact"/>
              <w:rPr>
                <w:sz w:val="20"/>
                <w:szCs w:val="20"/>
                <w:color w:val="auto"/>
              </w:rPr>
            </w:pPr>
            <w:r>
              <w:rPr>
                <w:rFonts w:ascii="Arial" w:cs="Arial" w:eastAsia="Arial" w:hAnsi="Arial"/>
                <w:sz w:val="18"/>
                <w:szCs w:val="18"/>
                <w:color w:val="auto"/>
              </w:rPr>
              <w:t>2,377</w:t>
            </w:r>
          </w:p>
        </w:tc>
      </w:tr>
      <w:tr>
        <w:trPr>
          <w:trHeight w:val="20"/>
        </w:trPr>
        <w:tc>
          <w:tcPr>
            <w:tcW w:w="690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r>
      <w:tr>
        <w:trPr>
          <w:trHeight w:val="196"/>
        </w:trPr>
        <w:tc>
          <w:tcPr>
            <w:tcW w:w="6900" w:type="dxa"/>
            <w:vAlign w:val="bottom"/>
          </w:tcPr>
          <w:p>
            <w:pPr>
              <w:ind w:left="20"/>
              <w:spacing w:after="0" w:line="196" w:lineRule="exact"/>
              <w:rPr>
                <w:sz w:val="20"/>
                <w:szCs w:val="20"/>
                <w:color w:val="auto"/>
              </w:rPr>
            </w:pPr>
            <w:r>
              <w:rPr>
                <w:rFonts w:ascii="Arial" w:cs="Arial" w:eastAsia="Arial" w:hAnsi="Arial"/>
                <w:sz w:val="18"/>
                <w:szCs w:val="18"/>
                <w:color w:val="auto"/>
              </w:rPr>
              <w:t>Total capitalization</w:t>
            </w:r>
          </w:p>
        </w:tc>
        <w:tc>
          <w:tcPr>
            <w:tcW w:w="1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720" w:type="dxa"/>
            <w:vAlign w:val="bottom"/>
            <w:gridSpan w:val="2"/>
          </w:tcPr>
          <w:p>
            <w:pPr>
              <w:jc w:val="right"/>
              <w:ind w:right="240"/>
              <w:spacing w:after="0" w:line="196" w:lineRule="exact"/>
              <w:rPr>
                <w:sz w:val="20"/>
                <w:szCs w:val="20"/>
                <w:color w:val="auto"/>
              </w:rPr>
            </w:pPr>
            <w:r>
              <w:rPr>
                <w:rFonts w:ascii="Arial" w:cs="Arial" w:eastAsia="Arial" w:hAnsi="Arial"/>
                <w:sz w:val="18"/>
                <w:szCs w:val="18"/>
                <w:b w:val="1"/>
                <w:bCs w:val="1"/>
                <w:color w:val="auto"/>
              </w:rPr>
              <w:t>4,339</w:t>
            </w:r>
          </w:p>
        </w:tc>
        <w:tc>
          <w:tcPr>
            <w:tcW w:w="3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3,784</w:t>
            </w:r>
          </w:p>
        </w:tc>
      </w:tr>
      <w:tr>
        <w:trPr>
          <w:trHeight w:val="21"/>
        </w:trPr>
        <w:tc>
          <w:tcPr>
            <w:tcW w:w="6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6900" w:type="dxa"/>
            <w:vAlign w:val="bottom"/>
            <w:shd w:val="clear" w:color="auto" w:fill="C0C0C0"/>
          </w:tcPr>
          <w:p>
            <w:pPr>
              <w:ind w:left="20"/>
              <w:spacing w:after="0" w:line="196" w:lineRule="exact"/>
              <w:rPr>
                <w:sz w:val="20"/>
                <w:szCs w:val="20"/>
                <w:color w:val="auto"/>
              </w:rPr>
            </w:pPr>
            <w:r>
              <w:rPr>
                <w:rFonts w:ascii="Arial" w:cs="Arial" w:eastAsia="Arial" w:hAnsi="Arial"/>
                <w:sz w:val="18"/>
                <w:szCs w:val="18"/>
                <w:color w:val="auto"/>
              </w:rPr>
              <w:t>Total net debt capitalization percent</w:t>
            </w:r>
          </w:p>
        </w:tc>
        <w:tc>
          <w:tcPr>
            <w:tcW w:w="140" w:type="dxa"/>
            <w:vAlign w:val="bottom"/>
            <w:shd w:val="clear" w:color="auto" w:fill="C0C0C0"/>
          </w:tcPr>
          <w:p>
            <w:pPr>
              <w:spacing w:after="0"/>
              <w:rPr>
                <w:sz w:val="17"/>
                <w:szCs w:val="17"/>
                <w:color w:val="auto"/>
              </w:rPr>
            </w:pPr>
          </w:p>
        </w:tc>
        <w:tc>
          <w:tcPr>
            <w:tcW w:w="720" w:type="dxa"/>
            <w:vAlign w:val="bottom"/>
            <w:gridSpan w:val="2"/>
            <w:shd w:val="clear" w:color="auto" w:fill="C0C0C0"/>
          </w:tcPr>
          <w:p>
            <w:pPr>
              <w:jc w:val="right"/>
              <w:ind w:right="240"/>
              <w:spacing w:after="0" w:line="196"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780" w:type="dxa"/>
            <w:vAlign w:val="bottom"/>
            <w:gridSpan w:val="2"/>
            <w:shd w:val="clear" w:color="auto" w:fill="C0C0C0"/>
          </w:tcPr>
          <w:p>
            <w:pPr>
              <w:jc w:val="right"/>
              <w:ind w:right="120"/>
              <w:spacing w:after="0" w:line="196" w:lineRule="exact"/>
              <w:rPr>
                <w:sz w:val="20"/>
                <w:szCs w:val="20"/>
                <w:color w:val="auto"/>
              </w:rPr>
            </w:pPr>
            <w:r>
              <w:rPr>
                <w:rFonts w:ascii="Arial" w:cs="Arial" w:eastAsia="Arial" w:hAnsi="Arial"/>
                <w:sz w:val="18"/>
                <w:szCs w:val="18"/>
                <w:color w:val="auto"/>
              </w:rPr>
              <w:t>—%</w:t>
            </w:r>
          </w:p>
        </w:tc>
      </w:tr>
      <w:tr>
        <w:trPr>
          <w:trHeight w:val="202"/>
        </w:trPr>
        <w:tc>
          <w:tcPr>
            <w:tcW w:w="6900" w:type="dxa"/>
            <w:vAlign w:val="bottom"/>
          </w:tcPr>
          <w:p>
            <w:pPr>
              <w:ind w:left="20"/>
              <w:spacing w:after="0" w:line="201" w:lineRule="exact"/>
              <w:rPr>
                <w:sz w:val="20"/>
                <w:szCs w:val="20"/>
                <w:color w:val="auto"/>
              </w:rPr>
            </w:pPr>
            <w:r>
              <w:rPr>
                <w:rFonts w:ascii="Arial" w:cs="Arial" w:eastAsia="Arial" w:hAnsi="Arial"/>
                <w:sz w:val="18"/>
                <w:szCs w:val="18"/>
                <w:color w:val="auto"/>
              </w:rPr>
              <w:t>Total net debt capitalization percent including the present value of operating leases</w:t>
            </w:r>
          </w:p>
        </w:tc>
        <w:tc>
          <w:tcPr>
            <w:tcW w:w="140" w:type="dxa"/>
            <w:vAlign w:val="bottom"/>
          </w:tcPr>
          <w:p>
            <w:pPr>
              <w:spacing w:after="0"/>
              <w:rPr>
                <w:sz w:val="17"/>
                <w:szCs w:val="17"/>
                <w:color w:val="auto"/>
              </w:rPr>
            </w:pPr>
          </w:p>
        </w:tc>
        <w:tc>
          <w:tcPr>
            <w:tcW w:w="720" w:type="dxa"/>
            <w:vAlign w:val="bottom"/>
            <w:gridSpan w:val="2"/>
          </w:tcPr>
          <w:p>
            <w:pPr>
              <w:jc w:val="right"/>
              <w:ind w:right="80"/>
              <w:spacing w:after="0" w:line="201" w:lineRule="exact"/>
              <w:rPr>
                <w:sz w:val="20"/>
                <w:szCs w:val="20"/>
                <w:color w:val="auto"/>
              </w:rPr>
            </w:pPr>
            <w:r>
              <w:rPr>
                <w:rFonts w:ascii="Arial" w:cs="Arial" w:eastAsia="Arial" w:hAnsi="Arial"/>
                <w:sz w:val="18"/>
                <w:szCs w:val="18"/>
                <w:b w:val="1"/>
                <w:bCs w:val="1"/>
                <w:color w:val="auto"/>
              </w:rPr>
              <w:t>42.5%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37.2%</w:t>
            </w:r>
          </w:p>
        </w:tc>
      </w:tr>
      <w:tr>
        <w:trPr>
          <w:trHeight w:val="217"/>
        </w:trPr>
        <w:tc>
          <w:tcPr>
            <w:tcW w:w="6900" w:type="dxa"/>
            <w:vAlign w:val="bottom"/>
          </w:tcPr>
          <w:p>
            <w:pPr>
              <w:ind w:left="200"/>
              <w:spacing w:after="0"/>
              <w:rPr>
                <w:sz w:val="20"/>
                <w:szCs w:val="20"/>
                <w:color w:val="auto"/>
              </w:rPr>
            </w:pPr>
            <w:r>
              <w:rPr>
                <w:rFonts w:ascii="Arial" w:cs="Arial" w:eastAsia="Arial" w:hAnsi="Arial"/>
                <w:sz w:val="18"/>
                <w:szCs w:val="18"/>
                <w:color w:val="auto"/>
              </w:rPr>
              <w:t>(non-GAAP)</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-1354455</wp:posOffset>
            </wp:positionV>
            <wp:extent cx="5634355"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3435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-831215</wp:posOffset>
            </wp:positionV>
            <wp:extent cx="5634355"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3435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-565150</wp:posOffset>
            </wp:positionV>
            <wp:extent cx="5634355"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34355" cy="171450"/>
                    </a:xfrm>
                    <a:prstGeom prst="rect">
                      <a:avLst/>
                    </a:prstGeom>
                    <a:noFill/>
                  </pic:spPr>
                </pic:pic>
              </a:graphicData>
            </a:graphic>
          </wp:anchor>
        </w:drawing>
      </w:r>
    </w:p>
    <w:p>
      <w:pPr>
        <w:spacing w:after="0" w:line="74" w:lineRule="exact"/>
        <w:rPr>
          <w:sz w:val="20"/>
          <w:szCs w:val="20"/>
          <w:color w:val="auto"/>
        </w:rPr>
      </w:pPr>
    </w:p>
    <w:p>
      <w:pPr>
        <w:jc w:val="both"/>
        <w:ind w:left="60" w:right="820"/>
        <w:spacing w:after="0" w:line="256" w:lineRule="auto"/>
        <w:rPr>
          <w:sz w:val="20"/>
          <w:szCs w:val="20"/>
          <w:color w:val="auto"/>
        </w:rPr>
      </w:pPr>
      <w:r>
        <w:rPr>
          <w:rFonts w:ascii="Arial" w:cs="Arial" w:eastAsia="Arial" w:hAnsi="Arial"/>
          <w:sz w:val="18"/>
          <w:szCs w:val="18"/>
          <w:color w:val="auto"/>
        </w:rPr>
        <w:t>The Company’s cash, cash equivalents, and short-term investments decreased by $61 million during 2013, representing the acquisition of the Runners Point Group offset in large part by the result of strong cash flow generation from operating activities.</w:t>
      </w:r>
    </w:p>
    <w:p>
      <w:pPr>
        <w:spacing w:after="0" w:line="94" w:lineRule="exact"/>
        <w:rPr>
          <w:sz w:val="20"/>
          <w:szCs w:val="20"/>
          <w:color w:val="auto"/>
        </w:rPr>
      </w:pPr>
    </w:p>
    <w:p>
      <w:pPr>
        <w:jc w:val="both"/>
        <w:ind w:left="60" w:right="820"/>
        <w:spacing w:after="0" w:line="254" w:lineRule="auto"/>
        <w:rPr>
          <w:sz w:val="20"/>
          <w:szCs w:val="20"/>
          <w:color w:val="auto"/>
        </w:rPr>
      </w:pPr>
      <w:r>
        <w:rPr>
          <w:rFonts w:ascii="Arial" w:cs="Arial" w:eastAsia="Arial" w:hAnsi="Arial"/>
          <w:sz w:val="18"/>
          <w:szCs w:val="18"/>
          <w:color w:val="auto"/>
        </w:rPr>
        <w:t>Including the present value of operating leases, the Company’s net debt capitalization percent increased 530 basis points in 2013. The change in total debt including the present value of the operating leases, as compared with the prior-year period, primarily reflects the acquisition of Runners Point Group and their associated lease liabilities, the effect of lease renewals, and the effect of foreign currency fluctuations, offset in part by store closures.</w:t>
      </w:r>
    </w:p>
    <w:p>
      <w:pPr>
        <w:spacing w:after="0" w:line="7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Contractual Obligations and Commitments</w:t>
      </w:r>
    </w:p>
    <w:p>
      <w:pPr>
        <w:spacing w:after="0" w:line="135" w:lineRule="exact"/>
        <w:rPr>
          <w:sz w:val="20"/>
          <w:szCs w:val="20"/>
          <w:color w:val="auto"/>
        </w:rPr>
      </w:pPr>
    </w:p>
    <w:p>
      <w:pPr>
        <w:jc w:val="both"/>
        <w:ind w:left="60" w:right="840"/>
        <w:spacing w:after="0" w:line="251" w:lineRule="auto"/>
        <w:rPr>
          <w:sz w:val="20"/>
          <w:szCs w:val="20"/>
          <w:color w:val="auto"/>
        </w:rPr>
      </w:pPr>
      <w:r>
        <w:rPr>
          <w:rFonts w:ascii="Arial" w:cs="Arial" w:eastAsia="Arial" w:hAnsi="Arial"/>
          <w:sz w:val="18"/>
          <w:szCs w:val="18"/>
          <w:color w:val="auto"/>
        </w:rPr>
        <w:t>The following tables represent the scheduled maturities of the Company’s contractual cash obligations and other commercial commitments at February 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-76200</wp:posOffset>
            </wp:positionV>
            <wp:extent cx="549719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49719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8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12"/>
          </w:tcPr>
          <w:p>
            <w:pPr>
              <w:spacing w:after="0"/>
              <w:rPr>
                <w:sz w:val="20"/>
                <w:szCs w:val="20"/>
                <w:color w:val="auto"/>
              </w:rPr>
            </w:pPr>
            <w:r>
              <w:rPr>
                <w:rFonts w:ascii="Arial" w:cs="Arial" w:eastAsia="Arial" w:hAnsi="Arial"/>
                <w:sz w:val="14"/>
                <w:szCs w:val="14"/>
                <w:b w:val="1"/>
                <w:bCs w:val="1"/>
                <w:color w:val="auto"/>
              </w:rPr>
              <w:t>Payments Due by Fiscal Period</w:t>
            </w: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Pr>
          <w:p>
            <w:pPr>
              <w:spacing w:after="0"/>
              <w:rPr>
                <w:sz w:val="15"/>
                <w:szCs w:val="15"/>
                <w:color w:val="auto"/>
              </w:rPr>
            </w:pPr>
          </w:p>
        </w:tc>
      </w:tr>
      <w:tr>
        <w:trPr>
          <w:trHeight w:val="169"/>
        </w:trPr>
        <w:tc>
          <w:tcPr>
            <w:tcW w:w="3420" w:type="dxa"/>
            <w:vAlign w:val="bottom"/>
            <w:gridSpan w:val="2"/>
          </w:tcPr>
          <w:p>
            <w:pPr>
              <w:ind w:left="20"/>
              <w:spacing w:after="0"/>
              <w:rPr>
                <w:sz w:val="20"/>
                <w:szCs w:val="20"/>
                <w:color w:val="auto"/>
              </w:rPr>
            </w:pPr>
            <w:r>
              <w:rPr>
                <w:rFonts w:ascii="Arial" w:cs="Arial" w:eastAsia="Arial" w:hAnsi="Arial"/>
                <w:sz w:val="14"/>
                <w:szCs w:val="14"/>
                <w:b w:val="1"/>
                <w:bCs w:val="1"/>
                <w:color w:val="auto"/>
              </w:rPr>
              <w:t>Contractual Cash Obligations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3"/>
          </w:tcPr>
          <w:p>
            <w:pPr>
              <w:ind w:left="10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5"/>
          </w:tcPr>
          <w:p>
            <w:pPr>
              <w:ind w:left="40"/>
              <w:spacing w:after="0"/>
              <w:rPr>
                <w:sz w:val="20"/>
                <w:szCs w:val="20"/>
                <w:color w:val="auto"/>
              </w:rPr>
            </w:pPr>
            <w:r>
              <w:rPr>
                <w:rFonts w:ascii="Arial" w:cs="Arial" w:eastAsia="Arial" w:hAnsi="Arial"/>
                <w:sz w:val="14"/>
                <w:szCs w:val="14"/>
                <w:b w:val="1"/>
                <w:bCs w:val="1"/>
                <w:color w:val="auto"/>
              </w:rPr>
              <w:t>2015 – 2016</w:t>
            </w:r>
          </w:p>
        </w:tc>
        <w:tc>
          <w:tcPr>
            <w:tcW w:w="1020" w:type="dxa"/>
            <w:vAlign w:val="bottom"/>
            <w:gridSpan w:val="5"/>
          </w:tcPr>
          <w:p>
            <w:pPr>
              <w:ind w:left="40"/>
              <w:spacing w:after="0"/>
              <w:rPr>
                <w:sz w:val="20"/>
                <w:szCs w:val="20"/>
                <w:color w:val="auto"/>
              </w:rPr>
            </w:pPr>
            <w:r>
              <w:rPr>
                <w:rFonts w:ascii="Arial" w:cs="Arial" w:eastAsia="Arial" w:hAnsi="Arial"/>
                <w:sz w:val="14"/>
                <w:szCs w:val="14"/>
                <w:b w:val="1"/>
                <w:bCs w:val="1"/>
                <w:color w:val="auto"/>
              </w:rPr>
              <w:t>2017 – 2018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2019 and</w:t>
            </w:r>
          </w:p>
        </w:tc>
        <w:tc>
          <w:tcPr>
            <w:tcW w:w="1620" w:type="dxa"/>
            <w:vAlign w:val="bottom"/>
          </w:tcPr>
          <w:p>
            <w:pPr>
              <w:spacing w:after="0"/>
              <w:rPr>
                <w:sz w:val="14"/>
                <w:szCs w:val="14"/>
                <w:color w:val="auto"/>
              </w:rPr>
            </w:pPr>
          </w:p>
        </w:tc>
      </w:tr>
      <w:tr>
        <w:trPr>
          <w:trHeight w:val="175"/>
        </w:trPr>
        <w:tc>
          <w:tcPr>
            <w:tcW w:w="8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Beyond</w:t>
            </w:r>
          </w:p>
        </w:tc>
        <w:tc>
          <w:tcPr>
            <w:tcW w:w="1620" w:type="dxa"/>
            <w:vAlign w:val="bottom"/>
          </w:tcPr>
          <w:p>
            <w:pPr>
              <w:spacing w:after="0"/>
              <w:rPr>
                <w:sz w:val="15"/>
                <w:szCs w:val="15"/>
                <w:color w:val="auto"/>
              </w:rPr>
            </w:pPr>
          </w:p>
        </w:tc>
      </w:tr>
      <w:tr>
        <w:trPr>
          <w:trHeight w:val="196"/>
        </w:trPr>
        <w:tc>
          <w:tcPr>
            <w:tcW w:w="8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4"/>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43"/>
        </w:trPr>
        <w:tc>
          <w:tcPr>
            <w:tcW w:w="3420" w:type="dxa"/>
            <w:vAlign w:val="bottom"/>
            <w:gridSpan w:val="2"/>
            <w:shd w:val="clear" w:color="auto" w:fill="C0C0C0"/>
          </w:tcPr>
          <w:p>
            <w:pPr>
              <w:ind w:left="20"/>
              <w:spacing w:after="0" w:line="243" w:lineRule="exact"/>
              <w:rPr>
                <w:sz w:val="20"/>
                <w:szCs w:val="20"/>
                <w:color w:val="auto"/>
              </w:rPr>
            </w:pPr>
            <w:r>
              <w:rPr>
                <w:rFonts w:ascii="Arial" w:cs="Arial" w:eastAsia="Arial" w:hAnsi="Arial"/>
                <w:sz w:val="17"/>
                <w:szCs w:val="17"/>
                <w:color w:val="auto"/>
              </w:rPr>
              <w:t>Long-term debt</w:t>
            </w:r>
            <w:r>
              <w:rPr>
                <w:rFonts w:ascii="Arial" w:cs="Arial" w:eastAsia="Arial" w:hAnsi="Arial"/>
                <w:sz w:val="28"/>
                <w:szCs w:val="28"/>
                <w:color w:val="auto"/>
                <w:vertAlign w:val="superscript"/>
              </w:rPr>
              <w:t>(1)</w:t>
            </w:r>
          </w:p>
        </w:tc>
        <w:tc>
          <w:tcPr>
            <w:tcW w:w="360" w:type="dxa"/>
            <w:vAlign w:val="bottom"/>
            <w:gridSpan w:val="2"/>
            <w:shd w:val="clear" w:color="auto" w:fill="C0C0C0"/>
          </w:tcPr>
          <w:p>
            <w:pPr>
              <w:ind w:left="1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206</w:t>
            </w:r>
          </w:p>
        </w:tc>
        <w:tc>
          <w:tcPr>
            <w:tcW w:w="80" w:type="dxa"/>
            <w:vAlign w:val="bottom"/>
            <w:shd w:val="clear" w:color="auto" w:fill="C0C0C0"/>
          </w:tcPr>
          <w:p>
            <w:pPr>
              <w:spacing w:after="0"/>
              <w:rPr>
                <w:sz w:val="21"/>
                <w:szCs w:val="21"/>
                <w:color w:val="auto"/>
              </w:rPr>
            </w:pPr>
          </w:p>
        </w:tc>
        <w:tc>
          <w:tcPr>
            <w:tcW w:w="200" w:type="dxa"/>
            <w:vAlign w:val="bottom"/>
            <w:gridSpan w:val="2"/>
            <w:shd w:val="clear" w:color="auto" w:fill="C0C0C0"/>
          </w:tcPr>
          <w:p>
            <w:pPr>
              <w:jc w:val="center"/>
              <w:ind w:left="1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0C0C0"/>
          </w:tcPr>
          <w:p>
            <w:pPr>
              <w:spacing w:after="0"/>
              <w:rPr>
                <w:sz w:val="21"/>
                <w:szCs w:val="21"/>
                <w:color w:val="auto"/>
              </w:rPr>
            </w:pPr>
          </w:p>
        </w:tc>
        <w:tc>
          <w:tcPr>
            <w:tcW w:w="640" w:type="dxa"/>
            <w:vAlign w:val="bottom"/>
            <w:tcBorders>
              <w:right w:val="single" w:sz="8" w:color="C0C0C0"/>
            </w:tcBorders>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11</w:t>
            </w:r>
          </w:p>
        </w:tc>
        <w:tc>
          <w:tcPr>
            <w:tcW w:w="140" w:type="dxa"/>
            <w:vAlign w:val="bottom"/>
            <w:tcBorders>
              <w:right w:val="single" w:sz="8" w:color="C0C0C0"/>
            </w:tcBorders>
            <w:shd w:val="clear" w:color="auto" w:fill="C0C0C0"/>
          </w:tcPr>
          <w:p>
            <w:pPr>
              <w:spacing w:after="0"/>
              <w:rPr>
                <w:sz w:val="21"/>
                <w:szCs w:val="21"/>
                <w:color w:val="auto"/>
              </w:rPr>
            </w:pPr>
          </w:p>
        </w:tc>
        <w:tc>
          <w:tcPr>
            <w:tcW w:w="100" w:type="dxa"/>
            <w:vAlign w:val="bottom"/>
            <w:shd w:val="clear" w:color="auto" w:fill="C0C0C0"/>
          </w:tcPr>
          <w:p>
            <w:pPr>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0C0C0"/>
          </w:tcPr>
          <w:p>
            <w:pPr>
              <w:spacing w:after="0"/>
              <w:rPr>
                <w:sz w:val="21"/>
                <w:szCs w:val="21"/>
                <w:color w:val="auto"/>
              </w:rPr>
            </w:pPr>
          </w:p>
        </w:tc>
        <w:tc>
          <w:tcPr>
            <w:tcW w:w="52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22</w:t>
            </w:r>
          </w:p>
        </w:tc>
        <w:tc>
          <w:tcPr>
            <w:tcW w:w="180" w:type="dxa"/>
            <w:vAlign w:val="bottom"/>
            <w:tcBorders>
              <w:left w:val="single" w:sz="8" w:color="C0C0C0"/>
              <w:right w:val="single" w:sz="8" w:color="C0C0C0"/>
            </w:tcBorders>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0C0C0"/>
          </w:tcPr>
          <w:p>
            <w:pPr>
              <w:spacing w:after="0"/>
              <w:rPr>
                <w:sz w:val="21"/>
                <w:szCs w:val="21"/>
                <w:color w:val="auto"/>
              </w:rPr>
            </w:pP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left w:val="single" w:sz="8" w:color="C0C0C0"/>
            </w:tcBorders>
            <w:shd w:val="clear" w:color="auto" w:fill="C0C0C0"/>
          </w:tcPr>
          <w:p>
            <w:pPr>
              <w:spacing w:after="0"/>
              <w:rPr>
                <w:sz w:val="21"/>
                <w:szCs w:val="21"/>
                <w:color w:val="auto"/>
              </w:rPr>
            </w:pPr>
          </w:p>
        </w:tc>
        <w:tc>
          <w:tcPr>
            <w:tcW w:w="160" w:type="dxa"/>
            <w:vAlign w:val="bottom"/>
            <w:tcBorders>
              <w:right w:val="single" w:sz="8" w:color="C0C0C0"/>
            </w:tcBorders>
            <w:shd w:val="clear" w:color="auto" w:fill="C0C0C0"/>
          </w:tcPr>
          <w:p>
            <w:pPr>
              <w:spacing w:after="0"/>
              <w:rPr>
                <w:sz w:val="21"/>
                <w:szCs w:val="21"/>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0C0C0"/>
          </w:tcPr>
          <w:p>
            <w:pPr>
              <w:spacing w:after="0"/>
              <w:rPr>
                <w:sz w:val="21"/>
                <w:szCs w:val="21"/>
                <w:color w:val="auto"/>
              </w:rPr>
            </w:pPr>
          </w:p>
        </w:tc>
        <w:tc>
          <w:tcPr>
            <w:tcW w:w="860" w:type="dxa"/>
            <w:vAlign w:val="bottom"/>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151</w:t>
            </w:r>
          </w:p>
        </w:tc>
        <w:tc>
          <w:tcPr>
            <w:tcW w:w="1620" w:type="dxa"/>
            <w:vAlign w:val="bottom"/>
          </w:tcPr>
          <w:p>
            <w:pPr>
              <w:spacing w:after="0"/>
              <w:rPr>
                <w:sz w:val="21"/>
                <w:szCs w:val="21"/>
                <w:color w:val="auto"/>
              </w:rPr>
            </w:pPr>
          </w:p>
        </w:tc>
      </w:tr>
      <w:tr>
        <w:trPr>
          <w:trHeight w:val="243"/>
        </w:trPr>
        <w:tc>
          <w:tcPr>
            <w:tcW w:w="3420" w:type="dxa"/>
            <w:vAlign w:val="bottom"/>
            <w:gridSpan w:val="2"/>
          </w:tcPr>
          <w:p>
            <w:pPr>
              <w:ind w:left="20"/>
              <w:spacing w:after="0" w:line="243" w:lineRule="exact"/>
              <w:rPr>
                <w:sz w:val="20"/>
                <w:szCs w:val="20"/>
                <w:color w:val="auto"/>
              </w:rPr>
            </w:pPr>
            <w:r>
              <w:rPr>
                <w:rFonts w:ascii="Arial" w:cs="Arial" w:eastAsia="Arial" w:hAnsi="Arial"/>
                <w:sz w:val="17"/>
                <w:szCs w:val="17"/>
                <w:color w:val="auto"/>
              </w:rPr>
              <w:t>Operating leases</w:t>
            </w:r>
            <w:r>
              <w:rPr>
                <w:rFonts w:ascii="Arial" w:cs="Arial" w:eastAsia="Arial" w:hAnsi="Arial"/>
                <w:sz w:val="28"/>
                <w:szCs w:val="28"/>
                <w:color w:val="auto"/>
                <w:vertAlign w:val="superscript"/>
              </w:rPr>
              <w:t>(2)</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3,308</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558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967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1,090</w:t>
            </w:r>
          </w:p>
        </w:tc>
        <w:tc>
          <w:tcPr>
            <w:tcW w:w="1620" w:type="dxa"/>
            <w:vAlign w:val="bottom"/>
          </w:tcPr>
          <w:p>
            <w:pPr>
              <w:spacing w:after="0"/>
              <w:rPr>
                <w:sz w:val="21"/>
                <w:szCs w:val="21"/>
                <w:color w:val="auto"/>
              </w:rPr>
            </w:pPr>
          </w:p>
        </w:tc>
      </w:tr>
      <w:tr>
        <w:trPr>
          <w:trHeight w:val="203"/>
        </w:trPr>
        <w:tc>
          <w:tcPr>
            <w:tcW w:w="3420" w:type="dxa"/>
            <w:vAlign w:val="bottom"/>
            <w:gridSpan w:val="2"/>
            <w:shd w:val="clear" w:color="auto" w:fill="C0C0C0"/>
          </w:tcPr>
          <w:p>
            <w:pPr>
              <w:ind w:left="20"/>
              <w:spacing w:after="0" w:line="202" w:lineRule="exact"/>
              <w:rPr>
                <w:sz w:val="20"/>
                <w:szCs w:val="20"/>
                <w:color w:val="auto"/>
              </w:rPr>
            </w:pPr>
            <w:r>
              <w:rPr>
                <w:rFonts w:ascii="Arial" w:cs="Arial" w:eastAsia="Arial" w:hAnsi="Arial"/>
                <w:sz w:val="18"/>
                <w:szCs w:val="18"/>
                <w:color w:val="auto"/>
              </w:rPr>
              <w:t>Capital leases</w:t>
            </w:r>
          </w:p>
        </w:tc>
        <w:tc>
          <w:tcPr>
            <w:tcW w:w="18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80"/>
              <w:spacing w:after="0" w:line="202" w:lineRule="exact"/>
              <w:rPr>
                <w:sz w:val="20"/>
                <w:szCs w:val="20"/>
                <w:color w:val="auto"/>
              </w:rPr>
            </w:pPr>
            <w:r>
              <w:rPr>
                <w:rFonts w:ascii="Arial" w:cs="Arial" w:eastAsia="Arial" w:hAnsi="Arial"/>
                <w:sz w:val="18"/>
                <w:szCs w:val="18"/>
                <w:color w:val="auto"/>
              </w:rPr>
              <w:t>8</w:t>
            </w:r>
          </w:p>
        </w:tc>
        <w:tc>
          <w:tcPr>
            <w:tcW w:w="80" w:type="dxa"/>
            <w:vAlign w:val="bottom"/>
            <w:shd w:val="clear" w:color="auto" w:fill="C0C0C0"/>
          </w:tcPr>
          <w:p>
            <w:pPr>
              <w:spacing w:after="0"/>
              <w:rPr>
                <w:sz w:val="17"/>
                <w:szCs w:val="17"/>
                <w:color w:val="auto"/>
              </w:rPr>
            </w:pPr>
          </w:p>
        </w:tc>
        <w:tc>
          <w:tcPr>
            <w:tcW w:w="80" w:type="dxa"/>
            <w:vAlign w:val="bottom"/>
            <w:tcBorders>
              <w:right w:val="single" w:sz="8" w:color="C0C0C0"/>
            </w:tcBorders>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640" w:type="dxa"/>
            <w:vAlign w:val="bottom"/>
            <w:tcBorders>
              <w:right w:val="single" w:sz="8" w:color="C0C0C0"/>
            </w:tcBorders>
            <w:gridSpan w:val="2"/>
            <w:shd w:val="clear" w:color="auto" w:fill="C0C0C0"/>
          </w:tcPr>
          <w:p>
            <w:pPr>
              <w:jc w:val="right"/>
              <w:ind w:right="140"/>
              <w:spacing w:after="0" w:line="202" w:lineRule="exact"/>
              <w:rPr>
                <w:sz w:val="20"/>
                <w:szCs w:val="20"/>
                <w:color w:val="auto"/>
              </w:rPr>
            </w:pPr>
            <w:r>
              <w:rPr>
                <w:rFonts w:ascii="Arial" w:cs="Arial" w:eastAsia="Arial" w:hAnsi="Arial"/>
                <w:sz w:val="18"/>
                <w:szCs w:val="18"/>
                <w:color w:val="auto"/>
              </w:rPr>
              <w:t>3</w:t>
            </w:r>
          </w:p>
        </w:tc>
        <w:tc>
          <w:tcPr>
            <w:tcW w:w="140" w:type="dxa"/>
            <w:vAlign w:val="bottom"/>
            <w:tcBorders>
              <w:right w:val="single" w:sz="8" w:color="C0C0C0"/>
            </w:tcBorders>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520" w:type="dxa"/>
            <w:vAlign w:val="bottom"/>
            <w:gridSpan w:val="2"/>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5</w:t>
            </w:r>
          </w:p>
        </w:tc>
        <w:tc>
          <w:tcPr>
            <w:tcW w:w="180" w:type="dxa"/>
            <w:vAlign w:val="bottom"/>
            <w:tcBorders>
              <w:left w:val="single" w:sz="8" w:color="C0C0C0"/>
              <w:right w:val="single" w:sz="8" w:color="C0C0C0"/>
            </w:tcBorders>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680" w:type="dxa"/>
            <w:vAlign w:val="bottom"/>
            <w:tcBorders>
              <w:right w:val="single" w:sz="8" w:color="C0C0C0"/>
            </w:tcBorders>
            <w:gridSpan w:val="3"/>
            <w:shd w:val="clear" w:color="auto" w:fill="C0C0C0"/>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860" w:type="dxa"/>
            <w:vAlign w:val="bottom"/>
            <w:gridSpan w:val="3"/>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spacing w:after="0"/>
              <w:rPr>
                <w:sz w:val="17"/>
                <w:szCs w:val="17"/>
                <w:color w:val="auto"/>
              </w:rPr>
            </w:pPr>
          </w:p>
        </w:tc>
      </w:tr>
      <w:tr>
        <w:trPr>
          <w:trHeight w:val="243"/>
        </w:trPr>
        <w:tc>
          <w:tcPr>
            <w:tcW w:w="3420" w:type="dxa"/>
            <w:vAlign w:val="bottom"/>
            <w:gridSpan w:val="2"/>
          </w:tcPr>
          <w:p>
            <w:pPr>
              <w:ind w:left="20"/>
              <w:spacing w:after="0" w:line="243" w:lineRule="exact"/>
              <w:rPr>
                <w:sz w:val="20"/>
                <w:szCs w:val="20"/>
                <w:color w:val="auto"/>
              </w:rPr>
            </w:pPr>
            <w:r>
              <w:rPr>
                <w:rFonts w:ascii="Arial" w:cs="Arial" w:eastAsia="Arial" w:hAnsi="Arial"/>
                <w:sz w:val="17"/>
                <w:szCs w:val="17"/>
                <w:color w:val="auto"/>
              </w:rPr>
              <w:t>Other long-term liabilities</w:t>
            </w:r>
            <w:r>
              <w:rPr>
                <w:rFonts w:ascii="Arial" w:cs="Arial" w:eastAsia="Arial" w:hAnsi="Arial"/>
                <w:sz w:val="28"/>
                <w:szCs w:val="28"/>
                <w:color w:val="auto"/>
                <w:vertAlign w:val="superscript"/>
              </w:rPr>
              <w:t>(3)</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1"/>
                <w:szCs w:val="21"/>
                <w:color w:val="auto"/>
              </w:rPr>
            </w:pPr>
          </w:p>
        </w:tc>
      </w:tr>
      <w:tr>
        <w:trPr>
          <w:trHeight w:val="20"/>
        </w:trPr>
        <w:tc>
          <w:tcPr>
            <w:tcW w:w="8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7"/>
        </w:trPr>
        <w:tc>
          <w:tcPr>
            <w:tcW w:w="3420" w:type="dxa"/>
            <w:vAlign w:val="bottom"/>
            <w:gridSpan w:val="2"/>
            <w:shd w:val="clear" w:color="auto" w:fill="C0C0C0"/>
          </w:tcPr>
          <w:p>
            <w:pPr>
              <w:ind w:left="20"/>
              <w:spacing w:after="0" w:line="196" w:lineRule="exact"/>
              <w:rPr>
                <w:sz w:val="20"/>
                <w:szCs w:val="20"/>
                <w:color w:val="auto"/>
              </w:rPr>
            </w:pPr>
            <w:r>
              <w:rPr>
                <w:rFonts w:ascii="Arial" w:cs="Arial" w:eastAsia="Arial" w:hAnsi="Arial"/>
                <w:sz w:val="18"/>
                <w:szCs w:val="18"/>
                <w:color w:val="auto"/>
              </w:rPr>
              <w:t>Total contractual cash obligations</w:t>
            </w:r>
          </w:p>
        </w:tc>
        <w:tc>
          <w:tcPr>
            <w:tcW w:w="18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0C0C0"/>
          </w:tcPr>
          <w:p>
            <w:pPr>
              <w:jc w:val="right"/>
              <w:ind w:right="80"/>
              <w:spacing w:after="0" w:line="196" w:lineRule="exact"/>
              <w:rPr>
                <w:sz w:val="20"/>
                <w:szCs w:val="20"/>
                <w:color w:val="auto"/>
              </w:rPr>
            </w:pPr>
            <w:r>
              <w:rPr>
                <w:rFonts w:ascii="Arial" w:cs="Arial" w:eastAsia="Arial" w:hAnsi="Arial"/>
                <w:sz w:val="18"/>
                <w:szCs w:val="18"/>
                <w:color w:val="auto"/>
              </w:rPr>
              <w:t>3,524</w:t>
            </w:r>
          </w:p>
        </w:tc>
        <w:tc>
          <w:tcPr>
            <w:tcW w:w="80" w:type="dxa"/>
            <w:vAlign w:val="bottom"/>
            <w:shd w:val="clear" w:color="auto" w:fill="C0C0C0"/>
          </w:tcPr>
          <w:p>
            <w:pPr>
              <w:spacing w:after="0"/>
              <w:rPr>
                <w:sz w:val="18"/>
                <w:szCs w:val="18"/>
                <w:color w:val="auto"/>
              </w:rPr>
            </w:pPr>
          </w:p>
        </w:tc>
        <w:tc>
          <w:tcPr>
            <w:tcW w:w="200" w:type="dxa"/>
            <w:vAlign w:val="bottom"/>
            <w:gridSpan w:val="2"/>
            <w:shd w:val="clear" w:color="auto" w:fill="C0C0C0"/>
          </w:tcPr>
          <w:p>
            <w:pPr>
              <w:jc w:val="center"/>
              <w:ind w:left="10"/>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shd w:val="clear" w:color="auto" w:fill="C0C0C0"/>
          </w:tcPr>
          <w:p>
            <w:pPr>
              <w:spacing w:after="0"/>
              <w:rPr>
                <w:sz w:val="18"/>
                <w:szCs w:val="18"/>
                <w:color w:val="auto"/>
              </w:rPr>
            </w:pPr>
          </w:p>
        </w:tc>
        <w:tc>
          <w:tcPr>
            <w:tcW w:w="640" w:type="dxa"/>
            <w:vAlign w:val="bottom"/>
            <w:tcBorders>
              <w:right w:val="single" w:sz="8" w:color="C0C0C0"/>
            </w:tcBorders>
            <w:gridSpan w:val="2"/>
            <w:shd w:val="clear" w:color="auto" w:fill="C0C0C0"/>
          </w:tcPr>
          <w:p>
            <w:pPr>
              <w:jc w:val="right"/>
              <w:ind w:right="140"/>
              <w:spacing w:after="0" w:line="196" w:lineRule="exact"/>
              <w:rPr>
                <w:sz w:val="20"/>
                <w:szCs w:val="20"/>
                <w:color w:val="auto"/>
              </w:rPr>
            </w:pPr>
            <w:r>
              <w:rPr>
                <w:rFonts w:ascii="Arial" w:cs="Arial" w:eastAsia="Arial" w:hAnsi="Arial"/>
                <w:sz w:val="18"/>
                <w:szCs w:val="18"/>
                <w:color w:val="auto"/>
              </w:rPr>
              <w:t>574</w:t>
            </w:r>
          </w:p>
        </w:tc>
        <w:tc>
          <w:tcPr>
            <w:tcW w:w="140" w:type="dxa"/>
            <w:vAlign w:val="bottom"/>
            <w:tcBorders>
              <w:right w:val="single" w:sz="8" w:color="C0C0C0"/>
            </w:tcBorders>
            <w:shd w:val="clear" w:color="auto" w:fill="C0C0C0"/>
          </w:tcPr>
          <w:p>
            <w:pPr>
              <w:spacing w:after="0"/>
              <w:rPr>
                <w:sz w:val="18"/>
                <w:szCs w:val="18"/>
                <w:color w:val="auto"/>
              </w:rPr>
            </w:pPr>
          </w:p>
        </w:tc>
        <w:tc>
          <w:tcPr>
            <w:tcW w:w="100" w:type="dxa"/>
            <w:vAlign w:val="bottom"/>
            <w:shd w:val="clear" w:color="auto" w:fill="C0C0C0"/>
          </w:tcPr>
          <w:p>
            <w:pPr>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shd w:val="clear" w:color="auto" w:fill="C0C0C0"/>
          </w:tcPr>
          <w:p>
            <w:pPr>
              <w:spacing w:after="0"/>
              <w:rPr>
                <w:sz w:val="18"/>
                <w:szCs w:val="18"/>
                <w:color w:val="auto"/>
              </w:rPr>
            </w:pPr>
          </w:p>
        </w:tc>
        <w:tc>
          <w:tcPr>
            <w:tcW w:w="520" w:type="dxa"/>
            <w:vAlign w:val="bottom"/>
            <w:gridSpan w:val="2"/>
            <w:shd w:val="clear" w:color="auto" w:fill="C0C0C0"/>
          </w:tcPr>
          <w:p>
            <w:pPr>
              <w:jc w:val="right"/>
              <w:ind w:right="100"/>
              <w:spacing w:after="0" w:line="196" w:lineRule="exact"/>
              <w:rPr>
                <w:sz w:val="20"/>
                <w:szCs w:val="20"/>
                <w:color w:val="auto"/>
              </w:rPr>
            </w:pPr>
            <w:r>
              <w:rPr>
                <w:rFonts w:ascii="Arial" w:cs="Arial" w:eastAsia="Arial" w:hAnsi="Arial"/>
                <w:sz w:val="18"/>
                <w:szCs w:val="18"/>
                <w:color w:val="auto"/>
              </w:rPr>
              <w:t>994</w:t>
            </w:r>
          </w:p>
        </w:tc>
        <w:tc>
          <w:tcPr>
            <w:tcW w:w="180" w:type="dxa"/>
            <w:vAlign w:val="bottom"/>
            <w:tcBorders>
              <w:left w:val="single" w:sz="8" w:color="C0C0C0"/>
              <w:right w:val="single" w:sz="8" w:color="C0C0C0"/>
            </w:tcBorders>
            <w:shd w:val="clear" w:color="auto" w:fill="C0C0C0"/>
          </w:tcPr>
          <w:p>
            <w:pPr>
              <w:spacing w:after="0"/>
              <w:rPr>
                <w:sz w:val="18"/>
                <w:szCs w:val="18"/>
                <w:color w:val="auto"/>
              </w:rPr>
            </w:pPr>
          </w:p>
        </w:tc>
        <w:tc>
          <w:tcPr>
            <w:tcW w:w="10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color w:val="auto"/>
                <w:w w:val="79"/>
              </w:rPr>
              <w:t>$</w:t>
            </w:r>
          </w:p>
        </w:tc>
        <w:tc>
          <w:tcPr>
            <w:tcW w:w="240" w:type="dxa"/>
            <w:vAlign w:val="bottom"/>
            <w:shd w:val="clear" w:color="auto" w:fill="C0C0C0"/>
          </w:tcPr>
          <w:p>
            <w:pPr>
              <w:spacing w:after="0"/>
              <w:rPr>
                <w:sz w:val="18"/>
                <w:szCs w:val="18"/>
                <w:color w:val="auto"/>
              </w:rPr>
            </w:pPr>
          </w:p>
        </w:tc>
        <w:tc>
          <w:tcPr>
            <w:tcW w:w="40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color w:val="auto"/>
              </w:rPr>
              <w:t>715</w:t>
            </w:r>
          </w:p>
        </w:tc>
        <w:tc>
          <w:tcPr>
            <w:tcW w:w="120" w:type="dxa"/>
            <w:vAlign w:val="bottom"/>
            <w:tcBorders>
              <w:left w:val="single" w:sz="8" w:color="C0C0C0"/>
            </w:tcBorders>
            <w:shd w:val="clear" w:color="auto" w:fill="C0C0C0"/>
          </w:tcPr>
          <w:p>
            <w:pPr>
              <w:spacing w:after="0"/>
              <w:rPr>
                <w:sz w:val="18"/>
                <w:szCs w:val="18"/>
                <w:color w:val="auto"/>
              </w:rPr>
            </w:pPr>
          </w:p>
        </w:tc>
        <w:tc>
          <w:tcPr>
            <w:tcW w:w="160" w:type="dxa"/>
            <w:vAlign w:val="bottom"/>
            <w:tcBorders>
              <w:right w:val="single" w:sz="8" w:color="C0C0C0"/>
            </w:tcBorders>
            <w:shd w:val="clear" w:color="auto" w:fill="C0C0C0"/>
          </w:tcPr>
          <w:p>
            <w:pPr>
              <w:spacing w:after="0"/>
              <w:rPr>
                <w:sz w:val="18"/>
                <w:szCs w:val="18"/>
                <w:color w:val="auto"/>
              </w:rPr>
            </w:pPr>
          </w:p>
        </w:tc>
        <w:tc>
          <w:tcPr>
            <w:tcW w:w="12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0C0C0"/>
          </w:tcPr>
          <w:p>
            <w:pPr>
              <w:spacing w:after="0"/>
              <w:rPr>
                <w:sz w:val="18"/>
                <w:szCs w:val="18"/>
                <w:color w:val="auto"/>
              </w:rPr>
            </w:pPr>
          </w:p>
        </w:tc>
        <w:tc>
          <w:tcPr>
            <w:tcW w:w="860" w:type="dxa"/>
            <w:vAlign w:val="bottom"/>
            <w:gridSpan w:val="3"/>
            <w:shd w:val="clear" w:color="auto" w:fill="C0C0C0"/>
          </w:tcPr>
          <w:p>
            <w:pPr>
              <w:jc w:val="right"/>
              <w:ind w:right="100"/>
              <w:spacing w:after="0" w:line="196" w:lineRule="exact"/>
              <w:rPr>
                <w:sz w:val="20"/>
                <w:szCs w:val="20"/>
                <w:color w:val="auto"/>
              </w:rPr>
            </w:pPr>
            <w:r>
              <w:rPr>
                <w:rFonts w:ascii="Arial" w:cs="Arial" w:eastAsia="Arial" w:hAnsi="Arial"/>
                <w:sz w:val="18"/>
                <w:szCs w:val="18"/>
                <w:color w:val="auto"/>
              </w:rPr>
              <w:t>1,241</w:t>
            </w:r>
          </w:p>
        </w:tc>
        <w:tc>
          <w:tcPr>
            <w:tcW w:w="1620" w:type="dxa"/>
            <w:vAlign w:val="bottom"/>
          </w:tcPr>
          <w:p>
            <w:pPr>
              <w:spacing w:after="0"/>
              <w:rPr>
                <w:sz w:val="18"/>
                <w:szCs w:val="18"/>
                <w:color w:val="auto"/>
              </w:rPr>
            </w:pPr>
          </w:p>
        </w:tc>
      </w:tr>
      <w:tr>
        <w:trPr>
          <w:trHeight w:val="20"/>
        </w:trPr>
        <w:tc>
          <w:tcPr>
            <w:tcW w:w="800" w:type="dxa"/>
            <w:vAlign w:val="bottom"/>
            <w:tcBorders>
              <w:top w:val="single" w:sz="8" w:color="C0C0C0"/>
            </w:tcBorders>
            <w:shd w:val="clear" w:color="auto" w:fill="C0C0C0"/>
          </w:tcPr>
          <w:p>
            <w:pPr>
              <w:spacing w:after="0" w:line="20" w:lineRule="exact"/>
              <w:rPr>
                <w:sz w:val="1"/>
                <w:szCs w:val="1"/>
                <w:color w:val="auto"/>
              </w:rPr>
            </w:pPr>
          </w:p>
        </w:tc>
        <w:tc>
          <w:tcPr>
            <w:tcW w:w="2620" w:type="dxa"/>
            <w:vAlign w:val="bottom"/>
            <w:tcBorders>
              <w:top w:val="single" w:sz="8" w:color="C0C0C0"/>
            </w:tcBorders>
            <w:shd w:val="clear" w:color="auto" w:fill="C0C0C0"/>
          </w:tcPr>
          <w:p>
            <w:pPr>
              <w:spacing w:after="0" w:line="20" w:lineRule="exact"/>
              <w:rPr>
                <w:sz w:val="1"/>
                <w:szCs w:val="1"/>
                <w:color w:val="auto"/>
              </w:rPr>
            </w:pPr>
          </w:p>
        </w:tc>
        <w:tc>
          <w:tcPr>
            <w:tcW w:w="180" w:type="dxa"/>
            <w:vAlign w:val="bottom"/>
            <w:tcBorders>
              <w:top w:val="single" w:sz="8" w:color="C0C0C0"/>
            </w:tcBorders>
            <w:shd w:val="clear" w:color="auto" w:fill="C0C0C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C0C0"/>
            </w:tcBorders>
            <w:shd w:val="clear" w:color="auto" w:fill="C0C0C0"/>
          </w:tcPr>
          <w:p>
            <w:pPr>
              <w:spacing w:after="0" w:line="20" w:lineRule="exact"/>
              <w:rPr>
                <w:sz w:val="1"/>
                <w:szCs w:val="1"/>
                <w:color w:val="auto"/>
              </w:rPr>
            </w:pPr>
          </w:p>
        </w:tc>
        <w:tc>
          <w:tcPr>
            <w:tcW w:w="80" w:type="dxa"/>
            <w:vAlign w:val="bottom"/>
            <w:tcBorders>
              <w:top w:val="single" w:sz="8" w:color="C0C0C0"/>
            </w:tcBorders>
            <w:shd w:val="clear" w:color="auto" w:fill="C0C0C0"/>
          </w:tcPr>
          <w:p>
            <w:pPr>
              <w:spacing w:after="0" w:line="20" w:lineRule="exact"/>
              <w:rPr>
                <w:sz w:val="1"/>
                <w:szCs w:val="1"/>
                <w:color w:val="auto"/>
              </w:rPr>
            </w:pPr>
          </w:p>
        </w:tc>
        <w:tc>
          <w:tcPr>
            <w:tcW w:w="80" w:type="dxa"/>
            <w:vAlign w:val="bottom"/>
            <w:tcBorders>
              <w:top w:val="single" w:sz="8" w:color="C0C0C0"/>
              <w:right w:val="single" w:sz="8" w:color="C0C0C0"/>
            </w:tcBorders>
            <w:shd w:val="clear" w:color="auto" w:fill="C0C0C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C0C0"/>
              <w:right w:val="single" w:sz="8" w:color="C0C0C0"/>
            </w:tcBorders>
            <w:shd w:val="clear" w:color="auto" w:fill="C0C0C0"/>
          </w:tcPr>
          <w:p>
            <w:pPr>
              <w:spacing w:after="0" w:line="20" w:lineRule="exact"/>
              <w:rPr>
                <w:sz w:val="1"/>
                <w:szCs w:val="1"/>
                <w:color w:val="auto"/>
              </w:rPr>
            </w:pPr>
          </w:p>
        </w:tc>
        <w:tc>
          <w:tcPr>
            <w:tcW w:w="140" w:type="dxa"/>
            <w:vAlign w:val="bottom"/>
            <w:tcBorders>
              <w:top w:val="single" w:sz="8" w:color="C0C0C0"/>
              <w:right w:val="single" w:sz="8" w:color="C0C0C0"/>
            </w:tcBorders>
            <w:shd w:val="clear" w:color="auto" w:fill="C0C0C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C0C0"/>
            </w:tcBorders>
            <w:shd w:val="clear" w:color="auto" w:fill="C0C0C0"/>
          </w:tcPr>
          <w:p>
            <w:pPr>
              <w:spacing w:after="0" w:line="20" w:lineRule="exact"/>
              <w:rPr>
                <w:sz w:val="1"/>
                <w:szCs w:val="1"/>
                <w:color w:val="auto"/>
              </w:rPr>
            </w:pPr>
          </w:p>
        </w:tc>
        <w:tc>
          <w:tcPr>
            <w:tcW w:w="180" w:type="dxa"/>
            <w:vAlign w:val="bottom"/>
            <w:tcBorders>
              <w:top w:val="single" w:sz="8" w:color="C0C0C0"/>
              <w:left w:val="single" w:sz="8" w:color="C0C0C0"/>
              <w:right w:val="single" w:sz="8" w:color="C0C0C0"/>
            </w:tcBorders>
            <w:shd w:val="clear" w:color="auto" w:fill="C0C0C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C0C0"/>
              <w:left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C0C0C0"/>
              <w:right w:val="single" w:sz="8" w:color="C0C0C0"/>
            </w:tcBorders>
            <w:shd w:val="clear" w:color="auto" w:fill="C0C0C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C0C0"/>
            </w:tcBorders>
            <w:shd w:val="clear" w:color="auto" w:fill="C0C0C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93"/>
        </w:trPr>
        <w:tc>
          <w:tcPr>
            <w:tcW w:w="8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12"/>
          </w:tcPr>
          <w:p>
            <w:pPr>
              <w:ind w:left="40"/>
              <w:spacing w:after="0"/>
              <w:rPr>
                <w:sz w:val="20"/>
                <w:szCs w:val="20"/>
                <w:color w:val="auto"/>
              </w:rPr>
            </w:pPr>
            <w:r>
              <w:rPr>
                <w:rFonts w:ascii="Arial" w:cs="Arial" w:eastAsia="Arial" w:hAnsi="Arial"/>
                <w:sz w:val="14"/>
                <w:szCs w:val="14"/>
                <w:b w:val="1"/>
                <w:bCs w:val="1"/>
                <w:color w:val="auto"/>
              </w:rPr>
              <w:t>Payments Due by Fiscal Period</w:t>
            </w: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Pr>
          <w:p>
            <w:pPr>
              <w:spacing w:after="0"/>
              <w:rPr>
                <w:sz w:val="24"/>
                <w:szCs w:val="24"/>
                <w:color w:val="auto"/>
              </w:rPr>
            </w:pPr>
          </w:p>
        </w:tc>
      </w:tr>
      <w:tr>
        <w:trPr>
          <w:trHeight w:val="169"/>
        </w:trPr>
        <w:tc>
          <w:tcPr>
            <w:tcW w:w="3420" w:type="dxa"/>
            <w:vAlign w:val="bottom"/>
            <w:gridSpan w:val="2"/>
          </w:tcPr>
          <w:p>
            <w:pPr>
              <w:ind w:left="20"/>
              <w:spacing w:after="0"/>
              <w:rPr>
                <w:sz w:val="20"/>
                <w:szCs w:val="20"/>
                <w:color w:val="auto"/>
              </w:rPr>
            </w:pPr>
            <w:r>
              <w:rPr>
                <w:rFonts w:ascii="Arial" w:cs="Arial" w:eastAsia="Arial" w:hAnsi="Arial"/>
                <w:sz w:val="14"/>
                <w:szCs w:val="14"/>
                <w:b w:val="1"/>
                <w:bCs w:val="1"/>
                <w:color w:val="auto"/>
              </w:rPr>
              <w:t>Other Commercial Commitments</w:t>
            </w:r>
          </w:p>
        </w:tc>
        <w:tc>
          <w:tcPr>
            <w:tcW w:w="1120" w:type="dxa"/>
            <w:vAlign w:val="bottom"/>
            <w:gridSpan w:val="5"/>
          </w:tcPr>
          <w:p>
            <w:pPr>
              <w:ind w:left="80"/>
              <w:spacing w:after="0"/>
              <w:rPr>
                <w:sz w:val="20"/>
                <w:szCs w:val="20"/>
                <w:color w:val="auto"/>
              </w:rPr>
            </w:pPr>
            <w:r>
              <w:rPr>
                <w:rFonts w:ascii="Arial" w:cs="Arial" w:eastAsia="Arial" w:hAnsi="Arial"/>
                <w:sz w:val="14"/>
                <w:szCs w:val="14"/>
                <w:b w:val="1"/>
                <w:bCs w:val="1"/>
                <w:color w:val="auto"/>
              </w:rPr>
              <w:t>Total Amounts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4"/>
          </w:tcPr>
          <w:p>
            <w:pPr>
              <w:ind w:left="40"/>
              <w:spacing w:after="0"/>
              <w:rPr>
                <w:sz w:val="20"/>
                <w:szCs w:val="20"/>
                <w:color w:val="auto"/>
              </w:rPr>
            </w:pPr>
            <w:r>
              <w:rPr>
                <w:rFonts w:ascii="Arial" w:cs="Arial" w:eastAsia="Arial" w:hAnsi="Arial"/>
                <w:sz w:val="14"/>
                <w:szCs w:val="14"/>
                <w:b w:val="1"/>
                <w:bCs w:val="1"/>
                <w:color w:val="auto"/>
              </w:rPr>
              <w:t>2015 – 2016</w:t>
            </w:r>
          </w:p>
        </w:tc>
        <w:tc>
          <w:tcPr>
            <w:tcW w:w="100" w:type="dxa"/>
            <w:vAlign w:val="bottom"/>
          </w:tcPr>
          <w:p>
            <w:pPr>
              <w:spacing w:after="0"/>
              <w:rPr>
                <w:sz w:val="14"/>
                <w:szCs w:val="14"/>
                <w:color w:val="auto"/>
              </w:rPr>
            </w:pPr>
          </w:p>
        </w:tc>
        <w:tc>
          <w:tcPr>
            <w:tcW w:w="920" w:type="dxa"/>
            <w:vAlign w:val="bottom"/>
            <w:gridSpan w:val="4"/>
          </w:tcPr>
          <w:p>
            <w:pPr>
              <w:ind w:left="40"/>
              <w:spacing w:after="0"/>
              <w:rPr>
                <w:sz w:val="20"/>
                <w:szCs w:val="20"/>
                <w:color w:val="auto"/>
              </w:rPr>
            </w:pPr>
            <w:r>
              <w:rPr>
                <w:rFonts w:ascii="Arial" w:cs="Arial" w:eastAsia="Arial" w:hAnsi="Arial"/>
                <w:sz w:val="14"/>
                <w:szCs w:val="14"/>
                <w:b w:val="1"/>
                <w:bCs w:val="1"/>
                <w:color w:val="auto"/>
              </w:rPr>
              <w:t>2017 – 2018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2019 and</w:t>
            </w:r>
          </w:p>
        </w:tc>
        <w:tc>
          <w:tcPr>
            <w:tcW w:w="1620" w:type="dxa"/>
            <w:vAlign w:val="bottom"/>
          </w:tcPr>
          <w:p>
            <w:pPr>
              <w:spacing w:after="0"/>
              <w:rPr>
                <w:sz w:val="14"/>
                <w:szCs w:val="14"/>
                <w:color w:val="auto"/>
              </w:rPr>
            </w:pPr>
          </w:p>
        </w:tc>
      </w:tr>
      <w:tr>
        <w:trPr>
          <w:trHeight w:val="175"/>
        </w:trPr>
        <w:tc>
          <w:tcPr>
            <w:tcW w:w="8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Committed</w:t>
            </w:r>
          </w:p>
        </w:tc>
        <w:tc>
          <w:tcPr>
            <w:tcW w:w="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Beyond</w:t>
            </w:r>
          </w:p>
        </w:tc>
        <w:tc>
          <w:tcPr>
            <w:tcW w:w="1620" w:type="dxa"/>
            <w:vAlign w:val="bottom"/>
          </w:tcPr>
          <w:p>
            <w:pPr>
              <w:spacing w:after="0"/>
              <w:rPr>
                <w:sz w:val="15"/>
                <w:szCs w:val="15"/>
                <w:color w:val="auto"/>
              </w:rPr>
            </w:pPr>
          </w:p>
        </w:tc>
      </w:tr>
      <w:tr>
        <w:trPr>
          <w:trHeight w:val="196"/>
        </w:trPr>
        <w:tc>
          <w:tcPr>
            <w:tcW w:w="8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43"/>
        </w:trPr>
        <w:tc>
          <w:tcPr>
            <w:tcW w:w="3420" w:type="dxa"/>
            <w:vAlign w:val="bottom"/>
            <w:gridSpan w:val="2"/>
            <w:shd w:val="clear" w:color="auto" w:fill="C0C0C0"/>
          </w:tcPr>
          <w:p>
            <w:pPr>
              <w:ind w:left="20"/>
              <w:spacing w:after="0" w:line="243" w:lineRule="exact"/>
              <w:rPr>
                <w:sz w:val="20"/>
                <w:szCs w:val="20"/>
                <w:color w:val="auto"/>
              </w:rPr>
            </w:pPr>
            <w:r>
              <w:rPr>
                <w:rFonts w:ascii="Arial" w:cs="Arial" w:eastAsia="Arial" w:hAnsi="Arial"/>
                <w:sz w:val="17"/>
                <w:szCs w:val="17"/>
                <w:color w:val="auto"/>
              </w:rPr>
              <w:t>Unused line of credit</w:t>
            </w:r>
            <w:r>
              <w:rPr>
                <w:rFonts w:ascii="Arial" w:cs="Arial" w:eastAsia="Arial" w:hAnsi="Arial"/>
                <w:sz w:val="28"/>
                <w:szCs w:val="28"/>
                <w:color w:val="auto"/>
                <w:vertAlign w:val="superscript"/>
              </w:rPr>
              <w:t>(4)</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0C0C0"/>
          </w:tcPr>
          <w:p>
            <w:pPr>
              <w:spacing w:after="0"/>
              <w:rPr>
                <w:sz w:val="21"/>
                <w:szCs w:val="21"/>
                <w:color w:val="auto"/>
              </w:rPr>
            </w:pPr>
          </w:p>
        </w:tc>
        <w:tc>
          <w:tcPr>
            <w:tcW w:w="6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0C0C0"/>
          </w:tcPr>
          <w:p>
            <w:pPr>
              <w:spacing w:after="0"/>
              <w:rPr>
                <w:sz w:val="21"/>
                <w:szCs w:val="21"/>
                <w:color w:val="auto"/>
              </w:rPr>
            </w:pPr>
          </w:p>
        </w:tc>
        <w:tc>
          <w:tcPr>
            <w:tcW w:w="34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0C0C0"/>
            </w:tcBorders>
            <w:gridSpan w:val="3"/>
            <w:shd w:val="clear" w:color="auto" w:fill="C0C0C0"/>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199</w:t>
            </w:r>
          </w:p>
        </w:tc>
        <w:tc>
          <w:tcPr>
            <w:tcW w:w="180" w:type="dxa"/>
            <w:vAlign w:val="bottom"/>
            <w:tcBorders>
              <w:left w:val="single" w:sz="8" w:color="C0C0C0"/>
              <w:right w:val="single" w:sz="8" w:color="C0C0C0"/>
            </w:tcBorders>
            <w:shd w:val="clear" w:color="auto" w:fill="C0C0C0"/>
          </w:tcPr>
          <w:p>
            <w:pPr>
              <w:spacing w:after="0"/>
              <w:rPr>
                <w:sz w:val="21"/>
                <w:szCs w:val="21"/>
                <w:color w:val="auto"/>
              </w:rPr>
            </w:pPr>
          </w:p>
        </w:tc>
        <w:tc>
          <w:tcPr>
            <w:tcW w:w="340" w:type="dxa"/>
            <w:vAlign w:val="bottom"/>
            <w:gridSpan w:val="2"/>
            <w:shd w:val="clear" w:color="auto" w:fill="C0C0C0"/>
          </w:tcPr>
          <w:p>
            <w:pPr>
              <w:jc w:val="right"/>
              <w:ind w:right="48"/>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0C0C0"/>
            </w:tcBorders>
            <w:gridSpan w:val="3"/>
            <w:shd w:val="clear" w:color="auto" w:fill="C0C0C0"/>
          </w:tcPr>
          <w:p>
            <w:pPr>
              <w:ind w:left="2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0C0C0"/>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1"/>
                <w:szCs w:val="21"/>
                <w:color w:val="auto"/>
              </w:rPr>
            </w:pPr>
          </w:p>
        </w:tc>
      </w:tr>
      <w:tr>
        <w:trPr>
          <w:trHeight w:val="203"/>
        </w:trPr>
        <w:tc>
          <w:tcPr>
            <w:tcW w:w="34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Standby letters of credit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spacing w:after="0"/>
              <w:rPr>
                <w:sz w:val="17"/>
                <w:szCs w:val="17"/>
                <w:color w:val="auto"/>
              </w:rPr>
            </w:pPr>
          </w:p>
        </w:tc>
      </w:tr>
      <w:tr>
        <w:trPr>
          <w:trHeight w:val="243"/>
        </w:trPr>
        <w:tc>
          <w:tcPr>
            <w:tcW w:w="3420" w:type="dxa"/>
            <w:vAlign w:val="bottom"/>
            <w:gridSpan w:val="2"/>
            <w:shd w:val="clear" w:color="auto" w:fill="C0C0C0"/>
          </w:tcPr>
          <w:p>
            <w:pPr>
              <w:ind w:left="20"/>
              <w:spacing w:after="0" w:line="243" w:lineRule="exact"/>
              <w:rPr>
                <w:sz w:val="20"/>
                <w:szCs w:val="20"/>
                <w:color w:val="auto"/>
              </w:rPr>
            </w:pPr>
            <w:r>
              <w:rPr>
                <w:rFonts w:ascii="Arial" w:cs="Arial" w:eastAsia="Arial" w:hAnsi="Arial"/>
                <w:sz w:val="17"/>
                <w:szCs w:val="17"/>
                <w:color w:val="auto"/>
              </w:rPr>
              <w:t>Purchase commitments</w:t>
            </w:r>
            <w:r>
              <w:rPr>
                <w:rFonts w:ascii="Arial" w:cs="Arial" w:eastAsia="Arial" w:hAnsi="Arial"/>
                <w:sz w:val="28"/>
                <w:szCs w:val="28"/>
                <w:color w:val="auto"/>
                <w:vertAlign w:val="superscript"/>
              </w:rPr>
              <w:t>(5)</w:t>
            </w:r>
          </w:p>
        </w:tc>
        <w:tc>
          <w:tcPr>
            <w:tcW w:w="1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6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2,187</w:t>
            </w:r>
          </w:p>
        </w:tc>
        <w:tc>
          <w:tcPr>
            <w:tcW w:w="80" w:type="dxa"/>
            <w:vAlign w:val="bottom"/>
            <w:shd w:val="clear" w:color="auto" w:fill="C0C0C0"/>
          </w:tcPr>
          <w:p>
            <w:pPr>
              <w:spacing w:after="0"/>
              <w:rPr>
                <w:sz w:val="21"/>
                <w:szCs w:val="21"/>
                <w:color w:val="auto"/>
              </w:rPr>
            </w:pPr>
          </w:p>
        </w:tc>
        <w:tc>
          <w:tcPr>
            <w:tcW w:w="80" w:type="dxa"/>
            <w:vAlign w:val="bottom"/>
            <w:tcBorders>
              <w:right w:val="single" w:sz="8" w:color="C0C0C0"/>
            </w:tcBorders>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80" w:type="dxa"/>
            <w:vAlign w:val="bottom"/>
            <w:tcBorders>
              <w:right w:val="single" w:sz="8" w:color="C0C0C0"/>
            </w:tcBorders>
            <w:gridSpan w:val="3"/>
            <w:shd w:val="clear" w:color="auto" w:fill="C0C0C0"/>
          </w:tcPr>
          <w:p>
            <w:pPr>
              <w:jc w:val="right"/>
              <w:ind w:right="140"/>
              <w:spacing w:after="0"/>
              <w:rPr>
                <w:sz w:val="20"/>
                <w:szCs w:val="20"/>
                <w:color w:val="auto"/>
              </w:rPr>
            </w:pPr>
            <w:r>
              <w:rPr>
                <w:rFonts w:ascii="Arial" w:cs="Arial" w:eastAsia="Arial" w:hAnsi="Arial"/>
                <w:sz w:val="18"/>
                <w:szCs w:val="18"/>
                <w:color w:val="auto"/>
              </w:rPr>
              <w:t>2,187</w:t>
            </w:r>
          </w:p>
        </w:tc>
        <w:tc>
          <w:tcPr>
            <w:tcW w:w="1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00" w:type="dxa"/>
            <w:vAlign w:val="bottom"/>
            <w:tcBorders>
              <w:right w:val="single" w:sz="8" w:color="C0C0C0"/>
            </w:tcBorders>
            <w:gridSpan w:val="3"/>
            <w:shd w:val="clear" w:color="auto" w:fill="C0C0C0"/>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80" w:type="dxa"/>
            <w:vAlign w:val="bottom"/>
            <w:tcBorders>
              <w:right w:val="single" w:sz="8" w:color="C0C0C0"/>
            </w:tcBorders>
            <w:gridSpan w:val="3"/>
            <w:shd w:val="clear" w:color="auto" w:fill="C0C0C0"/>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60" w:type="dxa"/>
            <w:vAlign w:val="bottom"/>
            <w:gridSpan w:val="3"/>
            <w:shd w:val="clear" w:color="auto" w:fill="C0C0C0"/>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1"/>
                <w:szCs w:val="21"/>
                <w:color w:val="auto"/>
              </w:rPr>
            </w:pPr>
          </w:p>
        </w:tc>
      </w:tr>
      <w:tr>
        <w:trPr>
          <w:trHeight w:val="243"/>
        </w:trPr>
        <w:tc>
          <w:tcPr>
            <w:tcW w:w="3420" w:type="dxa"/>
            <w:vAlign w:val="bottom"/>
            <w:gridSpan w:val="2"/>
          </w:tcPr>
          <w:p>
            <w:pPr>
              <w:ind w:left="20"/>
              <w:spacing w:after="0" w:line="243" w:lineRule="exact"/>
              <w:rPr>
                <w:sz w:val="20"/>
                <w:szCs w:val="20"/>
                <w:color w:val="auto"/>
              </w:rPr>
            </w:pPr>
            <w:r>
              <w:rPr>
                <w:rFonts w:ascii="Arial" w:cs="Arial" w:eastAsia="Arial" w:hAnsi="Arial"/>
                <w:sz w:val="17"/>
                <w:szCs w:val="17"/>
                <w:color w:val="auto"/>
              </w:rPr>
              <w:t>Other</w:t>
            </w:r>
            <w:r>
              <w:rPr>
                <w:rFonts w:ascii="Arial" w:cs="Arial" w:eastAsia="Arial" w:hAnsi="Arial"/>
                <w:sz w:val="28"/>
                <w:szCs w:val="28"/>
                <w:color w:val="auto"/>
                <w:vertAlign w:val="superscript"/>
              </w:rPr>
              <w:t>(6)</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1"/>
                <w:szCs w:val="21"/>
                <w:color w:val="auto"/>
              </w:rPr>
            </w:pPr>
          </w:p>
        </w:tc>
      </w:tr>
      <w:tr>
        <w:trPr>
          <w:trHeight w:val="20"/>
        </w:trPr>
        <w:tc>
          <w:tcPr>
            <w:tcW w:w="8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7"/>
        </w:trPr>
        <w:tc>
          <w:tcPr>
            <w:tcW w:w="3420" w:type="dxa"/>
            <w:vAlign w:val="bottom"/>
            <w:gridSpan w:val="2"/>
            <w:shd w:val="clear" w:color="auto" w:fill="C0C0C0"/>
          </w:tcPr>
          <w:p>
            <w:pPr>
              <w:ind w:left="20"/>
              <w:spacing w:after="0" w:line="196" w:lineRule="exact"/>
              <w:rPr>
                <w:sz w:val="20"/>
                <w:szCs w:val="20"/>
                <w:color w:val="auto"/>
              </w:rPr>
            </w:pPr>
            <w:r>
              <w:rPr>
                <w:rFonts w:ascii="Arial" w:cs="Arial" w:eastAsia="Arial" w:hAnsi="Arial"/>
                <w:sz w:val="18"/>
                <w:szCs w:val="18"/>
                <w:color w:val="auto"/>
              </w:rPr>
              <w:t>Total commercial commitments</w:t>
            </w:r>
          </w:p>
        </w:tc>
        <w:tc>
          <w:tcPr>
            <w:tcW w:w="18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color w:val="auto"/>
                <w:w w:val="79"/>
              </w:rPr>
              <w:t>$</w:t>
            </w:r>
          </w:p>
        </w:tc>
        <w:tc>
          <w:tcPr>
            <w:tcW w:w="180" w:type="dxa"/>
            <w:vAlign w:val="bottom"/>
            <w:shd w:val="clear" w:color="auto" w:fill="C0C0C0"/>
          </w:tcPr>
          <w:p>
            <w:pPr>
              <w:spacing w:after="0"/>
              <w:rPr>
                <w:sz w:val="18"/>
                <w:szCs w:val="18"/>
                <w:color w:val="auto"/>
              </w:rPr>
            </w:pPr>
          </w:p>
        </w:tc>
        <w:tc>
          <w:tcPr>
            <w:tcW w:w="680" w:type="dxa"/>
            <w:vAlign w:val="bottom"/>
            <w:gridSpan w:val="2"/>
            <w:shd w:val="clear" w:color="auto" w:fill="C0C0C0"/>
          </w:tcPr>
          <w:p>
            <w:pPr>
              <w:jc w:val="right"/>
              <w:spacing w:after="0" w:line="196" w:lineRule="exact"/>
              <w:rPr>
                <w:sz w:val="20"/>
                <w:szCs w:val="20"/>
                <w:color w:val="auto"/>
              </w:rPr>
            </w:pPr>
            <w:r>
              <w:rPr>
                <w:rFonts w:ascii="Arial" w:cs="Arial" w:eastAsia="Arial" w:hAnsi="Arial"/>
                <w:sz w:val="18"/>
                <w:szCs w:val="18"/>
                <w:color w:val="auto"/>
              </w:rPr>
              <w:t>2,422</w:t>
            </w:r>
          </w:p>
        </w:tc>
        <w:tc>
          <w:tcPr>
            <w:tcW w:w="80" w:type="dxa"/>
            <w:vAlign w:val="bottom"/>
            <w:shd w:val="clear" w:color="auto" w:fill="C0C0C0"/>
          </w:tcPr>
          <w:p>
            <w:pPr>
              <w:spacing w:after="0"/>
              <w:rPr>
                <w:sz w:val="18"/>
                <w:szCs w:val="18"/>
                <w:color w:val="auto"/>
              </w:rPr>
            </w:pPr>
          </w:p>
        </w:tc>
        <w:tc>
          <w:tcPr>
            <w:tcW w:w="200" w:type="dxa"/>
            <w:vAlign w:val="bottom"/>
            <w:gridSpan w:val="2"/>
            <w:shd w:val="clear" w:color="auto" w:fill="C0C0C0"/>
          </w:tcPr>
          <w:p>
            <w:pPr>
              <w:spacing w:after="0"/>
              <w:rPr>
                <w:sz w:val="18"/>
                <w:szCs w:val="18"/>
                <w:color w:val="auto"/>
              </w:rPr>
            </w:pPr>
          </w:p>
        </w:tc>
        <w:tc>
          <w:tcPr>
            <w:tcW w:w="14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0C0C0"/>
            </w:tcBorders>
            <w:gridSpan w:val="3"/>
            <w:shd w:val="clear" w:color="auto" w:fill="C0C0C0"/>
          </w:tcPr>
          <w:p>
            <w:pPr>
              <w:jc w:val="right"/>
              <w:ind w:right="140"/>
              <w:spacing w:after="0" w:line="196" w:lineRule="exact"/>
              <w:rPr>
                <w:sz w:val="20"/>
                <w:szCs w:val="20"/>
                <w:color w:val="auto"/>
              </w:rPr>
            </w:pPr>
            <w:r>
              <w:rPr>
                <w:rFonts w:ascii="Arial" w:cs="Arial" w:eastAsia="Arial" w:hAnsi="Arial"/>
                <w:sz w:val="18"/>
                <w:szCs w:val="18"/>
                <w:color w:val="auto"/>
              </w:rPr>
              <w:t>2,207</w:t>
            </w:r>
          </w:p>
        </w:tc>
        <w:tc>
          <w:tcPr>
            <w:tcW w:w="320" w:type="dxa"/>
            <w:vAlign w:val="bottom"/>
            <w:gridSpan w:val="2"/>
            <w:shd w:val="clear" w:color="auto" w:fill="C0C0C0"/>
          </w:tcPr>
          <w:p>
            <w:pPr>
              <w:ind w:left="100"/>
              <w:spacing w:after="0" w:line="196"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0C0C0"/>
          </w:tcPr>
          <w:p>
            <w:pPr>
              <w:jc w:val="right"/>
              <w:spacing w:after="0" w:line="196" w:lineRule="exact"/>
              <w:rPr>
                <w:sz w:val="20"/>
                <w:szCs w:val="20"/>
                <w:color w:val="auto"/>
              </w:rPr>
            </w:pPr>
            <w:r>
              <w:rPr>
                <w:rFonts w:ascii="Arial" w:cs="Arial" w:eastAsia="Arial" w:hAnsi="Arial"/>
                <w:sz w:val="18"/>
                <w:szCs w:val="18"/>
                <w:color w:val="auto"/>
              </w:rPr>
              <w:t>215</w:t>
            </w:r>
          </w:p>
        </w:tc>
        <w:tc>
          <w:tcPr>
            <w:tcW w:w="180" w:type="dxa"/>
            <w:vAlign w:val="bottom"/>
            <w:tcBorders>
              <w:left w:val="single" w:sz="8" w:color="C0C0C0"/>
              <w:right w:val="single" w:sz="8" w:color="C0C0C0"/>
            </w:tcBorders>
            <w:shd w:val="clear" w:color="auto" w:fill="C0C0C0"/>
          </w:tcPr>
          <w:p>
            <w:pPr>
              <w:spacing w:after="0"/>
              <w:rPr>
                <w:sz w:val="18"/>
                <w:szCs w:val="18"/>
                <w:color w:val="auto"/>
              </w:rPr>
            </w:pPr>
          </w:p>
        </w:tc>
        <w:tc>
          <w:tcPr>
            <w:tcW w:w="340" w:type="dxa"/>
            <w:vAlign w:val="bottom"/>
            <w:gridSpan w:val="2"/>
            <w:shd w:val="clear" w:color="auto" w:fill="C0C0C0"/>
          </w:tcPr>
          <w:p>
            <w:pPr>
              <w:jc w:val="right"/>
              <w:ind w:right="48"/>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right w:val="single" w:sz="8" w:color="C0C0C0"/>
            </w:tcBorders>
            <w:gridSpan w:val="3"/>
            <w:shd w:val="clear" w:color="auto" w:fill="C0C0C0"/>
          </w:tcPr>
          <w:p>
            <w:pPr>
              <w:ind w:left="260"/>
              <w:spacing w:after="0" w:line="196" w:lineRule="exact"/>
              <w:rPr>
                <w:sz w:val="20"/>
                <w:szCs w:val="20"/>
                <w:color w:val="auto"/>
              </w:rPr>
            </w:pPr>
            <w:r>
              <w:rPr>
                <w:rFonts w:ascii="Arial" w:cs="Arial" w:eastAsia="Arial" w:hAnsi="Arial"/>
                <w:sz w:val="18"/>
                <w:szCs w:val="18"/>
                <w:color w:val="auto"/>
              </w:rPr>
              <w:t>—</w:t>
            </w:r>
          </w:p>
        </w:tc>
        <w:tc>
          <w:tcPr>
            <w:tcW w:w="220" w:type="dxa"/>
            <w:vAlign w:val="bottom"/>
            <w:gridSpan w:val="2"/>
            <w:shd w:val="clear" w:color="auto" w:fill="C0C0C0"/>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3"/>
            <w:shd w:val="clear" w:color="auto" w:fill="C0C0C0"/>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620" w:type="dxa"/>
            <w:vAlign w:val="bottom"/>
          </w:tcPr>
          <w:p>
            <w:pPr>
              <w:spacing w:after="0"/>
              <w:rPr>
                <w:sz w:val="18"/>
                <w:szCs w:val="18"/>
                <w:color w:val="auto"/>
              </w:rPr>
            </w:pPr>
          </w:p>
        </w:tc>
      </w:tr>
      <w:tr>
        <w:trPr>
          <w:trHeight w:val="20"/>
        </w:trPr>
        <w:tc>
          <w:tcPr>
            <w:tcW w:w="800" w:type="dxa"/>
            <w:vAlign w:val="bottom"/>
            <w:tcBorders>
              <w:top w:val="single" w:sz="8" w:color="C0C0C0"/>
            </w:tcBorders>
            <w:shd w:val="clear" w:color="auto" w:fill="C0C0C0"/>
          </w:tcPr>
          <w:p>
            <w:pPr>
              <w:spacing w:after="0" w:line="20" w:lineRule="exact"/>
              <w:rPr>
                <w:sz w:val="1"/>
                <w:szCs w:val="1"/>
                <w:color w:val="auto"/>
              </w:rPr>
            </w:pPr>
          </w:p>
        </w:tc>
        <w:tc>
          <w:tcPr>
            <w:tcW w:w="2620" w:type="dxa"/>
            <w:vAlign w:val="bottom"/>
            <w:tcBorders>
              <w:top w:val="single" w:sz="8" w:color="C0C0C0"/>
            </w:tcBorders>
            <w:shd w:val="clear" w:color="auto" w:fill="C0C0C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C0C0"/>
            </w:tcBorders>
            <w:shd w:val="clear" w:color="auto" w:fill="C0C0C0"/>
          </w:tcPr>
          <w:p>
            <w:pPr>
              <w:spacing w:after="0" w:line="20" w:lineRule="exact"/>
              <w:rPr>
                <w:sz w:val="1"/>
                <w:szCs w:val="1"/>
                <w:color w:val="auto"/>
              </w:rPr>
            </w:pPr>
          </w:p>
        </w:tc>
        <w:tc>
          <w:tcPr>
            <w:tcW w:w="80" w:type="dxa"/>
            <w:vAlign w:val="bottom"/>
            <w:tcBorders>
              <w:top w:val="single" w:sz="8" w:color="C0C0C0"/>
              <w:right w:val="single" w:sz="8" w:color="C0C0C0"/>
            </w:tcBorders>
            <w:shd w:val="clear" w:color="auto" w:fill="C0C0C0"/>
          </w:tcPr>
          <w:p>
            <w:pPr>
              <w:spacing w:after="0" w:line="20" w:lineRule="exact"/>
              <w:rPr>
                <w:sz w:val="1"/>
                <w:szCs w:val="1"/>
                <w:color w:val="auto"/>
              </w:rPr>
            </w:pPr>
          </w:p>
        </w:tc>
        <w:tc>
          <w:tcPr>
            <w:tcW w:w="120" w:type="dxa"/>
            <w:vAlign w:val="bottom"/>
            <w:tcBorders>
              <w:top w:val="single" w:sz="8" w:color="C0C0C0"/>
            </w:tcBorders>
            <w:shd w:val="clear" w:color="auto" w:fill="C0C0C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C0C0"/>
              <w:right w:val="single" w:sz="8" w:color="C0C0C0"/>
            </w:tcBorders>
            <w:shd w:val="clear" w:color="auto" w:fill="C0C0C0"/>
          </w:tcPr>
          <w:p>
            <w:pPr>
              <w:spacing w:after="0" w:line="20" w:lineRule="exact"/>
              <w:rPr>
                <w:sz w:val="1"/>
                <w:szCs w:val="1"/>
                <w:color w:val="auto"/>
              </w:rPr>
            </w:pPr>
          </w:p>
        </w:tc>
        <w:tc>
          <w:tcPr>
            <w:tcW w:w="100" w:type="dxa"/>
            <w:vAlign w:val="bottom"/>
            <w:tcBorders>
              <w:top w:val="single" w:sz="8" w:color="C0C0C0"/>
            </w:tcBorders>
            <w:shd w:val="clear" w:color="auto" w:fill="C0C0C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0C0C0"/>
              <w:left w:val="single" w:sz="8" w:color="C0C0C0"/>
              <w:right w:val="single" w:sz="8" w:color="C0C0C0"/>
            </w:tcBorders>
            <w:shd w:val="clear" w:color="auto" w:fill="C0C0C0"/>
          </w:tcPr>
          <w:p>
            <w:pPr>
              <w:spacing w:after="0" w:line="20" w:lineRule="exact"/>
              <w:rPr>
                <w:sz w:val="1"/>
                <w:szCs w:val="1"/>
                <w:color w:val="auto"/>
              </w:rPr>
            </w:pPr>
          </w:p>
        </w:tc>
        <w:tc>
          <w:tcPr>
            <w:tcW w:w="100" w:type="dxa"/>
            <w:vAlign w:val="bottom"/>
            <w:tcBorders>
              <w:top w:val="single" w:sz="8" w:color="C0C0C0"/>
            </w:tcBorders>
            <w:shd w:val="clear" w:color="auto" w:fill="C0C0C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C0C0"/>
              <w:left w:val="single" w:sz="8" w:color="auto"/>
            </w:tcBorders>
            <w:shd w:val="clear" w:color="auto" w:fill="C0C0C0"/>
          </w:tcPr>
          <w:p>
            <w:pPr>
              <w:spacing w:after="0" w:line="20" w:lineRule="exact"/>
              <w:rPr>
                <w:sz w:val="1"/>
                <w:szCs w:val="1"/>
                <w:color w:val="auto"/>
              </w:rPr>
            </w:pPr>
          </w:p>
        </w:tc>
        <w:tc>
          <w:tcPr>
            <w:tcW w:w="160" w:type="dxa"/>
            <w:vAlign w:val="bottom"/>
            <w:tcBorders>
              <w:top w:val="single" w:sz="8" w:color="C0C0C0"/>
              <w:right w:val="single" w:sz="8" w:color="C0C0C0"/>
            </w:tcBorders>
            <w:shd w:val="clear" w:color="auto" w:fill="C0C0C0"/>
          </w:tcPr>
          <w:p>
            <w:pPr>
              <w:spacing w:after="0" w:line="20" w:lineRule="exact"/>
              <w:rPr>
                <w:sz w:val="1"/>
                <w:szCs w:val="1"/>
                <w:color w:val="auto"/>
              </w:rPr>
            </w:pPr>
          </w:p>
        </w:tc>
        <w:tc>
          <w:tcPr>
            <w:tcW w:w="120" w:type="dxa"/>
            <w:vAlign w:val="bottom"/>
            <w:tcBorders>
              <w:top w:val="single" w:sz="8" w:color="C0C0C0"/>
            </w:tcBorders>
            <w:shd w:val="clear" w:color="auto" w:fill="C0C0C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C0C0"/>
            </w:tcBorders>
            <w:shd w:val="clear" w:color="auto" w:fill="C0C0C0"/>
          </w:tcPr>
          <w:p>
            <w:pPr>
              <w:spacing w:after="0" w:line="20" w:lineRule="exact"/>
              <w:rPr>
                <w:sz w:val="1"/>
                <w:szCs w:val="1"/>
                <w:color w:val="auto"/>
              </w:rPr>
            </w:pPr>
          </w:p>
        </w:tc>
        <w:tc>
          <w:tcPr>
            <w:tcW w:w="120" w:type="dxa"/>
            <w:vAlign w:val="bottom"/>
            <w:tcBorders>
              <w:top w:val="single" w:sz="8" w:color="C0C0C0"/>
            </w:tcBorders>
            <w:shd w:val="clear" w:color="auto" w:fill="C0C0C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763"/>
        </w:trPr>
        <w:tc>
          <w:tcPr>
            <w:tcW w:w="8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gridSpan w:val="3"/>
          </w:tcPr>
          <w:p>
            <w:pPr>
              <w:jc w:val="center"/>
              <w:ind w:right="10"/>
              <w:spacing w:after="0"/>
              <w:rPr>
                <w:sz w:val="20"/>
                <w:szCs w:val="20"/>
                <w:color w:val="auto"/>
              </w:rPr>
            </w:pPr>
            <w:r>
              <w:rPr>
                <w:rFonts w:ascii="Arial" w:cs="Arial" w:eastAsia="Arial" w:hAnsi="Arial"/>
                <w:sz w:val="18"/>
                <w:szCs w:val="18"/>
                <w:color w:val="auto"/>
                <w:w w:val="99"/>
              </w:rPr>
              <w:t>27</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2"/>
        </w:trPr>
        <w:tc>
          <w:tcPr>
            <w:tcW w:w="800" w:type="dxa"/>
            <w:vAlign w:val="bottom"/>
          </w:tcPr>
          <w:p>
            <w:pPr>
              <w:spacing w:after="0"/>
              <w:rPr>
                <w:sz w:val="14"/>
                <w:szCs w:val="14"/>
                <w:color w:val="auto"/>
              </w:rPr>
            </w:pPr>
          </w:p>
        </w:tc>
        <w:tc>
          <w:tcPr>
            <w:tcW w:w="26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r>
      <w:tr>
        <w:trPr>
          <w:trHeight w:val="21"/>
        </w:trPr>
        <w:tc>
          <w:tcPr>
            <w:tcW w:w="800" w:type="dxa"/>
            <w:vAlign w:val="bottom"/>
          </w:tcPr>
          <w:p>
            <w:pPr>
              <w:spacing w:after="0" w:line="20" w:lineRule="exact"/>
              <w:rPr>
                <w:sz w:val="1"/>
                <w:szCs w:val="1"/>
                <w:color w:val="auto"/>
              </w:rPr>
            </w:pPr>
          </w:p>
        </w:tc>
        <w:tc>
          <w:tcPr>
            <w:tcW w:w="26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-2108835</wp:posOffset>
            </wp:positionV>
            <wp:extent cx="5565775"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65775"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-659765</wp:posOffset>
            </wp:positionV>
            <wp:extent cx="5565775"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65775" cy="342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-1946275</wp:posOffset>
            </wp:positionV>
            <wp:extent cx="55657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ectPr>
          <w:pgSz w:w="11900" w:h="16838" w:orient="portrait"/>
          <w:cols w:equalWidth="0" w:num="1">
            <w:col w:w="10400"/>
          </w:cols>
          <w:pgMar w:left="360" w:top="802" w:right="11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jc w:val="both"/>
        <w:ind w:left="280" w:right="519" w:hanging="272"/>
        <w:spacing w:after="0" w:line="270" w:lineRule="auto"/>
        <w:tabs>
          <w:tab w:leader="none" w:pos="2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The amounts presented above represent the contractual maturities of the Company’s long-term debt, including interest; however, it excludes the unamortized gain of the interest rate swap of $13 million. Additional information is included in the </w:t>
      </w:r>
      <w:r>
        <w:rPr>
          <w:rFonts w:ascii="Arial" w:cs="Arial" w:eastAsia="Arial" w:hAnsi="Arial"/>
          <w:sz w:val="14"/>
          <w:szCs w:val="14"/>
          <w:i w:val="1"/>
          <w:iCs w:val="1"/>
          <w:color w:val="auto"/>
        </w:rPr>
        <w:t>Long-Term Debt and Obligations Under Capital</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Leases </w:t>
      </w:r>
      <w:r>
        <w:rPr>
          <w:rFonts w:ascii="Arial" w:cs="Arial" w:eastAsia="Arial" w:hAnsi="Arial"/>
          <w:sz w:val="14"/>
          <w:szCs w:val="14"/>
          <w:color w:val="auto"/>
        </w:rPr>
        <w:t>note under “Item 8. Consolidated Financial Statements and Supplementary Data.”</w:t>
      </w:r>
    </w:p>
    <w:p>
      <w:pPr>
        <w:spacing w:after="0" w:line="91" w:lineRule="exact"/>
        <w:rPr>
          <w:rFonts w:ascii="Arial" w:cs="Arial" w:eastAsia="Arial" w:hAnsi="Arial"/>
          <w:sz w:val="14"/>
          <w:szCs w:val="14"/>
          <w:color w:val="auto"/>
        </w:rPr>
      </w:pPr>
    </w:p>
    <w:p>
      <w:pPr>
        <w:jc w:val="both"/>
        <w:ind w:left="280" w:right="539" w:hanging="272"/>
        <w:spacing w:after="0" w:line="267" w:lineRule="auto"/>
        <w:tabs>
          <w:tab w:leader="none" w:pos="2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amounts presented represent the future minimum lease payments under non-cancelable operating leases. In addition to minimum rent, certain of the Company’s leases require the payment of additional costs for insurance, maintenance, and other costs. These costs have historically represented approximately 25 to 30 percent of the minimum rent amount. These additional amounts are not included in the table of contractual commitments as the timing and/or amounts of such payments are unknown.</w:t>
      </w:r>
    </w:p>
    <w:p>
      <w:pPr>
        <w:spacing w:after="0" w:line="93" w:lineRule="exact"/>
        <w:rPr>
          <w:rFonts w:ascii="Arial" w:cs="Arial" w:eastAsia="Arial" w:hAnsi="Arial"/>
          <w:sz w:val="14"/>
          <w:szCs w:val="14"/>
          <w:color w:val="auto"/>
        </w:rPr>
      </w:pPr>
    </w:p>
    <w:p>
      <w:pPr>
        <w:jc w:val="both"/>
        <w:ind w:left="280" w:right="519" w:hanging="272"/>
        <w:spacing w:after="0" w:line="264" w:lineRule="auto"/>
        <w:tabs>
          <w:tab w:leader="none" w:pos="2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The Company’s other liabilities in the Consolidated Balance Sheet at February 1, 2014 primarily comprise pension and postretirement benefits, deferred rent liability, income taxes, workers’ compensation and general liability reserves, and various other accruals. The amount presented in the table represents the Company’s 2014 Canadian qualified pension contributions of $2 million. Other than this liability, other amounts (including the Company’s unrecognized tax benefits of $46 million, as well as penalties and interest of $2 million) have been excluded from the above table as the timing and/or amount of any cash payment is uncertain. The timing of the remaining amounts that are known has not been included as they are minimal and not useful to the presentation. Additional information is included in the </w:t>
      </w:r>
      <w:r>
        <w:rPr>
          <w:rFonts w:ascii="Arial" w:cs="Arial" w:eastAsia="Arial" w:hAnsi="Arial"/>
          <w:sz w:val="14"/>
          <w:szCs w:val="14"/>
          <w:i w:val="1"/>
          <w:iCs w:val="1"/>
          <w:color w:val="auto"/>
        </w:rPr>
        <w:t>Other Liabilities, Financial Instruments and Risk</w:t>
      </w:r>
      <w:r>
        <w:rPr>
          <w:rFonts w:ascii="Arial" w:cs="Arial" w:eastAsia="Arial" w:hAnsi="Arial"/>
          <w:sz w:val="14"/>
          <w:szCs w:val="14"/>
          <w:color w:val="auto"/>
        </w:rPr>
        <w:t xml:space="preserve"> </w:t>
      </w:r>
      <w:r>
        <w:rPr>
          <w:rFonts w:ascii="Arial" w:cs="Arial" w:eastAsia="Arial" w:hAnsi="Arial"/>
          <w:sz w:val="14"/>
          <w:szCs w:val="14"/>
          <w:i w:val="1"/>
          <w:iCs w:val="1"/>
          <w:color w:val="auto"/>
        </w:rPr>
        <w:t>Management</w:t>
      </w:r>
      <w:r>
        <w:rPr>
          <w:rFonts w:ascii="Arial" w:cs="Arial" w:eastAsia="Arial" w:hAnsi="Arial"/>
          <w:sz w:val="14"/>
          <w:szCs w:val="14"/>
          <w:color w:val="auto"/>
        </w:rPr>
        <w:t>, and</w:t>
      </w:r>
      <w:r>
        <w:rPr>
          <w:rFonts w:ascii="Arial" w:cs="Arial" w:eastAsia="Arial" w:hAnsi="Arial"/>
          <w:sz w:val="14"/>
          <w:szCs w:val="14"/>
          <w:i w:val="1"/>
          <w:iCs w:val="1"/>
          <w:color w:val="auto"/>
        </w:rPr>
        <w:t xml:space="preserve"> Retirement Plans and Other Benefits </w:t>
      </w:r>
      <w:r>
        <w:rPr>
          <w:rFonts w:ascii="Arial" w:cs="Arial" w:eastAsia="Arial" w:hAnsi="Arial"/>
          <w:sz w:val="14"/>
          <w:szCs w:val="14"/>
          <w:color w:val="auto"/>
        </w:rPr>
        <w:t>notes under “Item 8. Consolidated Financial Statements and Supplementary Data.”</w:t>
      </w:r>
    </w:p>
    <w:p>
      <w:pPr>
        <w:spacing w:after="0" w:line="97" w:lineRule="exact"/>
        <w:rPr>
          <w:rFonts w:ascii="Arial" w:cs="Arial" w:eastAsia="Arial" w:hAnsi="Arial"/>
          <w:sz w:val="14"/>
          <w:szCs w:val="14"/>
          <w:color w:val="auto"/>
        </w:rPr>
      </w:pPr>
    </w:p>
    <w:p>
      <w:pPr>
        <w:ind w:left="280" w:right="539" w:hanging="272"/>
        <w:spacing w:after="0" w:line="278" w:lineRule="auto"/>
        <w:tabs>
          <w:tab w:leader="none" w:pos="2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the unused domestic lines of credit pursuant to the Company’s $200 million revolving credit agreement. The Company’s management currently does not expect to borrow under the facility in 2014, other than amounts used to support standby letters of credit.</w:t>
      </w:r>
    </w:p>
    <w:p>
      <w:pPr>
        <w:spacing w:after="0" w:line="86" w:lineRule="exact"/>
        <w:rPr>
          <w:rFonts w:ascii="Arial" w:cs="Arial" w:eastAsia="Arial" w:hAnsi="Arial"/>
          <w:sz w:val="14"/>
          <w:szCs w:val="14"/>
          <w:color w:val="auto"/>
        </w:rPr>
      </w:pPr>
    </w:p>
    <w:p>
      <w:pPr>
        <w:jc w:val="both"/>
        <w:ind w:left="280" w:right="539" w:hanging="272"/>
        <w:spacing w:after="0" w:line="270" w:lineRule="auto"/>
        <w:tabs>
          <w:tab w:leader="none" w:pos="2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open purchase orders, as well as other commitments for merchandise purchases, at February 1, 2014. The Company is obligated under the terms of purchase orders; however, the Company is generally able to renegotiate the timing and quantity of these orders with certain vendors in response to shifts in consumer preferences.</w:t>
      </w:r>
    </w:p>
    <w:p>
      <w:pPr>
        <w:spacing w:after="0" w:line="91" w:lineRule="exact"/>
        <w:rPr>
          <w:rFonts w:ascii="Arial" w:cs="Arial" w:eastAsia="Arial" w:hAnsi="Arial"/>
          <w:sz w:val="14"/>
          <w:szCs w:val="14"/>
          <w:color w:val="auto"/>
        </w:rPr>
      </w:pPr>
    </w:p>
    <w:p>
      <w:pPr>
        <w:ind w:left="280" w:hanging="272"/>
        <w:spacing w:after="0"/>
        <w:tabs>
          <w:tab w:leader="none" w:pos="2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payments required by non-merchandise purchase agreements.</w:t>
      </w:r>
    </w:p>
    <w:p>
      <w:pPr>
        <w:spacing w:after="0" w:line="117"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The Company does not have any off-balance sheet financing (other than operating leases entered into in the normal course of business as disclosed above) or unconsolidated special purpose entities. The Company does not participate in transactions that generate relationships with unconsolidated entities or financial partnerships, including variable interest entities. The Company’s policy prohibits the use of derivatives for which there is no underlying exposure.</w:t>
      </w:r>
    </w:p>
    <w:p>
      <w:pPr>
        <w:spacing w:after="0" w:line="96"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In connection with the sale of various businesses and assets, the Company may be obligated for certain lease commitments transferred to third parties and pursuant to certain normal representations, warranties, or indemnifications entered into with the purchasers of such businesses or assets. Although the maximum potential amounts for such obligations cannot be readily determined, management believes that the resolution of such contingencies will not significantly affect the Company’s consolidated financial position, liquidity, or results of operations. The Company is also operating certain stores for which lease agreements are in the process of being negotiated with landlords. Although there is no contractual commitment to make these payments, it is likely that leases will be executed.</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w:t>
      </w:r>
    </w:p>
    <w:p>
      <w:pPr>
        <w:spacing w:after="0" w:line="139"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 xml:space="preserve">Management’s responsibility for integrity and objectivity in the preparation and presentation of the Company’s financial statements requires diligent application of appropriate accounting policies. Generally, the Company’s accounting policies and methods are those specifically required by U.S. generally accepted accounting principles. Included in the </w:t>
      </w:r>
      <w:r>
        <w:rPr>
          <w:rFonts w:ascii="Arial" w:cs="Arial" w:eastAsia="Arial" w:hAnsi="Arial"/>
          <w:sz w:val="18"/>
          <w:szCs w:val="18"/>
          <w:i w:val="1"/>
          <w:iCs w:val="1"/>
          <w:color w:val="auto"/>
        </w:rPr>
        <w:t xml:space="preserve">Summary of Significant Accounting Policies </w:t>
      </w:r>
      <w:r>
        <w:rPr>
          <w:rFonts w:ascii="Arial" w:cs="Arial" w:eastAsia="Arial" w:hAnsi="Arial"/>
          <w:sz w:val="18"/>
          <w:szCs w:val="18"/>
          <w:color w:val="auto"/>
        </w:rPr>
        <w:t>note in “Item 8. Consolidated Financial Statements and Supplementary</w:t>
      </w:r>
      <w:r>
        <w:rPr>
          <w:rFonts w:ascii="Arial" w:cs="Arial" w:eastAsia="Arial" w:hAnsi="Arial"/>
          <w:sz w:val="18"/>
          <w:szCs w:val="18"/>
          <w:i w:val="1"/>
          <w:iCs w:val="1"/>
          <w:color w:val="auto"/>
        </w:rPr>
        <w:t xml:space="preserve"> </w:t>
      </w:r>
      <w:r>
        <w:rPr>
          <w:rFonts w:ascii="Arial" w:cs="Arial" w:eastAsia="Arial" w:hAnsi="Arial"/>
          <w:sz w:val="18"/>
          <w:szCs w:val="18"/>
          <w:color w:val="auto"/>
        </w:rPr>
        <w:t>Data” is a summary of the Company’s most significant accounting policies. In some cases, management is required to calculate amounts based on estimates for matters that are inherently uncertain. The Company believes the following to be the most critical of those accounting policies that necessitate subjective judgments.</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135"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The Company accounts for acquisitions by recording the net assets of acquired businesses at fair value, and making estimates and assumptions to determine the fair value of these acquired assets and liabilities. The Company allocates the purchase price of acquired businesses based, in part, upon internal estimates of cash flows and considering the report of a third-party valuation expert retained to assist the Company. Changes to the assumptions used to estimate the fair value could affect the recorded amounts of the assets acquired and the resultant goodwill.</w:t>
      </w:r>
    </w:p>
    <w:p>
      <w:pPr>
        <w:spacing w:after="0" w:line="200" w:lineRule="exact"/>
        <w:rPr>
          <w:sz w:val="20"/>
          <w:szCs w:val="20"/>
          <w:color w:val="auto"/>
        </w:rPr>
      </w:pPr>
    </w:p>
    <w:p>
      <w:pPr>
        <w:spacing w:after="0" w:line="35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96520</wp:posOffset>
            </wp:positionV>
            <wp:extent cx="6114415" cy="596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Merchandise Inventories</w:t>
      </w:r>
    </w:p>
    <w:p>
      <w:pPr>
        <w:spacing w:after="0" w:line="135"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Merchandise inventories for the Company’s Athletic Stores are valued at the lower of cost or market using the retail inventory method (“RIM”). The RIM is commonly used by retail companies to value inventories at cost and calculate gross margins due to its practicality. Under the retail method, cost is determined by applying a cost-to-retail percentage across groupings of similar items, known as departments. The cost-to-retail percentage is applied to ending inventory at its current owned retail valuation to determine the cost of ending inventory on a department basis. The RIM is a system of averages that requires management’s estimates and assumptions regarding markups, markdowns and shrink, among others, and as such, could result in distortions of inventory amounts.</w:t>
      </w:r>
    </w:p>
    <w:p>
      <w:pPr>
        <w:spacing w:after="0" w:line="99"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Significant judgment is required for these estimates and assumptions, as well as to differentiate between promotional and other markdowns that may be required to correctly reflect merchandise inventories at the lower of cost or market. The Company provides reserves based on current selling prices when the inventory has not been marked down to market. The failure to take permanent markdowns on a timely basis may result in an overstatement of cost under the retail inventory method. The decision to take permanent markdowns includes many factors, including the current environment, inventory levels, and the age of the item. Management believes this method and its related assumptions, which have been consistently applied, to be reasonable.</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Vendor Reimbursements</w:t>
      </w:r>
    </w:p>
    <w:p>
      <w:pPr>
        <w:spacing w:after="0" w:line="135"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In the normal course of business, the Company receives allowances from its vendors for markdowns taken. Vendor allowances are recognized as a reduction in cost of sales in the period in which the markdowns are taken. Vendor allowances contributed 20 basis points to the 2013 gross margin rate. The Company also has volume-related agreements with certain vendors, under which it receives rebates based on fixed percentages of cost purchases. These volume-related rebates are recorded in cost of sales when the product is sold and were not significant to the 2013 gross margin rate.</w:t>
      </w:r>
    </w:p>
    <w:p>
      <w:pPr>
        <w:spacing w:after="0" w:line="101"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The Company receives support from some of its vendors in the form of reimbursements for cooperative advertising and catalog costs for the launch and promotion of certain products. The reimbursements are agreed upon with vendors for specific advertising campaigns and catalogs. Cooperative income, to the extent that it reimburses specific, incremental and identifiable costs incurred to date, is recorded in SG&amp;A in the same period as the associated expenses are incurred. Cooperative reimbursements amounted to approximately 18 percent and 14 percent of total advertising and catalog costs, respectively, in 2013. Reimbursements received that are in excess of specific, incremental and identifiable costs incurred to date are recognized as a reduction to the cost of merchandise and are reflected in cost of sales as the merchandise is sold. Such amounts were not significant in 2013.</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Impairment of Long-Lived Assets, Goodwill and Other Intangibles</w:t>
      </w:r>
    </w:p>
    <w:p>
      <w:pPr>
        <w:spacing w:after="0" w:line="135"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The Company performs an impairment review when circumstances indicate that the carrying value of long-lived tangible and intangible assets with finite lives may not be recoverable. Management’s policy in determining whether an impairment indicator exists, a triggering event, comprises measurable operating performance criteria at the division level as well as qualitative measures. If an analysis is necessitated by the occurrence of a triggering event, the Company uses assumptions, which are predominately identified from the Company’s strategic long-range plans, in determining in performing an impairment review. In the calculation of the fair value of long-lived assets, the Company compares the carrying amount of the asset with the estimated future cash flows expected to result from the use of the asset. If the carrying amount of the asset exceeds the estimated expected undiscounted future cash flows, the Company measures the amount of the impairment by comparing the carrying amount of the asset with its estimated fair value. The estimation of fair value is measured by discounting expected future cash flows at the Company’s weighted-average cost of capital. Management believes its policy is reasonable and is consistently applied. Future expected cash flows are based upon estimates that, if not achieved, may result in significantly different results.</w:t>
      </w:r>
    </w:p>
    <w:p>
      <w:pPr>
        <w:spacing w:after="0" w:line="103"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The Company reviews goodwill for impairment annually during the first quarter of its fiscal year or more frequently if impairment indicators arise. The review of impairment consists of either using a qualitative approach to determine whether it is more likely than not that the fair value of the assets is less than their respective carrying values or a two-step impairment test, if necessary. In performing the qualitative assessment, we consider many factors in evaluating whether the carrying value of goodwill may not be recoverable, including</w:t>
      </w:r>
    </w:p>
    <w:p>
      <w:pPr>
        <w:spacing w:after="0" w:line="200" w:lineRule="exact"/>
        <w:rPr>
          <w:sz w:val="20"/>
          <w:szCs w:val="20"/>
          <w:color w:val="auto"/>
        </w:rPr>
      </w:pPr>
    </w:p>
    <w:p>
      <w:pPr>
        <w:spacing w:after="0" w:line="34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96520</wp:posOffset>
            </wp:positionV>
            <wp:extent cx="6114415" cy="596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declines in stock price and market capitalization in relation to the book value of the Company and macroeconomic conditions affecting retail. If, based on the results of the qualitative assessment, it is concluded that it is not more likely than not that the fair value of a reporting unit exceeds its carrying value, additional quantitative impairment testing is performed using a two-step test. The initial step requires that the carrying value of each reporting unit be compared with its estimated fair value. The second step — to evaluate goodwill of a reporting unit for impairment — is only required if the carrying value of that reporting unit exceeds its estimated fair value. The Company used a combination of a discounted cash flow approach and market-based approach to determine the fair value of a reporting unit. The determination of discounted cash flows of the reporting units and assets and liabilities within the reporting units requires us to make significant estimates and assumptions. These estimates and assumptions primarily include, but are not limited to, the discount rate, terminal growth rates, earnings before depreciation and amortization, and capital expenditures forecasts. The market approach requires judgment and uses one or more methods to compare the reporting unit with similar businesses, business ownership interests, or securities that have been sold. Due to the inherent uncertainty involved in making these estimates, actual results could differ from those estimates. We performed our annual goodwill impairment assessments during 2013, using a qualitative approach. Based on the results of the impairment assessments performed, we concluded that it is more likely than not that the fair values of our reporting units exceeded their respective carrying values and there are no reporting units at risk of impairment.</w:t>
      </w:r>
    </w:p>
    <w:p>
      <w:pPr>
        <w:spacing w:after="0" w:line="102"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Owned trademarks and tradenames that have been determined to have indefinite lives are not subject to amortization but are reviewed at least annually for potential impairment. The fair values of purchased intangible assets are estimated and compared to their carrying values. We estimate the fair value of these intangible assets based on an income approach using the relief-from-royalty method. This methodology assumes that, in lieu of ownership, a third party would be willing to pay a royalty in order to exploit the related benefits of these types of assets. This approach is dependent on a number of factors, including estimates of future growth and trends, royalty rates in the category of intellectual property, discount rates, and other variables. We base our fair value estimates on assumptions we believe to be reasonable, but which are unpredictable and inherently uncertain. Actual future results may differ from those estimates. We recognize an impairment loss when the estimated fair value of the intangible asset is less than the carrying value. The Company’s review did not result in any impairment charges for the year ended February 1, 2014.</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Share-Based Compensation</w:t>
      </w:r>
    </w:p>
    <w:p>
      <w:pPr>
        <w:spacing w:after="0" w:line="135"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The Company estimates the fair value of options granted using the Black-Scholes option pricing model. The expected term of options granted is estimated using historical exercise and post-vesting employment termination patterns, which the Company believes are representative of future behavior. Changing the expected term by one year changes the fair value by 6 to 8 percent depending if the change was an increase or decrease to the expected term. The Company estimates the expected volatility of its common stock at the grant date using a weighted-average of the Company’s historical volatility and implied volatility from traded options on the Company’s common stock. A 50 basis point change in volatility would have a 1 percent change to the fair value. The risk-free interest rate assumption is determined using the Federal Reserve nominal rates for U.S. Treasury zero-coupon bonds with maturities similar to those of the expected term of the award being valued. The expected dividend yield is derived from the Company’s historical experience. A 50 basis point change to the dividend yield would change the fair value by approximately 5 percent. Share-based compensation expense is recorded for those awards expected to vest using an estimated forfeiture rate based on its historical pre-vesting forfeiture data, which it believes are representative of future behavior, and periodically will revise those estimates in subsequent periods if actual forfeitures differ from those estimates. The Black-Scholes option pricing valuation model requires the use of subjective assumptions. Changes in these assumptions can materially affect the fair value of the options.</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Pension and Postretirement Liabilities</w:t>
      </w:r>
    </w:p>
    <w:p>
      <w:pPr>
        <w:spacing w:after="0" w:line="135" w:lineRule="exact"/>
        <w:rPr>
          <w:sz w:val="20"/>
          <w:szCs w:val="20"/>
          <w:color w:val="auto"/>
        </w:rPr>
      </w:pPr>
    </w:p>
    <w:p>
      <w:pPr>
        <w:jc w:val="both"/>
        <w:ind w:left="40" w:right="539"/>
        <w:spacing w:after="0" w:line="254" w:lineRule="auto"/>
        <w:rPr>
          <w:sz w:val="20"/>
          <w:szCs w:val="20"/>
          <w:color w:val="auto"/>
        </w:rPr>
      </w:pPr>
      <w:r>
        <w:rPr>
          <w:rFonts w:ascii="Arial" w:cs="Arial" w:eastAsia="Arial" w:hAnsi="Arial"/>
          <w:sz w:val="18"/>
          <w:szCs w:val="18"/>
          <w:color w:val="auto"/>
        </w:rPr>
        <w:t>The Company determines its obligations for pension and postretirement liabilities based upon assumptions related to discount rates, expected long-term rates of return on invested plan assets, salary increases, age, and mortality, among others. Management reviews all assumptions annually with its independent actuaries, taking into consideration existing and future economic conditions and the Company’s intentions with regard to the plans.</w:t>
      </w:r>
    </w:p>
    <w:p>
      <w:pPr>
        <w:spacing w:after="0" w:line="96" w:lineRule="exact"/>
        <w:rPr>
          <w:sz w:val="20"/>
          <w:szCs w:val="20"/>
          <w:color w:val="auto"/>
        </w:rPr>
      </w:pPr>
    </w:p>
    <w:p>
      <w:pPr>
        <w:jc w:val="both"/>
        <w:ind w:left="40" w:right="519"/>
        <w:spacing w:after="0" w:line="256" w:lineRule="auto"/>
        <w:rPr>
          <w:sz w:val="20"/>
          <w:szCs w:val="20"/>
          <w:color w:val="auto"/>
        </w:rPr>
      </w:pPr>
      <w:r>
        <w:rPr>
          <w:rFonts w:ascii="Arial" w:cs="Arial" w:eastAsia="Arial" w:hAnsi="Arial"/>
          <w:sz w:val="18"/>
          <w:szCs w:val="18"/>
          <w:color w:val="auto"/>
        </w:rPr>
        <w:t>Long-Term Rate of Return Assumption — The expected rate of return on plan assets is the long-term rate of return expected to be earned on the plans’ assets and is recognized as a component of pension expense. The rate is based on the plans’ weighted-average target asset allocation, as well as historical and future expected</w:t>
      </w:r>
    </w:p>
    <w:p>
      <w:pPr>
        <w:spacing w:after="0" w:line="200" w:lineRule="exact"/>
        <w:rPr>
          <w:sz w:val="20"/>
          <w:szCs w:val="20"/>
          <w:color w:val="auto"/>
        </w:rPr>
      </w:pPr>
    </w:p>
    <w:p>
      <w:pPr>
        <w:spacing w:after="0" w:line="34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96520</wp:posOffset>
            </wp:positionV>
            <wp:extent cx="6114415" cy="596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performance of those assets. The target asset allocation is selected to obtain an investment return that is sufficient to cover the expected benefit payments and to reduce future contributions by the Company. The expected rate of return on plan assets is reviewed annually and revised, as necessary, to reflect changes in the financial markets and our investment strategy. The weighted-average long-term rate of return used to determine 2013 pension expense was 6.24 percent.</w:t>
      </w:r>
    </w:p>
    <w:p>
      <w:pPr>
        <w:spacing w:after="0" w:line="97"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A decrease of 50 basis points in the weighted-average expected long-term rate of return would have increased 2013 pension expense by approximately $3 million. The actual return on plan assets in a given year typically differs from the expected long-term rate of return, and the resulting gain or loss is deferred and amortized into expense over the average life expectancy of its inactive participants.</w:t>
      </w:r>
    </w:p>
    <w:p>
      <w:pPr>
        <w:spacing w:after="0" w:line="96"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Discount Rate — An assumed discount rate is used to measure the present value of future cash flow obligations of the plans and the interest cost component of pension expense and postretirement income. The cash flows are then discounted to their present value and an overall discount rate is determined. In 2011, the Company changed how the discount rate was selected to measure the present value of U.S. benefit obligations from the Citibank Pension Discount curve to Towers Watson’s Bond:Link model. The current discount rate is determined by reference to the Bond:Link interest rate model based upon a portfolio of highly rated U.S. corporate bonds with individual bonds that are theoretically purchased to settle the plan’s anticipated cash outflows. The discount rate selected to measure the present value of the Company’s Canadian benefit obligations was developed by using the plan’s bond portfolio indices, which match the benefit obligations. The weighted-average discount rates used to determine the 2013 benefit obligations related to the Company’s pension and postretirement plans were 4.32 percent and 4.20 percent, respectively.</w:t>
      </w:r>
    </w:p>
    <w:p>
      <w:pPr>
        <w:spacing w:after="0" w:line="104"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Changing the weighted-average discount rate by 50 basis points would have changed the accumulated benefit obligation of the pension plans at February 1, 2014 by approximately $30 million and $33 million, depending on if the change was an increase or decrease, respectively. A decrease of 50 basis points in the weighted-average discount rate would have increased the accumulated benefit obligation on the postretirement plan by approximately $1 million. Such a decrease would not have significantly changed 2013 pension expense or postretirement income.</w:t>
      </w:r>
    </w:p>
    <w:p>
      <w:pPr>
        <w:spacing w:after="0" w:line="97"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Trend Rate — The Company maintains two postretirement medical plans, one covering certain executive officers and key employees of the Company (“SERP Medical Plan”), and the other covering all other associates. With respect to the SERP Medical Plan, a one percent change in the assumed health care cost trend rate would change this plan’s accumulated benefit obligation by approximately $2 million. With respect to the postretirement medical plan covering all other associates, there is limited risk to the Company for increases in health care costs since, beginning in 2001, new retirees have assumed the full expected costs and then-existing retirees have assumed all increases in such costs.</w:t>
      </w:r>
    </w:p>
    <w:p>
      <w:pPr>
        <w:spacing w:after="0" w:line="101" w:lineRule="exact"/>
        <w:rPr>
          <w:sz w:val="20"/>
          <w:szCs w:val="20"/>
          <w:color w:val="auto"/>
        </w:rPr>
      </w:pPr>
    </w:p>
    <w:p>
      <w:pPr>
        <w:jc w:val="both"/>
        <w:ind w:left="40" w:right="519"/>
        <w:spacing w:after="0" w:line="262" w:lineRule="auto"/>
        <w:rPr>
          <w:sz w:val="20"/>
          <w:szCs w:val="20"/>
          <w:color w:val="auto"/>
        </w:rPr>
      </w:pPr>
      <w:r>
        <w:rPr>
          <w:rFonts w:ascii="Arial" w:cs="Arial" w:eastAsia="Arial" w:hAnsi="Arial"/>
          <w:sz w:val="18"/>
          <w:szCs w:val="18"/>
          <w:color w:val="auto"/>
        </w:rPr>
        <w:t>The Company expects to record postretirement income of approximately $2 million and pension expense of approximately $20 million in 2014.</w:t>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35"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In accordance with GAAP, deferred tax assets are recognized for tax credit and net operating loss carryforwards, reduced by a valuation allowance, which is established when it is more likely than not that some portion or all of the deferred tax assets will not be realized. Management is required to estimate taxable income for future years by taxing jurisdiction and to use its judgment to determine whether or not to record a valuation allowance for part or all of a deferred tax asset. Estimates of taxable income are based upon the Company’s strategic long-range plans. A one percent change in the Company’s overall statutory tax rate for 2013 would have resulted in a $ 5 million change in the carrying value of the net deferred tax asset and a corresponding charge or credit to income tax expense depending on whether the tax rate change was a decrease or an increase.</w:t>
      </w:r>
    </w:p>
    <w:p>
      <w:pPr>
        <w:spacing w:after="0" w:line="98"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The Company has operations in multiple taxing jurisdictions and is subject to audit in these jurisdictions. Tax audits by their nature are often complex and can require several years to resolve. Accruals of tax contingencies require management to make estimates and judgments with respect to the ultimate outcome of tax audits. Actual results could vary from these estimates.</w:t>
      </w:r>
    </w:p>
    <w:p>
      <w:pPr>
        <w:spacing w:after="0" w:line="96" w:lineRule="exact"/>
        <w:rPr>
          <w:sz w:val="20"/>
          <w:szCs w:val="20"/>
          <w:color w:val="auto"/>
        </w:rPr>
      </w:pPr>
    </w:p>
    <w:p>
      <w:pPr>
        <w:jc w:val="both"/>
        <w:ind w:left="40" w:right="519"/>
        <w:spacing w:after="0" w:line="256" w:lineRule="auto"/>
        <w:rPr>
          <w:sz w:val="20"/>
          <w:szCs w:val="20"/>
          <w:color w:val="auto"/>
        </w:rPr>
      </w:pPr>
      <w:r>
        <w:rPr>
          <w:rFonts w:ascii="Arial" w:cs="Arial" w:eastAsia="Arial" w:hAnsi="Arial"/>
          <w:sz w:val="18"/>
          <w:szCs w:val="18"/>
          <w:color w:val="auto"/>
        </w:rPr>
        <w:t>The Company expects its 2014 effective tax rate to approximate 36.5 percent, excluding the effect of any nonrecurring items that may occur. The actual rate will vary depending primarily on the percentage of the Company’s income earned in the United States as compared with its international operations.</w:t>
      </w:r>
    </w:p>
    <w:p>
      <w:pPr>
        <w:spacing w:after="0" w:line="200" w:lineRule="exact"/>
        <w:rPr>
          <w:sz w:val="20"/>
          <w:szCs w:val="20"/>
          <w:color w:val="auto"/>
        </w:rPr>
      </w:pPr>
    </w:p>
    <w:p>
      <w:pPr>
        <w:spacing w:after="0" w:line="34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96520</wp:posOffset>
            </wp:positionV>
            <wp:extent cx="6114415" cy="596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left="40" w:right="519"/>
        <w:spacing w:after="0" w:line="255" w:lineRule="auto"/>
        <w:rPr>
          <w:sz w:val="20"/>
          <w:szCs w:val="20"/>
          <w:color w:val="auto"/>
        </w:rPr>
      </w:pPr>
      <w:r>
        <w:rPr>
          <w:rFonts w:ascii="Arial" w:cs="Arial" w:eastAsia="Arial" w:hAnsi="Arial"/>
          <w:sz w:val="18"/>
          <w:szCs w:val="18"/>
          <w:color w:val="auto"/>
        </w:rPr>
        <w:t xml:space="preserve">During 2013, the Company adopted Accounting Standards Update 2013-02, </w:t>
      </w:r>
      <w:r>
        <w:rPr>
          <w:rFonts w:ascii="Arial" w:cs="Arial" w:eastAsia="Arial" w:hAnsi="Arial"/>
          <w:sz w:val="18"/>
          <w:szCs w:val="18"/>
          <w:i w:val="1"/>
          <w:iCs w:val="1"/>
          <w:color w:val="auto"/>
        </w:rPr>
        <w:t>Comprehensive Income (Topic 220):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Reporting of Amounts Reclassified out of Accumulated Other Comprehensive Income </w:t>
      </w:r>
      <w:r>
        <w:rPr>
          <w:rFonts w:ascii="Arial" w:cs="Arial" w:eastAsia="Arial" w:hAnsi="Arial"/>
          <w:sz w:val="18"/>
          <w:szCs w:val="18"/>
          <w:color w:val="auto"/>
        </w:rPr>
        <w:t>(“ASU 2013-02”). ASU 2013-02</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existing guidance by requiring additional disclosure either on the face of the income statement or in the notes to the financial statements of significant amounts reclassified out of accumulated other comprehensive income. The provisions of this new guidance were effective prospectively as of the beginning of 2013. Accordingly, enhanced footnote disclosure is included in Note 17</w:t>
      </w:r>
      <w:r>
        <w:rPr>
          <w:rFonts w:ascii="Arial" w:cs="Arial" w:eastAsia="Arial" w:hAnsi="Arial"/>
          <w:sz w:val="18"/>
          <w:szCs w:val="18"/>
          <w:i w:val="1"/>
          <w:iCs w:val="1"/>
          <w:color w:val="auto"/>
        </w:rPr>
        <w:t>, Accumulated Other Comprehensive Loss</w:t>
      </w:r>
      <w:r>
        <w:rPr>
          <w:rFonts w:ascii="Arial" w:cs="Arial" w:eastAsia="Arial" w:hAnsi="Arial"/>
          <w:sz w:val="18"/>
          <w:szCs w:val="18"/>
          <w:color w:val="auto"/>
        </w:rPr>
        <w:t>. The adoption of ASU 2013-02 had no effect on our results of operations or financial position.</w:t>
      </w:r>
    </w:p>
    <w:p>
      <w:pPr>
        <w:spacing w:after="0" w:line="99" w:lineRule="exact"/>
        <w:rPr>
          <w:sz w:val="20"/>
          <w:szCs w:val="20"/>
          <w:color w:val="auto"/>
        </w:rPr>
      </w:pPr>
    </w:p>
    <w:p>
      <w:pPr>
        <w:jc w:val="both"/>
        <w:ind w:left="40" w:right="539"/>
        <w:spacing w:after="0" w:line="262" w:lineRule="auto"/>
        <w:rPr>
          <w:sz w:val="20"/>
          <w:szCs w:val="20"/>
          <w:color w:val="auto"/>
        </w:rPr>
      </w:pPr>
      <w:r>
        <w:rPr>
          <w:rFonts w:ascii="Arial" w:cs="Arial" w:eastAsia="Arial" w:hAnsi="Arial"/>
          <w:sz w:val="18"/>
          <w:szCs w:val="18"/>
          <w:color w:val="auto"/>
        </w:rPr>
        <w:t>Other recently issued accounting pronouncements did not, or are not believed by management to, have a material effect on the Company’s present or future consolidated financial statements.</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139"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This report contains forward-looking statements within the meaning of the federal securities laws. Other than statements of historical facts, all statements which address activities, events, or developments that the Company anticipates will or may occur in the future, including, but not limited to, such things as future capital expenditures, expansion, strategic plans, financial objectives, dividend payments, stock repurchases, growth of the Company’s business and operations, including future cash flows, revenues, and earnings, and other such matters, are forward-looking statements. These forward-looking statements are based on many assumptions and factors which are detailed in the Company’s filings with the Securities and Exchange Commission, including the effects of currency fluctuations, customer demand, fashion trends, competitive market forces, uncertainties related to the effect of competitive products and pricing, customer acceptance of the Company’s merchandise mix and retail locations, the Company’s reliance on a few key vendors for a majority of its merchandise purchases (including a significant portion from one key vendor), pandemics and similar major health concerns, unseasonable weather, deterioration of global financial markets, economic conditions worldwide, deterioration of business and economic conditions, any changes in business, political and economic conditions due to the threat of future terrorist activities in the United States or in other parts of the world and related U.S. military action overseas, the ability of the Company to execute its business and strategic plans effectively with regard to each of its business units, and risks associated with global product sourcing, including political instability, changes in import regulations, and disruptions to transportation services and distribution.</w:t>
      </w:r>
    </w:p>
    <w:p>
      <w:pPr>
        <w:spacing w:after="0" w:line="102"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For additional discussion on risks and uncertainties that may affect forward-looking statements, see “Risk Factors” in Part I, Item 1A. Any changes in such assumptions or factors could produce significantly different results. The Company undertakes no obligation to update forward-looking statements, whether as a result of new information, future events, or otherwise.</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Item 7A. Quantitative and Qualitative Disclosures About Market Risk</w:t>
      </w:r>
    </w:p>
    <w:p>
      <w:pPr>
        <w:spacing w:after="0" w:line="121" w:lineRule="exact"/>
        <w:rPr>
          <w:sz w:val="20"/>
          <w:szCs w:val="20"/>
          <w:color w:val="auto"/>
        </w:rPr>
      </w:pPr>
    </w:p>
    <w:p>
      <w:pPr>
        <w:jc w:val="both"/>
        <w:ind w:left="40" w:right="539"/>
        <w:spacing w:after="0" w:line="282" w:lineRule="auto"/>
        <w:rPr>
          <w:sz w:val="20"/>
          <w:szCs w:val="20"/>
          <w:color w:val="auto"/>
        </w:rPr>
      </w:pPr>
      <w:r>
        <w:rPr>
          <w:rFonts w:ascii="Arial" w:cs="Arial" w:eastAsia="Arial" w:hAnsi="Arial"/>
          <w:sz w:val="18"/>
          <w:szCs w:val="18"/>
          <w:color w:val="auto"/>
        </w:rPr>
        <w:t xml:space="preserve">Information regarding foreign exchange risk management is included in the </w:t>
      </w:r>
      <w:r>
        <w:rPr>
          <w:rFonts w:ascii="Arial" w:cs="Arial" w:eastAsia="Arial" w:hAnsi="Arial"/>
          <w:sz w:val="18"/>
          <w:szCs w:val="18"/>
          <w:i w:val="1"/>
          <w:iCs w:val="1"/>
          <w:color w:val="auto"/>
        </w:rPr>
        <w:t>Financial Instruments and Risk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Management </w:t>
      </w:r>
      <w:r>
        <w:rPr>
          <w:rFonts w:ascii="Arial" w:cs="Arial" w:eastAsia="Arial" w:hAnsi="Arial"/>
          <w:sz w:val="18"/>
          <w:szCs w:val="18"/>
          <w:color w:val="auto"/>
        </w:rPr>
        <w:t>note under “Item 8. Consolidated Financial Statements and Supplementary Data.”</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Item 8. Consolidated Financial Statements and Supplementary Data</w:t>
      </w:r>
    </w:p>
    <w:p>
      <w:pPr>
        <w:spacing w:after="0" w:line="200" w:lineRule="exact"/>
        <w:rPr>
          <w:sz w:val="20"/>
          <w:szCs w:val="20"/>
          <w:color w:val="auto"/>
        </w:rPr>
      </w:pPr>
    </w:p>
    <w:p>
      <w:pPr>
        <w:spacing w:after="0" w:line="39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96520</wp:posOffset>
            </wp:positionV>
            <wp:extent cx="6114415" cy="596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1120"/>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Board of Directors and Shareholders of</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Foot Locker, Inc.:</w:t>
      </w:r>
    </w:p>
    <w:p>
      <w:pPr>
        <w:spacing w:after="0" w:line="117"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We have audited the accompanying consolidated balance sheets of Foot Locker, Inc. and subsidiaries as of February 1, 2014 and February 2, 2013, and the related consolidated statements of operations, comprehensive income, shareholders’ equity, and cash flows for each of the years in the three-year period ended February 1, 2014. These consolidated financial statements are the responsibility of the Company’s management. Our responsibility is to express an opinion on these consolidated financial statements based on our audits.</w:t>
      </w:r>
    </w:p>
    <w:p>
      <w:pPr>
        <w:spacing w:after="0" w:line="97"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01"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Foot Locker, Inc. and subsidiaries as of February 1, 2014 and February 2, 2013, and the results of their operations and their cash flows for each of the years in the three-year period ended February 1, 2014, in conformity with U.S. generally accepted accounting principles.</w:t>
      </w:r>
    </w:p>
    <w:p>
      <w:pPr>
        <w:spacing w:after="0" w:line="96"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Foot Locker, Inc.’s internal control over financial reporting as of February 1, 2014, based on criteria established in Internal Control — Integrated Framework (1992) issued by the Committee of Sponsoring Organizations of the Treadway Commission, and our report dated March 31, 2014 expressed an unqualified opinion on the effectiveness of the Company’s internal control over financial reporting.</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31, 2014</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96520</wp:posOffset>
            </wp:positionV>
            <wp:extent cx="6114415" cy="596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35" w:name="page36"/>
    <w:bookmarkEnd w:id="3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92"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spacing w:after="0" w:line="16"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-78740</wp:posOffset>
            </wp:positionV>
            <wp:extent cx="556577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6"/>
        </w:trPr>
        <w:tc>
          <w:tcPr>
            <w:tcW w:w="5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auto"/>
            </w:tcBorders>
          </w:tcPr>
          <w:p>
            <w:pPr>
              <w:spacing w:after="0"/>
              <w:rPr>
                <w:sz w:val="14"/>
                <w:szCs w:val="14"/>
                <w:color w:val="auto"/>
              </w:rPr>
            </w:pPr>
          </w:p>
        </w:tc>
      </w:tr>
      <w:tr>
        <w:trPr>
          <w:trHeight w:val="173"/>
        </w:trPr>
        <w:tc>
          <w:tcPr>
            <w:tcW w:w="5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80" w:type="dxa"/>
            <w:vAlign w:val="bottom"/>
            <w:gridSpan w:val="10"/>
          </w:tcPr>
          <w:p>
            <w:pPr>
              <w:jc w:val="right"/>
              <w:ind w:right="180"/>
              <w:spacing w:after="0"/>
              <w:rPr>
                <w:sz w:val="20"/>
                <w:szCs w:val="20"/>
                <w:color w:val="auto"/>
              </w:rPr>
            </w:pPr>
            <w:r>
              <w:rPr>
                <w:rFonts w:ascii="Arial" w:cs="Arial" w:eastAsia="Arial" w:hAnsi="Arial"/>
                <w:sz w:val="14"/>
                <w:szCs w:val="14"/>
                <w:b w:val="1"/>
                <w:bCs w:val="1"/>
                <w:color w:val="auto"/>
              </w:rPr>
              <w:t>(in millions, except per share amounts)</w:t>
            </w:r>
          </w:p>
        </w:tc>
      </w:tr>
      <w:tr>
        <w:trPr>
          <w:trHeight w:val="225"/>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Sales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6,505</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6,182</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5,623</w:t>
            </w:r>
          </w:p>
        </w:tc>
      </w:tr>
      <w:tr>
        <w:trPr>
          <w:trHeight w:val="203"/>
        </w:trPr>
        <w:tc>
          <w:tcPr>
            <w:tcW w:w="57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Cost of sales</w:t>
            </w:r>
          </w:p>
        </w:tc>
        <w:tc>
          <w:tcPr>
            <w:tcW w:w="140" w:type="dxa"/>
            <w:vAlign w:val="bottom"/>
            <w:shd w:val="clear" w:color="auto" w:fill="C0C0C0"/>
          </w:tcPr>
          <w:p>
            <w:pPr>
              <w:spacing w:after="0"/>
              <w:rPr>
                <w:sz w:val="17"/>
                <w:szCs w:val="17"/>
                <w:color w:val="auto"/>
              </w:rPr>
            </w:pPr>
          </w:p>
        </w:tc>
        <w:tc>
          <w:tcPr>
            <w:tcW w:w="720" w:type="dxa"/>
            <w:vAlign w:val="bottom"/>
            <w:gridSpan w:val="2"/>
            <w:shd w:val="clear" w:color="auto" w:fill="C0C0C0"/>
          </w:tcPr>
          <w:p>
            <w:pPr>
              <w:jc w:val="right"/>
              <w:ind w:right="160"/>
              <w:spacing w:after="0" w:line="202" w:lineRule="exact"/>
              <w:rPr>
                <w:sz w:val="20"/>
                <w:szCs w:val="20"/>
                <w:color w:val="auto"/>
              </w:rPr>
            </w:pPr>
            <w:r>
              <w:rPr>
                <w:rFonts w:ascii="Arial" w:cs="Arial" w:eastAsia="Arial" w:hAnsi="Arial"/>
                <w:sz w:val="18"/>
                <w:szCs w:val="18"/>
                <w:b w:val="1"/>
                <w:bCs w:val="1"/>
                <w:color w:val="auto"/>
              </w:rPr>
              <w:t>4,372</w:t>
            </w:r>
          </w:p>
        </w:tc>
        <w:tc>
          <w:tcPr>
            <w:tcW w:w="16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700" w:type="dxa"/>
            <w:vAlign w:val="bottom"/>
            <w:gridSpan w:val="2"/>
            <w:shd w:val="clear" w:color="auto" w:fill="C0C0C0"/>
          </w:tcPr>
          <w:p>
            <w:pPr>
              <w:jc w:val="right"/>
              <w:ind w:right="160"/>
              <w:spacing w:after="0" w:line="202" w:lineRule="exact"/>
              <w:rPr>
                <w:sz w:val="20"/>
                <w:szCs w:val="20"/>
                <w:color w:val="auto"/>
              </w:rPr>
            </w:pPr>
            <w:r>
              <w:rPr>
                <w:rFonts w:ascii="Arial" w:cs="Arial" w:eastAsia="Arial" w:hAnsi="Arial"/>
                <w:sz w:val="18"/>
                <w:szCs w:val="18"/>
                <w:color w:val="auto"/>
              </w:rPr>
              <w:t>4,148</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80"/>
              <w:spacing w:after="0" w:line="202" w:lineRule="exact"/>
              <w:rPr>
                <w:sz w:val="20"/>
                <w:szCs w:val="20"/>
                <w:color w:val="auto"/>
              </w:rPr>
            </w:pPr>
            <w:r>
              <w:rPr>
                <w:rFonts w:ascii="Arial" w:cs="Arial" w:eastAsia="Arial" w:hAnsi="Arial"/>
                <w:sz w:val="18"/>
                <w:szCs w:val="18"/>
                <w:color w:val="auto"/>
              </w:rPr>
              <w:t>3,827</w:t>
            </w: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17"/>
                <w:szCs w:val="17"/>
                <w:color w:val="auto"/>
              </w:rPr>
            </w:pPr>
          </w:p>
        </w:tc>
        <w:tc>
          <w:tcPr>
            <w:tcW w:w="72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1,334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1,294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1,244</w:t>
            </w:r>
          </w:p>
        </w:tc>
      </w:tr>
      <w:tr>
        <w:trPr>
          <w:trHeight w:val="203"/>
        </w:trPr>
        <w:tc>
          <w:tcPr>
            <w:tcW w:w="57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0C0C0"/>
          </w:tcPr>
          <w:p>
            <w:pPr>
              <w:spacing w:after="0"/>
              <w:rPr>
                <w:sz w:val="17"/>
                <w:szCs w:val="17"/>
                <w:color w:val="auto"/>
              </w:rPr>
            </w:pPr>
          </w:p>
        </w:tc>
        <w:tc>
          <w:tcPr>
            <w:tcW w:w="720" w:type="dxa"/>
            <w:vAlign w:val="bottom"/>
            <w:gridSpan w:val="2"/>
            <w:shd w:val="clear" w:color="auto" w:fill="C0C0C0"/>
          </w:tcPr>
          <w:p>
            <w:pPr>
              <w:jc w:val="right"/>
              <w:ind w:right="160"/>
              <w:spacing w:after="0" w:line="202" w:lineRule="exact"/>
              <w:rPr>
                <w:sz w:val="20"/>
                <w:szCs w:val="20"/>
                <w:color w:val="auto"/>
              </w:rPr>
            </w:pPr>
            <w:r>
              <w:rPr>
                <w:rFonts w:ascii="Arial" w:cs="Arial" w:eastAsia="Arial" w:hAnsi="Arial"/>
                <w:sz w:val="18"/>
                <w:szCs w:val="18"/>
                <w:b w:val="1"/>
                <w:bCs w:val="1"/>
                <w:color w:val="auto"/>
              </w:rPr>
              <w:t>133</w:t>
            </w:r>
          </w:p>
        </w:tc>
        <w:tc>
          <w:tcPr>
            <w:tcW w:w="16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700" w:type="dxa"/>
            <w:vAlign w:val="bottom"/>
            <w:gridSpan w:val="2"/>
            <w:shd w:val="clear" w:color="auto" w:fill="C0C0C0"/>
          </w:tcPr>
          <w:p>
            <w:pPr>
              <w:jc w:val="right"/>
              <w:ind w:right="160"/>
              <w:spacing w:after="0" w:line="202" w:lineRule="exact"/>
              <w:rPr>
                <w:sz w:val="20"/>
                <w:szCs w:val="20"/>
                <w:color w:val="auto"/>
              </w:rPr>
            </w:pPr>
            <w:r>
              <w:rPr>
                <w:rFonts w:ascii="Arial" w:cs="Arial" w:eastAsia="Arial" w:hAnsi="Arial"/>
                <w:sz w:val="18"/>
                <w:szCs w:val="18"/>
                <w:color w:val="auto"/>
              </w:rPr>
              <w:t>118</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200"/>
              <w:spacing w:after="0" w:line="202" w:lineRule="exact"/>
              <w:rPr>
                <w:sz w:val="20"/>
                <w:szCs w:val="20"/>
                <w:color w:val="auto"/>
              </w:rPr>
            </w:pPr>
            <w:r>
              <w:rPr>
                <w:rFonts w:ascii="Arial" w:cs="Arial" w:eastAsia="Arial" w:hAnsi="Arial"/>
                <w:sz w:val="18"/>
                <w:szCs w:val="18"/>
                <w:color w:val="auto"/>
              </w:rPr>
              <w:t>110</w:t>
            </w: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Impairment and other charges</w:t>
            </w:r>
          </w:p>
        </w:tc>
        <w:tc>
          <w:tcPr>
            <w:tcW w:w="140" w:type="dxa"/>
            <w:vAlign w:val="bottom"/>
          </w:tcPr>
          <w:p>
            <w:pPr>
              <w:spacing w:after="0"/>
              <w:rPr>
                <w:sz w:val="17"/>
                <w:szCs w:val="17"/>
                <w:color w:val="auto"/>
              </w:rPr>
            </w:pPr>
          </w:p>
        </w:tc>
        <w:tc>
          <w:tcPr>
            <w:tcW w:w="72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w:t>
            </w:r>
          </w:p>
        </w:tc>
      </w:tr>
      <w:tr>
        <w:trPr>
          <w:trHeight w:val="203"/>
        </w:trPr>
        <w:tc>
          <w:tcPr>
            <w:tcW w:w="57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0C0C0"/>
          </w:tcPr>
          <w:p>
            <w:pPr>
              <w:spacing w:after="0"/>
              <w:rPr>
                <w:sz w:val="17"/>
                <w:szCs w:val="17"/>
                <w:color w:val="auto"/>
              </w:rPr>
            </w:pPr>
          </w:p>
        </w:tc>
        <w:tc>
          <w:tcPr>
            <w:tcW w:w="720" w:type="dxa"/>
            <w:vAlign w:val="bottom"/>
            <w:gridSpan w:val="2"/>
            <w:shd w:val="clear" w:color="auto" w:fill="C0C0C0"/>
          </w:tcPr>
          <w:p>
            <w:pPr>
              <w:jc w:val="right"/>
              <w:ind w:right="160"/>
              <w:spacing w:after="0" w:line="202" w:lineRule="exact"/>
              <w:rPr>
                <w:sz w:val="20"/>
                <w:szCs w:val="20"/>
                <w:color w:val="auto"/>
              </w:rPr>
            </w:pPr>
            <w:r>
              <w:rPr>
                <w:rFonts w:ascii="Arial" w:cs="Arial" w:eastAsia="Arial" w:hAnsi="Arial"/>
                <w:sz w:val="18"/>
                <w:szCs w:val="18"/>
                <w:b w:val="1"/>
                <w:bCs w:val="1"/>
                <w:color w:val="auto"/>
              </w:rPr>
              <w:t>5</w:t>
            </w:r>
          </w:p>
        </w:tc>
        <w:tc>
          <w:tcPr>
            <w:tcW w:w="16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700" w:type="dxa"/>
            <w:vAlign w:val="bottom"/>
            <w:gridSpan w:val="2"/>
            <w:shd w:val="clear" w:color="auto" w:fill="C0C0C0"/>
          </w:tcPr>
          <w:p>
            <w:pPr>
              <w:jc w:val="right"/>
              <w:ind w:right="160"/>
              <w:spacing w:after="0" w:line="202" w:lineRule="exact"/>
              <w:rPr>
                <w:sz w:val="20"/>
                <w:szCs w:val="20"/>
                <w:color w:val="auto"/>
              </w:rPr>
            </w:pPr>
            <w:r>
              <w:rPr>
                <w:rFonts w:ascii="Arial" w:cs="Arial" w:eastAsia="Arial" w:hAnsi="Arial"/>
                <w:sz w:val="18"/>
                <w:szCs w:val="18"/>
                <w:color w:val="auto"/>
              </w:rPr>
              <w:t>5</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80"/>
              <w:spacing w:after="0" w:line="202" w:lineRule="exact"/>
              <w:rPr>
                <w:sz w:val="20"/>
                <w:szCs w:val="20"/>
                <w:color w:val="auto"/>
              </w:rPr>
            </w:pPr>
            <w:r>
              <w:rPr>
                <w:rFonts w:ascii="Arial" w:cs="Arial" w:eastAsia="Arial" w:hAnsi="Arial"/>
                <w:sz w:val="18"/>
                <w:szCs w:val="18"/>
                <w:color w:val="auto"/>
              </w:rPr>
              <w:t>6</w:t>
            </w: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Other income</w:t>
            </w:r>
          </w:p>
        </w:tc>
        <w:tc>
          <w:tcPr>
            <w:tcW w:w="14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w:t>
            </w:r>
          </w:p>
        </w:tc>
      </w:tr>
      <w:tr>
        <w:trPr>
          <w:trHeight w:val="20"/>
        </w:trPr>
        <w:tc>
          <w:tcPr>
            <w:tcW w:w="5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576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720" w:type="dxa"/>
            <w:vAlign w:val="bottom"/>
            <w:gridSpan w:val="2"/>
            <w:shd w:val="clear" w:color="auto" w:fill="C0C0C0"/>
          </w:tcPr>
          <w:p>
            <w:pPr>
              <w:jc w:val="right"/>
              <w:ind w:right="160"/>
              <w:spacing w:after="0" w:line="196" w:lineRule="exact"/>
              <w:rPr>
                <w:sz w:val="20"/>
                <w:szCs w:val="20"/>
                <w:color w:val="auto"/>
              </w:rPr>
            </w:pPr>
            <w:r>
              <w:rPr>
                <w:rFonts w:ascii="Arial" w:cs="Arial" w:eastAsia="Arial" w:hAnsi="Arial"/>
                <w:sz w:val="18"/>
                <w:szCs w:val="18"/>
                <w:b w:val="1"/>
                <w:bCs w:val="1"/>
                <w:color w:val="auto"/>
              </w:rPr>
              <w:t>5,842</w:t>
            </w:r>
          </w:p>
        </w:tc>
        <w:tc>
          <w:tcPr>
            <w:tcW w:w="16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700" w:type="dxa"/>
            <w:vAlign w:val="bottom"/>
            <w:gridSpan w:val="2"/>
            <w:shd w:val="clear" w:color="auto" w:fill="C0C0C0"/>
          </w:tcPr>
          <w:p>
            <w:pPr>
              <w:jc w:val="right"/>
              <w:ind w:right="160"/>
              <w:spacing w:after="0" w:line="196" w:lineRule="exact"/>
              <w:rPr>
                <w:sz w:val="20"/>
                <w:szCs w:val="20"/>
                <w:color w:val="auto"/>
              </w:rPr>
            </w:pPr>
            <w:r>
              <w:rPr>
                <w:rFonts w:ascii="Arial" w:cs="Arial" w:eastAsia="Arial" w:hAnsi="Arial"/>
                <w:sz w:val="18"/>
                <w:szCs w:val="18"/>
                <w:color w:val="auto"/>
              </w:rPr>
              <w:t>5,575</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80"/>
              <w:spacing w:after="0" w:line="196" w:lineRule="exact"/>
              <w:rPr>
                <w:sz w:val="20"/>
                <w:szCs w:val="20"/>
                <w:color w:val="auto"/>
              </w:rPr>
            </w:pPr>
            <w:r>
              <w:rPr>
                <w:rFonts w:ascii="Arial" w:cs="Arial" w:eastAsia="Arial" w:hAnsi="Arial"/>
                <w:sz w:val="18"/>
                <w:szCs w:val="18"/>
                <w:color w:val="auto"/>
              </w:rPr>
              <w:t>5,188</w:t>
            </w:r>
          </w:p>
        </w:tc>
      </w:tr>
      <w:tr>
        <w:trPr>
          <w:trHeight w:val="20"/>
        </w:trPr>
        <w:tc>
          <w:tcPr>
            <w:tcW w:w="576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r>
      <w:tr>
        <w:trPr>
          <w:trHeight w:val="196"/>
        </w:trPr>
        <w:tc>
          <w:tcPr>
            <w:tcW w:w="5760" w:type="dxa"/>
            <w:vAlign w:val="bottom"/>
          </w:tcPr>
          <w:p>
            <w:pPr>
              <w:ind w:left="20"/>
              <w:spacing w:after="0" w:line="196" w:lineRule="exact"/>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17"/>
                <w:szCs w:val="17"/>
                <w:color w:val="auto"/>
              </w:rPr>
            </w:pPr>
          </w:p>
        </w:tc>
        <w:tc>
          <w:tcPr>
            <w:tcW w:w="720" w:type="dxa"/>
            <w:vAlign w:val="bottom"/>
            <w:gridSpan w:val="2"/>
          </w:tcPr>
          <w:p>
            <w:pPr>
              <w:jc w:val="right"/>
              <w:ind w:right="160"/>
              <w:spacing w:after="0" w:line="196" w:lineRule="exact"/>
              <w:rPr>
                <w:sz w:val="20"/>
                <w:szCs w:val="20"/>
                <w:color w:val="auto"/>
              </w:rPr>
            </w:pPr>
            <w:r>
              <w:rPr>
                <w:rFonts w:ascii="Arial" w:cs="Arial" w:eastAsia="Arial" w:hAnsi="Arial"/>
                <w:sz w:val="18"/>
                <w:szCs w:val="18"/>
                <w:b w:val="1"/>
                <w:bCs w:val="1"/>
                <w:color w:val="auto"/>
              </w:rPr>
              <w:t>663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607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435</w:t>
            </w:r>
          </w:p>
        </w:tc>
      </w:tr>
      <w:tr>
        <w:trPr>
          <w:trHeight w:val="203"/>
        </w:trPr>
        <w:tc>
          <w:tcPr>
            <w:tcW w:w="57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140" w:type="dxa"/>
            <w:vAlign w:val="bottom"/>
            <w:shd w:val="clear" w:color="auto" w:fill="C0C0C0"/>
          </w:tcPr>
          <w:p>
            <w:pPr>
              <w:spacing w:after="0"/>
              <w:rPr>
                <w:sz w:val="17"/>
                <w:szCs w:val="17"/>
                <w:color w:val="auto"/>
              </w:rPr>
            </w:pPr>
          </w:p>
        </w:tc>
        <w:tc>
          <w:tcPr>
            <w:tcW w:w="720" w:type="dxa"/>
            <w:vAlign w:val="bottom"/>
            <w:gridSpan w:val="2"/>
            <w:shd w:val="clear" w:color="auto" w:fill="C0C0C0"/>
          </w:tcPr>
          <w:p>
            <w:pPr>
              <w:jc w:val="right"/>
              <w:ind w:right="160"/>
              <w:spacing w:after="0" w:line="202" w:lineRule="exact"/>
              <w:rPr>
                <w:sz w:val="20"/>
                <w:szCs w:val="20"/>
                <w:color w:val="auto"/>
              </w:rPr>
            </w:pPr>
            <w:r>
              <w:rPr>
                <w:rFonts w:ascii="Arial" w:cs="Arial" w:eastAsia="Arial" w:hAnsi="Arial"/>
                <w:sz w:val="18"/>
                <w:szCs w:val="18"/>
                <w:b w:val="1"/>
                <w:bCs w:val="1"/>
                <w:color w:val="auto"/>
              </w:rPr>
              <w:t>234</w:t>
            </w:r>
          </w:p>
        </w:tc>
        <w:tc>
          <w:tcPr>
            <w:tcW w:w="16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700" w:type="dxa"/>
            <w:vAlign w:val="bottom"/>
            <w:gridSpan w:val="2"/>
            <w:shd w:val="clear" w:color="auto" w:fill="C0C0C0"/>
          </w:tcPr>
          <w:p>
            <w:pPr>
              <w:jc w:val="right"/>
              <w:ind w:right="160"/>
              <w:spacing w:after="0" w:line="202" w:lineRule="exact"/>
              <w:rPr>
                <w:sz w:val="20"/>
                <w:szCs w:val="20"/>
                <w:color w:val="auto"/>
              </w:rPr>
            </w:pPr>
            <w:r>
              <w:rPr>
                <w:rFonts w:ascii="Arial" w:cs="Arial" w:eastAsia="Arial" w:hAnsi="Arial"/>
                <w:sz w:val="18"/>
                <w:szCs w:val="18"/>
                <w:color w:val="auto"/>
              </w:rPr>
              <w:t>210</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200"/>
              <w:spacing w:after="0" w:line="202" w:lineRule="exact"/>
              <w:rPr>
                <w:sz w:val="20"/>
                <w:szCs w:val="20"/>
                <w:color w:val="auto"/>
              </w:rPr>
            </w:pPr>
            <w:r>
              <w:rPr>
                <w:rFonts w:ascii="Arial" w:cs="Arial" w:eastAsia="Arial" w:hAnsi="Arial"/>
                <w:sz w:val="18"/>
                <w:szCs w:val="18"/>
                <w:color w:val="auto"/>
              </w:rPr>
              <w:t>157</w:t>
            </w:r>
          </w:p>
        </w:tc>
      </w:tr>
      <w:tr>
        <w:trPr>
          <w:trHeight w:val="20"/>
        </w:trPr>
        <w:tc>
          <w:tcPr>
            <w:tcW w:w="576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r>
      <w:tr>
        <w:trPr>
          <w:trHeight w:val="196"/>
        </w:trPr>
        <w:tc>
          <w:tcPr>
            <w:tcW w:w="57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Net income</w:t>
            </w:r>
          </w:p>
        </w:tc>
        <w:tc>
          <w:tcPr>
            <w:tcW w:w="1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720" w:type="dxa"/>
            <w:vAlign w:val="bottom"/>
            <w:gridSpan w:val="2"/>
          </w:tcPr>
          <w:p>
            <w:pPr>
              <w:jc w:val="right"/>
              <w:ind w:right="160"/>
              <w:spacing w:after="0" w:line="196" w:lineRule="exact"/>
              <w:rPr>
                <w:sz w:val="20"/>
                <w:szCs w:val="20"/>
                <w:color w:val="auto"/>
              </w:rPr>
            </w:pPr>
            <w:r>
              <w:rPr>
                <w:rFonts w:ascii="Arial" w:cs="Arial" w:eastAsia="Arial" w:hAnsi="Arial"/>
                <w:sz w:val="18"/>
                <w:szCs w:val="18"/>
                <w:b w:val="1"/>
                <w:bCs w:val="1"/>
                <w:color w:val="auto"/>
              </w:rPr>
              <w:t>429</w:t>
            </w:r>
          </w:p>
        </w:tc>
        <w:tc>
          <w:tcPr>
            <w:tcW w:w="3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397</w:t>
            </w:r>
          </w:p>
        </w:tc>
        <w:tc>
          <w:tcPr>
            <w:tcW w:w="3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278</w:t>
            </w:r>
          </w:p>
        </w:tc>
      </w:tr>
      <w:tr>
        <w:trPr>
          <w:trHeight w:val="21"/>
        </w:trPr>
        <w:tc>
          <w:tcPr>
            <w:tcW w:w="5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5760" w:type="dxa"/>
            <w:vAlign w:val="bottom"/>
            <w:shd w:val="clear" w:color="auto" w:fill="C0C0C0"/>
          </w:tcPr>
          <w:p>
            <w:pPr>
              <w:ind w:left="200"/>
              <w:spacing w:after="0" w:line="196" w:lineRule="exact"/>
              <w:rPr>
                <w:sz w:val="20"/>
                <w:szCs w:val="20"/>
                <w:color w:val="auto"/>
              </w:rPr>
            </w:pPr>
            <w:r>
              <w:rPr>
                <w:rFonts w:ascii="Arial" w:cs="Arial" w:eastAsia="Arial" w:hAnsi="Arial"/>
                <w:sz w:val="18"/>
                <w:szCs w:val="18"/>
                <w:color w:val="auto"/>
              </w:rPr>
              <w:t>Basic earnings per share</w:t>
            </w:r>
          </w:p>
        </w:tc>
        <w:tc>
          <w:tcPr>
            <w:tcW w:w="14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0C0C0"/>
          </w:tcPr>
          <w:p>
            <w:pPr>
              <w:jc w:val="right"/>
              <w:ind w:right="160"/>
              <w:spacing w:after="0" w:line="196" w:lineRule="exact"/>
              <w:rPr>
                <w:sz w:val="20"/>
                <w:szCs w:val="20"/>
                <w:color w:val="auto"/>
              </w:rPr>
            </w:pPr>
            <w:r>
              <w:rPr>
                <w:rFonts w:ascii="Arial" w:cs="Arial" w:eastAsia="Arial" w:hAnsi="Arial"/>
                <w:sz w:val="18"/>
                <w:szCs w:val="18"/>
                <w:b w:val="1"/>
                <w:bCs w:val="1"/>
                <w:color w:val="auto"/>
              </w:rPr>
              <w:t>2.89</w:t>
            </w:r>
          </w:p>
        </w:tc>
        <w:tc>
          <w:tcPr>
            <w:tcW w:w="340" w:type="dxa"/>
            <w:vAlign w:val="bottom"/>
            <w:gridSpan w:val="2"/>
            <w:shd w:val="clear" w:color="auto" w:fill="C0C0C0"/>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0C0C0"/>
          </w:tcPr>
          <w:p>
            <w:pPr>
              <w:jc w:val="right"/>
              <w:ind w:right="160"/>
              <w:spacing w:after="0" w:line="196" w:lineRule="exact"/>
              <w:rPr>
                <w:sz w:val="20"/>
                <w:szCs w:val="20"/>
                <w:color w:val="auto"/>
              </w:rPr>
            </w:pPr>
            <w:r>
              <w:rPr>
                <w:rFonts w:ascii="Arial" w:cs="Arial" w:eastAsia="Arial" w:hAnsi="Arial"/>
                <w:sz w:val="18"/>
                <w:szCs w:val="18"/>
                <w:color w:val="auto"/>
              </w:rPr>
              <w:t>2.62</w:t>
            </w:r>
          </w:p>
        </w:tc>
        <w:tc>
          <w:tcPr>
            <w:tcW w:w="360" w:type="dxa"/>
            <w:vAlign w:val="bottom"/>
            <w:gridSpan w:val="2"/>
            <w:shd w:val="clear" w:color="auto" w:fill="C0C0C0"/>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0C0C0"/>
          </w:tcPr>
          <w:p>
            <w:pPr>
              <w:jc w:val="right"/>
              <w:ind w:right="200"/>
              <w:spacing w:after="0" w:line="196" w:lineRule="exact"/>
              <w:rPr>
                <w:sz w:val="20"/>
                <w:szCs w:val="20"/>
                <w:color w:val="auto"/>
              </w:rPr>
            </w:pPr>
            <w:r>
              <w:rPr>
                <w:rFonts w:ascii="Arial" w:cs="Arial" w:eastAsia="Arial" w:hAnsi="Arial"/>
                <w:sz w:val="18"/>
                <w:szCs w:val="18"/>
                <w:color w:val="auto"/>
              </w:rPr>
              <w:t>1.81</w:t>
            </w:r>
          </w:p>
        </w:tc>
      </w:tr>
      <w:tr>
        <w:trPr>
          <w:trHeight w:val="203"/>
        </w:trPr>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Weighted-average shares outstanding</w:t>
            </w:r>
          </w:p>
        </w:tc>
        <w:tc>
          <w:tcPr>
            <w:tcW w:w="140" w:type="dxa"/>
            <w:vAlign w:val="bottom"/>
          </w:tcPr>
          <w:p>
            <w:pPr>
              <w:spacing w:after="0"/>
              <w:rPr>
                <w:sz w:val="17"/>
                <w:szCs w:val="17"/>
                <w:color w:val="auto"/>
              </w:rPr>
            </w:pPr>
          </w:p>
        </w:tc>
        <w:tc>
          <w:tcPr>
            <w:tcW w:w="72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148.4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151.2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153.0</w:t>
            </w:r>
          </w:p>
        </w:tc>
      </w:tr>
      <w:tr>
        <w:trPr>
          <w:trHeight w:val="203"/>
        </w:trPr>
        <w:tc>
          <w:tcPr>
            <w:tcW w:w="5760" w:type="dxa"/>
            <w:vAlign w:val="bottom"/>
            <w:shd w:val="clear" w:color="auto" w:fill="C0C0C0"/>
          </w:tcPr>
          <w:p>
            <w:pPr>
              <w:ind w:left="200"/>
              <w:spacing w:after="0" w:line="202" w:lineRule="exact"/>
              <w:rPr>
                <w:sz w:val="20"/>
                <w:szCs w:val="20"/>
                <w:color w:val="auto"/>
              </w:rPr>
            </w:pPr>
            <w:r>
              <w:rPr>
                <w:rFonts w:ascii="Arial" w:cs="Arial" w:eastAsia="Arial" w:hAnsi="Arial"/>
                <w:sz w:val="18"/>
                <w:szCs w:val="18"/>
                <w:color w:val="auto"/>
              </w:rPr>
              <w:t>Diluted earnings per share</w:t>
            </w:r>
          </w:p>
        </w:tc>
        <w:tc>
          <w:tcPr>
            <w:tcW w:w="14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0C0C0"/>
          </w:tcPr>
          <w:p>
            <w:pPr>
              <w:jc w:val="right"/>
              <w:ind w:right="160"/>
              <w:spacing w:after="0" w:line="202" w:lineRule="exact"/>
              <w:rPr>
                <w:sz w:val="20"/>
                <w:szCs w:val="20"/>
                <w:color w:val="auto"/>
              </w:rPr>
            </w:pPr>
            <w:r>
              <w:rPr>
                <w:rFonts w:ascii="Arial" w:cs="Arial" w:eastAsia="Arial" w:hAnsi="Arial"/>
                <w:sz w:val="18"/>
                <w:szCs w:val="18"/>
                <w:b w:val="1"/>
                <w:bCs w:val="1"/>
                <w:color w:val="auto"/>
              </w:rPr>
              <w:t>2.85</w:t>
            </w:r>
          </w:p>
        </w:tc>
        <w:tc>
          <w:tcPr>
            <w:tcW w:w="340" w:type="dxa"/>
            <w:vAlign w:val="bottom"/>
            <w:gridSpan w:val="2"/>
            <w:shd w:val="clear" w:color="auto" w:fill="C0C0C0"/>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0C0C0"/>
          </w:tcPr>
          <w:p>
            <w:pPr>
              <w:jc w:val="right"/>
              <w:ind w:right="160"/>
              <w:spacing w:after="0" w:line="202" w:lineRule="exact"/>
              <w:rPr>
                <w:sz w:val="20"/>
                <w:szCs w:val="20"/>
                <w:color w:val="auto"/>
              </w:rPr>
            </w:pPr>
            <w:r>
              <w:rPr>
                <w:rFonts w:ascii="Arial" w:cs="Arial" w:eastAsia="Arial" w:hAnsi="Arial"/>
                <w:sz w:val="18"/>
                <w:szCs w:val="18"/>
                <w:color w:val="auto"/>
              </w:rPr>
              <w:t>2.58</w:t>
            </w:r>
          </w:p>
        </w:tc>
        <w:tc>
          <w:tcPr>
            <w:tcW w:w="360" w:type="dxa"/>
            <w:vAlign w:val="bottom"/>
            <w:gridSpan w:val="2"/>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0C0C0"/>
          </w:tcPr>
          <w:p>
            <w:pPr>
              <w:jc w:val="right"/>
              <w:ind w:right="200"/>
              <w:spacing w:after="0" w:line="202" w:lineRule="exact"/>
              <w:rPr>
                <w:sz w:val="20"/>
                <w:szCs w:val="20"/>
                <w:color w:val="auto"/>
              </w:rPr>
            </w:pPr>
            <w:r>
              <w:rPr>
                <w:rFonts w:ascii="Arial" w:cs="Arial" w:eastAsia="Arial" w:hAnsi="Arial"/>
                <w:sz w:val="18"/>
                <w:szCs w:val="18"/>
                <w:color w:val="auto"/>
              </w:rPr>
              <w:t>1.80</w:t>
            </w:r>
          </w:p>
        </w:tc>
      </w:tr>
      <w:tr>
        <w:trPr>
          <w:trHeight w:val="239"/>
        </w:trPr>
        <w:tc>
          <w:tcPr>
            <w:tcW w:w="5760" w:type="dxa"/>
            <w:vAlign w:val="bottom"/>
          </w:tcPr>
          <w:p>
            <w:pPr>
              <w:ind w:left="200"/>
              <w:spacing w:after="0"/>
              <w:rPr>
                <w:sz w:val="20"/>
                <w:szCs w:val="20"/>
                <w:color w:val="auto"/>
              </w:rPr>
            </w:pPr>
            <w:r>
              <w:rPr>
                <w:rFonts w:ascii="Arial" w:cs="Arial" w:eastAsia="Arial" w:hAnsi="Arial"/>
                <w:sz w:val="18"/>
                <w:szCs w:val="18"/>
                <w:color w:val="auto"/>
              </w:rPr>
              <w:t>Weighted-average shares outstanding, assuming dilution</w:t>
            </w:r>
          </w:p>
        </w:tc>
        <w:tc>
          <w:tcPr>
            <w:tcW w:w="14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150.5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154.0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154.4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-974090</wp:posOffset>
            </wp:positionV>
            <wp:extent cx="5565775"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56577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-708660</wp:posOffset>
            </wp:positionV>
            <wp:extent cx="5565775"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65775" cy="17145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96520</wp:posOffset>
            </wp:positionV>
            <wp:extent cx="6114415" cy="596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36" w:name="page37"/>
    <w:bookmarkEnd w:id="36"/>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92"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spacing w:after="0" w:line="16"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-78740</wp:posOffset>
            </wp:positionV>
            <wp:extent cx="556577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6"/>
        </w:trPr>
        <w:tc>
          <w:tcPr>
            <w:tcW w:w="57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7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Net income</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429</w:t>
            </w:r>
          </w:p>
        </w:tc>
        <w:tc>
          <w:tcPr>
            <w:tcW w:w="160" w:type="dxa"/>
            <w:vAlign w:val="bottom"/>
          </w:tcPr>
          <w:p>
            <w:pPr>
              <w:spacing w:after="0"/>
              <w:rPr>
                <w:sz w:val="16"/>
                <w:szCs w:val="16"/>
                <w:color w:val="auto"/>
              </w:rPr>
            </w:pPr>
          </w:p>
        </w:tc>
        <w:tc>
          <w:tcPr>
            <w:tcW w:w="1040" w:type="dxa"/>
            <w:vAlign w:val="bottom"/>
            <w:gridSpan w:val="4"/>
          </w:tcPr>
          <w:p>
            <w:pPr>
              <w:ind w:left="8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6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3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397</w:t>
            </w:r>
          </w:p>
        </w:tc>
        <w:tc>
          <w:tcPr>
            <w:tcW w:w="160" w:type="dxa"/>
            <w:vAlign w:val="bottom"/>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3"/>
        </w:trPr>
        <w:tc>
          <w:tcPr>
            <w:tcW w:w="57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Other comprehensive income, net of income tax</w:t>
            </w:r>
          </w:p>
        </w:tc>
        <w:tc>
          <w:tcPr>
            <w:tcW w:w="200" w:type="dxa"/>
            <w:vAlign w:val="bottom"/>
            <w:shd w:val="clear" w:color="auto" w:fill="C0C0C0"/>
          </w:tcPr>
          <w:p>
            <w:pPr>
              <w:spacing w:after="0"/>
              <w:rPr>
                <w:sz w:val="17"/>
                <w:szCs w:val="17"/>
                <w:color w:val="auto"/>
              </w:rPr>
            </w:pPr>
          </w:p>
        </w:tc>
        <w:tc>
          <w:tcPr>
            <w:tcW w:w="4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5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52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i w:val="1"/>
                <w:iCs w:val="1"/>
                <w:color w:val="auto"/>
              </w:rPr>
              <w:t>Foreign currency translation adjustment:</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Translation adjustment arising during the period, net of income tax</w:t>
            </w:r>
          </w:p>
        </w:tc>
        <w:tc>
          <w:tcPr>
            <w:tcW w:w="200" w:type="dxa"/>
            <w:vAlign w:val="bottom"/>
            <w:shd w:val="clear" w:color="auto" w:fill="C0C0C0"/>
          </w:tcPr>
          <w:p>
            <w:pPr>
              <w:spacing w:after="0"/>
              <w:rPr>
                <w:sz w:val="17"/>
                <w:szCs w:val="17"/>
                <w:color w:val="auto"/>
              </w:rPr>
            </w:pPr>
          </w:p>
        </w:tc>
        <w:tc>
          <w:tcPr>
            <w:tcW w:w="660" w:type="dxa"/>
            <w:vAlign w:val="bottom"/>
            <w:gridSpan w:val="2"/>
            <w:shd w:val="clear" w:color="auto" w:fill="C0C0C0"/>
          </w:tcPr>
          <w:p>
            <w:pPr>
              <w:jc w:val="right"/>
              <w:ind w:right="140"/>
              <w:spacing w:after="0" w:line="202" w:lineRule="exact"/>
              <w:rPr>
                <w:sz w:val="20"/>
                <w:szCs w:val="20"/>
                <w:color w:val="auto"/>
              </w:rPr>
            </w:pPr>
            <w:r>
              <w:rPr>
                <w:rFonts w:ascii="Arial" w:cs="Arial" w:eastAsia="Arial" w:hAnsi="Arial"/>
                <w:sz w:val="18"/>
                <w:szCs w:val="18"/>
                <w:b w:val="1"/>
                <w:bCs w:val="1"/>
                <w:color w:val="auto"/>
              </w:rPr>
              <w:t>(25)</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19</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8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i w:val="1"/>
                <w:iCs w:val="1"/>
                <w:color w:val="auto"/>
              </w:rPr>
              <w:t>Cash flow hedges:</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Change in fair value of derivatives, net of income tax</w:t>
            </w:r>
          </w:p>
        </w:tc>
        <w:tc>
          <w:tcPr>
            <w:tcW w:w="200" w:type="dxa"/>
            <w:vAlign w:val="bottom"/>
            <w:shd w:val="clear" w:color="auto" w:fill="C0C0C0"/>
          </w:tcPr>
          <w:p>
            <w:pPr>
              <w:spacing w:after="0"/>
              <w:rPr>
                <w:sz w:val="17"/>
                <w:szCs w:val="17"/>
                <w:color w:val="auto"/>
              </w:rPr>
            </w:pPr>
          </w:p>
        </w:tc>
        <w:tc>
          <w:tcPr>
            <w:tcW w:w="660" w:type="dxa"/>
            <w:vAlign w:val="bottom"/>
            <w:gridSpan w:val="2"/>
            <w:shd w:val="clear" w:color="auto" w:fill="C0C0C0"/>
          </w:tcPr>
          <w:p>
            <w:pPr>
              <w:jc w:val="right"/>
              <w:ind w:right="140"/>
              <w:spacing w:after="0" w:line="202" w:lineRule="exact"/>
              <w:rPr>
                <w:sz w:val="20"/>
                <w:szCs w:val="20"/>
                <w:color w:val="auto"/>
              </w:rPr>
            </w:pPr>
            <w:r>
              <w:rPr>
                <w:rFonts w:ascii="Arial" w:cs="Arial" w:eastAsia="Arial" w:hAnsi="Arial"/>
                <w:sz w:val="18"/>
                <w:szCs w:val="18"/>
                <w:b w:val="1"/>
                <w:bCs w:val="1"/>
                <w:color w:val="auto"/>
              </w:rPr>
              <w:t>(5)</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4</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8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i w:val="1"/>
                <w:iCs w:val="1"/>
                <w:color w:val="auto"/>
              </w:rPr>
              <w:t>Pension and postretirement adjustments:</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60" w:type="dxa"/>
            <w:vAlign w:val="bottom"/>
            <w:shd w:val="clear" w:color="auto" w:fill="C0C0C0"/>
          </w:tcPr>
          <w:p>
            <w:pPr>
              <w:ind w:left="20"/>
              <w:spacing w:after="0" w:line="201" w:lineRule="exact"/>
              <w:rPr>
                <w:sz w:val="20"/>
                <w:szCs w:val="20"/>
                <w:color w:val="auto"/>
              </w:rPr>
            </w:pPr>
            <w:r>
              <w:rPr>
                <w:rFonts w:ascii="Arial" w:cs="Arial" w:eastAsia="Arial" w:hAnsi="Arial"/>
                <w:sz w:val="18"/>
                <w:szCs w:val="18"/>
                <w:color w:val="auto"/>
              </w:rPr>
              <w:t>Net actuarial gain (loss) and prior service cost and foreign currency</w:t>
            </w:r>
          </w:p>
        </w:tc>
        <w:tc>
          <w:tcPr>
            <w:tcW w:w="200" w:type="dxa"/>
            <w:vAlign w:val="bottom"/>
            <w:shd w:val="clear" w:color="auto" w:fill="C0C0C0"/>
          </w:tcPr>
          <w:p>
            <w:pPr>
              <w:spacing w:after="0"/>
              <w:rPr>
                <w:sz w:val="17"/>
                <w:szCs w:val="17"/>
                <w:color w:val="auto"/>
              </w:rPr>
            </w:pPr>
          </w:p>
        </w:tc>
        <w:tc>
          <w:tcPr>
            <w:tcW w:w="660" w:type="dxa"/>
            <w:vAlign w:val="bottom"/>
            <w:gridSpan w:val="2"/>
            <w:shd w:val="clear" w:color="auto" w:fill="C0C0C0"/>
          </w:tcPr>
          <w:p>
            <w:pPr>
              <w:jc w:val="right"/>
              <w:ind w:right="200"/>
              <w:spacing w:after="0" w:line="201" w:lineRule="exact"/>
              <w:rPr>
                <w:sz w:val="20"/>
                <w:szCs w:val="20"/>
                <w:color w:val="auto"/>
              </w:rPr>
            </w:pPr>
            <w:r>
              <w:rPr>
                <w:rFonts w:ascii="Arial" w:cs="Arial" w:eastAsia="Arial" w:hAnsi="Arial"/>
                <w:sz w:val="18"/>
                <w:szCs w:val="18"/>
                <w:b w:val="1"/>
                <w:bCs w:val="1"/>
                <w:color w:val="auto"/>
              </w:rPr>
              <w:t>6</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120"/>
              <w:spacing w:after="0" w:line="201" w:lineRule="exact"/>
              <w:rPr>
                <w:sz w:val="20"/>
                <w:szCs w:val="20"/>
                <w:color w:val="auto"/>
              </w:rPr>
            </w:pPr>
            <w:r>
              <w:rPr>
                <w:rFonts w:ascii="Arial" w:cs="Arial" w:eastAsia="Arial" w:hAnsi="Arial"/>
                <w:sz w:val="18"/>
                <w:szCs w:val="18"/>
                <w:color w:val="auto"/>
              </w:rPr>
              <w:t>1</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80"/>
              <w:spacing w:after="0" w:line="201"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5760" w:type="dxa"/>
            <w:vAlign w:val="bottom"/>
            <w:shd w:val="clear" w:color="auto" w:fill="C0C0C0"/>
          </w:tcPr>
          <w:p>
            <w:pPr>
              <w:ind w:left="200"/>
              <w:spacing w:after="0" w:line="202" w:lineRule="exact"/>
              <w:rPr>
                <w:sz w:val="20"/>
                <w:szCs w:val="20"/>
                <w:color w:val="auto"/>
              </w:rPr>
            </w:pPr>
            <w:r>
              <w:rPr>
                <w:rFonts w:ascii="Arial" w:cs="Arial" w:eastAsia="Arial" w:hAnsi="Arial"/>
                <w:sz w:val="18"/>
                <w:szCs w:val="18"/>
                <w:color w:val="auto"/>
              </w:rPr>
              <w:t>fluctuations arising during the year, net of income tax expense</w:t>
            </w:r>
          </w:p>
        </w:tc>
        <w:tc>
          <w:tcPr>
            <w:tcW w:w="200" w:type="dxa"/>
            <w:vAlign w:val="bottom"/>
            <w:shd w:val="clear" w:color="auto" w:fill="C0C0C0"/>
          </w:tcPr>
          <w:p>
            <w:pPr>
              <w:spacing w:after="0"/>
              <w:rPr>
                <w:sz w:val="17"/>
                <w:szCs w:val="17"/>
                <w:color w:val="auto"/>
              </w:rPr>
            </w:pPr>
          </w:p>
        </w:tc>
        <w:tc>
          <w:tcPr>
            <w:tcW w:w="4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5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52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0C0C0"/>
          </w:tcPr>
          <w:p>
            <w:pPr>
              <w:ind w:left="200"/>
              <w:spacing w:after="0" w:line="203" w:lineRule="exact"/>
              <w:rPr>
                <w:sz w:val="20"/>
                <w:szCs w:val="20"/>
                <w:color w:val="auto"/>
              </w:rPr>
            </w:pPr>
            <w:r>
              <w:rPr>
                <w:rFonts w:ascii="Arial" w:cs="Arial" w:eastAsia="Arial" w:hAnsi="Arial"/>
                <w:sz w:val="18"/>
                <w:szCs w:val="18"/>
                <w:color w:val="auto"/>
              </w:rPr>
              <w:t>(benefit) of $2, $1, and ($11) million, respectively</w:t>
            </w:r>
          </w:p>
        </w:tc>
        <w:tc>
          <w:tcPr>
            <w:tcW w:w="200" w:type="dxa"/>
            <w:vAlign w:val="bottom"/>
            <w:shd w:val="clear" w:color="auto" w:fill="C0C0C0"/>
          </w:tcPr>
          <w:p>
            <w:pPr>
              <w:spacing w:after="0"/>
              <w:rPr>
                <w:sz w:val="17"/>
                <w:szCs w:val="17"/>
                <w:color w:val="auto"/>
              </w:rPr>
            </w:pPr>
          </w:p>
        </w:tc>
        <w:tc>
          <w:tcPr>
            <w:tcW w:w="4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5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52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60" w:type="dxa"/>
            <w:vAlign w:val="bottom"/>
          </w:tcPr>
          <w:p>
            <w:pPr>
              <w:ind w:left="20"/>
              <w:spacing w:after="0" w:line="201" w:lineRule="exact"/>
              <w:rPr>
                <w:sz w:val="20"/>
                <w:szCs w:val="20"/>
                <w:color w:val="auto"/>
              </w:rPr>
            </w:pPr>
            <w:r>
              <w:rPr>
                <w:rFonts w:ascii="Arial" w:cs="Arial" w:eastAsia="Arial" w:hAnsi="Arial"/>
                <w:sz w:val="18"/>
                <w:szCs w:val="18"/>
                <w:color w:val="auto"/>
              </w:rPr>
              <w:t>Amortization of net actuarial gain/loss and prior service cost included</w:t>
            </w:r>
          </w:p>
        </w:tc>
        <w:tc>
          <w:tcPr>
            <w:tcW w:w="200" w:type="dxa"/>
            <w:vAlign w:val="bottom"/>
          </w:tcPr>
          <w:p>
            <w:pPr>
              <w:spacing w:after="0"/>
              <w:rPr>
                <w:sz w:val="17"/>
                <w:szCs w:val="17"/>
                <w:color w:val="auto"/>
              </w:rPr>
            </w:pPr>
          </w:p>
        </w:tc>
        <w:tc>
          <w:tcPr>
            <w:tcW w:w="660" w:type="dxa"/>
            <w:vAlign w:val="bottom"/>
            <w:gridSpan w:val="2"/>
          </w:tcPr>
          <w:p>
            <w:pPr>
              <w:jc w:val="right"/>
              <w:ind w:right="200"/>
              <w:spacing w:after="0" w:line="201" w:lineRule="exact"/>
              <w:rPr>
                <w:sz w:val="20"/>
                <w:szCs w:val="20"/>
                <w:color w:val="auto"/>
              </w:rPr>
            </w:pPr>
            <w:r>
              <w:rPr>
                <w:rFonts w:ascii="Arial" w:cs="Arial" w:eastAsia="Arial" w:hAnsi="Arial"/>
                <w:sz w:val="18"/>
                <w:szCs w:val="18"/>
                <w:b w:val="1"/>
                <w:bCs w:val="1"/>
                <w:color w:val="auto"/>
              </w:rPr>
              <w:t>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in net periodic benefit costs, net of income tax expense of $5, $5,</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0"/>
              <w:spacing w:after="0" w:line="203" w:lineRule="exact"/>
              <w:rPr>
                <w:sz w:val="20"/>
                <w:szCs w:val="20"/>
                <w:color w:val="auto"/>
              </w:rPr>
            </w:pPr>
            <w:r>
              <w:rPr>
                <w:rFonts w:ascii="Arial" w:cs="Arial" w:eastAsia="Arial" w:hAnsi="Arial"/>
                <w:sz w:val="18"/>
                <w:szCs w:val="18"/>
                <w:color w:val="auto"/>
              </w:rPr>
              <w:t>and $3 million, respectively</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i w:val="1"/>
                <w:iCs w:val="1"/>
                <w:color w:val="auto"/>
              </w:rPr>
              <w:t>Available for sale securities:</w:t>
            </w:r>
          </w:p>
        </w:tc>
        <w:tc>
          <w:tcPr>
            <w:tcW w:w="200" w:type="dxa"/>
            <w:vAlign w:val="bottom"/>
            <w:shd w:val="clear" w:color="auto" w:fill="C0C0C0"/>
          </w:tcPr>
          <w:p>
            <w:pPr>
              <w:spacing w:after="0"/>
              <w:rPr>
                <w:sz w:val="17"/>
                <w:szCs w:val="17"/>
                <w:color w:val="auto"/>
              </w:rPr>
            </w:pPr>
          </w:p>
        </w:tc>
        <w:tc>
          <w:tcPr>
            <w:tcW w:w="4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5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52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Unrealized gain on available-for-sale securities</w:t>
            </w:r>
          </w:p>
        </w:tc>
        <w:tc>
          <w:tcPr>
            <w:tcW w:w="2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760" w:type="dxa"/>
            <w:vAlign w:val="bottom"/>
            <w:tcBorders>
              <w:bottom w:val="single" w:sz="8" w:color="C0C0C0"/>
            </w:tcBorders>
            <w:shd w:val="clear" w:color="auto" w:fill="C0C0C0"/>
          </w:tcPr>
          <w:p>
            <w:pPr>
              <w:ind w:left="20"/>
              <w:spacing w:after="0" w:line="196" w:lineRule="exact"/>
              <w:rPr>
                <w:sz w:val="20"/>
                <w:szCs w:val="20"/>
                <w:color w:val="auto"/>
              </w:rPr>
            </w:pPr>
            <w:r>
              <w:rPr>
                <w:rFonts w:ascii="Arial" w:cs="Arial" w:eastAsia="Arial" w:hAnsi="Arial"/>
                <w:sz w:val="18"/>
                <w:szCs w:val="18"/>
                <w:b w:val="1"/>
                <w:bCs w:val="1"/>
                <w:color w:val="auto"/>
              </w:rPr>
              <w:t>Comprehensive income</w:t>
            </w:r>
          </w:p>
        </w:tc>
        <w:tc>
          <w:tcPr>
            <w:tcW w:w="200" w:type="dxa"/>
            <w:vAlign w:val="bottom"/>
            <w:tcBorders>
              <w:bottom w:val="single" w:sz="8" w:color="auto"/>
            </w:tcBorders>
            <w:shd w:val="clear" w:color="auto" w:fill="C0C0C0"/>
          </w:tcPr>
          <w:p>
            <w:pPr>
              <w:jc w:val="right"/>
              <w:ind w:right="10"/>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shd w:val="clear" w:color="auto" w:fill="C0C0C0"/>
          </w:tcPr>
          <w:p>
            <w:pPr>
              <w:jc w:val="right"/>
              <w:spacing w:after="0" w:line="196" w:lineRule="exact"/>
              <w:rPr>
                <w:sz w:val="20"/>
                <w:szCs w:val="20"/>
                <w:color w:val="auto"/>
              </w:rPr>
            </w:pPr>
            <w:r>
              <w:rPr>
                <w:rFonts w:ascii="Arial" w:cs="Arial" w:eastAsia="Arial" w:hAnsi="Arial"/>
                <w:sz w:val="18"/>
                <w:szCs w:val="18"/>
                <w:b w:val="1"/>
                <w:bCs w:val="1"/>
                <w:color w:val="auto"/>
              </w:rPr>
              <w:t>414</w:t>
            </w:r>
          </w:p>
        </w:tc>
        <w:tc>
          <w:tcPr>
            <w:tcW w:w="200" w:type="dxa"/>
            <w:vAlign w:val="bottom"/>
            <w:tcBorders>
              <w:bottom w:val="single" w:sz="8" w:color="C0C0C0"/>
            </w:tcBorders>
            <w:shd w:val="clear" w:color="auto" w:fill="C0C0C0"/>
          </w:tcPr>
          <w:p>
            <w:pPr>
              <w:spacing w:after="0"/>
              <w:rPr>
                <w:sz w:val="20"/>
                <w:szCs w:val="20"/>
                <w:color w:val="auto"/>
              </w:rPr>
            </w:pPr>
          </w:p>
        </w:tc>
        <w:tc>
          <w:tcPr>
            <w:tcW w:w="160" w:type="dxa"/>
            <w:vAlign w:val="bottom"/>
            <w:tcBorders>
              <w:bottom w:val="single" w:sz="8" w:color="C0C0C0"/>
            </w:tcBorders>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jc w:val="right"/>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0C0C0"/>
          </w:tcPr>
          <w:p>
            <w:pPr>
              <w:jc w:val="right"/>
              <w:spacing w:after="0" w:line="196" w:lineRule="exact"/>
              <w:rPr>
                <w:sz w:val="20"/>
                <w:szCs w:val="20"/>
                <w:color w:val="auto"/>
              </w:rPr>
            </w:pPr>
            <w:r>
              <w:rPr>
                <w:rFonts w:ascii="Arial" w:cs="Arial" w:eastAsia="Arial" w:hAnsi="Arial"/>
                <w:sz w:val="18"/>
                <w:szCs w:val="18"/>
                <w:color w:val="auto"/>
              </w:rPr>
              <w:t>430</w:t>
            </w:r>
          </w:p>
        </w:tc>
        <w:tc>
          <w:tcPr>
            <w:tcW w:w="120" w:type="dxa"/>
            <w:vAlign w:val="bottom"/>
            <w:tcBorders>
              <w:bottom w:val="single" w:sz="8" w:color="C0C0C0"/>
            </w:tcBorders>
            <w:shd w:val="clear" w:color="auto" w:fill="C0C0C0"/>
          </w:tcPr>
          <w:p>
            <w:pPr>
              <w:spacing w:after="0"/>
              <w:rPr>
                <w:sz w:val="20"/>
                <w:szCs w:val="20"/>
                <w:color w:val="auto"/>
              </w:rPr>
            </w:pPr>
          </w:p>
        </w:tc>
        <w:tc>
          <w:tcPr>
            <w:tcW w:w="160" w:type="dxa"/>
            <w:vAlign w:val="bottom"/>
            <w:tcBorders>
              <w:bottom w:val="single" w:sz="8" w:color="C0C0C0"/>
            </w:tcBorders>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0C0C0"/>
          </w:tcPr>
          <w:p>
            <w:pPr>
              <w:jc w:val="right"/>
              <w:spacing w:after="0" w:line="196" w:lineRule="exact"/>
              <w:rPr>
                <w:sz w:val="20"/>
                <w:szCs w:val="20"/>
                <w:color w:val="auto"/>
              </w:rPr>
            </w:pPr>
            <w:r>
              <w:rPr>
                <w:rFonts w:ascii="Arial" w:cs="Arial" w:eastAsia="Arial" w:hAnsi="Arial"/>
                <w:sz w:val="18"/>
                <w:szCs w:val="18"/>
                <w:color w:val="auto"/>
              </w:rPr>
              <w:t>243</w:t>
            </w:r>
          </w:p>
        </w:tc>
        <w:tc>
          <w:tcPr>
            <w:tcW w:w="240" w:type="dxa"/>
            <w:vAlign w:val="bottom"/>
            <w:tcBorders>
              <w:bottom w:val="single" w:sz="8" w:color="C0C0C0"/>
            </w:tcBorders>
            <w:shd w:val="clear" w:color="auto" w:fill="C0C0C0"/>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565775"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65775" cy="342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96520</wp:posOffset>
            </wp:positionV>
            <wp:extent cx="6114415" cy="596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37" w:name="page38"/>
    <w:bookmarkEnd w:id="3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92"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spacing w:after="0" w:line="16"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-78740</wp:posOffset>
            </wp:positionV>
            <wp:extent cx="556577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6"/>
        </w:trPr>
        <w:tc>
          <w:tcPr>
            <w:tcW w:w="6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67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7"/>
                <w:szCs w:val="17"/>
                <w:color w:val="auto"/>
              </w:rPr>
            </w:pPr>
          </w:p>
        </w:tc>
        <w:tc>
          <w:tcPr>
            <w:tcW w:w="18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01"/>
        </w:trPr>
        <w:tc>
          <w:tcPr>
            <w:tcW w:w="67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b w:val="1"/>
                <w:bCs w:val="1"/>
                <w:color w:val="auto"/>
              </w:rPr>
              <w:t>Current assets</w:t>
            </w:r>
          </w:p>
        </w:tc>
        <w:tc>
          <w:tcPr>
            <w:tcW w:w="20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6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9"/>
              </w:rPr>
              <w:t>$</w:t>
            </w: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858</w:t>
            </w:r>
          </w:p>
        </w:tc>
        <w:tc>
          <w:tcPr>
            <w:tcW w:w="3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03"/>
        </w:trPr>
        <w:tc>
          <w:tcPr>
            <w:tcW w:w="6780" w:type="dxa"/>
            <w:vAlign w:val="bottom"/>
            <w:shd w:val="clear" w:color="auto" w:fill="C0C0C0"/>
          </w:tcPr>
          <w:p>
            <w:pPr>
              <w:ind w:left="200"/>
              <w:spacing w:after="0" w:line="202" w:lineRule="exact"/>
              <w:rPr>
                <w:sz w:val="20"/>
                <w:szCs w:val="20"/>
                <w:color w:val="auto"/>
              </w:rPr>
            </w:pPr>
            <w:r>
              <w:rPr>
                <w:rFonts w:ascii="Arial" w:cs="Arial" w:eastAsia="Arial" w:hAnsi="Arial"/>
                <w:sz w:val="18"/>
                <w:szCs w:val="18"/>
                <w:color w:val="auto"/>
              </w:rPr>
              <w:t>Short-term investments</w:t>
            </w:r>
          </w:p>
        </w:tc>
        <w:tc>
          <w:tcPr>
            <w:tcW w:w="2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80"/>
              <w:spacing w:after="0" w:line="202" w:lineRule="exact"/>
              <w:rPr>
                <w:sz w:val="20"/>
                <w:szCs w:val="20"/>
                <w:color w:val="auto"/>
              </w:rPr>
            </w:pPr>
            <w:r>
              <w:rPr>
                <w:rFonts w:ascii="Arial" w:cs="Arial" w:eastAsia="Arial" w:hAnsi="Arial"/>
                <w:sz w:val="18"/>
                <w:szCs w:val="18"/>
                <w:b w:val="1"/>
                <w:bCs w:val="1"/>
                <w:color w:val="auto"/>
              </w:rPr>
              <w:t>9</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3"/>
        </w:trPr>
        <w:tc>
          <w:tcPr>
            <w:tcW w:w="6780" w:type="dxa"/>
            <w:vAlign w:val="bottom"/>
          </w:tcPr>
          <w:p>
            <w:pPr>
              <w:ind w:left="200"/>
              <w:spacing w:after="0" w:line="202" w:lineRule="exact"/>
              <w:rPr>
                <w:sz w:val="20"/>
                <w:szCs w:val="20"/>
                <w:color w:val="auto"/>
              </w:rPr>
            </w:pPr>
            <w:r>
              <w:rPr>
                <w:rFonts w:ascii="Arial" w:cs="Arial" w:eastAsia="Arial" w:hAnsi="Arial"/>
                <w:sz w:val="18"/>
                <w:szCs w:val="18"/>
                <w:color w:val="auto"/>
              </w:rPr>
              <w:t>Merchandise inventories</w:t>
            </w:r>
          </w:p>
        </w:tc>
        <w:tc>
          <w:tcPr>
            <w:tcW w:w="200" w:type="dxa"/>
            <w:vAlign w:val="bottom"/>
          </w:tcPr>
          <w:p>
            <w:pPr>
              <w:spacing w:after="0"/>
              <w:rPr>
                <w:sz w:val="17"/>
                <w:szCs w:val="17"/>
                <w:color w:val="auto"/>
              </w:rPr>
            </w:pP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1,220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03"/>
        </w:trPr>
        <w:tc>
          <w:tcPr>
            <w:tcW w:w="6780" w:type="dxa"/>
            <w:vAlign w:val="bottom"/>
            <w:shd w:val="clear" w:color="auto" w:fill="C0C0C0"/>
          </w:tcPr>
          <w:p>
            <w:pPr>
              <w:ind w:left="200"/>
              <w:spacing w:after="0" w:line="202" w:lineRule="exact"/>
              <w:rPr>
                <w:sz w:val="20"/>
                <w:szCs w:val="20"/>
                <w:color w:val="auto"/>
              </w:rPr>
            </w:pPr>
            <w:r>
              <w:rPr>
                <w:rFonts w:ascii="Arial" w:cs="Arial" w:eastAsia="Arial" w:hAnsi="Arial"/>
                <w:sz w:val="18"/>
                <w:szCs w:val="18"/>
                <w:color w:val="auto"/>
              </w:rPr>
              <w:t>Other current assets</w:t>
            </w:r>
          </w:p>
        </w:tc>
        <w:tc>
          <w:tcPr>
            <w:tcW w:w="200" w:type="dxa"/>
            <w:vAlign w:val="bottom"/>
            <w:shd w:val="clear" w:color="auto" w:fill="C0C0C0"/>
          </w:tcPr>
          <w:p>
            <w:pPr>
              <w:spacing w:after="0"/>
              <w:rPr>
                <w:sz w:val="17"/>
                <w:szCs w:val="17"/>
                <w:color w:val="auto"/>
              </w:rPr>
            </w:pPr>
          </w:p>
        </w:tc>
        <w:tc>
          <w:tcPr>
            <w:tcW w:w="60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rPr>
              <w:t>263</w:t>
            </w:r>
          </w:p>
        </w:tc>
        <w:tc>
          <w:tcPr>
            <w:tcW w:w="8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
        </w:trPr>
        <w:tc>
          <w:tcPr>
            <w:tcW w:w="678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2,350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03"/>
        </w:trPr>
        <w:tc>
          <w:tcPr>
            <w:tcW w:w="678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b w:val="1"/>
                <w:bCs w:val="1"/>
                <w:color w:val="auto"/>
              </w:rPr>
              <w:t>Property and equipment, net</w:t>
            </w:r>
          </w:p>
        </w:tc>
        <w:tc>
          <w:tcPr>
            <w:tcW w:w="2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80"/>
              <w:spacing w:after="0" w:line="202" w:lineRule="exact"/>
              <w:rPr>
                <w:sz w:val="20"/>
                <w:szCs w:val="20"/>
                <w:color w:val="auto"/>
              </w:rPr>
            </w:pPr>
            <w:r>
              <w:rPr>
                <w:rFonts w:ascii="Arial" w:cs="Arial" w:eastAsia="Arial" w:hAnsi="Arial"/>
                <w:sz w:val="18"/>
                <w:szCs w:val="18"/>
                <w:b w:val="1"/>
                <w:bCs w:val="1"/>
                <w:color w:val="auto"/>
              </w:rPr>
              <w:t>590</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03"/>
        </w:trPr>
        <w:tc>
          <w:tcPr>
            <w:tcW w:w="67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Deferred taxes</w:t>
            </w:r>
          </w:p>
        </w:tc>
        <w:tc>
          <w:tcPr>
            <w:tcW w:w="200" w:type="dxa"/>
            <w:vAlign w:val="bottom"/>
          </w:tcPr>
          <w:p>
            <w:pPr>
              <w:spacing w:after="0"/>
              <w:rPr>
                <w:sz w:val="17"/>
                <w:szCs w:val="17"/>
                <w:color w:val="auto"/>
              </w:rPr>
            </w:pP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241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3"/>
        </w:trPr>
        <w:tc>
          <w:tcPr>
            <w:tcW w:w="678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b w:val="1"/>
                <w:bCs w:val="1"/>
                <w:color w:val="auto"/>
              </w:rPr>
              <w:t>Goodwill</w:t>
            </w:r>
          </w:p>
        </w:tc>
        <w:tc>
          <w:tcPr>
            <w:tcW w:w="2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80"/>
              <w:spacing w:after="0" w:line="202" w:lineRule="exact"/>
              <w:rPr>
                <w:sz w:val="20"/>
                <w:szCs w:val="20"/>
                <w:color w:val="auto"/>
              </w:rPr>
            </w:pPr>
            <w:r>
              <w:rPr>
                <w:rFonts w:ascii="Arial" w:cs="Arial" w:eastAsia="Arial" w:hAnsi="Arial"/>
                <w:sz w:val="18"/>
                <w:szCs w:val="18"/>
                <w:b w:val="1"/>
                <w:bCs w:val="1"/>
                <w:color w:val="auto"/>
              </w:rPr>
              <w:t>163</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3"/>
        </w:trPr>
        <w:tc>
          <w:tcPr>
            <w:tcW w:w="67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Other intangible assets, net</w:t>
            </w:r>
          </w:p>
        </w:tc>
        <w:tc>
          <w:tcPr>
            <w:tcW w:w="200" w:type="dxa"/>
            <w:vAlign w:val="bottom"/>
          </w:tcPr>
          <w:p>
            <w:pPr>
              <w:spacing w:after="0"/>
              <w:rPr>
                <w:sz w:val="17"/>
                <w:szCs w:val="17"/>
                <w:color w:val="auto"/>
              </w:rPr>
            </w:pP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67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3"/>
        </w:trPr>
        <w:tc>
          <w:tcPr>
            <w:tcW w:w="678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b w:val="1"/>
                <w:bCs w:val="1"/>
                <w:color w:val="auto"/>
              </w:rPr>
              <w:t>Other assets</w:t>
            </w:r>
          </w:p>
        </w:tc>
        <w:tc>
          <w:tcPr>
            <w:tcW w:w="200" w:type="dxa"/>
            <w:vAlign w:val="bottom"/>
            <w:shd w:val="clear" w:color="auto" w:fill="C0C0C0"/>
          </w:tcPr>
          <w:p>
            <w:pPr>
              <w:spacing w:after="0"/>
              <w:rPr>
                <w:sz w:val="17"/>
                <w:szCs w:val="17"/>
                <w:color w:val="auto"/>
              </w:rPr>
            </w:pPr>
          </w:p>
        </w:tc>
        <w:tc>
          <w:tcPr>
            <w:tcW w:w="60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rPr>
              <w:t>76</w:t>
            </w:r>
          </w:p>
        </w:tc>
        <w:tc>
          <w:tcPr>
            <w:tcW w:w="8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678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80" w:type="dxa"/>
            <w:vAlign w:val="bottom"/>
          </w:tcPr>
          <w:p>
            <w:pPr>
              <w:spacing w:after="0"/>
              <w:rPr>
                <w:sz w:val="17"/>
                <w:szCs w:val="17"/>
                <w:color w:val="auto"/>
              </w:rPr>
            </w:pPr>
          </w:p>
        </w:tc>
        <w:tc>
          <w:tcPr>
            <w:tcW w:w="2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3,487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21"/>
        </w:trPr>
        <w:tc>
          <w:tcPr>
            <w:tcW w:w="6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780" w:type="dxa"/>
            <w:vAlign w:val="bottom"/>
            <w:shd w:val="clear" w:color="auto" w:fill="C0C0C0"/>
          </w:tcPr>
          <w:p>
            <w:pPr>
              <w:ind w:left="2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6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Current liabilities</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0C0C0"/>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20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w w:val="99"/>
              </w:rPr>
              <w:t>$</w:t>
            </w:r>
          </w:p>
        </w:tc>
        <w:tc>
          <w:tcPr>
            <w:tcW w:w="680" w:type="dxa"/>
            <w:vAlign w:val="bottom"/>
            <w:gridSpan w:val="2"/>
            <w:shd w:val="clear" w:color="auto" w:fill="C0C0C0"/>
          </w:tcPr>
          <w:p>
            <w:pPr>
              <w:jc w:val="right"/>
              <w:ind w:right="80"/>
              <w:spacing w:after="0" w:line="202" w:lineRule="exact"/>
              <w:rPr>
                <w:sz w:val="20"/>
                <w:szCs w:val="20"/>
                <w:color w:val="auto"/>
              </w:rPr>
            </w:pPr>
            <w:r>
              <w:rPr>
                <w:rFonts w:ascii="Arial" w:cs="Arial" w:eastAsia="Arial" w:hAnsi="Arial"/>
                <w:sz w:val="18"/>
                <w:szCs w:val="18"/>
                <w:b w:val="1"/>
                <w:bCs w:val="1"/>
                <w:color w:val="auto"/>
              </w:rPr>
              <w:t>263</w:t>
            </w:r>
          </w:p>
        </w:tc>
        <w:tc>
          <w:tcPr>
            <w:tcW w:w="360" w:type="dxa"/>
            <w:vAlign w:val="bottom"/>
            <w:gridSpan w:val="2"/>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3"/>
        </w:trPr>
        <w:tc>
          <w:tcPr>
            <w:tcW w:w="6780" w:type="dxa"/>
            <w:vAlign w:val="bottom"/>
          </w:tcPr>
          <w:p>
            <w:pPr>
              <w:ind w:left="200"/>
              <w:spacing w:after="0" w:line="202" w:lineRule="exact"/>
              <w:rPr>
                <w:sz w:val="20"/>
                <w:szCs w:val="20"/>
                <w:color w:val="auto"/>
              </w:rPr>
            </w:pPr>
            <w:r>
              <w:rPr>
                <w:rFonts w:ascii="Arial" w:cs="Arial" w:eastAsia="Arial" w:hAnsi="Arial"/>
                <w:sz w:val="18"/>
                <w:szCs w:val="18"/>
                <w:color w:val="auto"/>
              </w:rPr>
              <w:t>Accrued and other liabilities</w:t>
            </w:r>
          </w:p>
        </w:tc>
        <w:tc>
          <w:tcPr>
            <w:tcW w:w="200" w:type="dxa"/>
            <w:vAlign w:val="bottom"/>
          </w:tcPr>
          <w:p>
            <w:pPr>
              <w:spacing w:after="0"/>
              <w:rPr>
                <w:sz w:val="17"/>
                <w:szCs w:val="17"/>
                <w:color w:val="auto"/>
              </w:rPr>
            </w:pP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360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03"/>
        </w:trPr>
        <w:tc>
          <w:tcPr>
            <w:tcW w:w="6780" w:type="dxa"/>
            <w:vAlign w:val="bottom"/>
            <w:shd w:val="clear" w:color="auto" w:fill="C0C0C0"/>
          </w:tcPr>
          <w:p>
            <w:pPr>
              <w:ind w:left="200"/>
              <w:spacing w:after="0" w:line="202" w:lineRule="exact"/>
              <w:rPr>
                <w:sz w:val="20"/>
                <w:szCs w:val="20"/>
                <w:color w:val="auto"/>
              </w:rPr>
            </w:pPr>
            <w:r>
              <w:rPr>
                <w:rFonts w:ascii="Arial" w:cs="Arial" w:eastAsia="Arial" w:hAnsi="Arial"/>
                <w:sz w:val="18"/>
                <w:szCs w:val="18"/>
                <w:color w:val="auto"/>
              </w:rPr>
              <w:t>Current portion of capital lease obligations</w:t>
            </w:r>
          </w:p>
        </w:tc>
        <w:tc>
          <w:tcPr>
            <w:tcW w:w="200" w:type="dxa"/>
            <w:vAlign w:val="bottom"/>
            <w:shd w:val="clear" w:color="auto" w:fill="C0C0C0"/>
          </w:tcPr>
          <w:p>
            <w:pPr>
              <w:spacing w:after="0"/>
              <w:rPr>
                <w:sz w:val="17"/>
                <w:szCs w:val="17"/>
                <w:color w:val="auto"/>
              </w:rPr>
            </w:pPr>
          </w:p>
        </w:tc>
        <w:tc>
          <w:tcPr>
            <w:tcW w:w="60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rPr>
              <w:t>3</w:t>
            </w:r>
          </w:p>
        </w:tc>
        <w:tc>
          <w:tcPr>
            <w:tcW w:w="8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8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626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03"/>
        </w:trPr>
        <w:tc>
          <w:tcPr>
            <w:tcW w:w="678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b w:val="1"/>
                <w:bCs w:val="1"/>
                <w:color w:val="auto"/>
              </w:rPr>
              <w:t>Long-term debt and obligations under capital leases</w:t>
            </w:r>
          </w:p>
        </w:tc>
        <w:tc>
          <w:tcPr>
            <w:tcW w:w="2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80"/>
              <w:spacing w:after="0" w:line="202" w:lineRule="exact"/>
              <w:rPr>
                <w:sz w:val="20"/>
                <w:szCs w:val="20"/>
                <w:color w:val="auto"/>
              </w:rPr>
            </w:pPr>
            <w:r>
              <w:rPr>
                <w:rFonts w:ascii="Arial" w:cs="Arial" w:eastAsia="Arial" w:hAnsi="Arial"/>
                <w:sz w:val="18"/>
                <w:szCs w:val="18"/>
                <w:b w:val="1"/>
                <w:bCs w:val="1"/>
                <w:color w:val="auto"/>
              </w:rPr>
              <w:t>136</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3"/>
        </w:trPr>
        <w:tc>
          <w:tcPr>
            <w:tcW w:w="67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Other liabilities</w:t>
            </w:r>
          </w:p>
        </w:tc>
        <w:tc>
          <w:tcPr>
            <w:tcW w:w="2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229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80" w:type="dxa"/>
            <w:vAlign w:val="bottom"/>
            <w:shd w:val="clear" w:color="auto" w:fill="C0C0C0"/>
          </w:tcPr>
          <w:p>
            <w:pPr>
              <w:ind w:left="20"/>
              <w:spacing w:after="0" w:line="196" w:lineRule="exact"/>
              <w:rPr>
                <w:sz w:val="20"/>
                <w:szCs w:val="20"/>
                <w:color w:val="auto"/>
              </w:rPr>
            </w:pPr>
            <w:r>
              <w:rPr>
                <w:rFonts w:ascii="Arial" w:cs="Arial" w:eastAsia="Arial" w:hAnsi="Arial"/>
                <w:sz w:val="18"/>
                <w:szCs w:val="18"/>
                <w:b w:val="1"/>
                <w:bCs w:val="1"/>
                <w:color w:val="auto"/>
              </w:rPr>
              <w:t>Total liabilities</w:t>
            </w:r>
          </w:p>
        </w:tc>
        <w:tc>
          <w:tcPr>
            <w:tcW w:w="200" w:type="dxa"/>
            <w:vAlign w:val="bottom"/>
            <w:shd w:val="clear" w:color="auto" w:fill="C0C0C0"/>
          </w:tcPr>
          <w:p>
            <w:pPr>
              <w:spacing w:after="0"/>
              <w:rPr>
                <w:sz w:val="17"/>
                <w:szCs w:val="17"/>
                <w:color w:val="auto"/>
              </w:rPr>
            </w:pPr>
          </w:p>
        </w:tc>
        <w:tc>
          <w:tcPr>
            <w:tcW w:w="60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b w:val="1"/>
                <w:bCs w:val="1"/>
                <w:color w:val="auto"/>
              </w:rPr>
              <w:t>991</w:t>
            </w:r>
          </w:p>
        </w:tc>
        <w:tc>
          <w:tcPr>
            <w:tcW w:w="8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00"/>
              <w:spacing w:after="0" w:line="196" w:lineRule="exact"/>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03"/>
        </w:trPr>
        <w:tc>
          <w:tcPr>
            <w:tcW w:w="67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Shareholders’ equity</w:t>
            </w:r>
          </w:p>
        </w:tc>
        <w:tc>
          <w:tcPr>
            <w:tcW w:w="2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2,496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2,377</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80" w:type="dxa"/>
            <w:vAlign w:val="bottom"/>
            <w:shd w:val="clear" w:color="auto" w:fill="C0C0C0"/>
          </w:tcPr>
          <w:p>
            <w:pPr>
              <w:spacing w:after="0"/>
              <w:rPr>
                <w:sz w:val="18"/>
                <w:szCs w:val="18"/>
                <w:color w:val="auto"/>
              </w:rPr>
            </w:pPr>
          </w:p>
        </w:tc>
        <w:tc>
          <w:tcPr>
            <w:tcW w:w="20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60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b w:val="1"/>
                <w:bCs w:val="1"/>
                <w:color w:val="auto"/>
              </w:rPr>
              <w:t>3,487</w:t>
            </w:r>
          </w:p>
        </w:tc>
        <w:tc>
          <w:tcPr>
            <w:tcW w:w="8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200" w:type="dxa"/>
            <w:vAlign w:val="bottom"/>
            <w:shd w:val="clear" w:color="auto" w:fill="C0C0C0"/>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0C0C0"/>
          </w:tcPr>
          <w:p>
            <w:pPr>
              <w:jc w:val="right"/>
              <w:ind w:right="100"/>
              <w:spacing w:after="0" w:line="196" w:lineRule="exact"/>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20"/>
        </w:trPr>
        <w:tc>
          <w:tcPr>
            <w:tcW w:w="6780" w:type="dxa"/>
            <w:vAlign w:val="bottom"/>
            <w:tcBorders>
              <w:top w:val="single" w:sz="8" w:color="C0C0C0"/>
            </w:tcBorders>
            <w:shd w:val="clear" w:color="auto" w:fill="C0C0C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C0C0"/>
            </w:tcBorders>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-2426335</wp:posOffset>
            </wp:positionV>
            <wp:extent cx="5565775"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56577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-1645920</wp:posOffset>
            </wp:positionV>
            <wp:extent cx="5565775"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6577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-831215</wp:posOffset>
            </wp:positionV>
            <wp:extent cx="5565775"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6577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565775"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565775" cy="342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96520</wp:posOffset>
            </wp:positionV>
            <wp:extent cx="6114415" cy="596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38" w:name="page39"/>
    <w:bookmarkEnd w:id="38"/>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92"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spacing w:after="0" w:line="4"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CONSOLIDATED STATEMENTS OF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556577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4"/>
        </w:trPr>
        <w:tc>
          <w:tcPr>
            <w:tcW w:w="3220" w:type="dxa"/>
            <w:vAlign w:val="bottom"/>
          </w:tcPr>
          <w:p>
            <w:pPr>
              <w:spacing w:after="0"/>
              <w:rPr>
                <w:sz w:val="12"/>
                <w:szCs w:val="12"/>
                <w:color w:val="auto"/>
              </w:rPr>
            </w:pPr>
          </w:p>
        </w:tc>
        <w:tc>
          <w:tcPr>
            <w:tcW w:w="1360" w:type="dxa"/>
            <w:vAlign w:val="bottom"/>
            <w:gridSpan w:val="6"/>
          </w:tcPr>
          <w:p>
            <w:pPr>
              <w:jc w:val="center"/>
              <w:spacing w:after="0" w:line="144" w:lineRule="exact"/>
              <w:rPr>
                <w:sz w:val="20"/>
                <w:szCs w:val="20"/>
                <w:color w:val="auto"/>
              </w:rPr>
            </w:pPr>
            <w:r>
              <w:rPr>
                <w:rFonts w:ascii="Arial" w:cs="Arial" w:eastAsia="Arial" w:hAnsi="Arial"/>
                <w:sz w:val="14"/>
                <w:szCs w:val="14"/>
                <w:b w:val="1"/>
                <w:bCs w:val="1"/>
                <w:color w:val="auto"/>
              </w:rPr>
              <w:t>Additional Paid-In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5"/>
          </w:tcPr>
          <w:p>
            <w:pPr>
              <w:jc w:val="right"/>
              <w:ind w:right="160"/>
              <w:spacing w:after="0" w:line="144" w:lineRule="exact"/>
              <w:rPr>
                <w:sz w:val="20"/>
                <w:szCs w:val="20"/>
                <w:color w:val="auto"/>
              </w:rPr>
            </w:pPr>
            <w:r>
              <w:rPr>
                <w:rFonts w:ascii="Arial" w:cs="Arial" w:eastAsia="Arial" w:hAnsi="Arial"/>
                <w:sz w:val="14"/>
                <w:szCs w:val="14"/>
                <w:b w:val="1"/>
                <w:bCs w:val="1"/>
                <w:color w:val="auto"/>
              </w:rPr>
              <w:t>Treasury Stock</w:t>
            </w:r>
          </w:p>
        </w:tc>
        <w:tc>
          <w:tcPr>
            <w:tcW w:w="60" w:type="dxa"/>
            <w:vAlign w:val="bottom"/>
          </w:tcPr>
          <w:p>
            <w:pPr>
              <w:spacing w:after="0"/>
              <w:rPr>
                <w:sz w:val="12"/>
                <w:szCs w:val="12"/>
                <w:color w:val="auto"/>
              </w:rPr>
            </w:pPr>
          </w:p>
        </w:tc>
        <w:tc>
          <w:tcPr>
            <w:tcW w:w="680" w:type="dxa"/>
            <w:vAlign w:val="bottom"/>
            <w:gridSpan w:val="3"/>
          </w:tcPr>
          <w:p>
            <w:pPr>
              <w:ind w:left="20"/>
              <w:spacing w:after="0" w:line="144" w:lineRule="exact"/>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1060" w:type="dxa"/>
            <w:vAlign w:val="bottom"/>
            <w:gridSpan w:val="3"/>
          </w:tcPr>
          <w:p>
            <w:pPr>
              <w:jc w:val="center"/>
              <w:ind w:right="140"/>
              <w:spacing w:after="0" w:line="144"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780" w:type="dxa"/>
            <w:vAlign w:val="bottom"/>
            <w:gridSpan w:val="2"/>
          </w:tcPr>
          <w:p>
            <w:pPr>
              <w:jc w:val="right"/>
              <w:ind w:right="320"/>
              <w:spacing w:after="0" w:line="144" w:lineRule="exact"/>
              <w:rPr>
                <w:sz w:val="20"/>
                <w:szCs w:val="20"/>
                <w:color w:val="auto"/>
              </w:rPr>
            </w:pPr>
            <w:r>
              <w:rPr>
                <w:rFonts w:ascii="Arial" w:cs="Arial" w:eastAsia="Arial" w:hAnsi="Arial"/>
                <w:sz w:val="14"/>
                <w:szCs w:val="14"/>
                <w:b w:val="1"/>
                <w:bCs w:val="1"/>
                <w:color w:val="auto"/>
              </w:rPr>
              <w:t>Total</w:t>
            </w:r>
          </w:p>
        </w:tc>
      </w:tr>
      <w:tr>
        <w:trPr>
          <w:trHeight w:val="162"/>
        </w:trPr>
        <w:tc>
          <w:tcPr>
            <w:tcW w:w="3220" w:type="dxa"/>
            <w:vAlign w:val="bottom"/>
          </w:tcPr>
          <w:p>
            <w:pPr>
              <w:spacing w:after="0"/>
              <w:rPr>
                <w:sz w:val="14"/>
                <w:szCs w:val="14"/>
                <w:color w:val="auto"/>
              </w:rPr>
            </w:pPr>
          </w:p>
        </w:tc>
        <w:tc>
          <w:tcPr>
            <w:tcW w:w="1000" w:type="dxa"/>
            <w:vAlign w:val="bottom"/>
            <w:gridSpan w:val="4"/>
          </w:tcPr>
          <w:p>
            <w:pPr>
              <w:jc w:val="center"/>
              <w:ind w:left="300"/>
              <w:spacing w:after="0"/>
              <w:rPr>
                <w:sz w:val="20"/>
                <w:szCs w:val="20"/>
                <w:color w:val="auto"/>
              </w:rPr>
            </w:pPr>
            <w:r>
              <w:rPr>
                <w:rFonts w:ascii="Arial" w:cs="Arial" w:eastAsia="Arial" w:hAnsi="Arial"/>
                <w:sz w:val="14"/>
                <w:szCs w:val="14"/>
                <w:b w:val="1"/>
                <w:bCs w:val="1"/>
                <w:color w:val="auto"/>
              </w:rPr>
              <w:t>Capital &amp;</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4"/>
                <w:szCs w:val="14"/>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Other</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Shareholders’</w:t>
            </w:r>
          </w:p>
        </w:tc>
      </w:tr>
      <w:tr>
        <w:trPr>
          <w:trHeight w:val="175"/>
        </w:trPr>
        <w:tc>
          <w:tcPr>
            <w:tcW w:w="3220" w:type="dxa"/>
            <w:vAlign w:val="bottom"/>
          </w:tcPr>
          <w:p>
            <w:pPr>
              <w:spacing w:after="0"/>
              <w:rPr>
                <w:sz w:val="15"/>
                <w:szCs w:val="15"/>
                <w:color w:val="auto"/>
              </w:rPr>
            </w:pPr>
          </w:p>
        </w:tc>
        <w:tc>
          <w:tcPr>
            <w:tcW w:w="13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Equity</w:t>
            </w:r>
          </w:p>
        </w:tc>
      </w:tr>
      <w:tr>
        <w:trPr>
          <w:trHeight w:val="169"/>
        </w:trPr>
        <w:tc>
          <w:tcPr>
            <w:tcW w:w="3220" w:type="dxa"/>
            <w:vAlign w:val="bottom"/>
          </w:tcPr>
          <w:p>
            <w:pPr>
              <w:spacing w:after="0"/>
              <w:rPr>
                <w:sz w:val="14"/>
                <w:szCs w:val="14"/>
                <w:color w:val="auto"/>
              </w:rPr>
            </w:pPr>
          </w:p>
        </w:tc>
        <w:tc>
          <w:tcPr>
            <w:tcW w:w="7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6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4"/>
                <w:szCs w:val="14"/>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7"/>
              </w:rPr>
              <w:t>Loss</w:t>
            </w: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r>
      <w:tr>
        <w:trPr>
          <w:trHeight w:val="183"/>
        </w:trPr>
        <w:tc>
          <w:tcPr>
            <w:tcW w:w="3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40" w:type="dxa"/>
            <w:vAlign w:val="bottom"/>
            <w:gridSpan w:val="15"/>
          </w:tcPr>
          <w:p>
            <w:pPr>
              <w:ind w:left="20"/>
              <w:spacing w:after="0"/>
              <w:rPr>
                <w:sz w:val="20"/>
                <w:szCs w:val="20"/>
                <w:color w:val="auto"/>
              </w:rPr>
            </w:pPr>
            <w:r>
              <w:rPr>
                <w:rFonts w:ascii="Arial" w:cs="Arial" w:eastAsia="Arial" w:hAnsi="Arial"/>
                <w:sz w:val="14"/>
                <w:szCs w:val="14"/>
                <w:b w:val="1"/>
                <w:bCs w:val="1"/>
                <w:color w:val="auto"/>
              </w:rPr>
              <w:t>(shares in thousands, amounts in millions)</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9"/>
        </w:trPr>
        <w:tc>
          <w:tcPr>
            <w:tcW w:w="3220" w:type="dxa"/>
            <w:vAlign w:val="bottom"/>
            <w:shd w:val="clear" w:color="auto" w:fill="C0C0C0"/>
          </w:tcPr>
          <w:p>
            <w:pPr>
              <w:ind w:left="20"/>
              <w:spacing w:after="0"/>
              <w:rPr>
                <w:sz w:val="20"/>
                <w:szCs w:val="20"/>
                <w:color w:val="auto"/>
              </w:rPr>
            </w:pPr>
            <w:r>
              <w:rPr>
                <w:rFonts w:ascii="Arial" w:cs="Arial" w:eastAsia="Arial" w:hAnsi="Arial"/>
                <w:sz w:val="16"/>
                <w:szCs w:val="16"/>
                <w:b w:val="1"/>
                <w:bCs w:val="1"/>
                <w:color w:val="auto"/>
              </w:rPr>
              <w:t>Balance at January 29, 2011</w:t>
            </w:r>
          </w:p>
        </w:tc>
        <w:tc>
          <w:tcPr>
            <w:tcW w:w="700" w:type="dxa"/>
            <w:vAlign w:val="bottom"/>
            <w:gridSpan w:val="2"/>
            <w:shd w:val="clear" w:color="auto" w:fill="C0C0C0"/>
          </w:tcPr>
          <w:p>
            <w:pPr>
              <w:jc w:val="right"/>
              <w:ind w:right="40"/>
              <w:spacing w:after="0"/>
              <w:rPr>
                <w:sz w:val="20"/>
                <w:szCs w:val="20"/>
                <w:color w:val="auto"/>
              </w:rPr>
            </w:pPr>
            <w:r>
              <w:rPr>
                <w:rFonts w:ascii="Arial" w:cs="Arial" w:eastAsia="Arial" w:hAnsi="Arial"/>
                <w:sz w:val="16"/>
                <w:szCs w:val="16"/>
                <w:b w:val="1"/>
                <w:bCs w:val="1"/>
                <w:color w:val="auto"/>
              </w:rPr>
              <w:t>162,659</w:t>
            </w:r>
          </w:p>
        </w:tc>
        <w:tc>
          <w:tcPr>
            <w:tcW w:w="300" w:type="dxa"/>
            <w:vAlign w:val="bottom"/>
            <w:gridSpan w:val="2"/>
            <w:shd w:val="clear" w:color="auto" w:fill="C0C0C0"/>
          </w:tcPr>
          <w:p>
            <w:pPr>
              <w:jc w:val="right"/>
              <w:ind w:right="68"/>
              <w:spacing w:after="0"/>
              <w:rPr>
                <w:sz w:val="20"/>
                <w:szCs w:val="20"/>
                <w:color w:val="auto"/>
              </w:rPr>
            </w:pPr>
            <w:r>
              <w:rPr>
                <w:rFonts w:ascii="Arial" w:cs="Arial" w:eastAsia="Arial" w:hAnsi="Arial"/>
                <w:sz w:val="16"/>
                <w:szCs w:val="16"/>
                <w:b w:val="1"/>
                <w:bCs w:val="1"/>
                <w:color w:val="auto"/>
              </w:rPr>
              <w:t>$</w:t>
            </w:r>
          </w:p>
        </w:tc>
        <w:tc>
          <w:tcPr>
            <w:tcW w:w="360" w:type="dxa"/>
            <w:vAlign w:val="bottom"/>
            <w:gridSpan w:val="2"/>
            <w:shd w:val="clear" w:color="auto" w:fill="C0C0C0"/>
          </w:tcPr>
          <w:p>
            <w:pPr>
              <w:jc w:val="right"/>
              <w:ind w:right="80"/>
              <w:spacing w:after="0"/>
              <w:rPr>
                <w:sz w:val="20"/>
                <w:szCs w:val="20"/>
                <w:color w:val="auto"/>
              </w:rPr>
            </w:pPr>
            <w:r>
              <w:rPr>
                <w:rFonts w:ascii="Arial" w:cs="Arial" w:eastAsia="Arial" w:hAnsi="Arial"/>
                <w:sz w:val="16"/>
                <w:szCs w:val="16"/>
                <w:b w:val="1"/>
                <w:bCs w:val="1"/>
                <w:color w:val="auto"/>
                <w:w w:val="97"/>
              </w:rPr>
              <w:t>735</w:t>
            </w:r>
          </w:p>
        </w:tc>
        <w:tc>
          <w:tcPr>
            <w:tcW w:w="800" w:type="dxa"/>
            <w:vAlign w:val="bottom"/>
            <w:gridSpan w:val="4"/>
            <w:shd w:val="clear" w:color="auto" w:fill="C0C0C0"/>
          </w:tcPr>
          <w:p>
            <w:pPr>
              <w:jc w:val="right"/>
              <w:ind w:right="60"/>
              <w:spacing w:after="0"/>
              <w:rPr>
                <w:sz w:val="20"/>
                <w:szCs w:val="20"/>
                <w:color w:val="auto"/>
              </w:rPr>
            </w:pPr>
            <w:r>
              <w:rPr>
                <w:rFonts w:ascii="Arial" w:cs="Arial" w:eastAsia="Arial" w:hAnsi="Arial"/>
                <w:sz w:val="16"/>
                <w:szCs w:val="16"/>
                <w:b w:val="1"/>
                <w:bCs w:val="1"/>
                <w:color w:val="auto"/>
              </w:rPr>
              <w:t>(8,039)</w:t>
            </w:r>
          </w:p>
        </w:tc>
        <w:tc>
          <w:tcPr>
            <w:tcW w:w="660" w:type="dxa"/>
            <w:vAlign w:val="bottom"/>
            <w:gridSpan w:val="3"/>
            <w:shd w:val="clear" w:color="auto" w:fill="C0C0C0"/>
          </w:tcPr>
          <w:p>
            <w:pPr>
              <w:jc w:val="right"/>
              <w:ind w:right="80"/>
              <w:spacing w:after="0"/>
              <w:rPr>
                <w:sz w:val="20"/>
                <w:szCs w:val="20"/>
                <w:color w:val="auto"/>
              </w:rPr>
            </w:pPr>
            <w:r>
              <w:rPr>
                <w:rFonts w:ascii="Arial" w:cs="Arial" w:eastAsia="Arial" w:hAnsi="Arial"/>
                <w:sz w:val="16"/>
                <w:szCs w:val="16"/>
                <w:b w:val="1"/>
                <w:bCs w:val="1"/>
                <w:color w:val="auto"/>
              </w:rPr>
              <w:t>$ (152)</w:t>
            </w:r>
          </w:p>
        </w:tc>
        <w:tc>
          <w:tcPr>
            <w:tcW w:w="680" w:type="dxa"/>
            <w:vAlign w:val="bottom"/>
            <w:gridSpan w:val="3"/>
            <w:shd w:val="clear" w:color="auto" w:fill="C0C0C0"/>
          </w:tcPr>
          <w:p>
            <w:pPr>
              <w:jc w:val="right"/>
              <w:ind w:right="100"/>
              <w:spacing w:after="0"/>
              <w:rPr>
                <w:sz w:val="20"/>
                <w:szCs w:val="20"/>
                <w:color w:val="auto"/>
              </w:rPr>
            </w:pPr>
            <w:r>
              <w:rPr>
                <w:rFonts w:ascii="Arial" w:cs="Arial" w:eastAsia="Arial" w:hAnsi="Arial"/>
                <w:sz w:val="16"/>
                <w:szCs w:val="16"/>
                <w:b w:val="1"/>
                <w:bCs w:val="1"/>
                <w:color w:val="auto"/>
              </w:rPr>
              <w:t>$1,611</w:t>
            </w:r>
          </w:p>
        </w:tc>
        <w:tc>
          <w:tcPr>
            <w:tcW w:w="6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0C0C0"/>
          </w:tcPr>
          <w:p>
            <w:pPr>
              <w:jc w:val="right"/>
              <w:ind w:right="180"/>
              <w:spacing w:after="0"/>
              <w:rPr>
                <w:sz w:val="20"/>
                <w:szCs w:val="20"/>
                <w:color w:val="auto"/>
              </w:rPr>
            </w:pPr>
            <w:r>
              <w:rPr>
                <w:rFonts w:ascii="Arial" w:cs="Arial" w:eastAsia="Arial" w:hAnsi="Arial"/>
                <w:sz w:val="16"/>
                <w:szCs w:val="16"/>
                <w:b w:val="1"/>
                <w:bCs w:val="1"/>
                <w:color w:val="auto"/>
              </w:rPr>
              <w:t>(169)</w:t>
            </w:r>
          </w:p>
        </w:tc>
        <w:tc>
          <w:tcPr>
            <w:tcW w:w="60" w:type="dxa"/>
            <w:vAlign w:val="bottom"/>
            <w:shd w:val="clear" w:color="auto" w:fill="C0C0C0"/>
          </w:tcPr>
          <w:p>
            <w:pPr>
              <w:spacing w:after="0"/>
              <w:rPr>
                <w:sz w:val="16"/>
                <w:szCs w:val="16"/>
                <w:color w:val="auto"/>
              </w:rPr>
            </w:pPr>
          </w:p>
        </w:tc>
        <w:tc>
          <w:tcPr>
            <w:tcW w:w="180" w:type="dxa"/>
            <w:vAlign w:val="bottom"/>
            <w:shd w:val="clear" w:color="auto" w:fill="C0C0C0"/>
          </w:tcPr>
          <w:p>
            <w:pPr>
              <w:spacing w:after="0"/>
              <w:rPr>
                <w:sz w:val="20"/>
                <w:szCs w:val="20"/>
                <w:color w:val="auto"/>
              </w:rPr>
            </w:pPr>
            <w:r>
              <w:rPr>
                <w:rFonts w:ascii="Arial" w:cs="Arial" w:eastAsia="Arial" w:hAnsi="Arial"/>
                <w:sz w:val="16"/>
                <w:szCs w:val="16"/>
                <w:b w:val="1"/>
                <w:bCs w:val="1"/>
                <w:color w:val="auto"/>
              </w:rPr>
              <w:t>$</w:t>
            </w:r>
          </w:p>
        </w:tc>
        <w:tc>
          <w:tcPr>
            <w:tcW w:w="780" w:type="dxa"/>
            <w:vAlign w:val="bottom"/>
            <w:gridSpan w:val="2"/>
            <w:shd w:val="clear" w:color="auto" w:fill="C0C0C0"/>
          </w:tcPr>
          <w:p>
            <w:pPr>
              <w:jc w:val="right"/>
              <w:ind w:right="180"/>
              <w:spacing w:after="0"/>
              <w:rPr>
                <w:sz w:val="20"/>
                <w:szCs w:val="20"/>
                <w:color w:val="auto"/>
              </w:rPr>
            </w:pPr>
            <w:r>
              <w:rPr>
                <w:rFonts w:ascii="Arial" w:cs="Arial" w:eastAsia="Arial" w:hAnsi="Arial"/>
                <w:sz w:val="16"/>
                <w:szCs w:val="16"/>
                <w:b w:val="1"/>
                <w:bCs w:val="1"/>
                <w:color w:val="auto"/>
              </w:rPr>
              <w:t>2,025</w:t>
            </w:r>
          </w:p>
        </w:tc>
      </w:tr>
      <w:tr>
        <w:trPr>
          <w:trHeight w:val="189"/>
        </w:trPr>
        <w:tc>
          <w:tcPr>
            <w:tcW w:w="3220" w:type="dxa"/>
            <w:vAlign w:val="bottom"/>
          </w:tcPr>
          <w:p>
            <w:pPr>
              <w:ind w:left="20"/>
              <w:spacing w:after="0"/>
              <w:rPr>
                <w:sz w:val="20"/>
                <w:szCs w:val="20"/>
                <w:color w:val="auto"/>
              </w:rPr>
            </w:pPr>
            <w:r>
              <w:rPr>
                <w:rFonts w:ascii="Arial" w:cs="Arial" w:eastAsia="Arial" w:hAnsi="Arial"/>
                <w:sz w:val="16"/>
                <w:szCs w:val="16"/>
                <w:color w:val="auto"/>
              </w:rPr>
              <w:t>Restricted stock issued</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242</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189"/>
        </w:trPr>
        <w:tc>
          <w:tcPr>
            <w:tcW w:w="3220" w:type="dxa"/>
            <w:vAlign w:val="bottom"/>
            <w:shd w:val="clear" w:color="auto" w:fill="C0C0C0"/>
          </w:tcPr>
          <w:p>
            <w:pPr>
              <w:ind w:left="20"/>
              <w:spacing w:after="0"/>
              <w:rPr>
                <w:sz w:val="20"/>
                <w:szCs w:val="20"/>
                <w:color w:val="auto"/>
              </w:rPr>
            </w:pPr>
            <w:r>
              <w:rPr>
                <w:rFonts w:ascii="Arial" w:cs="Arial" w:eastAsia="Arial" w:hAnsi="Arial"/>
                <w:sz w:val="16"/>
                <w:szCs w:val="16"/>
                <w:color w:val="auto"/>
              </w:rPr>
              <w:t>Issued under director and stock plans</w:t>
            </w:r>
          </w:p>
        </w:tc>
        <w:tc>
          <w:tcPr>
            <w:tcW w:w="700" w:type="dxa"/>
            <w:vAlign w:val="bottom"/>
            <w:gridSpan w:val="2"/>
            <w:shd w:val="clear" w:color="auto" w:fill="C0C0C0"/>
          </w:tcPr>
          <w:p>
            <w:pPr>
              <w:jc w:val="right"/>
              <w:ind w:right="40"/>
              <w:spacing w:after="0"/>
              <w:rPr>
                <w:sz w:val="20"/>
                <w:szCs w:val="20"/>
                <w:color w:val="auto"/>
              </w:rPr>
            </w:pPr>
            <w:r>
              <w:rPr>
                <w:rFonts w:ascii="Arial" w:cs="Arial" w:eastAsia="Arial" w:hAnsi="Arial"/>
                <w:sz w:val="16"/>
                <w:szCs w:val="16"/>
                <w:color w:val="auto"/>
              </w:rPr>
              <w:t>1,559</w:t>
            </w:r>
          </w:p>
        </w:tc>
        <w:tc>
          <w:tcPr>
            <w:tcW w:w="6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360" w:type="dxa"/>
            <w:vAlign w:val="bottom"/>
            <w:gridSpan w:val="2"/>
            <w:shd w:val="clear" w:color="auto" w:fill="C0C0C0"/>
          </w:tcPr>
          <w:p>
            <w:pPr>
              <w:jc w:val="right"/>
              <w:ind w:right="80"/>
              <w:spacing w:after="0"/>
              <w:rPr>
                <w:sz w:val="20"/>
                <w:szCs w:val="20"/>
                <w:color w:val="auto"/>
              </w:rPr>
            </w:pPr>
            <w:r>
              <w:rPr>
                <w:rFonts w:ascii="Arial" w:cs="Arial" w:eastAsia="Arial" w:hAnsi="Arial"/>
                <w:sz w:val="16"/>
                <w:szCs w:val="16"/>
                <w:color w:val="auto"/>
              </w:rPr>
              <w:t>19</w:t>
            </w:r>
          </w:p>
        </w:tc>
        <w:tc>
          <w:tcPr>
            <w:tcW w:w="2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720" w:type="dxa"/>
            <w:vAlign w:val="bottom"/>
            <w:gridSpan w:val="2"/>
            <w:shd w:val="clear" w:color="auto" w:fill="C0C0C0"/>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0C0C0"/>
          </w:tcPr>
          <w:p>
            <w:pPr>
              <w:spacing w:after="0"/>
              <w:rPr>
                <w:sz w:val="16"/>
                <w:szCs w:val="16"/>
                <w:color w:val="auto"/>
              </w:rPr>
            </w:pPr>
          </w:p>
        </w:tc>
        <w:tc>
          <w:tcPr>
            <w:tcW w:w="620" w:type="dxa"/>
            <w:vAlign w:val="bottom"/>
            <w:gridSpan w:val="2"/>
            <w:shd w:val="clear" w:color="auto" w:fill="C0C0C0"/>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0C0C0"/>
          </w:tcPr>
          <w:p>
            <w:pPr>
              <w:spacing w:after="0"/>
              <w:rPr>
                <w:sz w:val="16"/>
                <w:szCs w:val="16"/>
                <w:color w:val="auto"/>
              </w:rPr>
            </w:pPr>
          </w:p>
        </w:tc>
        <w:tc>
          <w:tcPr>
            <w:tcW w:w="52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76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180" w:type="dxa"/>
            <w:vAlign w:val="bottom"/>
            <w:shd w:val="clear" w:color="auto" w:fill="C0C0C0"/>
          </w:tcPr>
          <w:p>
            <w:pPr>
              <w:spacing w:after="0"/>
              <w:rPr>
                <w:sz w:val="16"/>
                <w:szCs w:val="16"/>
                <w:color w:val="auto"/>
              </w:rPr>
            </w:pPr>
          </w:p>
        </w:tc>
        <w:tc>
          <w:tcPr>
            <w:tcW w:w="780" w:type="dxa"/>
            <w:vAlign w:val="bottom"/>
            <w:gridSpan w:val="2"/>
            <w:shd w:val="clear" w:color="auto" w:fill="C0C0C0"/>
          </w:tcPr>
          <w:p>
            <w:pPr>
              <w:jc w:val="right"/>
              <w:ind w:right="180"/>
              <w:spacing w:after="0"/>
              <w:rPr>
                <w:sz w:val="20"/>
                <w:szCs w:val="20"/>
                <w:color w:val="auto"/>
              </w:rPr>
            </w:pPr>
            <w:r>
              <w:rPr>
                <w:rFonts w:ascii="Arial" w:cs="Arial" w:eastAsia="Arial" w:hAnsi="Arial"/>
                <w:sz w:val="16"/>
                <w:szCs w:val="16"/>
                <w:color w:val="auto"/>
              </w:rPr>
              <w:t>19</w:t>
            </w:r>
          </w:p>
        </w:tc>
      </w:tr>
      <w:tr>
        <w:trPr>
          <w:trHeight w:val="189"/>
        </w:trPr>
        <w:tc>
          <w:tcPr>
            <w:tcW w:w="322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18</w:t>
            </w:r>
          </w:p>
        </w:tc>
      </w:tr>
      <w:tr>
        <w:trPr>
          <w:trHeight w:val="189"/>
        </w:trPr>
        <w:tc>
          <w:tcPr>
            <w:tcW w:w="3220" w:type="dxa"/>
            <w:vAlign w:val="bottom"/>
            <w:shd w:val="clear" w:color="auto" w:fill="C0C0C0"/>
          </w:tcPr>
          <w:p>
            <w:pPr>
              <w:ind w:left="20"/>
              <w:spacing w:after="0"/>
              <w:rPr>
                <w:sz w:val="20"/>
                <w:szCs w:val="20"/>
                <w:color w:val="auto"/>
              </w:rPr>
            </w:pPr>
            <w:r>
              <w:rPr>
                <w:rFonts w:ascii="Arial" w:cs="Arial" w:eastAsia="Arial" w:hAnsi="Arial"/>
                <w:sz w:val="16"/>
                <w:szCs w:val="16"/>
                <w:color w:val="auto"/>
              </w:rPr>
              <w:t>Total tax benefit from exercise of options</w:t>
            </w:r>
          </w:p>
        </w:tc>
        <w:tc>
          <w:tcPr>
            <w:tcW w:w="700" w:type="dxa"/>
            <w:vAlign w:val="bottom"/>
            <w:gridSpan w:val="2"/>
            <w:shd w:val="clear" w:color="auto" w:fill="C0C0C0"/>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360" w:type="dxa"/>
            <w:vAlign w:val="bottom"/>
            <w:gridSpan w:val="2"/>
            <w:shd w:val="clear" w:color="auto" w:fill="C0C0C0"/>
          </w:tcPr>
          <w:p>
            <w:pPr>
              <w:jc w:val="right"/>
              <w:ind w:right="80"/>
              <w:spacing w:after="0"/>
              <w:rPr>
                <w:sz w:val="20"/>
                <w:szCs w:val="20"/>
                <w:color w:val="auto"/>
              </w:rPr>
            </w:pPr>
            <w:r>
              <w:rPr>
                <w:rFonts w:ascii="Arial" w:cs="Arial" w:eastAsia="Arial" w:hAnsi="Arial"/>
                <w:sz w:val="16"/>
                <w:szCs w:val="16"/>
                <w:color w:val="auto"/>
              </w:rPr>
              <w:t>6</w:t>
            </w:r>
          </w:p>
        </w:tc>
        <w:tc>
          <w:tcPr>
            <w:tcW w:w="2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60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40" w:type="dxa"/>
            <w:vAlign w:val="bottom"/>
            <w:shd w:val="clear" w:color="auto" w:fill="C0C0C0"/>
          </w:tcPr>
          <w:p>
            <w:pPr>
              <w:spacing w:after="0"/>
              <w:rPr>
                <w:sz w:val="16"/>
                <w:szCs w:val="16"/>
                <w:color w:val="auto"/>
              </w:rPr>
            </w:pPr>
          </w:p>
        </w:tc>
        <w:tc>
          <w:tcPr>
            <w:tcW w:w="48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52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76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180" w:type="dxa"/>
            <w:vAlign w:val="bottom"/>
            <w:shd w:val="clear" w:color="auto" w:fill="C0C0C0"/>
          </w:tcPr>
          <w:p>
            <w:pPr>
              <w:spacing w:after="0"/>
              <w:rPr>
                <w:sz w:val="16"/>
                <w:szCs w:val="16"/>
                <w:color w:val="auto"/>
              </w:rPr>
            </w:pPr>
          </w:p>
        </w:tc>
        <w:tc>
          <w:tcPr>
            <w:tcW w:w="780" w:type="dxa"/>
            <w:vAlign w:val="bottom"/>
            <w:gridSpan w:val="2"/>
            <w:shd w:val="clear" w:color="auto" w:fill="C0C0C0"/>
          </w:tcPr>
          <w:p>
            <w:pPr>
              <w:jc w:val="right"/>
              <w:ind w:right="180"/>
              <w:spacing w:after="0"/>
              <w:rPr>
                <w:sz w:val="20"/>
                <w:szCs w:val="20"/>
                <w:color w:val="auto"/>
              </w:rPr>
            </w:pPr>
            <w:r>
              <w:rPr>
                <w:rFonts w:ascii="Arial" w:cs="Arial" w:eastAsia="Arial" w:hAnsi="Arial"/>
                <w:sz w:val="16"/>
                <w:szCs w:val="16"/>
                <w:color w:val="auto"/>
              </w:rPr>
              <w:t>6</w:t>
            </w:r>
          </w:p>
        </w:tc>
      </w:tr>
      <w:tr>
        <w:trPr>
          <w:trHeight w:val="189"/>
        </w:trPr>
        <w:tc>
          <w:tcPr>
            <w:tcW w:w="3220" w:type="dxa"/>
            <w:vAlign w:val="bottom"/>
          </w:tcPr>
          <w:p>
            <w:pPr>
              <w:ind w:left="20"/>
              <w:spacing w:after="0"/>
              <w:rPr>
                <w:sz w:val="20"/>
                <w:szCs w:val="20"/>
                <w:color w:val="auto"/>
              </w:rPr>
            </w:pPr>
            <w:r>
              <w:rPr>
                <w:rFonts w:ascii="Arial" w:cs="Arial" w:eastAsia="Arial" w:hAnsi="Arial"/>
                <w:sz w:val="16"/>
                <w:szCs w:val="16"/>
                <w:color w:val="auto"/>
              </w:rPr>
              <w:t>Forfeitures of restricted stock</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1</w:t>
            </w:r>
          </w:p>
        </w:tc>
        <w:tc>
          <w:tcPr>
            <w:tcW w:w="800" w:type="dxa"/>
            <w:vAlign w:val="bottom"/>
            <w:gridSpan w:val="4"/>
          </w:tcPr>
          <w:p>
            <w:pPr>
              <w:jc w:val="right"/>
              <w:ind w:right="60"/>
              <w:spacing w:after="0"/>
              <w:rPr>
                <w:sz w:val="20"/>
                <w:szCs w:val="20"/>
                <w:color w:val="auto"/>
              </w:rPr>
            </w:pPr>
            <w:r>
              <w:rPr>
                <w:rFonts w:ascii="Arial" w:cs="Arial" w:eastAsia="Arial" w:hAnsi="Arial"/>
                <w:sz w:val="16"/>
                <w:szCs w:val="16"/>
                <w:color w:val="auto"/>
              </w:rPr>
              <w:t>(60)</w:t>
            </w:r>
          </w:p>
        </w:tc>
        <w:tc>
          <w:tcPr>
            <w:tcW w:w="4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1</w:t>
            </w:r>
          </w:p>
        </w:tc>
      </w:tr>
      <w:tr>
        <w:trPr>
          <w:trHeight w:val="191"/>
        </w:trPr>
        <w:tc>
          <w:tcPr>
            <w:tcW w:w="3220" w:type="dxa"/>
            <w:vAlign w:val="bottom"/>
            <w:shd w:val="clear" w:color="auto" w:fill="C0C0C0"/>
          </w:tcPr>
          <w:p>
            <w:pPr>
              <w:ind w:left="20"/>
              <w:spacing w:after="0"/>
              <w:rPr>
                <w:sz w:val="20"/>
                <w:szCs w:val="20"/>
                <w:color w:val="auto"/>
              </w:rPr>
            </w:pPr>
            <w:r>
              <w:rPr>
                <w:rFonts w:ascii="Arial" w:cs="Arial" w:eastAsia="Arial" w:hAnsi="Arial"/>
                <w:sz w:val="16"/>
                <w:szCs w:val="16"/>
                <w:color w:val="auto"/>
              </w:rPr>
              <w:t>Shares of common stock used to satisfy tax</w:t>
            </w:r>
          </w:p>
        </w:tc>
        <w:tc>
          <w:tcPr>
            <w:tcW w:w="700" w:type="dxa"/>
            <w:vAlign w:val="bottom"/>
            <w:gridSpan w:val="2"/>
            <w:shd w:val="clear" w:color="auto" w:fill="C0C0C0"/>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360" w:type="dxa"/>
            <w:vAlign w:val="bottom"/>
            <w:gridSpan w:val="2"/>
            <w:shd w:val="clear" w:color="auto" w:fill="C0C0C0"/>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gridSpan w:val="4"/>
            <w:shd w:val="clear" w:color="auto" w:fill="C0C0C0"/>
          </w:tcPr>
          <w:p>
            <w:pPr>
              <w:jc w:val="right"/>
              <w:ind w:right="60"/>
              <w:spacing w:after="0"/>
              <w:rPr>
                <w:sz w:val="20"/>
                <w:szCs w:val="20"/>
                <w:color w:val="auto"/>
              </w:rPr>
            </w:pPr>
            <w:r>
              <w:rPr>
                <w:rFonts w:ascii="Arial" w:cs="Arial" w:eastAsia="Arial" w:hAnsi="Arial"/>
                <w:sz w:val="16"/>
                <w:szCs w:val="16"/>
                <w:color w:val="auto"/>
              </w:rPr>
              <w:t>(140)</w:t>
            </w:r>
          </w:p>
        </w:tc>
        <w:tc>
          <w:tcPr>
            <w:tcW w:w="660" w:type="dxa"/>
            <w:vAlign w:val="bottom"/>
            <w:gridSpan w:val="3"/>
            <w:shd w:val="clear" w:color="auto" w:fill="C0C0C0"/>
          </w:tcPr>
          <w:p>
            <w:pPr>
              <w:jc w:val="right"/>
              <w:ind w:right="80"/>
              <w:spacing w:after="0"/>
              <w:rPr>
                <w:sz w:val="20"/>
                <w:szCs w:val="20"/>
                <w:color w:val="auto"/>
              </w:rPr>
            </w:pPr>
            <w:r>
              <w:rPr>
                <w:rFonts w:ascii="Arial" w:cs="Arial" w:eastAsia="Arial" w:hAnsi="Arial"/>
                <w:sz w:val="16"/>
                <w:szCs w:val="16"/>
                <w:color w:val="auto"/>
              </w:rPr>
              <w:t>(3)</w:t>
            </w:r>
          </w:p>
        </w:tc>
        <w:tc>
          <w:tcPr>
            <w:tcW w:w="60" w:type="dxa"/>
            <w:vAlign w:val="bottom"/>
            <w:shd w:val="clear" w:color="auto" w:fill="C0C0C0"/>
          </w:tcPr>
          <w:p>
            <w:pPr>
              <w:spacing w:after="0"/>
              <w:rPr>
                <w:sz w:val="16"/>
                <w:szCs w:val="16"/>
                <w:color w:val="auto"/>
              </w:rPr>
            </w:pPr>
          </w:p>
        </w:tc>
        <w:tc>
          <w:tcPr>
            <w:tcW w:w="52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76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180" w:type="dxa"/>
            <w:vAlign w:val="bottom"/>
            <w:shd w:val="clear" w:color="auto" w:fill="C0C0C0"/>
          </w:tcPr>
          <w:p>
            <w:pPr>
              <w:spacing w:after="0"/>
              <w:rPr>
                <w:sz w:val="16"/>
                <w:szCs w:val="16"/>
                <w:color w:val="auto"/>
              </w:rPr>
            </w:pPr>
          </w:p>
        </w:tc>
        <w:tc>
          <w:tcPr>
            <w:tcW w:w="780" w:type="dxa"/>
            <w:vAlign w:val="bottom"/>
            <w:gridSpan w:val="2"/>
            <w:shd w:val="clear" w:color="auto" w:fill="C0C0C0"/>
          </w:tcPr>
          <w:p>
            <w:pPr>
              <w:jc w:val="right"/>
              <w:ind w:right="120"/>
              <w:spacing w:after="0"/>
              <w:rPr>
                <w:sz w:val="20"/>
                <w:szCs w:val="20"/>
                <w:color w:val="auto"/>
              </w:rPr>
            </w:pPr>
            <w:r>
              <w:rPr>
                <w:rFonts w:ascii="Arial" w:cs="Arial" w:eastAsia="Arial" w:hAnsi="Arial"/>
                <w:sz w:val="16"/>
                <w:szCs w:val="16"/>
                <w:color w:val="auto"/>
              </w:rPr>
              <w:t>(3)</w:t>
            </w:r>
          </w:p>
        </w:tc>
      </w:tr>
      <w:tr>
        <w:trPr>
          <w:trHeight w:val="187"/>
        </w:trPr>
        <w:tc>
          <w:tcPr>
            <w:tcW w:w="3220" w:type="dxa"/>
            <w:vAlign w:val="bottom"/>
            <w:shd w:val="clear" w:color="auto" w:fill="C0C0C0"/>
          </w:tcPr>
          <w:p>
            <w:pPr>
              <w:ind w:left="200"/>
              <w:spacing w:after="0"/>
              <w:rPr>
                <w:sz w:val="20"/>
                <w:szCs w:val="20"/>
                <w:color w:val="auto"/>
              </w:rPr>
            </w:pPr>
            <w:r>
              <w:rPr>
                <w:rFonts w:ascii="Arial" w:cs="Arial" w:eastAsia="Arial" w:hAnsi="Arial"/>
                <w:sz w:val="16"/>
                <w:szCs w:val="16"/>
                <w:color w:val="auto"/>
              </w:rPr>
              <w:t>withholding obligations</w:t>
            </w:r>
          </w:p>
        </w:tc>
        <w:tc>
          <w:tcPr>
            <w:tcW w:w="660" w:type="dxa"/>
            <w:vAlign w:val="bottom"/>
            <w:shd w:val="clear" w:color="auto" w:fill="C0C0C0"/>
          </w:tcPr>
          <w:p>
            <w:pPr>
              <w:spacing w:after="0"/>
              <w:rPr>
                <w:sz w:val="16"/>
                <w:szCs w:val="16"/>
                <w:color w:val="auto"/>
              </w:rPr>
            </w:pPr>
          </w:p>
        </w:tc>
        <w:tc>
          <w:tcPr>
            <w:tcW w:w="4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28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2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60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40" w:type="dxa"/>
            <w:vAlign w:val="bottom"/>
            <w:shd w:val="clear" w:color="auto" w:fill="C0C0C0"/>
          </w:tcPr>
          <w:p>
            <w:pPr>
              <w:spacing w:after="0"/>
              <w:rPr>
                <w:sz w:val="16"/>
                <w:szCs w:val="16"/>
                <w:color w:val="auto"/>
              </w:rPr>
            </w:pPr>
          </w:p>
        </w:tc>
        <w:tc>
          <w:tcPr>
            <w:tcW w:w="48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52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76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180" w:type="dxa"/>
            <w:vAlign w:val="bottom"/>
            <w:shd w:val="clear" w:color="auto" w:fill="C0C0C0"/>
          </w:tcPr>
          <w:p>
            <w:pPr>
              <w:spacing w:after="0"/>
              <w:rPr>
                <w:sz w:val="16"/>
                <w:szCs w:val="16"/>
                <w:color w:val="auto"/>
              </w:rPr>
            </w:pPr>
          </w:p>
        </w:tc>
        <w:tc>
          <w:tcPr>
            <w:tcW w:w="600" w:type="dxa"/>
            <w:vAlign w:val="bottom"/>
            <w:shd w:val="clear" w:color="auto" w:fill="C0C0C0"/>
          </w:tcPr>
          <w:p>
            <w:pPr>
              <w:spacing w:after="0"/>
              <w:rPr>
                <w:sz w:val="16"/>
                <w:szCs w:val="16"/>
                <w:color w:val="auto"/>
              </w:rPr>
            </w:pPr>
          </w:p>
        </w:tc>
        <w:tc>
          <w:tcPr>
            <w:tcW w:w="180" w:type="dxa"/>
            <w:vAlign w:val="bottom"/>
            <w:shd w:val="clear" w:color="auto" w:fill="C0C0C0"/>
          </w:tcPr>
          <w:p>
            <w:pPr>
              <w:spacing w:after="0"/>
              <w:rPr>
                <w:sz w:val="16"/>
                <w:szCs w:val="16"/>
                <w:color w:val="auto"/>
              </w:rPr>
            </w:pPr>
          </w:p>
        </w:tc>
      </w:tr>
      <w:tr>
        <w:trPr>
          <w:trHeight w:val="189"/>
        </w:trPr>
        <w:tc>
          <w:tcPr>
            <w:tcW w:w="3220" w:type="dxa"/>
            <w:vAlign w:val="bottom"/>
          </w:tcPr>
          <w:p>
            <w:pPr>
              <w:ind w:left="20"/>
              <w:spacing w:after="0"/>
              <w:rPr>
                <w:sz w:val="20"/>
                <w:szCs w:val="20"/>
                <w:color w:val="auto"/>
              </w:rPr>
            </w:pPr>
            <w:r>
              <w:rPr>
                <w:rFonts w:ascii="Arial" w:cs="Arial" w:eastAsia="Arial" w:hAnsi="Arial"/>
                <w:sz w:val="16"/>
                <w:szCs w:val="16"/>
                <w:color w:val="auto"/>
              </w:rPr>
              <w:t>Acquired in exchange of stock options</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gridSpan w:val="4"/>
          </w:tcPr>
          <w:p>
            <w:pPr>
              <w:jc w:val="right"/>
              <w:ind w:right="60"/>
              <w:spacing w:after="0"/>
              <w:rPr>
                <w:sz w:val="20"/>
                <w:szCs w:val="20"/>
                <w:color w:val="auto"/>
              </w:rPr>
            </w:pPr>
            <w:r>
              <w:rPr>
                <w:rFonts w:ascii="Arial" w:cs="Arial" w:eastAsia="Arial" w:hAnsi="Arial"/>
                <w:sz w:val="16"/>
                <w:szCs w:val="16"/>
                <w:color w:val="auto"/>
              </w:rPr>
              <w:t>(34)</w:t>
            </w:r>
          </w:p>
        </w:tc>
        <w:tc>
          <w:tcPr>
            <w:tcW w:w="660" w:type="dxa"/>
            <w:vAlign w:val="bottom"/>
            <w:gridSpan w:val="3"/>
          </w:tcPr>
          <w:p>
            <w:pPr>
              <w:jc w:val="right"/>
              <w:ind w:right="80"/>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r>
      <w:tr>
        <w:trPr>
          <w:trHeight w:val="189"/>
        </w:trPr>
        <w:tc>
          <w:tcPr>
            <w:tcW w:w="3220" w:type="dxa"/>
            <w:vAlign w:val="bottom"/>
            <w:shd w:val="clear" w:color="auto" w:fill="C0C0C0"/>
          </w:tcPr>
          <w:p>
            <w:pPr>
              <w:ind w:left="20"/>
              <w:spacing w:after="0"/>
              <w:rPr>
                <w:sz w:val="20"/>
                <w:szCs w:val="20"/>
                <w:color w:val="auto"/>
              </w:rPr>
            </w:pPr>
            <w:r>
              <w:rPr>
                <w:rFonts w:ascii="Arial" w:cs="Arial" w:eastAsia="Arial" w:hAnsi="Arial"/>
                <w:sz w:val="16"/>
                <w:szCs w:val="16"/>
                <w:color w:val="auto"/>
              </w:rPr>
              <w:t>Share repurchases</w:t>
            </w:r>
          </w:p>
        </w:tc>
        <w:tc>
          <w:tcPr>
            <w:tcW w:w="700" w:type="dxa"/>
            <w:vAlign w:val="bottom"/>
            <w:gridSpan w:val="2"/>
            <w:shd w:val="clear" w:color="auto" w:fill="C0C0C0"/>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360" w:type="dxa"/>
            <w:vAlign w:val="bottom"/>
            <w:gridSpan w:val="2"/>
            <w:shd w:val="clear" w:color="auto" w:fill="C0C0C0"/>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gridSpan w:val="4"/>
            <w:shd w:val="clear" w:color="auto" w:fill="C0C0C0"/>
          </w:tcPr>
          <w:p>
            <w:pPr>
              <w:jc w:val="right"/>
              <w:ind w:right="60"/>
              <w:spacing w:after="0"/>
              <w:rPr>
                <w:sz w:val="20"/>
                <w:szCs w:val="20"/>
                <w:color w:val="auto"/>
              </w:rPr>
            </w:pPr>
            <w:r>
              <w:rPr>
                <w:rFonts w:ascii="Arial" w:cs="Arial" w:eastAsia="Arial" w:hAnsi="Arial"/>
                <w:sz w:val="16"/>
                <w:szCs w:val="16"/>
                <w:color w:val="auto"/>
              </w:rPr>
              <w:t>(4,904)</w:t>
            </w:r>
          </w:p>
        </w:tc>
        <w:tc>
          <w:tcPr>
            <w:tcW w:w="660" w:type="dxa"/>
            <w:vAlign w:val="bottom"/>
            <w:gridSpan w:val="3"/>
            <w:shd w:val="clear" w:color="auto" w:fill="C0C0C0"/>
          </w:tcPr>
          <w:p>
            <w:pPr>
              <w:jc w:val="right"/>
              <w:ind w:right="80"/>
              <w:spacing w:after="0"/>
              <w:rPr>
                <w:sz w:val="20"/>
                <w:szCs w:val="20"/>
                <w:color w:val="auto"/>
              </w:rPr>
            </w:pPr>
            <w:r>
              <w:rPr>
                <w:rFonts w:ascii="Arial" w:cs="Arial" w:eastAsia="Arial" w:hAnsi="Arial"/>
                <w:sz w:val="16"/>
                <w:szCs w:val="16"/>
                <w:color w:val="auto"/>
              </w:rPr>
              <w:t>(104)</w:t>
            </w:r>
          </w:p>
        </w:tc>
        <w:tc>
          <w:tcPr>
            <w:tcW w:w="60" w:type="dxa"/>
            <w:vAlign w:val="bottom"/>
            <w:shd w:val="clear" w:color="auto" w:fill="C0C0C0"/>
          </w:tcPr>
          <w:p>
            <w:pPr>
              <w:spacing w:after="0"/>
              <w:rPr>
                <w:sz w:val="16"/>
                <w:szCs w:val="16"/>
                <w:color w:val="auto"/>
              </w:rPr>
            </w:pPr>
          </w:p>
        </w:tc>
        <w:tc>
          <w:tcPr>
            <w:tcW w:w="52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76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180" w:type="dxa"/>
            <w:vAlign w:val="bottom"/>
            <w:shd w:val="clear" w:color="auto" w:fill="C0C0C0"/>
          </w:tcPr>
          <w:p>
            <w:pPr>
              <w:spacing w:after="0"/>
              <w:rPr>
                <w:sz w:val="16"/>
                <w:szCs w:val="16"/>
                <w:color w:val="auto"/>
              </w:rPr>
            </w:pPr>
          </w:p>
        </w:tc>
        <w:tc>
          <w:tcPr>
            <w:tcW w:w="780" w:type="dxa"/>
            <w:vAlign w:val="bottom"/>
            <w:gridSpan w:val="2"/>
            <w:shd w:val="clear" w:color="auto" w:fill="C0C0C0"/>
          </w:tcPr>
          <w:p>
            <w:pPr>
              <w:jc w:val="right"/>
              <w:ind w:right="120"/>
              <w:spacing w:after="0"/>
              <w:rPr>
                <w:sz w:val="20"/>
                <w:szCs w:val="20"/>
                <w:color w:val="auto"/>
              </w:rPr>
            </w:pPr>
            <w:r>
              <w:rPr>
                <w:rFonts w:ascii="Arial" w:cs="Arial" w:eastAsia="Arial" w:hAnsi="Arial"/>
                <w:sz w:val="16"/>
                <w:szCs w:val="16"/>
                <w:color w:val="auto"/>
              </w:rPr>
              <w:t>(104)</w:t>
            </w:r>
          </w:p>
        </w:tc>
      </w:tr>
      <w:tr>
        <w:trPr>
          <w:trHeight w:val="189"/>
        </w:trPr>
        <w:tc>
          <w:tcPr>
            <w:tcW w:w="3220" w:type="dxa"/>
            <w:vAlign w:val="bottom"/>
          </w:tcPr>
          <w:p>
            <w:pPr>
              <w:ind w:left="20"/>
              <w:spacing w:after="0"/>
              <w:rPr>
                <w:sz w:val="20"/>
                <w:szCs w:val="20"/>
                <w:color w:val="auto"/>
              </w:rPr>
            </w:pPr>
            <w:r>
              <w:rPr>
                <w:rFonts w:ascii="Arial" w:cs="Arial" w:eastAsia="Arial" w:hAnsi="Arial"/>
                <w:sz w:val="16"/>
                <w:szCs w:val="16"/>
                <w:color w:val="auto"/>
              </w:rPr>
              <w:t>Reissued – employee stock purchase plan</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gridSpan w:val="4"/>
          </w:tcPr>
          <w:p>
            <w:pPr>
              <w:jc w:val="right"/>
              <w:ind w:right="120"/>
              <w:spacing w:after="0"/>
              <w:rPr>
                <w:sz w:val="20"/>
                <w:szCs w:val="20"/>
                <w:color w:val="auto"/>
              </w:rPr>
            </w:pPr>
            <w:r>
              <w:rPr>
                <w:rFonts w:ascii="Arial" w:cs="Arial" w:eastAsia="Arial" w:hAnsi="Arial"/>
                <w:sz w:val="16"/>
                <w:szCs w:val="16"/>
                <w:color w:val="auto"/>
              </w:rPr>
              <w:t>336</w:t>
            </w:r>
          </w:p>
        </w:tc>
        <w:tc>
          <w:tcPr>
            <w:tcW w:w="660" w:type="dxa"/>
            <w:vAlign w:val="bottom"/>
            <w:gridSpan w:val="3"/>
          </w:tcPr>
          <w:p>
            <w:pPr>
              <w:jc w:val="right"/>
              <w:ind w:right="140"/>
              <w:spacing w:after="0"/>
              <w:rPr>
                <w:sz w:val="20"/>
                <w:szCs w:val="20"/>
                <w:color w:val="auto"/>
              </w:rPr>
            </w:pPr>
            <w:r>
              <w:rPr>
                <w:rFonts w:ascii="Arial" w:cs="Arial" w:eastAsia="Arial" w:hAnsi="Arial"/>
                <w:sz w:val="16"/>
                <w:szCs w:val="16"/>
                <w:color w:val="auto"/>
              </w:rPr>
              <w:t>7</w:t>
            </w: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7</w:t>
            </w:r>
          </w:p>
        </w:tc>
      </w:tr>
      <w:tr>
        <w:trPr>
          <w:trHeight w:val="189"/>
        </w:trPr>
        <w:tc>
          <w:tcPr>
            <w:tcW w:w="3220" w:type="dxa"/>
            <w:vAlign w:val="bottom"/>
            <w:shd w:val="clear" w:color="auto" w:fill="C0C0C0"/>
          </w:tcPr>
          <w:p>
            <w:pPr>
              <w:ind w:left="20"/>
              <w:spacing w:after="0"/>
              <w:rPr>
                <w:sz w:val="20"/>
                <w:szCs w:val="20"/>
                <w:color w:val="auto"/>
              </w:rPr>
            </w:pPr>
            <w:r>
              <w:rPr>
                <w:rFonts w:ascii="Arial" w:cs="Arial" w:eastAsia="Arial" w:hAnsi="Arial"/>
                <w:sz w:val="16"/>
                <w:szCs w:val="16"/>
                <w:color w:val="auto"/>
              </w:rPr>
              <w:t>Net income</w:t>
            </w:r>
          </w:p>
        </w:tc>
        <w:tc>
          <w:tcPr>
            <w:tcW w:w="660" w:type="dxa"/>
            <w:vAlign w:val="bottom"/>
            <w:shd w:val="clear" w:color="auto" w:fill="C0C0C0"/>
          </w:tcPr>
          <w:p>
            <w:pPr>
              <w:spacing w:after="0"/>
              <w:rPr>
                <w:sz w:val="16"/>
                <w:szCs w:val="16"/>
                <w:color w:val="auto"/>
              </w:rPr>
            </w:pPr>
          </w:p>
        </w:tc>
        <w:tc>
          <w:tcPr>
            <w:tcW w:w="4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28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2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60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40" w:type="dxa"/>
            <w:vAlign w:val="bottom"/>
            <w:shd w:val="clear" w:color="auto" w:fill="C0C0C0"/>
          </w:tcPr>
          <w:p>
            <w:pPr>
              <w:spacing w:after="0"/>
              <w:rPr>
                <w:sz w:val="16"/>
                <w:szCs w:val="16"/>
                <w:color w:val="auto"/>
              </w:rPr>
            </w:pPr>
          </w:p>
        </w:tc>
        <w:tc>
          <w:tcPr>
            <w:tcW w:w="48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680" w:type="dxa"/>
            <w:vAlign w:val="bottom"/>
            <w:gridSpan w:val="3"/>
            <w:shd w:val="clear" w:color="auto" w:fill="C0C0C0"/>
          </w:tcPr>
          <w:p>
            <w:pPr>
              <w:jc w:val="right"/>
              <w:ind w:right="100"/>
              <w:spacing w:after="0"/>
              <w:rPr>
                <w:sz w:val="20"/>
                <w:szCs w:val="20"/>
                <w:color w:val="auto"/>
              </w:rPr>
            </w:pPr>
            <w:r>
              <w:rPr>
                <w:rFonts w:ascii="Arial" w:cs="Arial" w:eastAsia="Arial" w:hAnsi="Arial"/>
                <w:sz w:val="16"/>
                <w:szCs w:val="16"/>
                <w:color w:val="auto"/>
              </w:rPr>
              <w:t>278</w:t>
            </w:r>
          </w:p>
        </w:tc>
        <w:tc>
          <w:tcPr>
            <w:tcW w:w="6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76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180" w:type="dxa"/>
            <w:vAlign w:val="bottom"/>
            <w:shd w:val="clear" w:color="auto" w:fill="C0C0C0"/>
          </w:tcPr>
          <w:p>
            <w:pPr>
              <w:spacing w:after="0"/>
              <w:rPr>
                <w:sz w:val="16"/>
                <w:szCs w:val="16"/>
                <w:color w:val="auto"/>
              </w:rPr>
            </w:pPr>
          </w:p>
        </w:tc>
        <w:tc>
          <w:tcPr>
            <w:tcW w:w="780" w:type="dxa"/>
            <w:vAlign w:val="bottom"/>
            <w:gridSpan w:val="2"/>
            <w:shd w:val="clear" w:color="auto" w:fill="C0C0C0"/>
          </w:tcPr>
          <w:p>
            <w:pPr>
              <w:jc w:val="right"/>
              <w:ind w:right="180"/>
              <w:spacing w:after="0"/>
              <w:rPr>
                <w:sz w:val="20"/>
                <w:szCs w:val="20"/>
                <w:color w:val="auto"/>
              </w:rPr>
            </w:pPr>
            <w:r>
              <w:rPr>
                <w:rFonts w:ascii="Arial" w:cs="Arial" w:eastAsia="Arial" w:hAnsi="Arial"/>
                <w:sz w:val="16"/>
                <w:szCs w:val="16"/>
                <w:color w:val="auto"/>
              </w:rPr>
              <w:t>278</w:t>
            </w:r>
          </w:p>
        </w:tc>
      </w:tr>
      <w:tr>
        <w:trPr>
          <w:trHeight w:val="191"/>
        </w:trPr>
        <w:tc>
          <w:tcPr>
            <w:tcW w:w="3220" w:type="dxa"/>
            <w:vAlign w:val="bottom"/>
          </w:tcPr>
          <w:p>
            <w:pPr>
              <w:ind w:left="20"/>
              <w:spacing w:after="0"/>
              <w:rPr>
                <w:sz w:val="20"/>
                <w:szCs w:val="20"/>
                <w:color w:val="auto"/>
              </w:rPr>
            </w:pPr>
            <w:r>
              <w:rPr>
                <w:rFonts w:ascii="Arial" w:cs="Arial" w:eastAsia="Arial" w:hAnsi="Arial"/>
                <w:sz w:val="16"/>
                <w:szCs w:val="16"/>
                <w:color w:val="auto"/>
              </w:rPr>
              <w:t>Cash dividends declared on common stock</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6"/>
                <w:szCs w:val="16"/>
                <w:color w:val="auto"/>
              </w:rPr>
              <w:t>(101)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(101)</w:t>
            </w:r>
          </w:p>
        </w:tc>
      </w:tr>
      <w:tr>
        <w:trPr>
          <w:trHeight w:val="187"/>
        </w:trPr>
        <w:tc>
          <w:tcPr>
            <w:tcW w:w="3220" w:type="dxa"/>
            <w:vAlign w:val="bottom"/>
          </w:tcPr>
          <w:p>
            <w:pPr>
              <w:ind w:left="200"/>
              <w:spacing w:after="0"/>
              <w:rPr>
                <w:sz w:val="20"/>
                <w:szCs w:val="20"/>
                <w:color w:val="auto"/>
              </w:rPr>
            </w:pPr>
            <w:r>
              <w:rPr>
                <w:rFonts w:ascii="Arial" w:cs="Arial" w:eastAsia="Arial" w:hAnsi="Arial"/>
                <w:sz w:val="16"/>
                <w:szCs w:val="16"/>
                <w:color w:val="auto"/>
              </w:rPr>
              <w:t>($0.66 per share)</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9"/>
        </w:trPr>
        <w:tc>
          <w:tcPr>
            <w:tcW w:w="3220" w:type="dxa"/>
            <w:vAlign w:val="bottom"/>
            <w:shd w:val="clear" w:color="auto" w:fill="C0C0C0"/>
          </w:tcPr>
          <w:p>
            <w:pPr>
              <w:ind w:left="20"/>
              <w:spacing w:after="0"/>
              <w:rPr>
                <w:sz w:val="20"/>
                <w:szCs w:val="20"/>
                <w:color w:val="auto"/>
              </w:rPr>
            </w:pPr>
            <w:r>
              <w:rPr>
                <w:rFonts w:ascii="Arial" w:cs="Arial" w:eastAsia="Arial" w:hAnsi="Arial"/>
                <w:sz w:val="16"/>
                <w:szCs w:val="16"/>
                <w:color w:val="auto"/>
              </w:rPr>
              <w:t>Translation adjustment, net of tax</w:t>
            </w:r>
          </w:p>
        </w:tc>
        <w:tc>
          <w:tcPr>
            <w:tcW w:w="660" w:type="dxa"/>
            <w:vAlign w:val="bottom"/>
            <w:shd w:val="clear" w:color="auto" w:fill="C0C0C0"/>
          </w:tcPr>
          <w:p>
            <w:pPr>
              <w:spacing w:after="0"/>
              <w:rPr>
                <w:sz w:val="16"/>
                <w:szCs w:val="16"/>
                <w:color w:val="auto"/>
              </w:rPr>
            </w:pPr>
          </w:p>
        </w:tc>
        <w:tc>
          <w:tcPr>
            <w:tcW w:w="4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28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2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60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40" w:type="dxa"/>
            <w:vAlign w:val="bottom"/>
            <w:shd w:val="clear" w:color="auto" w:fill="C0C0C0"/>
          </w:tcPr>
          <w:p>
            <w:pPr>
              <w:spacing w:after="0"/>
              <w:rPr>
                <w:sz w:val="16"/>
                <w:szCs w:val="16"/>
                <w:color w:val="auto"/>
              </w:rPr>
            </w:pPr>
          </w:p>
        </w:tc>
        <w:tc>
          <w:tcPr>
            <w:tcW w:w="48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52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1000" w:type="dxa"/>
            <w:vAlign w:val="bottom"/>
            <w:gridSpan w:val="2"/>
            <w:shd w:val="clear" w:color="auto" w:fill="C0C0C0"/>
          </w:tcPr>
          <w:p>
            <w:pPr>
              <w:jc w:val="right"/>
              <w:ind w:right="180"/>
              <w:spacing w:after="0"/>
              <w:rPr>
                <w:sz w:val="20"/>
                <w:szCs w:val="20"/>
                <w:color w:val="auto"/>
              </w:rPr>
            </w:pPr>
            <w:r>
              <w:rPr>
                <w:rFonts w:ascii="Arial" w:cs="Arial" w:eastAsia="Arial" w:hAnsi="Arial"/>
                <w:sz w:val="16"/>
                <w:szCs w:val="16"/>
                <w:color w:val="auto"/>
              </w:rPr>
              <w:t>(23)</w:t>
            </w:r>
          </w:p>
        </w:tc>
        <w:tc>
          <w:tcPr>
            <w:tcW w:w="60" w:type="dxa"/>
            <w:vAlign w:val="bottom"/>
            <w:shd w:val="clear" w:color="auto" w:fill="C0C0C0"/>
          </w:tcPr>
          <w:p>
            <w:pPr>
              <w:spacing w:after="0"/>
              <w:rPr>
                <w:sz w:val="16"/>
                <w:szCs w:val="16"/>
                <w:color w:val="auto"/>
              </w:rPr>
            </w:pPr>
          </w:p>
        </w:tc>
        <w:tc>
          <w:tcPr>
            <w:tcW w:w="180" w:type="dxa"/>
            <w:vAlign w:val="bottom"/>
            <w:shd w:val="clear" w:color="auto" w:fill="C0C0C0"/>
          </w:tcPr>
          <w:p>
            <w:pPr>
              <w:spacing w:after="0"/>
              <w:rPr>
                <w:sz w:val="16"/>
                <w:szCs w:val="16"/>
                <w:color w:val="auto"/>
              </w:rPr>
            </w:pPr>
          </w:p>
        </w:tc>
        <w:tc>
          <w:tcPr>
            <w:tcW w:w="780" w:type="dxa"/>
            <w:vAlign w:val="bottom"/>
            <w:gridSpan w:val="2"/>
            <w:shd w:val="clear" w:color="auto" w:fill="C0C0C0"/>
          </w:tcPr>
          <w:p>
            <w:pPr>
              <w:jc w:val="right"/>
              <w:ind w:right="120"/>
              <w:spacing w:after="0"/>
              <w:rPr>
                <w:sz w:val="20"/>
                <w:szCs w:val="20"/>
                <w:color w:val="auto"/>
              </w:rPr>
            </w:pPr>
            <w:r>
              <w:rPr>
                <w:rFonts w:ascii="Arial" w:cs="Arial" w:eastAsia="Arial" w:hAnsi="Arial"/>
                <w:sz w:val="16"/>
                <w:szCs w:val="16"/>
                <w:color w:val="auto"/>
              </w:rPr>
              <w:t>(23)</w:t>
            </w:r>
          </w:p>
        </w:tc>
      </w:tr>
      <w:tr>
        <w:trPr>
          <w:trHeight w:val="189"/>
        </w:trPr>
        <w:tc>
          <w:tcPr>
            <w:tcW w:w="3220" w:type="dxa"/>
            <w:vAlign w:val="bottom"/>
          </w:tcPr>
          <w:p>
            <w:pPr>
              <w:ind w:left="20"/>
              <w:spacing w:after="0"/>
              <w:rPr>
                <w:sz w:val="20"/>
                <w:szCs w:val="20"/>
                <w:color w:val="auto"/>
              </w:rPr>
            </w:pPr>
            <w:r>
              <w:rPr>
                <w:rFonts w:ascii="Arial" w:cs="Arial" w:eastAsia="Arial" w:hAnsi="Arial"/>
                <w:sz w:val="16"/>
                <w:szCs w:val="16"/>
                <w:color w:val="auto"/>
              </w:rPr>
              <w:t>Change in cash flow hedges, net of tax</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r>
      <w:tr>
        <w:trPr>
          <w:trHeight w:val="191"/>
        </w:trPr>
        <w:tc>
          <w:tcPr>
            <w:tcW w:w="3220" w:type="dxa"/>
            <w:vAlign w:val="bottom"/>
            <w:shd w:val="clear" w:color="auto" w:fill="C0C0C0"/>
          </w:tcPr>
          <w:p>
            <w:pPr>
              <w:ind w:left="20"/>
              <w:spacing w:after="0"/>
              <w:rPr>
                <w:sz w:val="20"/>
                <w:szCs w:val="20"/>
                <w:color w:val="auto"/>
              </w:rPr>
            </w:pPr>
            <w:r>
              <w:rPr>
                <w:rFonts w:ascii="Arial" w:cs="Arial" w:eastAsia="Arial" w:hAnsi="Arial"/>
                <w:sz w:val="16"/>
                <w:szCs w:val="16"/>
                <w:color w:val="auto"/>
              </w:rPr>
              <w:t>Pension and postretirement adjustments,</w:t>
            </w:r>
          </w:p>
        </w:tc>
        <w:tc>
          <w:tcPr>
            <w:tcW w:w="660" w:type="dxa"/>
            <w:vAlign w:val="bottom"/>
            <w:shd w:val="clear" w:color="auto" w:fill="C0C0C0"/>
          </w:tcPr>
          <w:p>
            <w:pPr>
              <w:spacing w:after="0"/>
              <w:rPr>
                <w:sz w:val="16"/>
                <w:szCs w:val="16"/>
                <w:color w:val="auto"/>
              </w:rPr>
            </w:pPr>
          </w:p>
        </w:tc>
        <w:tc>
          <w:tcPr>
            <w:tcW w:w="4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28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2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60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40" w:type="dxa"/>
            <w:vAlign w:val="bottom"/>
            <w:shd w:val="clear" w:color="auto" w:fill="C0C0C0"/>
          </w:tcPr>
          <w:p>
            <w:pPr>
              <w:spacing w:after="0"/>
              <w:rPr>
                <w:sz w:val="16"/>
                <w:szCs w:val="16"/>
                <w:color w:val="auto"/>
              </w:rPr>
            </w:pPr>
          </w:p>
        </w:tc>
        <w:tc>
          <w:tcPr>
            <w:tcW w:w="48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52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1000" w:type="dxa"/>
            <w:vAlign w:val="bottom"/>
            <w:gridSpan w:val="2"/>
            <w:shd w:val="clear" w:color="auto" w:fill="C0C0C0"/>
          </w:tcPr>
          <w:p>
            <w:pPr>
              <w:jc w:val="right"/>
              <w:ind w:right="180"/>
              <w:spacing w:after="0"/>
              <w:rPr>
                <w:sz w:val="20"/>
                <w:szCs w:val="20"/>
                <w:color w:val="auto"/>
              </w:rPr>
            </w:pPr>
            <w:r>
              <w:rPr>
                <w:rFonts w:ascii="Arial" w:cs="Arial" w:eastAsia="Arial" w:hAnsi="Arial"/>
                <w:sz w:val="16"/>
                <w:szCs w:val="16"/>
                <w:color w:val="auto"/>
              </w:rPr>
              <w:t>(10)</w:t>
            </w:r>
          </w:p>
        </w:tc>
        <w:tc>
          <w:tcPr>
            <w:tcW w:w="60" w:type="dxa"/>
            <w:vAlign w:val="bottom"/>
            <w:shd w:val="clear" w:color="auto" w:fill="C0C0C0"/>
          </w:tcPr>
          <w:p>
            <w:pPr>
              <w:spacing w:after="0"/>
              <w:rPr>
                <w:sz w:val="16"/>
                <w:szCs w:val="16"/>
                <w:color w:val="auto"/>
              </w:rPr>
            </w:pPr>
          </w:p>
        </w:tc>
        <w:tc>
          <w:tcPr>
            <w:tcW w:w="180" w:type="dxa"/>
            <w:vAlign w:val="bottom"/>
            <w:shd w:val="clear" w:color="auto" w:fill="C0C0C0"/>
          </w:tcPr>
          <w:p>
            <w:pPr>
              <w:spacing w:after="0"/>
              <w:rPr>
                <w:sz w:val="16"/>
                <w:szCs w:val="16"/>
                <w:color w:val="auto"/>
              </w:rPr>
            </w:pPr>
          </w:p>
        </w:tc>
        <w:tc>
          <w:tcPr>
            <w:tcW w:w="780" w:type="dxa"/>
            <w:vAlign w:val="bottom"/>
            <w:gridSpan w:val="2"/>
            <w:shd w:val="clear" w:color="auto" w:fill="C0C0C0"/>
          </w:tcPr>
          <w:p>
            <w:pPr>
              <w:jc w:val="right"/>
              <w:ind w:right="120"/>
              <w:spacing w:after="0"/>
              <w:rPr>
                <w:sz w:val="20"/>
                <w:szCs w:val="20"/>
                <w:color w:val="auto"/>
              </w:rPr>
            </w:pPr>
            <w:r>
              <w:rPr>
                <w:rFonts w:ascii="Arial" w:cs="Arial" w:eastAsia="Arial" w:hAnsi="Arial"/>
                <w:sz w:val="16"/>
                <w:szCs w:val="16"/>
                <w:color w:val="auto"/>
              </w:rPr>
              <w:t>(10)</w:t>
            </w:r>
          </w:p>
        </w:tc>
      </w:tr>
      <w:tr>
        <w:trPr>
          <w:trHeight w:val="187"/>
        </w:trPr>
        <w:tc>
          <w:tcPr>
            <w:tcW w:w="3220" w:type="dxa"/>
            <w:vAlign w:val="bottom"/>
            <w:tcBorders>
              <w:bottom w:val="single" w:sz="8" w:color="C0C0C0"/>
            </w:tcBorders>
            <w:shd w:val="clear" w:color="auto" w:fill="C0C0C0"/>
          </w:tcPr>
          <w:p>
            <w:pPr>
              <w:ind w:left="200"/>
              <w:spacing w:after="0"/>
              <w:rPr>
                <w:sz w:val="20"/>
                <w:szCs w:val="20"/>
                <w:color w:val="auto"/>
              </w:rPr>
            </w:pPr>
            <w:r>
              <w:rPr>
                <w:rFonts w:ascii="Arial" w:cs="Arial" w:eastAsia="Arial" w:hAnsi="Arial"/>
                <w:sz w:val="16"/>
                <w:szCs w:val="16"/>
                <w:color w:val="auto"/>
              </w:rPr>
              <w:t>net of tax</w:t>
            </w:r>
          </w:p>
        </w:tc>
        <w:tc>
          <w:tcPr>
            <w:tcW w:w="660" w:type="dxa"/>
            <w:vAlign w:val="bottom"/>
            <w:tcBorders>
              <w:bottom w:val="single" w:sz="8" w:color="auto"/>
            </w:tcBorders>
            <w:shd w:val="clear" w:color="auto" w:fill="C0C0C0"/>
          </w:tcPr>
          <w:p>
            <w:pPr>
              <w:spacing w:after="0"/>
              <w:rPr>
                <w:sz w:val="16"/>
                <w:szCs w:val="16"/>
                <w:color w:val="auto"/>
              </w:rPr>
            </w:pPr>
          </w:p>
        </w:tc>
        <w:tc>
          <w:tcPr>
            <w:tcW w:w="40" w:type="dxa"/>
            <w:vAlign w:val="bottom"/>
            <w:tcBorders>
              <w:bottom w:val="single" w:sz="8" w:color="C0C0C0"/>
            </w:tcBorders>
            <w:shd w:val="clear" w:color="auto" w:fill="C0C0C0"/>
          </w:tcPr>
          <w:p>
            <w:pPr>
              <w:spacing w:after="0"/>
              <w:rPr>
                <w:sz w:val="16"/>
                <w:szCs w:val="16"/>
                <w:color w:val="auto"/>
              </w:rPr>
            </w:pPr>
          </w:p>
        </w:tc>
        <w:tc>
          <w:tcPr>
            <w:tcW w:w="60" w:type="dxa"/>
            <w:vAlign w:val="bottom"/>
            <w:tcBorders>
              <w:bottom w:val="single" w:sz="8" w:color="C0C0C0"/>
            </w:tcBorders>
            <w:shd w:val="clear" w:color="auto" w:fill="C0C0C0"/>
          </w:tcPr>
          <w:p>
            <w:pPr>
              <w:spacing w:after="0"/>
              <w:rPr>
                <w:sz w:val="16"/>
                <w:szCs w:val="16"/>
                <w:color w:val="auto"/>
              </w:rPr>
            </w:pPr>
          </w:p>
        </w:tc>
        <w:tc>
          <w:tcPr>
            <w:tcW w:w="240" w:type="dxa"/>
            <w:vAlign w:val="bottom"/>
            <w:tcBorders>
              <w:bottom w:val="single" w:sz="8" w:color="auto"/>
            </w:tcBorders>
            <w:shd w:val="clear" w:color="auto" w:fill="C0C0C0"/>
          </w:tcPr>
          <w:p>
            <w:pPr>
              <w:spacing w:after="0"/>
              <w:rPr>
                <w:sz w:val="16"/>
                <w:szCs w:val="16"/>
                <w:color w:val="auto"/>
              </w:rPr>
            </w:pPr>
          </w:p>
        </w:tc>
        <w:tc>
          <w:tcPr>
            <w:tcW w:w="280" w:type="dxa"/>
            <w:vAlign w:val="bottom"/>
            <w:tcBorders>
              <w:bottom w:val="single" w:sz="8" w:color="auto"/>
            </w:tcBorders>
            <w:shd w:val="clear" w:color="auto" w:fill="C0C0C0"/>
          </w:tcPr>
          <w:p>
            <w:pPr>
              <w:spacing w:after="0"/>
              <w:rPr>
                <w:sz w:val="16"/>
                <w:szCs w:val="16"/>
                <w:color w:val="auto"/>
              </w:rPr>
            </w:pPr>
          </w:p>
        </w:tc>
        <w:tc>
          <w:tcPr>
            <w:tcW w:w="80" w:type="dxa"/>
            <w:vAlign w:val="bottom"/>
            <w:tcBorders>
              <w:bottom w:val="single" w:sz="8" w:color="C0C0C0"/>
            </w:tcBorders>
            <w:shd w:val="clear" w:color="auto" w:fill="C0C0C0"/>
          </w:tcPr>
          <w:p>
            <w:pPr>
              <w:spacing w:after="0"/>
              <w:rPr>
                <w:sz w:val="16"/>
                <w:szCs w:val="16"/>
                <w:color w:val="auto"/>
              </w:rPr>
            </w:pPr>
          </w:p>
        </w:tc>
        <w:tc>
          <w:tcPr>
            <w:tcW w:w="20" w:type="dxa"/>
            <w:vAlign w:val="bottom"/>
            <w:tcBorders>
              <w:bottom w:val="single" w:sz="8" w:color="C0C0C0"/>
            </w:tcBorders>
            <w:shd w:val="clear" w:color="auto" w:fill="C0C0C0"/>
          </w:tcPr>
          <w:p>
            <w:pPr>
              <w:spacing w:after="0"/>
              <w:rPr>
                <w:sz w:val="16"/>
                <w:szCs w:val="16"/>
                <w:color w:val="auto"/>
              </w:rPr>
            </w:pPr>
          </w:p>
        </w:tc>
        <w:tc>
          <w:tcPr>
            <w:tcW w:w="60" w:type="dxa"/>
            <w:vAlign w:val="bottom"/>
            <w:tcBorders>
              <w:bottom w:val="single" w:sz="8" w:color="C0C0C0"/>
            </w:tcBorders>
            <w:shd w:val="clear" w:color="auto" w:fill="C0C0C0"/>
          </w:tcPr>
          <w:p>
            <w:pPr>
              <w:spacing w:after="0"/>
              <w:rPr>
                <w:sz w:val="16"/>
                <w:szCs w:val="16"/>
                <w:color w:val="auto"/>
              </w:rPr>
            </w:pPr>
          </w:p>
        </w:tc>
        <w:tc>
          <w:tcPr>
            <w:tcW w:w="600" w:type="dxa"/>
            <w:vAlign w:val="bottom"/>
            <w:tcBorders>
              <w:bottom w:val="single" w:sz="8" w:color="auto"/>
            </w:tcBorders>
            <w:shd w:val="clear" w:color="auto" w:fill="C0C0C0"/>
          </w:tcPr>
          <w:p>
            <w:pPr>
              <w:spacing w:after="0"/>
              <w:rPr>
                <w:sz w:val="16"/>
                <w:szCs w:val="16"/>
                <w:color w:val="auto"/>
              </w:rPr>
            </w:pPr>
          </w:p>
        </w:tc>
        <w:tc>
          <w:tcPr>
            <w:tcW w:w="120" w:type="dxa"/>
            <w:vAlign w:val="bottom"/>
            <w:tcBorders>
              <w:bottom w:val="single" w:sz="8" w:color="C0C0C0"/>
            </w:tcBorders>
            <w:shd w:val="clear" w:color="auto" w:fill="C0C0C0"/>
          </w:tcPr>
          <w:p>
            <w:pPr>
              <w:spacing w:after="0"/>
              <w:rPr>
                <w:sz w:val="16"/>
                <w:szCs w:val="16"/>
                <w:color w:val="auto"/>
              </w:rPr>
            </w:pPr>
          </w:p>
        </w:tc>
        <w:tc>
          <w:tcPr>
            <w:tcW w:w="40" w:type="dxa"/>
            <w:vAlign w:val="bottom"/>
            <w:tcBorders>
              <w:bottom w:val="single" w:sz="8" w:color="C0C0C0"/>
            </w:tcBorders>
            <w:shd w:val="clear" w:color="auto" w:fill="C0C0C0"/>
          </w:tcPr>
          <w:p>
            <w:pPr>
              <w:spacing w:after="0"/>
              <w:rPr>
                <w:sz w:val="16"/>
                <w:szCs w:val="16"/>
                <w:color w:val="auto"/>
              </w:rPr>
            </w:pPr>
          </w:p>
        </w:tc>
        <w:tc>
          <w:tcPr>
            <w:tcW w:w="480" w:type="dxa"/>
            <w:vAlign w:val="bottom"/>
            <w:tcBorders>
              <w:bottom w:val="single" w:sz="8" w:color="auto"/>
            </w:tcBorders>
            <w:shd w:val="clear" w:color="auto" w:fill="C0C0C0"/>
          </w:tcPr>
          <w:p>
            <w:pPr>
              <w:spacing w:after="0"/>
              <w:rPr>
                <w:sz w:val="16"/>
                <w:szCs w:val="16"/>
                <w:color w:val="auto"/>
              </w:rPr>
            </w:pPr>
          </w:p>
        </w:tc>
        <w:tc>
          <w:tcPr>
            <w:tcW w:w="140" w:type="dxa"/>
            <w:vAlign w:val="bottom"/>
            <w:tcBorders>
              <w:bottom w:val="single" w:sz="8" w:color="C0C0C0"/>
            </w:tcBorders>
            <w:shd w:val="clear" w:color="auto" w:fill="C0C0C0"/>
          </w:tcPr>
          <w:p>
            <w:pPr>
              <w:spacing w:after="0"/>
              <w:rPr>
                <w:sz w:val="16"/>
                <w:szCs w:val="16"/>
                <w:color w:val="auto"/>
              </w:rPr>
            </w:pPr>
          </w:p>
        </w:tc>
        <w:tc>
          <w:tcPr>
            <w:tcW w:w="60" w:type="dxa"/>
            <w:vAlign w:val="bottom"/>
            <w:tcBorders>
              <w:bottom w:val="single" w:sz="8" w:color="C0C0C0"/>
            </w:tcBorders>
            <w:shd w:val="clear" w:color="auto" w:fill="C0C0C0"/>
          </w:tcPr>
          <w:p>
            <w:pPr>
              <w:spacing w:after="0"/>
              <w:rPr>
                <w:sz w:val="16"/>
                <w:szCs w:val="16"/>
                <w:color w:val="auto"/>
              </w:rPr>
            </w:pPr>
          </w:p>
        </w:tc>
        <w:tc>
          <w:tcPr>
            <w:tcW w:w="520" w:type="dxa"/>
            <w:vAlign w:val="bottom"/>
            <w:tcBorders>
              <w:bottom w:val="single" w:sz="8" w:color="auto"/>
            </w:tcBorders>
            <w:shd w:val="clear" w:color="auto" w:fill="C0C0C0"/>
          </w:tcPr>
          <w:p>
            <w:pPr>
              <w:spacing w:after="0"/>
              <w:rPr>
                <w:sz w:val="16"/>
                <w:szCs w:val="16"/>
                <w:color w:val="auto"/>
              </w:rPr>
            </w:pPr>
          </w:p>
        </w:tc>
        <w:tc>
          <w:tcPr>
            <w:tcW w:w="100" w:type="dxa"/>
            <w:vAlign w:val="bottom"/>
            <w:tcBorders>
              <w:bottom w:val="single" w:sz="8" w:color="C0C0C0"/>
            </w:tcBorders>
            <w:shd w:val="clear" w:color="auto" w:fill="C0C0C0"/>
          </w:tcPr>
          <w:p>
            <w:pPr>
              <w:spacing w:after="0"/>
              <w:rPr>
                <w:sz w:val="16"/>
                <w:szCs w:val="16"/>
                <w:color w:val="auto"/>
              </w:rPr>
            </w:pPr>
          </w:p>
        </w:tc>
        <w:tc>
          <w:tcPr>
            <w:tcW w:w="60" w:type="dxa"/>
            <w:vAlign w:val="bottom"/>
            <w:tcBorders>
              <w:bottom w:val="single" w:sz="8" w:color="C0C0C0"/>
            </w:tcBorders>
            <w:shd w:val="clear" w:color="auto" w:fill="C0C0C0"/>
          </w:tcPr>
          <w:p>
            <w:pPr>
              <w:spacing w:after="0"/>
              <w:rPr>
                <w:sz w:val="16"/>
                <w:szCs w:val="16"/>
                <w:color w:val="auto"/>
              </w:rPr>
            </w:pPr>
          </w:p>
        </w:tc>
        <w:tc>
          <w:tcPr>
            <w:tcW w:w="80" w:type="dxa"/>
            <w:vAlign w:val="bottom"/>
            <w:tcBorders>
              <w:bottom w:val="single" w:sz="8" w:color="auto"/>
            </w:tcBorders>
            <w:shd w:val="clear" w:color="auto" w:fill="C0C0C0"/>
          </w:tcPr>
          <w:p>
            <w:pPr>
              <w:spacing w:after="0"/>
              <w:rPr>
                <w:sz w:val="16"/>
                <w:szCs w:val="16"/>
                <w:color w:val="auto"/>
              </w:rPr>
            </w:pPr>
          </w:p>
        </w:tc>
        <w:tc>
          <w:tcPr>
            <w:tcW w:w="760" w:type="dxa"/>
            <w:vAlign w:val="bottom"/>
            <w:tcBorders>
              <w:bottom w:val="single" w:sz="8" w:color="auto"/>
            </w:tcBorders>
            <w:shd w:val="clear" w:color="auto" w:fill="C0C0C0"/>
          </w:tcPr>
          <w:p>
            <w:pPr>
              <w:spacing w:after="0"/>
              <w:rPr>
                <w:sz w:val="16"/>
                <w:szCs w:val="16"/>
                <w:color w:val="auto"/>
              </w:rPr>
            </w:pPr>
          </w:p>
        </w:tc>
        <w:tc>
          <w:tcPr>
            <w:tcW w:w="240" w:type="dxa"/>
            <w:vAlign w:val="bottom"/>
            <w:tcBorders>
              <w:bottom w:val="single" w:sz="8" w:color="C0C0C0"/>
            </w:tcBorders>
            <w:shd w:val="clear" w:color="auto" w:fill="C0C0C0"/>
          </w:tcPr>
          <w:p>
            <w:pPr>
              <w:spacing w:after="0"/>
              <w:rPr>
                <w:sz w:val="16"/>
                <w:szCs w:val="16"/>
                <w:color w:val="auto"/>
              </w:rPr>
            </w:pPr>
          </w:p>
        </w:tc>
        <w:tc>
          <w:tcPr>
            <w:tcW w:w="60" w:type="dxa"/>
            <w:vAlign w:val="bottom"/>
            <w:tcBorders>
              <w:bottom w:val="single" w:sz="8" w:color="C0C0C0"/>
            </w:tcBorders>
            <w:shd w:val="clear" w:color="auto" w:fill="C0C0C0"/>
          </w:tcPr>
          <w:p>
            <w:pPr>
              <w:spacing w:after="0"/>
              <w:rPr>
                <w:sz w:val="16"/>
                <w:szCs w:val="16"/>
                <w:color w:val="auto"/>
              </w:rPr>
            </w:pPr>
          </w:p>
        </w:tc>
        <w:tc>
          <w:tcPr>
            <w:tcW w:w="180" w:type="dxa"/>
            <w:vAlign w:val="bottom"/>
            <w:tcBorders>
              <w:bottom w:val="single" w:sz="8" w:color="auto"/>
            </w:tcBorders>
            <w:shd w:val="clear" w:color="auto" w:fill="C0C0C0"/>
          </w:tcPr>
          <w:p>
            <w:pPr>
              <w:spacing w:after="0"/>
              <w:rPr>
                <w:sz w:val="16"/>
                <w:szCs w:val="16"/>
                <w:color w:val="auto"/>
              </w:rPr>
            </w:pPr>
          </w:p>
        </w:tc>
        <w:tc>
          <w:tcPr>
            <w:tcW w:w="600" w:type="dxa"/>
            <w:vAlign w:val="bottom"/>
            <w:tcBorders>
              <w:bottom w:val="single" w:sz="8" w:color="auto"/>
            </w:tcBorders>
            <w:shd w:val="clear" w:color="auto" w:fill="C0C0C0"/>
          </w:tcPr>
          <w:p>
            <w:pPr>
              <w:spacing w:after="0"/>
              <w:rPr>
                <w:sz w:val="16"/>
                <w:szCs w:val="16"/>
                <w:color w:val="auto"/>
              </w:rPr>
            </w:pPr>
          </w:p>
        </w:tc>
        <w:tc>
          <w:tcPr>
            <w:tcW w:w="180" w:type="dxa"/>
            <w:vAlign w:val="bottom"/>
            <w:tcBorders>
              <w:bottom w:val="single" w:sz="8" w:color="C0C0C0"/>
            </w:tcBorders>
            <w:shd w:val="clear" w:color="auto" w:fill="C0C0C0"/>
          </w:tcPr>
          <w:p>
            <w:pPr>
              <w:spacing w:after="0"/>
              <w:rPr>
                <w:sz w:val="16"/>
                <w:szCs w:val="16"/>
                <w:color w:val="auto"/>
              </w:rPr>
            </w:pPr>
          </w:p>
        </w:tc>
      </w:tr>
      <w:tr>
        <w:trPr>
          <w:trHeight w:val="183"/>
        </w:trPr>
        <w:tc>
          <w:tcPr>
            <w:tcW w:w="322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Balance at January 28, 2012</w:t>
            </w:r>
          </w:p>
        </w:tc>
        <w:tc>
          <w:tcPr>
            <w:tcW w:w="700" w:type="dxa"/>
            <w:vAlign w:val="bottom"/>
            <w:gridSpan w:val="2"/>
          </w:tcPr>
          <w:p>
            <w:pPr>
              <w:jc w:val="right"/>
              <w:ind w:right="40"/>
              <w:spacing w:after="0" w:line="183" w:lineRule="exact"/>
              <w:rPr>
                <w:sz w:val="20"/>
                <w:szCs w:val="20"/>
                <w:color w:val="auto"/>
              </w:rPr>
            </w:pPr>
            <w:r>
              <w:rPr>
                <w:rFonts w:ascii="Arial" w:cs="Arial" w:eastAsia="Arial" w:hAnsi="Arial"/>
                <w:sz w:val="16"/>
                <w:szCs w:val="16"/>
                <w:b w:val="1"/>
                <w:bCs w:val="1"/>
                <w:color w:val="auto"/>
              </w:rPr>
              <w:t>164,460</w:t>
            </w:r>
          </w:p>
        </w:tc>
        <w:tc>
          <w:tcPr>
            <w:tcW w:w="300" w:type="dxa"/>
            <w:vAlign w:val="bottom"/>
            <w:gridSpan w:val="2"/>
          </w:tcPr>
          <w:p>
            <w:pPr>
              <w:jc w:val="right"/>
              <w:ind w:right="68"/>
              <w:spacing w:after="0" w:line="183" w:lineRule="exact"/>
              <w:rPr>
                <w:sz w:val="20"/>
                <w:szCs w:val="20"/>
                <w:color w:val="auto"/>
              </w:rPr>
            </w:pPr>
            <w:r>
              <w:rPr>
                <w:rFonts w:ascii="Arial" w:cs="Arial" w:eastAsia="Arial" w:hAnsi="Arial"/>
                <w:sz w:val="16"/>
                <w:szCs w:val="16"/>
                <w:b w:val="1"/>
                <w:bCs w:val="1"/>
                <w:color w:val="auto"/>
              </w:rPr>
              <w:t>$</w:t>
            </w:r>
          </w:p>
        </w:tc>
        <w:tc>
          <w:tcPr>
            <w:tcW w:w="360" w:type="dxa"/>
            <w:vAlign w:val="bottom"/>
            <w:gridSpan w:val="2"/>
          </w:tcPr>
          <w:p>
            <w:pPr>
              <w:jc w:val="right"/>
              <w:ind w:right="80"/>
              <w:spacing w:after="0" w:line="183" w:lineRule="exact"/>
              <w:rPr>
                <w:sz w:val="20"/>
                <w:szCs w:val="20"/>
                <w:color w:val="auto"/>
              </w:rPr>
            </w:pPr>
            <w:r>
              <w:rPr>
                <w:rFonts w:ascii="Arial" w:cs="Arial" w:eastAsia="Arial" w:hAnsi="Arial"/>
                <w:sz w:val="16"/>
                <w:szCs w:val="16"/>
                <w:b w:val="1"/>
                <w:bCs w:val="1"/>
                <w:color w:val="auto"/>
                <w:w w:val="97"/>
              </w:rPr>
              <w:t>779</w:t>
            </w:r>
          </w:p>
        </w:tc>
        <w:tc>
          <w:tcPr>
            <w:tcW w:w="800" w:type="dxa"/>
            <w:vAlign w:val="bottom"/>
            <w:gridSpan w:val="4"/>
          </w:tcPr>
          <w:p>
            <w:pPr>
              <w:jc w:val="right"/>
              <w:ind w:right="60"/>
              <w:spacing w:after="0" w:line="183" w:lineRule="exact"/>
              <w:rPr>
                <w:sz w:val="20"/>
                <w:szCs w:val="20"/>
                <w:color w:val="auto"/>
              </w:rPr>
            </w:pPr>
            <w:r>
              <w:rPr>
                <w:rFonts w:ascii="Arial" w:cs="Arial" w:eastAsia="Arial" w:hAnsi="Arial"/>
                <w:sz w:val="16"/>
                <w:szCs w:val="16"/>
                <w:b w:val="1"/>
                <w:bCs w:val="1"/>
                <w:color w:val="auto"/>
              </w:rPr>
              <w:t>(12,841)</w:t>
            </w:r>
          </w:p>
        </w:tc>
        <w:tc>
          <w:tcPr>
            <w:tcW w:w="660" w:type="dxa"/>
            <w:vAlign w:val="bottom"/>
            <w:gridSpan w:val="3"/>
          </w:tcPr>
          <w:p>
            <w:pPr>
              <w:jc w:val="right"/>
              <w:ind w:right="80"/>
              <w:spacing w:after="0" w:line="183" w:lineRule="exact"/>
              <w:rPr>
                <w:sz w:val="20"/>
                <w:szCs w:val="20"/>
                <w:color w:val="auto"/>
              </w:rPr>
            </w:pPr>
            <w:r>
              <w:rPr>
                <w:rFonts w:ascii="Arial" w:cs="Arial" w:eastAsia="Arial" w:hAnsi="Arial"/>
                <w:sz w:val="16"/>
                <w:szCs w:val="16"/>
                <w:b w:val="1"/>
                <w:bCs w:val="1"/>
                <w:color w:val="auto"/>
              </w:rPr>
              <w:t>$ (253)</w:t>
            </w:r>
          </w:p>
        </w:tc>
        <w:tc>
          <w:tcPr>
            <w:tcW w:w="680" w:type="dxa"/>
            <w:vAlign w:val="bottom"/>
            <w:gridSpan w:val="3"/>
          </w:tcPr>
          <w:p>
            <w:pPr>
              <w:jc w:val="right"/>
              <w:ind w:right="100"/>
              <w:spacing w:after="0" w:line="183" w:lineRule="exact"/>
              <w:rPr>
                <w:sz w:val="20"/>
                <w:szCs w:val="20"/>
                <w:color w:val="auto"/>
              </w:rPr>
            </w:pPr>
            <w:r>
              <w:rPr>
                <w:rFonts w:ascii="Arial" w:cs="Arial" w:eastAsia="Arial" w:hAnsi="Arial"/>
                <w:sz w:val="16"/>
                <w:szCs w:val="16"/>
                <w:b w:val="1"/>
                <w:bCs w:val="1"/>
                <w:color w:val="auto"/>
              </w:rPr>
              <w:t>$1,788</w:t>
            </w:r>
          </w:p>
        </w:tc>
        <w:tc>
          <w:tcPr>
            <w:tcW w:w="6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180"/>
              <w:spacing w:after="0" w:line="183" w:lineRule="exact"/>
              <w:rPr>
                <w:sz w:val="20"/>
                <w:szCs w:val="20"/>
                <w:color w:val="auto"/>
              </w:rPr>
            </w:pPr>
            <w:r>
              <w:rPr>
                <w:rFonts w:ascii="Arial" w:cs="Arial" w:eastAsia="Arial" w:hAnsi="Arial"/>
                <w:sz w:val="16"/>
                <w:szCs w:val="16"/>
                <w:b w:val="1"/>
                <w:bCs w:val="1"/>
                <w:color w:val="auto"/>
              </w:rPr>
              <w:t>(204)</w:t>
            </w:r>
          </w:p>
        </w:tc>
        <w:tc>
          <w:tcPr>
            <w:tcW w:w="60" w:type="dxa"/>
            <w:vAlign w:val="bottom"/>
          </w:tcPr>
          <w:p>
            <w:pPr>
              <w:spacing w:after="0"/>
              <w:rPr>
                <w:sz w:val="15"/>
                <w:szCs w:val="15"/>
                <w:color w:val="auto"/>
              </w:rPr>
            </w:pPr>
          </w:p>
        </w:tc>
        <w:tc>
          <w:tcPr>
            <w:tcW w:w="180" w:type="dxa"/>
            <w:vAlign w:val="bottom"/>
          </w:tcPr>
          <w:p>
            <w:pPr>
              <w:spacing w:after="0" w:line="183" w:lineRule="exact"/>
              <w:rPr>
                <w:sz w:val="20"/>
                <w:szCs w:val="20"/>
                <w:color w:val="auto"/>
              </w:rPr>
            </w:pPr>
            <w:r>
              <w:rPr>
                <w:rFonts w:ascii="Arial" w:cs="Arial" w:eastAsia="Arial" w:hAnsi="Arial"/>
                <w:sz w:val="16"/>
                <w:szCs w:val="16"/>
                <w:b w:val="1"/>
                <w:bCs w:val="1"/>
                <w:color w:val="auto"/>
              </w:rPr>
              <w:t>$</w:t>
            </w:r>
          </w:p>
        </w:tc>
        <w:tc>
          <w:tcPr>
            <w:tcW w:w="780" w:type="dxa"/>
            <w:vAlign w:val="bottom"/>
            <w:gridSpan w:val="2"/>
          </w:tcPr>
          <w:p>
            <w:pPr>
              <w:jc w:val="right"/>
              <w:ind w:right="180"/>
              <w:spacing w:after="0" w:line="183" w:lineRule="exact"/>
              <w:rPr>
                <w:sz w:val="20"/>
                <w:szCs w:val="20"/>
                <w:color w:val="auto"/>
              </w:rPr>
            </w:pPr>
            <w:r>
              <w:rPr>
                <w:rFonts w:ascii="Arial" w:cs="Arial" w:eastAsia="Arial" w:hAnsi="Arial"/>
                <w:sz w:val="16"/>
                <w:szCs w:val="16"/>
                <w:b w:val="1"/>
                <w:bCs w:val="1"/>
                <w:color w:val="auto"/>
              </w:rPr>
              <w:t>2,110</w:t>
            </w:r>
          </w:p>
        </w:tc>
      </w:tr>
      <w:tr>
        <w:trPr>
          <w:trHeight w:val="189"/>
        </w:trPr>
        <w:tc>
          <w:tcPr>
            <w:tcW w:w="3220" w:type="dxa"/>
            <w:vAlign w:val="bottom"/>
            <w:shd w:val="clear" w:color="auto" w:fill="C0C0C0"/>
          </w:tcPr>
          <w:p>
            <w:pPr>
              <w:ind w:left="20"/>
              <w:spacing w:after="0"/>
              <w:rPr>
                <w:sz w:val="20"/>
                <w:szCs w:val="20"/>
                <w:color w:val="auto"/>
              </w:rPr>
            </w:pPr>
            <w:r>
              <w:rPr>
                <w:rFonts w:ascii="Arial" w:cs="Arial" w:eastAsia="Arial" w:hAnsi="Arial"/>
                <w:sz w:val="16"/>
                <w:szCs w:val="16"/>
                <w:color w:val="auto"/>
              </w:rPr>
              <w:t>Restricted stock issued</w:t>
            </w:r>
          </w:p>
        </w:tc>
        <w:tc>
          <w:tcPr>
            <w:tcW w:w="700" w:type="dxa"/>
            <w:vAlign w:val="bottom"/>
            <w:gridSpan w:val="2"/>
            <w:shd w:val="clear" w:color="auto" w:fill="C0C0C0"/>
          </w:tcPr>
          <w:p>
            <w:pPr>
              <w:jc w:val="right"/>
              <w:ind w:right="40"/>
              <w:spacing w:after="0"/>
              <w:rPr>
                <w:sz w:val="20"/>
                <w:szCs w:val="20"/>
                <w:color w:val="auto"/>
              </w:rPr>
            </w:pPr>
            <w:r>
              <w:rPr>
                <w:rFonts w:ascii="Arial" w:cs="Arial" w:eastAsia="Arial" w:hAnsi="Arial"/>
                <w:sz w:val="16"/>
                <w:szCs w:val="16"/>
                <w:color w:val="auto"/>
              </w:rPr>
              <w:t>99</w:t>
            </w:r>
          </w:p>
        </w:tc>
        <w:tc>
          <w:tcPr>
            <w:tcW w:w="6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360" w:type="dxa"/>
            <w:vAlign w:val="bottom"/>
            <w:gridSpan w:val="2"/>
            <w:shd w:val="clear" w:color="auto" w:fill="C0C0C0"/>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720" w:type="dxa"/>
            <w:vAlign w:val="bottom"/>
            <w:gridSpan w:val="2"/>
            <w:shd w:val="clear" w:color="auto" w:fill="C0C0C0"/>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0C0C0"/>
          </w:tcPr>
          <w:p>
            <w:pPr>
              <w:spacing w:after="0"/>
              <w:rPr>
                <w:sz w:val="16"/>
                <w:szCs w:val="16"/>
                <w:color w:val="auto"/>
              </w:rPr>
            </w:pPr>
          </w:p>
        </w:tc>
        <w:tc>
          <w:tcPr>
            <w:tcW w:w="620" w:type="dxa"/>
            <w:vAlign w:val="bottom"/>
            <w:gridSpan w:val="2"/>
            <w:shd w:val="clear" w:color="auto" w:fill="C0C0C0"/>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0C0C0"/>
          </w:tcPr>
          <w:p>
            <w:pPr>
              <w:spacing w:after="0"/>
              <w:rPr>
                <w:sz w:val="16"/>
                <w:szCs w:val="16"/>
                <w:color w:val="auto"/>
              </w:rPr>
            </w:pPr>
          </w:p>
        </w:tc>
        <w:tc>
          <w:tcPr>
            <w:tcW w:w="52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76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180" w:type="dxa"/>
            <w:vAlign w:val="bottom"/>
            <w:shd w:val="clear" w:color="auto" w:fill="C0C0C0"/>
          </w:tcPr>
          <w:p>
            <w:pPr>
              <w:spacing w:after="0"/>
              <w:rPr>
                <w:sz w:val="16"/>
                <w:szCs w:val="16"/>
                <w:color w:val="auto"/>
              </w:rPr>
            </w:pPr>
          </w:p>
        </w:tc>
        <w:tc>
          <w:tcPr>
            <w:tcW w:w="780" w:type="dxa"/>
            <w:vAlign w:val="bottom"/>
            <w:gridSpan w:val="2"/>
            <w:shd w:val="clear" w:color="auto" w:fill="C0C0C0"/>
          </w:tcPr>
          <w:p>
            <w:pPr>
              <w:jc w:val="right"/>
              <w:ind w:right="180"/>
              <w:spacing w:after="0"/>
              <w:rPr>
                <w:sz w:val="20"/>
                <w:szCs w:val="20"/>
                <w:color w:val="auto"/>
              </w:rPr>
            </w:pPr>
            <w:r>
              <w:rPr>
                <w:rFonts w:ascii="Arial" w:cs="Arial" w:eastAsia="Arial" w:hAnsi="Arial"/>
                <w:sz w:val="16"/>
                <w:szCs w:val="16"/>
                <w:color w:val="auto"/>
              </w:rPr>
              <w:t>—</w:t>
            </w:r>
          </w:p>
        </w:tc>
      </w:tr>
      <w:tr>
        <w:trPr>
          <w:trHeight w:val="189"/>
        </w:trPr>
        <w:tc>
          <w:tcPr>
            <w:tcW w:w="3220" w:type="dxa"/>
            <w:vAlign w:val="bottom"/>
          </w:tcPr>
          <w:p>
            <w:pPr>
              <w:ind w:left="20"/>
              <w:spacing w:after="0"/>
              <w:rPr>
                <w:sz w:val="20"/>
                <w:szCs w:val="20"/>
                <w:color w:val="auto"/>
              </w:rPr>
            </w:pPr>
            <w:r>
              <w:rPr>
                <w:rFonts w:ascii="Arial" w:cs="Arial" w:eastAsia="Arial" w:hAnsi="Arial"/>
                <w:sz w:val="16"/>
                <w:szCs w:val="16"/>
                <w:color w:val="auto"/>
              </w:rPr>
              <w:t>Issued under director and stock plans</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2,350</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46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46</w:t>
            </w:r>
          </w:p>
        </w:tc>
      </w:tr>
      <w:tr>
        <w:trPr>
          <w:trHeight w:val="189"/>
        </w:trPr>
        <w:tc>
          <w:tcPr>
            <w:tcW w:w="3220" w:type="dxa"/>
            <w:vAlign w:val="bottom"/>
            <w:shd w:val="clear" w:color="auto" w:fill="C0C0C0"/>
          </w:tcPr>
          <w:p>
            <w:pPr>
              <w:ind w:left="20"/>
              <w:spacing w:after="0"/>
              <w:rPr>
                <w:sz w:val="20"/>
                <w:szCs w:val="20"/>
                <w:color w:val="auto"/>
              </w:rPr>
            </w:pPr>
            <w:r>
              <w:rPr>
                <w:rFonts w:ascii="Arial" w:cs="Arial" w:eastAsia="Arial" w:hAnsi="Arial"/>
                <w:sz w:val="16"/>
                <w:szCs w:val="16"/>
                <w:color w:val="auto"/>
              </w:rPr>
              <w:t>Share-based compensation expense</w:t>
            </w:r>
          </w:p>
        </w:tc>
        <w:tc>
          <w:tcPr>
            <w:tcW w:w="700" w:type="dxa"/>
            <w:vAlign w:val="bottom"/>
            <w:gridSpan w:val="2"/>
            <w:shd w:val="clear" w:color="auto" w:fill="C0C0C0"/>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360" w:type="dxa"/>
            <w:vAlign w:val="bottom"/>
            <w:gridSpan w:val="2"/>
            <w:shd w:val="clear" w:color="auto" w:fill="C0C0C0"/>
          </w:tcPr>
          <w:p>
            <w:pPr>
              <w:jc w:val="right"/>
              <w:ind w:right="80"/>
              <w:spacing w:after="0"/>
              <w:rPr>
                <w:sz w:val="20"/>
                <w:szCs w:val="20"/>
                <w:color w:val="auto"/>
              </w:rPr>
            </w:pPr>
            <w:r>
              <w:rPr>
                <w:rFonts w:ascii="Arial" w:cs="Arial" w:eastAsia="Arial" w:hAnsi="Arial"/>
                <w:sz w:val="16"/>
                <w:szCs w:val="16"/>
                <w:color w:val="auto"/>
              </w:rPr>
              <w:t>20</w:t>
            </w:r>
          </w:p>
        </w:tc>
        <w:tc>
          <w:tcPr>
            <w:tcW w:w="2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720" w:type="dxa"/>
            <w:vAlign w:val="bottom"/>
            <w:gridSpan w:val="2"/>
            <w:shd w:val="clear" w:color="auto" w:fill="C0C0C0"/>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0C0C0"/>
          </w:tcPr>
          <w:p>
            <w:pPr>
              <w:spacing w:after="0"/>
              <w:rPr>
                <w:sz w:val="16"/>
                <w:szCs w:val="16"/>
                <w:color w:val="auto"/>
              </w:rPr>
            </w:pPr>
          </w:p>
        </w:tc>
        <w:tc>
          <w:tcPr>
            <w:tcW w:w="620" w:type="dxa"/>
            <w:vAlign w:val="bottom"/>
            <w:gridSpan w:val="2"/>
            <w:shd w:val="clear" w:color="auto" w:fill="C0C0C0"/>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0C0C0"/>
          </w:tcPr>
          <w:p>
            <w:pPr>
              <w:spacing w:after="0"/>
              <w:rPr>
                <w:sz w:val="16"/>
                <w:szCs w:val="16"/>
                <w:color w:val="auto"/>
              </w:rPr>
            </w:pPr>
          </w:p>
        </w:tc>
        <w:tc>
          <w:tcPr>
            <w:tcW w:w="52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76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180" w:type="dxa"/>
            <w:vAlign w:val="bottom"/>
            <w:shd w:val="clear" w:color="auto" w:fill="C0C0C0"/>
          </w:tcPr>
          <w:p>
            <w:pPr>
              <w:spacing w:after="0"/>
              <w:rPr>
                <w:sz w:val="16"/>
                <w:szCs w:val="16"/>
                <w:color w:val="auto"/>
              </w:rPr>
            </w:pPr>
          </w:p>
        </w:tc>
        <w:tc>
          <w:tcPr>
            <w:tcW w:w="780" w:type="dxa"/>
            <w:vAlign w:val="bottom"/>
            <w:gridSpan w:val="2"/>
            <w:shd w:val="clear" w:color="auto" w:fill="C0C0C0"/>
          </w:tcPr>
          <w:p>
            <w:pPr>
              <w:jc w:val="right"/>
              <w:ind w:right="180"/>
              <w:spacing w:after="0"/>
              <w:rPr>
                <w:sz w:val="20"/>
                <w:szCs w:val="20"/>
                <w:color w:val="auto"/>
              </w:rPr>
            </w:pPr>
            <w:r>
              <w:rPr>
                <w:rFonts w:ascii="Arial" w:cs="Arial" w:eastAsia="Arial" w:hAnsi="Arial"/>
                <w:sz w:val="16"/>
                <w:szCs w:val="16"/>
                <w:color w:val="auto"/>
              </w:rPr>
              <w:t>20</w:t>
            </w:r>
          </w:p>
        </w:tc>
      </w:tr>
      <w:tr>
        <w:trPr>
          <w:trHeight w:val="189"/>
        </w:trPr>
        <w:tc>
          <w:tcPr>
            <w:tcW w:w="3220" w:type="dxa"/>
            <w:vAlign w:val="bottom"/>
          </w:tcPr>
          <w:p>
            <w:pPr>
              <w:ind w:left="20"/>
              <w:spacing w:after="0"/>
              <w:rPr>
                <w:sz w:val="20"/>
                <w:szCs w:val="20"/>
                <w:color w:val="auto"/>
              </w:rPr>
            </w:pPr>
            <w:r>
              <w:rPr>
                <w:rFonts w:ascii="Arial" w:cs="Arial" w:eastAsia="Arial" w:hAnsi="Arial"/>
                <w:sz w:val="16"/>
                <w:szCs w:val="16"/>
                <w:color w:val="auto"/>
              </w:rPr>
              <w:t>Total tax benefit from exercise of options</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11</w:t>
            </w:r>
          </w:p>
        </w:tc>
      </w:tr>
      <w:tr>
        <w:trPr>
          <w:trHeight w:val="191"/>
        </w:trPr>
        <w:tc>
          <w:tcPr>
            <w:tcW w:w="3220" w:type="dxa"/>
            <w:vAlign w:val="bottom"/>
            <w:shd w:val="clear" w:color="auto" w:fill="C0C0C0"/>
          </w:tcPr>
          <w:p>
            <w:pPr>
              <w:ind w:left="20"/>
              <w:spacing w:after="0"/>
              <w:rPr>
                <w:sz w:val="20"/>
                <w:szCs w:val="20"/>
                <w:color w:val="auto"/>
              </w:rPr>
            </w:pPr>
            <w:r>
              <w:rPr>
                <w:rFonts w:ascii="Arial" w:cs="Arial" w:eastAsia="Arial" w:hAnsi="Arial"/>
                <w:sz w:val="16"/>
                <w:szCs w:val="16"/>
                <w:color w:val="auto"/>
              </w:rPr>
              <w:t>Shares of common stock used to satisfy tax</w:t>
            </w:r>
          </w:p>
        </w:tc>
        <w:tc>
          <w:tcPr>
            <w:tcW w:w="700" w:type="dxa"/>
            <w:vAlign w:val="bottom"/>
            <w:gridSpan w:val="2"/>
            <w:shd w:val="clear" w:color="auto" w:fill="C0C0C0"/>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360" w:type="dxa"/>
            <w:vAlign w:val="bottom"/>
            <w:gridSpan w:val="2"/>
            <w:shd w:val="clear" w:color="auto" w:fill="C0C0C0"/>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gridSpan w:val="4"/>
            <w:shd w:val="clear" w:color="auto" w:fill="C0C0C0"/>
          </w:tcPr>
          <w:p>
            <w:pPr>
              <w:jc w:val="right"/>
              <w:ind w:right="60"/>
              <w:spacing w:after="0"/>
              <w:rPr>
                <w:sz w:val="20"/>
                <w:szCs w:val="20"/>
                <w:color w:val="auto"/>
              </w:rPr>
            </w:pPr>
            <w:r>
              <w:rPr>
                <w:rFonts w:ascii="Arial" w:cs="Arial" w:eastAsia="Arial" w:hAnsi="Arial"/>
                <w:sz w:val="16"/>
                <w:szCs w:val="16"/>
                <w:color w:val="auto"/>
              </w:rPr>
              <w:t>(214)</w:t>
            </w:r>
          </w:p>
        </w:tc>
        <w:tc>
          <w:tcPr>
            <w:tcW w:w="660" w:type="dxa"/>
            <w:vAlign w:val="bottom"/>
            <w:gridSpan w:val="3"/>
            <w:shd w:val="clear" w:color="auto" w:fill="C0C0C0"/>
          </w:tcPr>
          <w:p>
            <w:pPr>
              <w:jc w:val="right"/>
              <w:ind w:right="80"/>
              <w:spacing w:after="0"/>
              <w:rPr>
                <w:sz w:val="20"/>
                <w:szCs w:val="20"/>
                <w:color w:val="auto"/>
              </w:rPr>
            </w:pPr>
            <w:r>
              <w:rPr>
                <w:rFonts w:ascii="Arial" w:cs="Arial" w:eastAsia="Arial" w:hAnsi="Arial"/>
                <w:sz w:val="16"/>
                <w:szCs w:val="16"/>
                <w:color w:val="auto"/>
              </w:rPr>
              <w:t>(7)</w:t>
            </w:r>
          </w:p>
        </w:tc>
        <w:tc>
          <w:tcPr>
            <w:tcW w:w="60" w:type="dxa"/>
            <w:vAlign w:val="bottom"/>
            <w:shd w:val="clear" w:color="auto" w:fill="C0C0C0"/>
          </w:tcPr>
          <w:p>
            <w:pPr>
              <w:spacing w:after="0"/>
              <w:rPr>
                <w:sz w:val="16"/>
                <w:szCs w:val="16"/>
                <w:color w:val="auto"/>
              </w:rPr>
            </w:pPr>
          </w:p>
        </w:tc>
        <w:tc>
          <w:tcPr>
            <w:tcW w:w="52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76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180" w:type="dxa"/>
            <w:vAlign w:val="bottom"/>
            <w:shd w:val="clear" w:color="auto" w:fill="C0C0C0"/>
          </w:tcPr>
          <w:p>
            <w:pPr>
              <w:spacing w:after="0"/>
              <w:rPr>
                <w:sz w:val="16"/>
                <w:szCs w:val="16"/>
                <w:color w:val="auto"/>
              </w:rPr>
            </w:pPr>
          </w:p>
        </w:tc>
        <w:tc>
          <w:tcPr>
            <w:tcW w:w="780" w:type="dxa"/>
            <w:vAlign w:val="bottom"/>
            <w:gridSpan w:val="2"/>
            <w:shd w:val="clear" w:color="auto" w:fill="C0C0C0"/>
          </w:tcPr>
          <w:p>
            <w:pPr>
              <w:jc w:val="right"/>
              <w:ind w:right="120"/>
              <w:spacing w:after="0"/>
              <w:rPr>
                <w:sz w:val="20"/>
                <w:szCs w:val="20"/>
                <w:color w:val="auto"/>
              </w:rPr>
            </w:pPr>
            <w:r>
              <w:rPr>
                <w:rFonts w:ascii="Arial" w:cs="Arial" w:eastAsia="Arial" w:hAnsi="Arial"/>
                <w:sz w:val="16"/>
                <w:szCs w:val="16"/>
                <w:color w:val="auto"/>
              </w:rPr>
              <w:t>(7)</w:t>
            </w:r>
          </w:p>
        </w:tc>
      </w:tr>
      <w:tr>
        <w:trPr>
          <w:trHeight w:val="187"/>
        </w:trPr>
        <w:tc>
          <w:tcPr>
            <w:tcW w:w="3220" w:type="dxa"/>
            <w:vAlign w:val="bottom"/>
            <w:shd w:val="clear" w:color="auto" w:fill="C0C0C0"/>
          </w:tcPr>
          <w:p>
            <w:pPr>
              <w:ind w:left="200"/>
              <w:spacing w:after="0"/>
              <w:rPr>
                <w:sz w:val="20"/>
                <w:szCs w:val="20"/>
                <w:color w:val="auto"/>
              </w:rPr>
            </w:pPr>
            <w:r>
              <w:rPr>
                <w:rFonts w:ascii="Arial" w:cs="Arial" w:eastAsia="Arial" w:hAnsi="Arial"/>
                <w:sz w:val="16"/>
                <w:szCs w:val="16"/>
                <w:color w:val="auto"/>
              </w:rPr>
              <w:t>withholding obligations</w:t>
            </w:r>
          </w:p>
        </w:tc>
        <w:tc>
          <w:tcPr>
            <w:tcW w:w="660" w:type="dxa"/>
            <w:vAlign w:val="bottom"/>
            <w:shd w:val="clear" w:color="auto" w:fill="C0C0C0"/>
          </w:tcPr>
          <w:p>
            <w:pPr>
              <w:spacing w:after="0"/>
              <w:rPr>
                <w:sz w:val="16"/>
                <w:szCs w:val="16"/>
                <w:color w:val="auto"/>
              </w:rPr>
            </w:pPr>
          </w:p>
        </w:tc>
        <w:tc>
          <w:tcPr>
            <w:tcW w:w="4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28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2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60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40" w:type="dxa"/>
            <w:vAlign w:val="bottom"/>
            <w:shd w:val="clear" w:color="auto" w:fill="C0C0C0"/>
          </w:tcPr>
          <w:p>
            <w:pPr>
              <w:spacing w:after="0"/>
              <w:rPr>
                <w:sz w:val="16"/>
                <w:szCs w:val="16"/>
                <w:color w:val="auto"/>
              </w:rPr>
            </w:pPr>
          </w:p>
        </w:tc>
        <w:tc>
          <w:tcPr>
            <w:tcW w:w="48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52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76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180" w:type="dxa"/>
            <w:vAlign w:val="bottom"/>
            <w:shd w:val="clear" w:color="auto" w:fill="C0C0C0"/>
          </w:tcPr>
          <w:p>
            <w:pPr>
              <w:spacing w:after="0"/>
              <w:rPr>
                <w:sz w:val="16"/>
                <w:szCs w:val="16"/>
                <w:color w:val="auto"/>
              </w:rPr>
            </w:pPr>
          </w:p>
        </w:tc>
        <w:tc>
          <w:tcPr>
            <w:tcW w:w="600" w:type="dxa"/>
            <w:vAlign w:val="bottom"/>
            <w:shd w:val="clear" w:color="auto" w:fill="C0C0C0"/>
          </w:tcPr>
          <w:p>
            <w:pPr>
              <w:spacing w:after="0"/>
              <w:rPr>
                <w:sz w:val="16"/>
                <w:szCs w:val="16"/>
                <w:color w:val="auto"/>
              </w:rPr>
            </w:pPr>
          </w:p>
        </w:tc>
        <w:tc>
          <w:tcPr>
            <w:tcW w:w="180" w:type="dxa"/>
            <w:vAlign w:val="bottom"/>
            <w:shd w:val="clear" w:color="auto" w:fill="C0C0C0"/>
          </w:tcPr>
          <w:p>
            <w:pPr>
              <w:spacing w:after="0"/>
              <w:rPr>
                <w:sz w:val="16"/>
                <w:szCs w:val="16"/>
                <w:color w:val="auto"/>
              </w:rPr>
            </w:pPr>
          </w:p>
        </w:tc>
      </w:tr>
      <w:tr>
        <w:trPr>
          <w:trHeight w:val="189"/>
        </w:trPr>
        <w:tc>
          <w:tcPr>
            <w:tcW w:w="3220" w:type="dxa"/>
            <w:vAlign w:val="bottom"/>
          </w:tcPr>
          <w:p>
            <w:pPr>
              <w:ind w:left="20"/>
              <w:spacing w:after="0"/>
              <w:rPr>
                <w:sz w:val="20"/>
                <w:szCs w:val="20"/>
                <w:color w:val="auto"/>
              </w:rPr>
            </w:pPr>
            <w:r>
              <w:rPr>
                <w:rFonts w:ascii="Arial" w:cs="Arial" w:eastAsia="Arial" w:hAnsi="Arial"/>
                <w:sz w:val="16"/>
                <w:szCs w:val="16"/>
                <w:color w:val="auto"/>
              </w:rPr>
              <w:t>Acquired in exchange of stock options</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gridSpan w:val="4"/>
          </w:tcPr>
          <w:p>
            <w:pPr>
              <w:jc w:val="right"/>
              <w:ind w:right="60"/>
              <w:spacing w:after="0"/>
              <w:rPr>
                <w:sz w:val="20"/>
                <w:szCs w:val="20"/>
                <w:color w:val="auto"/>
              </w:rPr>
            </w:pPr>
            <w:r>
              <w:rPr>
                <w:rFonts w:ascii="Arial" w:cs="Arial" w:eastAsia="Arial" w:hAnsi="Arial"/>
                <w:sz w:val="16"/>
                <w:szCs w:val="16"/>
                <w:color w:val="auto"/>
              </w:rPr>
              <w:t>(2)</w:t>
            </w:r>
          </w:p>
        </w:tc>
        <w:tc>
          <w:tcPr>
            <w:tcW w:w="4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189"/>
        </w:trPr>
        <w:tc>
          <w:tcPr>
            <w:tcW w:w="3220" w:type="dxa"/>
            <w:vAlign w:val="bottom"/>
            <w:shd w:val="clear" w:color="auto" w:fill="C0C0C0"/>
          </w:tcPr>
          <w:p>
            <w:pPr>
              <w:ind w:left="20"/>
              <w:spacing w:after="0"/>
              <w:rPr>
                <w:sz w:val="20"/>
                <w:szCs w:val="20"/>
                <w:color w:val="auto"/>
              </w:rPr>
            </w:pPr>
            <w:r>
              <w:rPr>
                <w:rFonts w:ascii="Arial" w:cs="Arial" w:eastAsia="Arial" w:hAnsi="Arial"/>
                <w:sz w:val="16"/>
                <w:szCs w:val="16"/>
                <w:color w:val="auto"/>
              </w:rPr>
              <w:t>Share repurchases</w:t>
            </w:r>
          </w:p>
        </w:tc>
        <w:tc>
          <w:tcPr>
            <w:tcW w:w="700" w:type="dxa"/>
            <w:vAlign w:val="bottom"/>
            <w:gridSpan w:val="2"/>
            <w:shd w:val="clear" w:color="auto" w:fill="C0C0C0"/>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360" w:type="dxa"/>
            <w:vAlign w:val="bottom"/>
            <w:gridSpan w:val="2"/>
            <w:shd w:val="clear" w:color="auto" w:fill="C0C0C0"/>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gridSpan w:val="4"/>
            <w:shd w:val="clear" w:color="auto" w:fill="C0C0C0"/>
          </w:tcPr>
          <w:p>
            <w:pPr>
              <w:jc w:val="right"/>
              <w:ind w:right="60"/>
              <w:spacing w:after="0"/>
              <w:rPr>
                <w:sz w:val="20"/>
                <w:szCs w:val="20"/>
                <w:color w:val="auto"/>
              </w:rPr>
            </w:pPr>
            <w:r>
              <w:rPr>
                <w:rFonts w:ascii="Arial" w:cs="Arial" w:eastAsia="Arial" w:hAnsi="Arial"/>
                <w:sz w:val="16"/>
                <w:szCs w:val="16"/>
                <w:color w:val="auto"/>
              </w:rPr>
              <w:t>(4,000)</w:t>
            </w:r>
          </w:p>
        </w:tc>
        <w:tc>
          <w:tcPr>
            <w:tcW w:w="660" w:type="dxa"/>
            <w:vAlign w:val="bottom"/>
            <w:gridSpan w:val="3"/>
            <w:shd w:val="clear" w:color="auto" w:fill="C0C0C0"/>
          </w:tcPr>
          <w:p>
            <w:pPr>
              <w:jc w:val="right"/>
              <w:ind w:right="80"/>
              <w:spacing w:after="0"/>
              <w:rPr>
                <w:sz w:val="20"/>
                <w:szCs w:val="20"/>
                <w:color w:val="auto"/>
              </w:rPr>
            </w:pPr>
            <w:r>
              <w:rPr>
                <w:rFonts w:ascii="Arial" w:cs="Arial" w:eastAsia="Arial" w:hAnsi="Arial"/>
                <w:sz w:val="16"/>
                <w:szCs w:val="16"/>
                <w:color w:val="auto"/>
              </w:rPr>
              <w:t>(129)</w:t>
            </w:r>
          </w:p>
        </w:tc>
        <w:tc>
          <w:tcPr>
            <w:tcW w:w="60" w:type="dxa"/>
            <w:vAlign w:val="bottom"/>
            <w:shd w:val="clear" w:color="auto" w:fill="C0C0C0"/>
          </w:tcPr>
          <w:p>
            <w:pPr>
              <w:spacing w:after="0"/>
              <w:rPr>
                <w:sz w:val="16"/>
                <w:szCs w:val="16"/>
                <w:color w:val="auto"/>
              </w:rPr>
            </w:pPr>
          </w:p>
        </w:tc>
        <w:tc>
          <w:tcPr>
            <w:tcW w:w="52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76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180" w:type="dxa"/>
            <w:vAlign w:val="bottom"/>
            <w:shd w:val="clear" w:color="auto" w:fill="C0C0C0"/>
          </w:tcPr>
          <w:p>
            <w:pPr>
              <w:spacing w:after="0"/>
              <w:rPr>
                <w:sz w:val="16"/>
                <w:szCs w:val="16"/>
                <w:color w:val="auto"/>
              </w:rPr>
            </w:pPr>
          </w:p>
        </w:tc>
        <w:tc>
          <w:tcPr>
            <w:tcW w:w="780" w:type="dxa"/>
            <w:vAlign w:val="bottom"/>
            <w:gridSpan w:val="2"/>
            <w:shd w:val="clear" w:color="auto" w:fill="C0C0C0"/>
          </w:tcPr>
          <w:p>
            <w:pPr>
              <w:jc w:val="right"/>
              <w:ind w:right="120"/>
              <w:spacing w:after="0"/>
              <w:rPr>
                <w:sz w:val="20"/>
                <w:szCs w:val="20"/>
                <w:color w:val="auto"/>
              </w:rPr>
            </w:pPr>
            <w:r>
              <w:rPr>
                <w:rFonts w:ascii="Arial" w:cs="Arial" w:eastAsia="Arial" w:hAnsi="Arial"/>
                <w:sz w:val="16"/>
                <w:szCs w:val="16"/>
                <w:color w:val="auto"/>
              </w:rPr>
              <w:t>(129)</w:t>
            </w:r>
          </w:p>
        </w:tc>
      </w:tr>
      <w:tr>
        <w:trPr>
          <w:trHeight w:val="189"/>
        </w:trPr>
        <w:tc>
          <w:tcPr>
            <w:tcW w:w="3220" w:type="dxa"/>
            <w:vAlign w:val="bottom"/>
          </w:tcPr>
          <w:p>
            <w:pPr>
              <w:ind w:left="20"/>
              <w:spacing w:after="0"/>
              <w:rPr>
                <w:sz w:val="20"/>
                <w:szCs w:val="20"/>
                <w:color w:val="auto"/>
              </w:rPr>
            </w:pPr>
            <w:r>
              <w:rPr>
                <w:rFonts w:ascii="Arial" w:cs="Arial" w:eastAsia="Arial" w:hAnsi="Arial"/>
                <w:sz w:val="16"/>
                <w:szCs w:val="16"/>
                <w:color w:val="auto"/>
              </w:rPr>
              <w:t>Reissued – employee stock purchase plan</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gridSpan w:val="4"/>
          </w:tcPr>
          <w:p>
            <w:pPr>
              <w:jc w:val="right"/>
              <w:ind w:right="120"/>
              <w:spacing w:after="0"/>
              <w:rPr>
                <w:sz w:val="20"/>
                <w:szCs w:val="20"/>
                <w:color w:val="auto"/>
              </w:rPr>
            </w:pPr>
            <w:r>
              <w:rPr>
                <w:rFonts w:ascii="Arial" w:cs="Arial" w:eastAsia="Arial" w:hAnsi="Arial"/>
                <w:sz w:val="16"/>
                <w:szCs w:val="16"/>
                <w:color w:val="auto"/>
              </w:rPr>
              <w:t>218</w:t>
            </w:r>
          </w:p>
        </w:tc>
        <w:tc>
          <w:tcPr>
            <w:tcW w:w="660" w:type="dxa"/>
            <w:vAlign w:val="bottom"/>
            <w:gridSpan w:val="3"/>
          </w:tcPr>
          <w:p>
            <w:pPr>
              <w:jc w:val="right"/>
              <w:ind w:right="140"/>
              <w:spacing w:after="0"/>
              <w:rPr>
                <w:sz w:val="20"/>
                <w:szCs w:val="20"/>
                <w:color w:val="auto"/>
              </w:rPr>
            </w:pPr>
            <w:r>
              <w:rPr>
                <w:rFonts w:ascii="Arial" w:cs="Arial" w:eastAsia="Arial" w:hAnsi="Arial"/>
                <w:sz w:val="16"/>
                <w:szCs w:val="16"/>
                <w:color w:val="auto"/>
              </w:rPr>
              <w:t>5</w:t>
            </w: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5</w:t>
            </w:r>
          </w:p>
        </w:tc>
      </w:tr>
      <w:tr>
        <w:trPr>
          <w:trHeight w:val="189"/>
        </w:trPr>
        <w:tc>
          <w:tcPr>
            <w:tcW w:w="3220" w:type="dxa"/>
            <w:vAlign w:val="bottom"/>
            <w:shd w:val="clear" w:color="auto" w:fill="C0C0C0"/>
          </w:tcPr>
          <w:p>
            <w:pPr>
              <w:ind w:left="20"/>
              <w:spacing w:after="0"/>
              <w:rPr>
                <w:sz w:val="20"/>
                <w:szCs w:val="20"/>
                <w:color w:val="auto"/>
              </w:rPr>
            </w:pPr>
            <w:r>
              <w:rPr>
                <w:rFonts w:ascii="Arial" w:cs="Arial" w:eastAsia="Arial" w:hAnsi="Arial"/>
                <w:sz w:val="16"/>
                <w:szCs w:val="16"/>
                <w:color w:val="auto"/>
              </w:rPr>
              <w:t>Net income</w:t>
            </w:r>
          </w:p>
        </w:tc>
        <w:tc>
          <w:tcPr>
            <w:tcW w:w="660" w:type="dxa"/>
            <w:vAlign w:val="bottom"/>
            <w:shd w:val="clear" w:color="auto" w:fill="C0C0C0"/>
          </w:tcPr>
          <w:p>
            <w:pPr>
              <w:spacing w:after="0"/>
              <w:rPr>
                <w:sz w:val="16"/>
                <w:szCs w:val="16"/>
                <w:color w:val="auto"/>
              </w:rPr>
            </w:pPr>
          </w:p>
        </w:tc>
        <w:tc>
          <w:tcPr>
            <w:tcW w:w="4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28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2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60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40" w:type="dxa"/>
            <w:vAlign w:val="bottom"/>
            <w:shd w:val="clear" w:color="auto" w:fill="C0C0C0"/>
          </w:tcPr>
          <w:p>
            <w:pPr>
              <w:spacing w:after="0"/>
              <w:rPr>
                <w:sz w:val="16"/>
                <w:szCs w:val="16"/>
                <w:color w:val="auto"/>
              </w:rPr>
            </w:pPr>
          </w:p>
        </w:tc>
        <w:tc>
          <w:tcPr>
            <w:tcW w:w="48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680" w:type="dxa"/>
            <w:vAlign w:val="bottom"/>
            <w:gridSpan w:val="3"/>
            <w:shd w:val="clear" w:color="auto" w:fill="C0C0C0"/>
          </w:tcPr>
          <w:p>
            <w:pPr>
              <w:jc w:val="right"/>
              <w:ind w:right="100"/>
              <w:spacing w:after="0"/>
              <w:rPr>
                <w:sz w:val="20"/>
                <w:szCs w:val="20"/>
                <w:color w:val="auto"/>
              </w:rPr>
            </w:pPr>
            <w:r>
              <w:rPr>
                <w:rFonts w:ascii="Arial" w:cs="Arial" w:eastAsia="Arial" w:hAnsi="Arial"/>
                <w:sz w:val="16"/>
                <w:szCs w:val="16"/>
                <w:color w:val="auto"/>
              </w:rPr>
              <w:t>397</w:t>
            </w:r>
          </w:p>
        </w:tc>
        <w:tc>
          <w:tcPr>
            <w:tcW w:w="6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76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180" w:type="dxa"/>
            <w:vAlign w:val="bottom"/>
            <w:shd w:val="clear" w:color="auto" w:fill="C0C0C0"/>
          </w:tcPr>
          <w:p>
            <w:pPr>
              <w:spacing w:after="0"/>
              <w:rPr>
                <w:sz w:val="16"/>
                <w:szCs w:val="16"/>
                <w:color w:val="auto"/>
              </w:rPr>
            </w:pPr>
          </w:p>
        </w:tc>
        <w:tc>
          <w:tcPr>
            <w:tcW w:w="780" w:type="dxa"/>
            <w:vAlign w:val="bottom"/>
            <w:gridSpan w:val="2"/>
            <w:shd w:val="clear" w:color="auto" w:fill="C0C0C0"/>
          </w:tcPr>
          <w:p>
            <w:pPr>
              <w:jc w:val="right"/>
              <w:ind w:right="180"/>
              <w:spacing w:after="0"/>
              <w:rPr>
                <w:sz w:val="20"/>
                <w:szCs w:val="20"/>
                <w:color w:val="auto"/>
              </w:rPr>
            </w:pPr>
            <w:r>
              <w:rPr>
                <w:rFonts w:ascii="Arial" w:cs="Arial" w:eastAsia="Arial" w:hAnsi="Arial"/>
                <w:sz w:val="16"/>
                <w:szCs w:val="16"/>
                <w:color w:val="auto"/>
              </w:rPr>
              <w:t>397</w:t>
            </w:r>
          </w:p>
        </w:tc>
      </w:tr>
      <w:tr>
        <w:trPr>
          <w:trHeight w:val="191"/>
        </w:trPr>
        <w:tc>
          <w:tcPr>
            <w:tcW w:w="3220" w:type="dxa"/>
            <w:vAlign w:val="bottom"/>
          </w:tcPr>
          <w:p>
            <w:pPr>
              <w:ind w:left="20"/>
              <w:spacing w:after="0"/>
              <w:rPr>
                <w:sz w:val="20"/>
                <w:szCs w:val="20"/>
                <w:color w:val="auto"/>
              </w:rPr>
            </w:pPr>
            <w:r>
              <w:rPr>
                <w:rFonts w:ascii="Arial" w:cs="Arial" w:eastAsia="Arial" w:hAnsi="Arial"/>
                <w:sz w:val="16"/>
                <w:szCs w:val="16"/>
                <w:color w:val="auto"/>
              </w:rPr>
              <w:t>Cash dividends declared on common stock</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6"/>
                <w:szCs w:val="16"/>
                <w:color w:val="auto"/>
              </w:rPr>
              <w:t>(109)</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(109)</w:t>
            </w:r>
          </w:p>
        </w:tc>
      </w:tr>
      <w:tr>
        <w:trPr>
          <w:trHeight w:val="187"/>
        </w:trPr>
        <w:tc>
          <w:tcPr>
            <w:tcW w:w="3220" w:type="dxa"/>
            <w:vAlign w:val="bottom"/>
          </w:tcPr>
          <w:p>
            <w:pPr>
              <w:ind w:left="200"/>
              <w:spacing w:after="0"/>
              <w:rPr>
                <w:sz w:val="20"/>
                <w:szCs w:val="20"/>
                <w:color w:val="auto"/>
              </w:rPr>
            </w:pPr>
            <w:r>
              <w:rPr>
                <w:rFonts w:ascii="Arial" w:cs="Arial" w:eastAsia="Arial" w:hAnsi="Arial"/>
                <w:sz w:val="16"/>
                <w:szCs w:val="16"/>
                <w:color w:val="auto"/>
              </w:rPr>
              <w:t>($0.72 per share)</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9"/>
        </w:trPr>
        <w:tc>
          <w:tcPr>
            <w:tcW w:w="3220" w:type="dxa"/>
            <w:vAlign w:val="bottom"/>
            <w:shd w:val="clear" w:color="auto" w:fill="C0C0C0"/>
          </w:tcPr>
          <w:p>
            <w:pPr>
              <w:ind w:left="20"/>
              <w:spacing w:after="0"/>
              <w:rPr>
                <w:sz w:val="20"/>
                <w:szCs w:val="20"/>
                <w:color w:val="auto"/>
              </w:rPr>
            </w:pPr>
            <w:r>
              <w:rPr>
                <w:rFonts w:ascii="Arial" w:cs="Arial" w:eastAsia="Arial" w:hAnsi="Arial"/>
                <w:sz w:val="16"/>
                <w:szCs w:val="16"/>
                <w:color w:val="auto"/>
              </w:rPr>
              <w:t>Translation adjustment, net of tax</w:t>
            </w:r>
          </w:p>
        </w:tc>
        <w:tc>
          <w:tcPr>
            <w:tcW w:w="660" w:type="dxa"/>
            <w:vAlign w:val="bottom"/>
            <w:shd w:val="clear" w:color="auto" w:fill="C0C0C0"/>
          </w:tcPr>
          <w:p>
            <w:pPr>
              <w:spacing w:after="0"/>
              <w:rPr>
                <w:sz w:val="16"/>
                <w:szCs w:val="16"/>
                <w:color w:val="auto"/>
              </w:rPr>
            </w:pPr>
          </w:p>
        </w:tc>
        <w:tc>
          <w:tcPr>
            <w:tcW w:w="4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28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2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60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40" w:type="dxa"/>
            <w:vAlign w:val="bottom"/>
            <w:shd w:val="clear" w:color="auto" w:fill="C0C0C0"/>
          </w:tcPr>
          <w:p>
            <w:pPr>
              <w:spacing w:after="0"/>
              <w:rPr>
                <w:sz w:val="16"/>
                <w:szCs w:val="16"/>
                <w:color w:val="auto"/>
              </w:rPr>
            </w:pPr>
          </w:p>
        </w:tc>
        <w:tc>
          <w:tcPr>
            <w:tcW w:w="48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52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1000" w:type="dxa"/>
            <w:vAlign w:val="bottom"/>
            <w:gridSpan w:val="2"/>
            <w:shd w:val="clear" w:color="auto" w:fill="C0C0C0"/>
          </w:tcPr>
          <w:p>
            <w:pPr>
              <w:jc w:val="right"/>
              <w:ind w:right="240"/>
              <w:spacing w:after="0"/>
              <w:rPr>
                <w:sz w:val="20"/>
                <w:szCs w:val="20"/>
                <w:color w:val="auto"/>
              </w:rPr>
            </w:pPr>
            <w:r>
              <w:rPr>
                <w:rFonts w:ascii="Arial" w:cs="Arial" w:eastAsia="Arial" w:hAnsi="Arial"/>
                <w:sz w:val="16"/>
                <w:szCs w:val="16"/>
                <w:color w:val="auto"/>
              </w:rPr>
              <w:t>19</w:t>
            </w:r>
          </w:p>
        </w:tc>
        <w:tc>
          <w:tcPr>
            <w:tcW w:w="60" w:type="dxa"/>
            <w:vAlign w:val="bottom"/>
            <w:shd w:val="clear" w:color="auto" w:fill="C0C0C0"/>
          </w:tcPr>
          <w:p>
            <w:pPr>
              <w:spacing w:after="0"/>
              <w:rPr>
                <w:sz w:val="16"/>
                <w:szCs w:val="16"/>
                <w:color w:val="auto"/>
              </w:rPr>
            </w:pPr>
          </w:p>
        </w:tc>
        <w:tc>
          <w:tcPr>
            <w:tcW w:w="180" w:type="dxa"/>
            <w:vAlign w:val="bottom"/>
            <w:shd w:val="clear" w:color="auto" w:fill="C0C0C0"/>
          </w:tcPr>
          <w:p>
            <w:pPr>
              <w:spacing w:after="0"/>
              <w:rPr>
                <w:sz w:val="16"/>
                <w:szCs w:val="16"/>
                <w:color w:val="auto"/>
              </w:rPr>
            </w:pPr>
          </w:p>
        </w:tc>
        <w:tc>
          <w:tcPr>
            <w:tcW w:w="780" w:type="dxa"/>
            <w:vAlign w:val="bottom"/>
            <w:gridSpan w:val="2"/>
            <w:shd w:val="clear" w:color="auto" w:fill="C0C0C0"/>
          </w:tcPr>
          <w:p>
            <w:pPr>
              <w:jc w:val="right"/>
              <w:ind w:right="180"/>
              <w:spacing w:after="0"/>
              <w:rPr>
                <w:sz w:val="20"/>
                <w:szCs w:val="20"/>
                <w:color w:val="auto"/>
              </w:rPr>
            </w:pPr>
            <w:r>
              <w:rPr>
                <w:rFonts w:ascii="Arial" w:cs="Arial" w:eastAsia="Arial" w:hAnsi="Arial"/>
                <w:sz w:val="16"/>
                <w:szCs w:val="16"/>
                <w:color w:val="auto"/>
              </w:rPr>
              <w:t>19</w:t>
            </w:r>
          </w:p>
        </w:tc>
      </w:tr>
      <w:tr>
        <w:trPr>
          <w:trHeight w:val="189"/>
        </w:trPr>
        <w:tc>
          <w:tcPr>
            <w:tcW w:w="3220" w:type="dxa"/>
            <w:vAlign w:val="bottom"/>
          </w:tcPr>
          <w:p>
            <w:pPr>
              <w:ind w:left="20"/>
              <w:spacing w:after="0"/>
              <w:rPr>
                <w:sz w:val="20"/>
                <w:szCs w:val="20"/>
                <w:color w:val="auto"/>
              </w:rPr>
            </w:pPr>
            <w:r>
              <w:rPr>
                <w:rFonts w:ascii="Arial" w:cs="Arial" w:eastAsia="Arial" w:hAnsi="Arial"/>
                <w:sz w:val="16"/>
                <w:szCs w:val="16"/>
                <w:color w:val="auto"/>
              </w:rPr>
              <w:t>Change in cash flow hedges, net of tax</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4</w:t>
            </w:r>
          </w:p>
        </w:tc>
      </w:tr>
      <w:tr>
        <w:trPr>
          <w:trHeight w:val="191"/>
        </w:trPr>
        <w:tc>
          <w:tcPr>
            <w:tcW w:w="3220" w:type="dxa"/>
            <w:vAlign w:val="bottom"/>
            <w:shd w:val="clear" w:color="auto" w:fill="C0C0C0"/>
          </w:tcPr>
          <w:p>
            <w:pPr>
              <w:ind w:left="20"/>
              <w:spacing w:after="0"/>
              <w:rPr>
                <w:sz w:val="20"/>
                <w:szCs w:val="20"/>
                <w:color w:val="auto"/>
              </w:rPr>
            </w:pPr>
            <w:r>
              <w:rPr>
                <w:rFonts w:ascii="Arial" w:cs="Arial" w:eastAsia="Arial" w:hAnsi="Arial"/>
                <w:sz w:val="16"/>
                <w:szCs w:val="16"/>
                <w:color w:val="auto"/>
              </w:rPr>
              <w:t>Pension and postretirement adjustments,</w:t>
            </w:r>
          </w:p>
        </w:tc>
        <w:tc>
          <w:tcPr>
            <w:tcW w:w="660" w:type="dxa"/>
            <w:vAlign w:val="bottom"/>
            <w:shd w:val="clear" w:color="auto" w:fill="C0C0C0"/>
          </w:tcPr>
          <w:p>
            <w:pPr>
              <w:spacing w:after="0"/>
              <w:rPr>
                <w:sz w:val="16"/>
                <w:szCs w:val="16"/>
                <w:color w:val="auto"/>
              </w:rPr>
            </w:pPr>
          </w:p>
        </w:tc>
        <w:tc>
          <w:tcPr>
            <w:tcW w:w="4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28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2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60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40" w:type="dxa"/>
            <w:vAlign w:val="bottom"/>
            <w:shd w:val="clear" w:color="auto" w:fill="C0C0C0"/>
          </w:tcPr>
          <w:p>
            <w:pPr>
              <w:spacing w:after="0"/>
              <w:rPr>
                <w:sz w:val="16"/>
                <w:szCs w:val="16"/>
                <w:color w:val="auto"/>
              </w:rPr>
            </w:pPr>
          </w:p>
        </w:tc>
        <w:tc>
          <w:tcPr>
            <w:tcW w:w="48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52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1000" w:type="dxa"/>
            <w:vAlign w:val="bottom"/>
            <w:gridSpan w:val="2"/>
            <w:shd w:val="clear" w:color="auto" w:fill="C0C0C0"/>
          </w:tcPr>
          <w:p>
            <w:pPr>
              <w:jc w:val="right"/>
              <w:ind w:right="240"/>
              <w:spacing w:after="0"/>
              <w:rPr>
                <w:sz w:val="20"/>
                <w:szCs w:val="20"/>
                <w:color w:val="auto"/>
              </w:rPr>
            </w:pPr>
            <w:r>
              <w:rPr>
                <w:rFonts w:ascii="Arial" w:cs="Arial" w:eastAsia="Arial" w:hAnsi="Arial"/>
                <w:sz w:val="16"/>
                <w:szCs w:val="16"/>
                <w:color w:val="auto"/>
              </w:rPr>
              <w:t>9</w:t>
            </w:r>
          </w:p>
        </w:tc>
        <w:tc>
          <w:tcPr>
            <w:tcW w:w="60" w:type="dxa"/>
            <w:vAlign w:val="bottom"/>
            <w:shd w:val="clear" w:color="auto" w:fill="C0C0C0"/>
          </w:tcPr>
          <w:p>
            <w:pPr>
              <w:spacing w:after="0"/>
              <w:rPr>
                <w:sz w:val="16"/>
                <w:szCs w:val="16"/>
                <w:color w:val="auto"/>
              </w:rPr>
            </w:pPr>
          </w:p>
        </w:tc>
        <w:tc>
          <w:tcPr>
            <w:tcW w:w="180" w:type="dxa"/>
            <w:vAlign w:val="bottom"/>
            <w:shd w:val="clear" w:color="auto" w:fill="C0C0C0"/>
          </w:tcPr>
          <w:p>
            <w:pPr>
              <w:spacing w:after="0"/>
              <w:rPr>
                <w:sz w:val="16"/>
                <w:szCs w:val="16"/>
                <w:color w:val="auto"/>
              </w:rPr>
            </w:pPr>
          </w:p>
        </w:tc>
        <w:tc>
          <w:tcPr>
            <w:tcW w:w="780" w:type="dxa"/>
            <w:vAlign w:val="bottom"/>
            <w:gridSpan w:val="2"/>
            <w:shd w:val="clear" w:color="auto" w:fill="C0C0C0"/>
          </w:tcPr>
          <w:p>
            <w:pPr>
              <w:jc w:val="right"/>
              <w:ind w:right="180"/>
              <w:spacing w:after="0"/>
              <w:rPr>
                <w:sz w:val="20"/>
                <w:szCs w:val="20"/>
                <w:color w:val="auto"/>
              </w:rPr>
            </w:pPr>
            <w:r>
              <w:rPr>
                <w:rFonts w:ascii="Arial" w:cs="Arial" w:eastAsia="Arial" w:hAnsi="Arial"/>
                <w:sz w:val="16"/>
                <w:szCs w:val="16"/>
                <w:color w:val="auto"/>
              </w:rPr>
              <w:t>9</w:t>
            </w:r>
          </w:p>
        </w:tc>
      </w:tr>
      <w:tr>
        <w:trPr>
          <w:trHeight w:val="187"/>
        </w:trPr>
        <w:tc>
          <w:tcPr>
            <w:tcW w:w="3220" w:type="dxa"/>
            <w:vAlign w:val="bottom"/>
            <w:shd w:val="clear" w:color="auto" w:fill="C0C0C0"/>
          </w:tcPr>
          <w:p>
            <w:pPr>
              <w:ind w:left="200"/>
              <w:spacing w:after="0"/>
              <w:rPr>
                <w:sz w:val="20"/>
                <w:szCs w:val="20"/>
                <w:color w:val="auto"/>
              </w:rPr>
            </w:pPr>
            <w:r>
              <w:rPr>
                <w:rFonts w:ascii="Arial" w:cs="Arial" w:eastAsia="Arial" w:hAnsi="Arial"/>
                <w:sz w:val="16"/>
                <w:szCs w:val="16"/>
                <w:color w:val="auto"/>
              </w:rPr>
              <w:t>net of tax</w:t>
            </w:r>
          </w:p>
        </w:tc>
        <w:tc>
          <w:tcPr>
            <w:tcW w:w="660" w:type="dxa"/>
            <w:vAlign w:val="bottom"/>
            <w:shd w:val="clear" w:color="auto" w:fill="C0C0C0"/>
          </w:tcPr>
          <w:p>
            <w:pPr>
              <w:spacing w:after="0"/>
              <w:rPr>
                <w:sz w:val="16"/>
                <w:szCs w:val="16"/>
                <w:color w:val="auto"/>
              </w:rPr>
            </w:pPr>
          </w:p>
        </w:tc>
        <w:tc>
          <w:tcPr>
            <w:tcW w:w="4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28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2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60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40" w:type="dxa"/>
            <w:vAlign w:val="bottom"/>
            <w:shd w:val="clear" w:color="auto" w:fill="C0C0C0"/>
          </w:tcPr>
          <w:p>
            <w:pPr>
              <w:spacing w:after="0"/>
              <w:rPr>
                <w:sz w:val="16"/>
                <w:szCs w:val="16"/>
                <w:color w:val="auto"/>
              </w:rPr>
            </w:pPr>
          </w:p>
        </w:tc>
        <w:tc>
          <w:tcPr>
            <w:tcW w:w="48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52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76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180" w:type="dxa"/>
            <w:vAlign w:val="bottom"/>
            <w:shd w:val="clear" w:color="auto" w:fill="C0C0C0"/>
          </w:tcPr>
          <w:p>
            <w:pPr>
              <w:spacing w:after="0"/>
              <w:rPr>
                <w:sz w:val="16"/>
                <w:szCs w:val="16"/>
                <w:color w:val="auto"/>
              </w:rPr>
            </w:pPr>
          </w:p>
        </w:tc>
        <w:tc>
          <w:tcPr>
            <w:tcW w:w="600" w:type="dxa"/>
            <w:vAlign w:val="bottom"/>
            <w:shd w:val="clear" w:color="auto" w:fill="C0C0C0"/>
          </w:tcPr>
          <w:p>
            <w:pPr>
              <w:spacing w:after="0"/>
              <w:rPr>
                <w:sz w:val="16"/>
                <w:szCs w:val="16"/>
                <w:color w:val="auto"/>
              </w:rPr>
            </w:pPr>
          </w:p>
        </w:tc>
        <w:tc>
          <w:tcPr>
            <w:tcW w:w="180" w:type="dxa"/>
            <w:vAlign w:val="bottom"/>
            <w:shd w:val="clear" w:color="auto" w:fill="C0C0C0"/>
          </w:tcPr>
          <w:p>
            <w:pPr>
              <w:spacing w:after="0"/>
              <w:rPr>
                <w:sz w:val="16"/>
                <w:szCs w:val="16"/>
                <w:color w:val="auto"/>
              </w:rPr>
            </w:pPr>
          </w:p>
        </w:tc>
      </w:tr>
      <w:tr>
        <w:trPr>
          <w:trHeight w:val="191"/>
        </w:trPr>
        <w:tc>
          <w:tcPr>
            <w:tcW w:w="3220" w:type="dxa"/>
            <w:vAlign w:val="bottom"/>
          </w:tcPr>
          <w:p>
            <w:pPr>
              <w:ind w:left="20"/>
              <w:spacing w:after="0"/>
              <w:rPr>
                <w:sz w:val="20"/>
                <w:szCs w:val="20"/>
                <w:color w:val="auto"/>
              </w:rPr>
            </w:pPr>
            <w:r>
              <w:rPr>
                <w:rFonts w:ascii="Arial" w:cs="Arial" w:eastAsia="Arial" w:hAnsi="Arial"/>
                <w:sz w:val="16"/>
                <w:szCs w:val="16"/>
                <w:color w:val="auto"/>
              </w:rPr>
              <w:t>Unrealized gain on available-for-securities,</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1</w:t>
            </w:r>
          </w:p>
        </w:tc>
      </w:tr>
      <w:tr>
        <w:trPr>
          <w:trHeight w:val="187"/>
        </w:trPr>
        <w:tc>
          <w:tcPr>
            <w:tcW w:w="3220" w:type="dxa"/>
            <w:vAlign w:val="bottom"/>
          </w:tcPr>
          <w:p>
            <w:pPr>
              <w:ind w:left="200"/>
              <w:spacing w:after="0"/>
              <w:rPr>
                <w:sz w:val="20"/>
                <w:szCs w:val="20"/>
                <w:color w:val="auto"/>
              </w:rPr>
            </w:pPr>
            <w:r>
              <w:rPr>
                <w:rFonts w:ascii="Arial" w:cs="Arial" w:eastAsia="Arial" w:hAnsi="Arial"/>
                <w:sz w:val="16"/>
                <w:szCs w:val="16"/>
                <w:color w:val="auto"/>
              </w:rPr>
              <w:t>with no tax</w:t>
            </w:r>
          </w:p>
        </w:tc>
        <w:tc>
          <w:tcPr>
            <w:tcW w:w="6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183"/>
        </w:trPr>
        <w:tc>
          <w:tcPr>
            <w:tcW w:w="3220" w:type="dxa"/>
            <w:vAlign w:val="bottom"/>
            <w:shd w:val="clear" w:color="auto" w:fill="C0C0C0"/>
          </w:tcPr>
          <w:p>
            <w:pPr>
              <w:ind w:left="20"/>
              <w:spacing w:after="0" w:line="183" w:lineRule="exact"/>
              <w:rPr>
                <w:sz w:val="20"/>
                <w:szCs w:val="20"/>
                <w:color w:val="auto"/>
              </w:rPr>
            </w:pPr>
            <w:r>
              <w:rPr>
                <w:rFonts w:ascii="Arial" w:cs="Arial" w:eastAsia="Arial" w:hAnsi="Arial"/>
                <w:sz w:val="16"/>
                <w:szCs w:val="16"/>
                <w:b w:val="1"/>
                <w:bCs w:val="1"/>
                <w:color w:val="auto"/>
              </w:rPr>
              <w:t>Balance at February 2, 2013</w:t>
            </w:r>
          </w:p>
        </w:tc>
        <w:tc>
          <w:tcPr>
            <w:tcW w:w="700" w:type="dxa"/>
            <w:vAlign w:val="bottom"/>
            <w:gridSpan w:val="2"/>
            <w:shd w:val="clear" w:color="auto" w:fill="C0C0C0"/>
          </w:tcPr>
          <w:p>
            <w:pPr>
              <w:jc w:val="right"/>
              <w:ind w:right="40"/>
              <w:spacing w:after="0" w:line="183" w:lineRule="exact"/>
              <w:rPr>
                <w:sz w:val="20"/>
                <w:szCs w:val="20"/>
                <w:color w:val="auto"/>
              </w:rPr>
            </w:pPr>
            <w:r>
              <w:rPr>
                <w:rFonts w:ascii="Arial" w:cs="Arial" w:eastAsia="Arial" w:hAnsi="Arial"/>
                <w:sz w:val="16"/>
                <w:szCs w:val="16"/>
                <w:b w:val="1"/>
                <w:bCs w:val="1"/>
                <w:color w:val="auto"/>
              </w:rPr>
              <w:t>166,909</w:t>
            </w:r>
          </w:p>
        </w:tc>
        <w:tc>
          <w:tcPr>
            <w:tcW w:w="300" w:type="dxa"/>
            <w:vAlign w:val="bottom"/>
            <w:gridSpan w:val="2"/>
            <w:shd w:val="clear" w:color="auto" w:fill="C0C0C0"/>
          </w:tcPr>
          <w:p>
            <w:pPr>
              <w:jc w:val="right"/>
              <w:ind w:right="68"/>
              <w:spacing w:after="0" w:line="183" w:lineRule="exact"/>
              <w:rPr>
                <w:sz w:val="20"/>
                <w:szCs w:val="20"/>
                <w:color w:val="auto"/>
              </w:rPr>
            </w:pPr>
            <w:r>
              <w:rPr>
                <w:rFonts w:ascii="Arial" w:cs="Arial" w:eastAsia="Arial" w:hAnsi="Arial"/>
                <w:sz w:val="16"/>
                <w:szCs w:val="16"/>
                <w:b w:val="1"/>
                <w:bCs w:val="1"/>
                <w:color w:val="auto"/>
              </w:rPr>
              <w:t>$</w:t>
            </w:r>
          </w:p>
        </w:tc>
        <w:tc>
          <w:tcPr>
            <w:tcW w:w="360" w:type="dxa"/>
            <w:vAlign w:val="bottom"/>
            <w:gridSpan w:val="2"/>
            <w:shd w:val="clear" w:color="auto" w:fill="C0C0C0"/>
          </w:tcPr>
          <w:p>
            <w:pPr>
              <w:jc w:val="right"/>
              <w:ind w:right="80"/>
              <w:spacing w:after="0" w:line="183" w:lineRule="exact"/>
              <w:rPr>
                <w:sz w:val="20"/>
                <w:szCs w:val="20"/>
                <w:color w:val="auto"/>
              </w:rPr>
            </w:pPr>
            <w:r>
              <w:rPr>
                <w:rFonts w:ascii="Arial" w:cs="Arial" w:eastAsia="Arial" w:hAnsi="Arial"/>
                <w:sz w:val="16"/>
                <w:szCs w:val="16"/>
                <w:b w:val="1"/>
                <w:bCs w:val="1"/>
                <w:color w:val="auto"/>
                <w:w w:val="97"/>
              </w:rPr>
              <w:t>856</w:t>
            </w:r>
          </w:p>
        </w:tc>
        <w:tc>
          <w:tcPr>
            <w:tcW w:w="800" w:type="dxa"/>
            <w:vAlign w:val="bottom"/>
            <w:gridSpan w:val="4"/>
            <w:shd w:val="clear" w:color="auto" w:fill="C0C0C0"/>
          </w:tcPr>
          <w:p>
            <w:pPr>
              <w:jc w:val="right"/>
              <w:ind w:right="60"/>
              <w:spacing w:after="0" w:line="183" w:lineRule="exact"/>
              <w:rPr>
                <w:sz w:val="20"/>
                <w:szCs w:val="20"/>
                <w:color w:val="auto"/>
              </w:rPr>
            </w:pPr>
            <w:r>
              <w:rPr>
                <w:rFonts w:ascii="Arial" w:cs="Arial" w:eastAsia="Arial" w:hAnsi="Arial"/>
                <w:sz w:val="16"/>
                <w:szCs w:val="16"/>
                <w:b w:val="1"/>
                <w:bCs w:val="1"/>
                <w:color w:val="auto"/>
              </w:rPr>
              <w:t>(16,839)</w:t>
            </w:r>
          </w:p>
        </w:tc>
        <w:tc>
          <w:tcPr>
            <w:tcW w:w="660" w:type="dxa"/>
            <w:vAlign w:val="bottom"/>
            <w:gridSpan w:val="3"/>
            <w:shd w:val="clear" w:color="auto" w:fill="C0C0C0"/>
          </w:tcPr>
          <w:p>
            <w:pPr>
              <w:jc w:val="right"/>
              <w:ind w:right="80"/>
              <w:spacing w:after="0" w:line="183" w:lineRule="exact"/>
              <w:rPr>
                <w:sz w:val="20"/>
                <w:szCs w:val="20"/>
                <w:color w:val="auto"/>
              </w:rPr>
            </w:pPr>
            <w:r>
              <w:rPr>
                <w:rFonts w:ascii="Arial" w:cs="Arial" w:eastAsia="Arial" w:hAnsi="Arial"/>
                <w:sz w:val="16"/>
                <w:szCs w:val="16"/>
                <w:b w:val="1"/>
                <w:bCs w:val="1"/>
                <w:color w:val="auto"/>
              </w:rPr>
              <w:t>$ (384)</w:t>
            </w:r>
          </w:p>
        </w:tc>
        <w:tc>
          <w:tcPr>
            <w:tcW w:w="680" w:type="dxa"/>
            <w:vAlign w:val="bottom"/>
            <w:gridSpan w:val="3"/>
            <w:shd w:val="clear" w:color="auto" w:fill="C0C0C0"/>
          </w:tcPr>
          <w:p>
            <w:pPr>
              <w:jc w:val="right"/>
              <w:ind w:right="100"/>
              <w:spacing w:after="0" w:line="183" w:lineRule="exact"/>
              <w:rPr>
                <w:sz w:val="20"/>
                <w:szCs w:val="20"/>
                <w:color w:val="auto"/>
              </w:rPr>
            </w:pPr>
            <w:r>
              <w:rPr>
                <w:rFonts w:ascii="Arial" w:cs="Arial" w:eastAsia="Arial" w:hAnsi="Arial"/>
                <w:sz w:val="16"/>
                <w:szCs w:val="16"/>
                <w:b w:val="1"/>
                <w:bCs w:val="1"/>
                <w:color w:val="auto"/>
              </w:rPr>
              <w:t>$2,076</w:t>
            </w:r>
          </w:p>
        </w:tc>
        <w:tc>
          <w:tcPr>
            <w:tcW w:w="6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0C0C0"/>
          </w:tcPr>
          <w:p>
            <w:pPr>
              <w:jc w:val="right"/>
              <w:ind w:right="180"/>
              <w:spacing w:after="0" w:line="183" w:lineRule="exact"/>
              <w:rPr>
                <w:sz w:val="20"/>
                <w:szCs w:val="20"/>
                <w:color w:val="auto"/>
              </w:rPr>
            </w:pPr>
            <w:r>
              <w:rPr>
                <w:rFonts w:ascii="Arial" w:cs="Arial" w:eastAsia="Arial" w:hAnsi="Arial"/>
                <w:sz w:val="16"/>
                <w:szCs w:val="16"/>
                <w:b w:val="1"/>
                <w:bCs w:val="1"/>
                <w:color w:val="auto"/>
              </w:rPr>
              <w:t>(171)</w:t>
            </w:r>
          </w:p>
        </w:tc>
        <w:tc>
          <w:tcPr>
            <w:tcW w:w="60" w:type="dxa"/>
            <w:vAlign w:val="bottom"/>
            <w:shd w:val="clear" w:color="auto" w:fill="C0C0C0"/>
          </w:tcPr>
          <w:p>
            <w:pPr>
              <w:spacing w:after="0"/>
              <w:rPr>
                <w:sz w:val="15"/>
                <w:szCs w:val="15"/>
                <w:color w:val="auto"/>
              </w:rPr>
            </w:pPr>
          </w:p>
        </w:tc>
        <w:tc>
          <w:tcPr>
            <w:tcW w:w="180" w:type="dxa"/>
            <w:vAlign w:val="bottom"/>
            <w:shd w:val="clear" w:color="auto" w:fill="C0C0C0"/>
          </w:tcPr>
          <w:p>
            <w:pPr>
              <w:spacing w:after="0" w:line="183" w:lineRule="exact"/>
              <w:rPr>
                <w:sz w:val="20"/>
                <w:szCs w:val="20"/>
                <w:color w:val="auto"/>
              </w:rPr>
            </w:pPr>
            <w:r>
              <w:rPr>
                <w:rFonts w:ascii="Arial" w:cs="Arial" w:eastAsia="Arial" w:hAnsi="Arial"/>
                <w:sz w:val="16"/>
                <w:szCs w:val="16"/>
                <w:b w:val="1"/>
                <w:bCs w:val="1"/>
                <w:color w:val="auto"/>
              </w:rPr>
              <w:t>$</w:t>
            </w:r>
          </w:p>
        </w:tc>
        <w:tc>
          <w:tcPr>
            <w:tcW w:w="780" w:type="dxa"/>
            <w:vAlign w:val="bottom"/>
            <w:gridSpan w:val="2"/>
            <w:shd w:val="clear" w:color="auto" w:fill="C0C0C0"/>
          </w:tcPr>
          <w:p>
            <w:pPr>
              <w:jc w:val="right"/>
              <w:ind w:right="180"/>
              <w:spacing w:after="0" w:line="183" w:lineRule="exact"/>
              <w:rPr>
                <w:sz w:val="20"/>
                <w:szCs w:val="20"/>
                <w:color w:val="auto"/>
              </w:rPr>
            </w:pPr>
            <w:r>
              <w:rPr>
                <w:rFonts w:ascii="Arial" w:cs="Arial" w:eastAsia="Arial" w:hAnsi="Arial"/>
                <w:sz w:val="16"/>
                <w:szCs w:val="16"/>
                <w:b w:val="1"/>
                <w:bCs w:val="1"/>
                <w:color w:val="auto"/>
              </w:rPr>
              <w:t>2,377</w:t>
            </w:r>
          </w:p>
        </w:tc>
      </w:tr>
      <w:tr>
        <w:trPr>
          <w:trHeight w:val="189"/>
        </w:trPr>
        <w:tc>
          <w:tcPr>
            <w:tcW w:w="3220" w:type="dxa"/>
            <w:vAlign w:val="bottom"/>
          </w:tcPr>
          <w:p>
            <w:pPr>
              <w:ind w:left="20"/>
              <w:spacing w:after="0"/>
              <w:rPr>
                <w:sz w:val="20"/>
                <w:szCs w:val="20"/>
                <w:color w:val="auto"/>
              </w:rPr>
            </w:pPr>
            <w:r>
              <w:rPr>
                <w:rFonts w:ascii="Arial" w:cs="Arial" w:eastAsia="Arial" w:hAnsi="Arial"/>
                <w:sz w:val="16"/>
                <w:szCs w:val="16"/>
                <w:color w:val="auto"/>
              </w:rPr>
              <w:t>Restricted stock issued</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665</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189"/>
        </w:trPr>
        <w:tc>
          <w:tcPr>
            <w:tcW w:w="3220" w:type="dxa"/>
            <w:vAlign w:val="bottom"/>
            <w:shd w:val="clear" w:color="auto" w:fill="C0C0C0"/>
          </w:tcPr>
          <w:p>
            <w:pPr>
              <w:ind w:left="20"/>
              <w:spacing w:after="0"/>
              <w:rPr>
                <w:sz w:val="20"/>
                <w:szCs w:val="20"/>
                <w:color w:val="auto"/>
              </w:rPr>
            </w:pPr>
            <w:r>
              <w:rPr>
                <w:rFonts w:ascii="Arial" w:cs="Arial" w:eastAsia="Arial" w:hAnsi="Arial"/>
                <w:sz w:val="16"/>
                <w:szCs w:val="16"/>
                <w:color w:val="auto"/>
              </w:rPr>
              <w:t>Issued under director and stock plans</w:t>
            </w:r>
          </w:p>
        </w:tc>
        <w:tc>
          <w:tcPr>
            <w:tcW w:w="700" w:type="dxa"/>
            <w:vAlign w:val="bottom"/>
            <w:gridSpan w:val="2"/>
            <w:shd w:val="clear" w:color="auto" w:fill="C0C0C0"/>
          </w:tcPr>
          <w:p>
            <w:pPr>
              <w:jc w:val="right"/>
              <w:ind w:right="40"/>
              <w:spacing w:after="0"/>
              <w:rPr>
                <w:sz w:val="20"/>
                <w:szCs w:val="20"/>
                <w:color w:val="auto"/>
              </w:rPr>
            </w:pPr>
            <w:r>
              <w:rPr>
                <w:rFonts w:ascii="Arial" w:cs="Arial" w:eastAsia="Arial" w:hAnsi="Arial"/>
                <w:sz w:val="16"/>
                <w:szCs w:val="16"/>
                <w:color w:val="auto"/>
              </w:rPr>
              <w:t>1,465</w:t>
            </w:r>
          </w:p>
        </w:tc>
        <w:tc>
          <w:tcPr>
            <w:tcW w:w="6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360" w:type="dxa"/>
            <w:vAlign w:val="bottom"/>
            <w:gridSpan w:val="2"/>
            <w:shd w:val="clear" w:color="auto" w:fill="C0C0C0"/>
          </w:tcPr>
          <w:p>
            <w:pPr>
              <w:jc w:val="right"/>
              <w:ind w:right="80"/>
              <w:spacing w:after="0"/>
              <w:rPr>
                <w:sz w:val="20"/>
                <w:szCs w:val="20"/>
                <w:color w:val="auto"/>
              </w:rPr>
            </w:pPr>
            <w:r>
              <w:rPr>
                <w:rFonts w:ascii="Arial" w:cs="Arial" w:eastAsia="Arial" w:hAnsi="Arial"/>
                <w:sz w:val="16"/>
                <w:szCs w:val="16"/>
                <w:color w:val="auto"/>
              </w:rPr>
              <w:t>31</w:t>
            </w:r>
          </w:p>
        </w:tc>
        <w:tc>
          <w:tcPr>
            <w:tcW w:w="2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720" w:type="dxa"/>
            <w:vAlign w:val="bottom"/>
            <w:gridSpan w:val="2"/>
            <w:shd w:val="clear" w:color="auto" w:fill="C0C0C0"/>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0C0C0"/>
          </w:tcPr>
          <w:p>
            <w:pPr>
              <w:spacing w:after="0"/>
              <w:rPr>
                <w:sz w:val="16"/>
                <w:szCs w:val="16"/>
                <w:color w:val="auto"/>
              </w:rPr>
            </w:pPr>
          </w:p>
        </w:tc>
        <w:tc>
          <w:tcPr>
            <w:tcW w:w="620" w:type="dxa"/>
            <w:vAlign w:val="bottom"/>
            <w:gridSpan w:val="2"/>
            <w:shd w:val="clear" w:color="auto" w:fill="C0C0C0"/>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0C0C0"/>
          </w:tcPr>
          <w:p>
            <w:pPr>
              <w:spacing w:after="0"/>
              <w:rPr>
                <w:sz w:val="16"/>
                <w:szCs w:val="16"/>
                <w:color w:val="auto"/>
              </w:rPr>
            </w:pPr>
          </w:p>
        </w:tc>
        <w:tc>
          <w:tcPr>
            <w:tcW w:w="52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76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180" w:type="dxa"/>
            <w:vAlign w:val="bottom"/>
            <w:shd w:val="clear" w:color="auto" w:fill="C0C0C0"/>
          </w:tcPr>
          <w:p>
            <w:pPr>
              <w:spacing w:after="0"/>
              <w:rPr>
                <w:sz w:val="16"/>
                <w:szCs w:val="16"/>
                <w:color w:val="auto"/>
              </w:rPr>
            </w:pPr>
          </w:p>
        </w:tc>
        <w:tc>
          <w:tcPr>
            <w:tcW w:w="780" w:type="dxa"/>
            <w:vAlign w:val="bottom"/>
            <w:gridSpan w:val="2"/>
            <w:shd w:val="clear" w:color="auto" w:fill="C0C0C0"/>
          </w:tcPr>
          <w:p>
            <w:pPr>
              <w:jc w:val="right"/>
              <w:ind w:right="180"/>
              <w:spacing w:after="0"/>
              <w:rPr>
                <w:sz w:val="20"/>
                <w:szCs w:val="20"/>
                <w:color w:val="auto"/>
              </w:rPr>
            </w:pPr>
            <w:r>
              <w:rPr>
                <w:rFonts w:ascii="Arial" w:cs="Arial" w:eastAsia="Arial" w:hAnsi="Arial"/>
                <w:sz w:val="16"/>
                <w:szCs w:val="16"/>
                <w:color w:val="auto"/>
              </w:rPr>
              <w:t>31</w:t>
            </w:r>
          </w:p>
        </w:tc>
      </w:tr>
      <w:tr>
        <w:trPr>
          <w:trHeight w:val="189"/>
        </w:trPr>
        <w:tc>
          <w:tcPr>
            <w:tcW w:w="322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25</w:t>
            </w:r>
          </w:p>
        </w:tc>
      </w:tr>
      <w:tr>
        <w:trPr>
          <w:trHeight w:val="189"/>
        </w:trPr>
        <w:tc>
          <w:tcPr>
            <w:tcW w:w="3220" w:type="dxa"/>
            <w:vAlign w:val="bottom"/>
            <w:shd w:val="clear" w:color="auto" w:fill="C0C0C0"/>
          </w:tcPr>
          <w:p>
            <w:pPr>
              <w:ind w:left="20"/>
              <w:spacing w:after="0"/>
              <w:rPr>
                <w:sz w:val="20"/>
                <w:szCs w:val="20"/>
                <w:color w:val="auto"/>
              </w:rPr>
            </w:pPr>
            <w:r>
              <w:rPr>
                <w:rFonts w:ascii="Arial" w:cs="Arial" w:eastAsia="Arial" w:hAnsi="Arial"/>
                <w:sz w:val="16"/>
                <w:szCs w:val="16"/>
                <w:color w:val="auto"/>
              </w:rPr>
              <w:t>Total tax benefit from exercise of options</w:t>
            </w:r>
          </w:p>
        </w:tc>
        <w:tc>
          <w:tcPr>
            <w:tcW w:w="700" w:type="dxa"/>
            <w:vAlign w:val="bottom"/>
            <w:gridSpan w:val="2"/>
            <w:shd w:val="clear" w:color="auto" w:fill="C0C0C0"/>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360" w:type="dxa"/>
            <w:vAlign w:val="bottom"/>
            <w:gridSpan w:val="2"/>
            <w:shd w:val="clear" w:color="auto" w:fill="C0C0C0"/>
          </w:tcPr>
          <w:p>
            <w:pPr>
              <w:jc w:val="right"/>
              <w:ind w:right="80"/>
              <w:spacing w:after="0"/>
              <w:rPr>
                <w:sz w:val="20"/>
                <w:szCs w:val="20"/>
                <w:color w:val="auto"/>
              </w:rPr>
            </w:pPr>
            <w:r>
              <w:rPr>
                <w:rFonts w:ascii="Arial" w:cs="Arial" w:eastAsia="Arial" w:hAnsi="Arial"/>
                <w:sz w:val="16"/>
                <w:szCs w:val="16"/>
                <w:color w:val="auto"/>
              </w:rPr>
              <w:t>9</w:t>
            </w:r>
          </w:p>
        </w:tc>
        <w:tc>
          <w:tcPr>
            <w:tcW w:w="2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60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40" w:type="dxa"/>
            <w:vAlign w:val="bottom"/>
            <w:shd w:val="clear" w:color="auto" w:fill="C0C0C0"/>
          </w:tcPr>
          <w:p>
            <w:pPr>
              <w:spacing w:after="0"/>
              <w:rPr>
                <w:sz w:val="16"/>
                <w:szCs w:val="16"/>
                <w:color w:val="auto"/>
              </w:rPr>
            </w:pPr>
          </w:p>
        </w:tc>
        <w:tc>
          <w:tcPr>
            <w:tcW w:w="48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52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76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180" w:type="dxa"/>
            <w:vAlign w:val="bottom"/>
            <w:shd w:val="clear" w:color="auto" w:fill="C0C0C0"/>
          </w:tcPr>
          <w:p>
            <w:pPr>
              <w:spacing w:after="0"/>
              <w:rPr>
                <w:sz w:val="16"/>
                <w:szCs w:val="16"/>
                <w:color w:val="auto"/>
              </w:rPr>
            </w:pPr>
          </w:p>
        </w:tc>
        <w:tc>
          <w:tcPr>
            <w:tcW w:w="780" w:type="dxa"/>
            <w:vAlign w:val="bottom"/>
            <w:gridSpan w:val="2"/>
            <w:shd w:val="clear" w:color="auto" w:fill="C0C0C0"/>
          </w:tcPr>
          <w:p>
            <w:pPr>
              <w:jc w:val="right"/>
              <w:ind w:right="180"/>
              <w:spacing w:after="0"/>
              <w:rPr>
                <w:sz w:val="20"/>
                <w:szCs w:val="20"/>
                <w:color w:val="auto"/>
              </w:rPr>
            </w:pPr>
            <w:r>
              <w:rPr>
                <w:rFonts w:ascii="Arial" w:cs="Arial" w:eastAsia="Arial" w:hAnsi="Arial"/>
                <w:sz w:val="16"/>
                <w:szCs w:val="16"/>
                <w:color w:val="auto"/>
              </w:rPr>
              <w:t>9</w:t>
            </w:r>
          </w:p>
        </w:tc>
      </w:tr>
      <w:tr>
        <w:trPr>
          <w:trHeight w:val="189"/>
        </w:trPr>
        <w:tc>
          <w:tcPr>
            <w:tcW w:w="3220" w:type="dxa"/>
            <w:vAlign w:val="bottom"/>
          </w:tcPr>
          <w:p>
            <w:pPr>
              <w:ind w:left="20"/>
              <w:spacing w:after="0"/>
              <w:rPr>
                <w:sz w:val="20"/>
                <w:szCs w:val="20"/>
                <w:color w:val="auto"/>
              </w:rPr>
            </w:pPr>
            <w:r>
              <w:rPr>
                <w:rFonts w:ascii="Arial" w:cs="Arial" w:eastAsia="Arial" w:hAnsi="Arial"/>
                <w:sz w:val="16"/>
                <w:szCs w:val="16"/>
                <w:color w:val="auto"/>
              </w:rPr>
              <w:t>Forfeitures of restricted stock</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gridSpan w:val="4"/>
          </w:tcPr>
          <w:p>
            <w:pPr>
              <w:jc w:val="right"/>
              <w:ind w:right="60"/>
              <w:spacing w:after="0"/>
              <w:rPr>
                <w:sz w:val="20"/>
                <w:szCs w:val="20"/>
                <w:color w:val="auto"/>
              </w:rPr>
            </w:pPr>
            <w:r>
              <w:rPr>
                <w:rFonts w:ascii="Arial" w:cs="Arial" w:eastAsia="Arial" w:hAnsi="Arial"/>
                <w:sz w:val="16"/>
                <w:szCs w:val="16"/>
                <w:color w:val="auto"/>
              </w:rPr>
              <w:t>(2)</w:t>
            </w: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1"/>
        </w:trPr>
        <w:tc>
          <w:tcPr>
            <w:tcW w:w="3220" w:type="dxa"/>
            <w:vAlign w:val="bottom"/>
            <w:shd w:val="clear" w:color="auto" w:fill="C0C0C0"/>
          </w:tcPr>
          <w:p>
            <w:pPr>
              <w:ind w:left="20"/>
              <w:spacing w:after="0"/>
              <w:rPr>
                <w:sz w:val="20"/>
                <w:szCs w:val="20"/>
                <w:color w:val="auto"/>
              </w:rPr>
            </w:pPr>
            <w:r>
              <w:rPr>
                <w:rFonts w:ascii="Arial" w:cs="Arial" w:eastAsia="Arial" w:hAnsi="Arial"/>
                <w:sz w:val="16"/>
                <w:szCs w:val="16"/>
                <w:color w:val="auto"/>
              </w:rPr>
              <w:t>Shares of common stock used to satisfy tax</w:t>
            </w:r>
          </w:p>
        </w:tc>
        <w:tc>
          <w:tcPr>
            <w:tcW w:w="700" w:type="dxa"/>
            <w:vAlign w:val="bottom"/>
            <w:gridSpan w:val="2"/>
            <w:shd w:val="clear" w:color="auto" w:fill="C0C0C0"/>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360" w:type="dxa"/>
            <w:vAlign w:val="bottom"/>
            <w:gridSpan w:val="2"/>
            <w:shd w:val="clear" w:color="auto" w:fill="C0C0C0"/>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gridSpan w:val="4"/>
            <w:shd w:val="clear" w:color="auto" w:fill="C0C0C0"/>
          </w:tcPr>
          <w:p>
            <w:pPr>
              <w:jc w:val="right"/>
              <w:ind w:right="60"/>
              <w:spacing w:after="0"/>
              <w:rPr>
                <w:sz w:val="20"/>
                <w:szCs w:val="20"/>
                <w:color w:val="auto"/>
              </w:rPr>
            </w:pPr>
            <w:r>
              <w:rPr>
                <w:rFonts w:ascii="Arial" w:cs="Arial" w:eastAsia="Arial" w:hAnsi="Arial"/>
                <w:sz w:val="16"/>
                <w:szCs w:val="16"/>
                <w:color w:val="auto"/>
              </w:rPr>
              <w:t>(479)</w:t>
            </w:r>
          </w:p>
        </w:tc>
        <w:tc>
          <w:tcPr>
            <w:tcW w:w="660" w:type="dxa"/>
            <w:vAlign w:val="bottom"/>
            <w:gridSpan w:val="3"/>
            <w:shd w:val="clear" w:color="auto" w:fill="C0C0C0"/>
          </w:tcPr>
          <w:p>
            <w:pPr>
              <w:jc w:val="right"/>
              <w:ind w:right="80"/>
              <w:spacing w:after="0"/>
              <w:rPr>
                <w:sz w:val="20"/>
                <w:szCs w:val="20"/>
                <w:color w:val="auto"/>
              </w:rPr>
            </w:pPr>
            <w:r>
              <w:rPr>
                <w:rFonts w:ascii="Arial" w:cs="Arial" w:eastAsia="Arial" w:hAnsi="Arial"/>
                <w:sz w:val="16"/>
                <w:szCs w:val="16"/>
                <w:color w:val="auto"/>
              </w:rPr>
              <w:t>(16)</w:t>
            </w:r>
          </w:p>
        </w:tc>
        <w:tc>
          <w:tcPr>
            <w:tcW w:w="60" w:type="dxa"/>
            <w:vAlign w:val="bottom"/>
            <w:shd w:val="clear" w:color="auto" w:fill="C0C0C0"/>
          </w:tcPr>
          <w:p>
            <w:pPr>
              <w:spacing w:after="0"/>
              <w:rPr>
                <w:sz w:val="16"/>
                <w:szCs w:val="16"/>
                <w:color w:val="auto"/>
              </w:rPr>
            </w:pPr>
          </w:p>
        </w:tc>
        <w:tc>
          <w:tcPr>
            <w:tcW w:w="52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76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180" w:type="dxa"/>
            <w:vAlign w:val="bottom"/>
            <w:shd w:val="clear" w:color="auto" w:fill="C0C0C0"/>
          </w:tcPr>
          <w:p>
            <w:pPr>
              <w:spacing w:after="0"/>
              <w:rPr>
                <w:sz w:val="16"/>
                <w:szCs w:val="16"/>
                <w:color w:val="auto"/>
              </w:rPr>
            </w:pPr>
          </w:p>
        </w:tc>
        <w:tc>
          <w:tcPr>
            <w:tcW w:w="780" w:type="dxa"/>
            <w:vAlign w:val="bottom"/>
            <w:gridSpan w:val="2"/>
            <w:shd w:val="clear" w:color="auto" w:fill="C0C0C0"/>
          </w:tcPr>
          <w:p>
            <w:pPr>
              <w:jc w:val="right"/>
              <w:ind w:right="120"/>
              <w:spacing w:after="0"/>
              <w:rPr>
                <w:sz w:val="20"/>
                <w:szCs w:val="20"/>
                <w:color w:val="auto"/>
              </w:rPr>
            </w:pPr>
            <w:r>
              <w:rPr>
                <w:rFonts w:ascii="Arial" w:cs="Arial" w:eastAsia="Arial" w:hAnsi="Arial"/>
                <w:sz w:val="16"/>
                <w:szCs w:val="16"/>
                <w:color w:val="auto"/>
              </w:rPr>
              <w:t>(16)</w:t>
            </w:r>
          </w:p>
        </w:tc>
      </w:tr>
      <w:tr>
        <w:trPr>
          <w:trHeight w:val="187"/>
        </w:trPr>
        <w:tc>
          <w:tcPr>
            <w:tcW w:w="3220" w:type="dxa"/>
            <w:vAlign w:val="bottom"/>
            <w:shd w:val="clear" w:color="auto" w:fill="C0C0C0"/>
          </w:tcPr>
          <w:p>
            <w:pPr>
              <w:ind w:left="200"/>
              <w:spacing w:after="0"/>
              <w:rPr>
                <w:sz w:val="20"/>
                <w:szCs w:val="20"/>
                <w:color w:val="auto"/>
              </w:rPr>
            </w:pPr>
            <w:r>
              <w:rPr>
                <w:rFonts w:ascii="Arial" w:cs="Arial" w:eastAsia="Arial" w:hAnsi="Arial"/>
                <w:sz w:val="16"/>
                <w:szCs w:val="16"/>
                <w:color w:val="auto"/>
              </w:rPr>
              <w:t>withholding obligations</w:t>
            </w:r>
          </w:p>
        </w:tc>
        <w:tc>
          <w:tcPr>
            <w:tcW w:w="660" w:type="dxa"/>
            <w:vAlign w:val="bottom"/>
            <w:shd w:val="clear" w:color="auto" w:fill="C0C0C0"/>
          </w:tcPr>
          <w:p>
            <w:pPr>
              <w:spacing w:after="0"/>
              <w:rPr>
                <w:sz w:val="16"/>
                <w:szCs w:val="16"/>
                <w:color w:val="auto"/>
              </w:rPr>
            </w:pPr>
          </w:p>
        </w:tc>
        <w:tc>
          <w:tcPr>
            <w:tcW w:w="4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28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2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60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40" w:type="dxa"/>
            <w:vAlign w:val="bottom"/>
            <w:shd w:val="clear" w:color="auto" w:fill="C0C0C0"/>
          </w:tcPr>
          <w:p>
            <w:pPr>
              <w:spacing w:after="0"/>
              <w:rPr>
                <w:sz w:val="16"/>
                <w:szCs w:val="16"/>
                <w:color w:val="auto"/>
              </w:rPr>
            </w:pPr>
          </w:p>
        </w:tc>
        <w:tc>
          <w:tcPr>
            <w:tcW w:w="48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52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76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180" w:type="dxa"/>
            <w:vAlign w:val="bottom"/>
            <w:shd w:val="clear" w:color="auto" w:fill="C0C0C0"/>
          </w:tcPr>
          <w:p>
            <w:pPr>
              <w:spacing w:after="0"/>
              <w:rPr>
                <w:sz w:val="16"/>
                <w:szCs w:val="16"/>
                <w:color w:val="auto"/>
              </w:rPr>
            </w:pPr>
          </w:p>
        </w:tc>
        <w:tc>
          <w:tcPr>
            <w:tcW w:w="600" w:type="dxa"/>
            <w:vAlign w:val="bottom"/>
            <w:shd w:val="clear" w:color="auto" w:fill="C0C0C0"/>
          </w:tcPr>
          <w:p>
            <w:pPr>
              <w:spacing w:after="0"/>
              <w:rPr>
                <w:sz w:val="16"/>
                <w:szCs w:val="16"/>
                <w:color w:val="auto"/>
              </w:rPr>
            </w:pPr>
          </w:p>
        </w:tc>
        <w:tc>
          <w:tcPr>
            <w:tcW w:w="180" w:type="dxa"/>
            <w:vAlign w:val="bottom"/>
            <w:shd w:val="clear" w:color="auto" w:fill="C0C0C0"/>
          </w:tcPr>
          <w:p>
            <w:pPr>
              <w:spacing w:after="0"/>
              <w:rPr>
                <w:sz w:val="16"/>
                <w:szCs w:val="16"/>
                <w:color w:val="auto"/>
              </w:rPr>
            </w:pPr>
          </w:p>
        </w:tc>
      </w:tr>
      <w:tr>
        <w:trPr>
          <w:trHeight w:val="189"/>
        </w:trPr>
        <w:tc>
          <w:tcPr>
            <w:tcW w:w="3220" w:type="dxa"/>
            <w:vAlign w:val="bottom"/>
          </w:tcPr>
          <w:p>
            <w:pPr>
              <w:ind w:left="20"/>
              <w:spacing w:after="0"/>
              <w:rPr>
                <w:sz w:val="20"/>
                <w:szCs w:val="20"/>
                <w:color w:val="auto"/>
              </w:rPr>
            </w:pPr>
            <w:r>
              <w:rPr>
                <w:rFonts w:ascii="Arial" w:cs="Arial" w:eastAsia="Arial" w:hAnsi="Arial"/>
                <w:sz w:val="16"/>
                <w:szCs w:val="16"/>
                <w:color w:val="auto"/>
              </w:rPr>
              <w:t>Acquired in exchange of stock options</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gridSpan w:val="4"/>
          </w:tcPr>
          <w:p>
            <w:pPr>
              <w:jc w:val="right"/>
              <w:ind w:right="60"/>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189"/>
        </w:trPr>
        <w:tc>
          <w:tcPr>
            <w:tcW w:w="3220" w:type="dxa"/>
            <w:vAlign w:val="bottom"/>
            <w:shd w:val="clear" w:color="auto" w:fill="C0C0C0"/>
          </w:tcPr>
          <w:p>
            <w:pPr>
              <w:ind w:left="20"/>
              <w:spacing w:after="0"/>
              <w:rPr>
                <w:sz w:val="20"/>
                <w:szCs w:val="20"/>
                <w:color w:val="auto"/>
              </w:rPr>
            </w:pPr>
            <w:r>
              <w:rPr>
                <w:rFonts w:ascii="Arial" w:cs="Arial" w:eastAsia="Arial" w:hAnsi="Arial"/>
                <w:sz w:val="16"/>
                <w:szCs w:val="16"/>
                <w:color w:val="auto"/>
              </w:rPr>
              <w:t>Share repurchases</w:t>
            </w:r>
          </w:p>
        </w:tc>
        <w:tc>
          <w:tcPr>
            <w:tcW w:w="700" w:type="dxa"/>
            <w:vAlign w:val="bottom"/>
            <w:gridSpan w:val="2"/>
            <w:shd w:val="clear" w:color="auto" w:fill="C0C0C0"/>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360" w:type="dxa"/>
            <w:vAlign w:val="bottom"/>
            <w:gridSpan w:val="2"/>
            <w:shd w:val="clear" w:color="auto" w:fill="C0C0C0"/>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gridSpan w:val="4"/>
            <w:shd w:val="clear" w:color="auto" w:fill="C0C0C0"/>
          </w:tcPr>
          <w:p>
            <w:pPr>
              <w:jc w:val="right"/>
              <w:ind w:right="60"/>
              <w:spacing w:after="0"/>
              <w:rPr>
                <w:sz w:val="20"/>
                <w:szCs w:val="20"/>
                <w:color w:val="auto"/>
              </w:rPr>
            </w:pPr>
            <w:r>
              <w:rPr>
                <w:rFonts w:ascii="Arial" w:cs="Arial" w:eastAsia="Arial" w:hAnsi="Arial"/>
                <w:sz w:val="16"/>
                <w:szCs w:val="16"/>
                <w:color w:val="auto"/>
              </w:rPr>
              <w:t>(6,424)</w:t>
            </w:r>
          </w:p>
        </w:tc>
        <w:tc>
          <w:tcPr>
            <w:tcW w:w="660" w:type="dxa"/>
            <w:vAlign w:val="bottom"/>
            <w:gridSpan w:val="3"/>
            <w:shd w:val="clear" w:color="auto" w:fill="C0C0C0"/>
          </w:tcPr>
          <w:p>
            <w:pPr>
              <w:jc w:val="right"/>
              <w:ind w:right="80"/>
              <w:spacing w:after="0"/>
              <w:rPr>
                <w:sz w:val="20"/>
                <w:szCs w:val="20"/>
                <w:color w:val="auto"/>
              </w:rPr>
            </w:pPr>
            <w:r>
              <w:rPr>
                <w:rFonts w:ascii="Arial" w:cs="Arial" w:eastAsia="Arial" w:hAnsi="Arial"/>
                <w:sz w:val="16"/>
                <w:szCs w:val="16"/>
                <w:color w:val="auto"/>
              </w:rPr>
              <w:t>(229)</w:t>
            </w:r>
          </w:p>
        </w:tc>
        <w:tc>
          <w:tcPr>
            <w:tcW w:w="60" w:type="dxa"/>
            <w:vAlign w:val="bottom"/>
            <w:shd w:val="clear" w:color="auto" w:fill="C0C0C0"/>
          </w:tcPr>
          <w:p>
            <w:pPr>
              <w:spacing w:after="0"/>
              <w:rPr>
                <w:sz w:val="16"/>
                <w:szCs w:val="16"/>
                <w:color w:val="auto"/>
              </w:rPr>
            </w:pPr>
          </w:p>
        </w:tc>
        <w:tc>
          <w:tcPr>
            <w:tcW w:w="52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76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180" w:type="dxa"/>
            <w:vAlign w:val="bottom"/>
            <w:shd w:val="clear" w:color="auto" w:fill="C0C0C0"/>
          </w:tcPr>
          <w:p>
            <w:pPr>
              <w:spacing w:after="0"/>
              <w:rPr>
                <w:sz w:val="16"/>
                <w:szCs w:val="16"/>
                <w:color w:val="auto"/>
              </w:rPr>
            </w:pPr>
          </w:p>
        </w:tc>
        <w:tc>
          <w:tcPr>
            <w:tcW w:w="780" w:type="dxa"/>
            <w:vAlign w:val="bottom"/>
            <w:gridSpan w:val="2"/>
            <w:shd w:val="clear" w:color="auto" w:fill="C0C0C0"/>
          </w:tcPr>
          <w:p>
            <w:pPr>
              <w:jc w:val="right"/>
              <w:ind w:right="120"/>
              <w:spacing w:after="0"/>
              <w:rPr>
                <w:sz w:val="20"/>
                <w:szCs w:val="20"/>
                <w:color w:val="auto"/>
              </w:rPr>
            </w:pPr>
            <w:r>
              <w:rPr>
                <w:rFonts w:ascii="Arial" w:cs="Arial" w:eastAsia="Arial" w:hAnsi="Arial"/>
                <w:sz w:val="16"/>
                <w:szCs w:val="16"/>
                <w:color w:val="auto"/>
              </w:rPr>
              <w:t>(229)</w:t>
            </w:r>
          </w:p>
        </w:tc>
      </w:tr>
      <w:tr>
        <w:trPr>
          <w:trHeight w:val="189"/>
        </w:trPr>
        <w:tc>
          <w:tcPr>
            <w:tcW w:w="3220" w:type="dxa"/>
            <w:vAlign w:val="bottom"/>
          </w:tcPr>
          <w:p>
            <w:pPr>
              <w:ind w:left="20"/>
              <w:spacing w:after="0"/>
              <w:rPr>
                <w:sz w:val="20"/>
                <w:szCs w:val="20"/>
                <w:color w:val="auto"/>
              </w:rPr>
            </w:pPr>
            <w:r>
              <w:rPr>
                <w:rFonts w:ascii="Arial" w:cs="Arial" w:eastAsia="Arial" w:hAnsi="Arial"/>
                <w:sz w:val="16"/>
                <w:szCs w:val="16"/>
                <w:color w:val="auto"/>
              </w:rPr>
              <w:t>Reissued – employee stock purchase plan</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gridSpan w:val="4"/>
          </w:tcPr>
          <w:p>
            <w:pPr>
              <w:jc w:val="right"/>
              <w:ind w:right="120"/>
              <w:spacing w:after="0"/>
              <w:rPr>
                <w:sz w:val="20"/>
                <w:szCs w:val="20"/>
                <w:color w:val="auto"/>
              </w:rPr>
            </w:pPr>
            <w:r>
              <w:rPr>
                <w:rFonts w:ascii="Arial" w:cs="Arial" w:eastAsia="Arial" w:hAnsi="Arial"/>
                <w:sz w:val="16"/>
                <w:szCs w:val="16"/>
                <w:color w:val="auto"/>
              </w:rPr>
              <w:t>133</w:t>
            </w:r>
          </w:p>
        </w:tc>
        <w:tc>
          <w:tcPr>
            <w:tcW w:w="660" w:type="dxa"/>
            <w:vAlign w:val="bottom"/>
            <w:gridSpan w:val="3"/>
          </w:tcPr>
          <w:p>
            <w:pPr>
              <w:jc w:val="right"/>
              <w:ind w:right="140"/>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3</w:t>
            </w:r>
          </w:p>
        </w:tc>
      </w:tr>
      <w:tr>
        <w:trPr>
          <w:trHeight w:val="189"/>
        </w:trPr>
        <w:tc>
          <w:tcPr>
            <w:tcW w:w="3220" w:type="dxa"/>
            <w:vAlign w:val="bottom"/>
            <w:shd w:val="clear" w:color="auto" w:fill="C0C0C0"/>
          </w:tcPr>
          <w:p>
            <w:pPr>
              <w:ind w:left="20"/>
              <w:spacing w:after="0"/>
              <w:rPr>
                <w:sz w:val="20"/>
                <w:szCs w:val="20"/>
                <w:color w:val="auto"/>
              </w:rPr>
            </w:pPr>
            <w:r>
              <w:rPr>
                <w:rFonts w:ascii="Arial" w:cs="Arial" w:eastAsia="Arial" w:hAnsi="Arial"/>
                <w:sz w:val="16"/>
                <w:szCs w:val="16"/>
                <w:color w:val="auto"/>
              </w:rPr>
              <w:t>Net income</w:t>
            </w:r>
          </w:p>
        </w:tc>
        <w:tc>
          <w:tcPr>
            <w:tcW w:w="660" w:type="dxa"/>
            <w:vAlign w:val="bottom"/>
            <w:shd w:val="clear" w:color="auto" w:fill="C0C0C0"/>
          </w:tcPr>
          <w:p>
            <w:pPr>
              <w:spacing w:after="0"/>
              <w:rPr>
                <w:sz w:val="16"/>
                <w:szCs w:val="16"/>
                <w:color w:val="auto"/>
              </w:rPr>
            </w:pPr>
          </w:p>
        </w:tc>
        <w:tc>
          <w:tcPr>
            <w:tcW w:w="4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28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2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60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40" w:type="dxa"/>
            <w:vAlign w:val="bottom"/>
            <w:shd w:val="clear" w:color="auto" w:fill="C0C0C0"/>
          </w:tcPr>
          <w:p>
            <w:pPr>
              <w:spacing w:after="0"/>
              <w:rPr>
                <w:sz w:val="16"/>
                <w:szCs w:val="16"/>
                <w:color w:val="auto"/>
              </w:rPr>
            </w:pPr>
          </w:p>
        </w:tc>
        <w:tc>
          <w:tcPr>
            <w:tcW w:w="48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680" w:type="dxa"/>
            <w:vAlign w:val="bottom"/>
            <w:gridSpan w:val="3"/>
            <w:shd w:val="clear" w:color="auto" w:fill="C0C0C0"/>
          </w:tcPr>
          <w:p>
            <w:pPr>
              <w:jc w:val="right"/>
              <w:ind w:right="100"/>
              <w:spacing w:after="0"/>
              <w:rPr>
                <w:sz w:val="20"/>
                <w:szCs w:val="20"/>
                <w:color w:val="auto"/>
              </w:rPr>
            </w:pPr>
            <w:r>
              <w:rPr>
                <w:rFonts w:ascii="Arial" w:cs="Arial" w:eastAsia="Arial" w:hAnsi="Arial"/>
                <w:sz w:val="16"/>
                <w:szCs w:val="16"/>
                <w:color w:val="auto"/>
              </w:rPr>
              <w:t>429</w:t>
            </w:r>
          </w:p>
        </w:tc>
        <w:tc>
          <w:tcPr>
            <w:tcW w:w="6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76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180" w:type="dxa"/>
            <w:vAlign w:val="bottom"/>
            <w:shd w:val="clear" w:color="auto" w:fill="C0C0C0"/>
          </w:tcPr>
          <w:p>
            <w:pPr>
              <w:spacing w:after="0"/>
              <w:rPr>
                <w:sz w:val="16"/>
                <w:szCs w:val="16"/>
                <w:color w:val="auto"/>
              </w:rPr>
            </w:pPr>
          </w:p>
        </w:tc>
        <w:tc>
          <w:tcPr>
            <w:tcW w:w="780" w:type="dxa"/>
            <w:vAlign w:val="bottom"/>
            <w:gridSpan w:val="2"/>
            <w:shd w:val="clear" w:color="auto" w:fill="C0C0C0"/>
          </w:tcPr>
          <w:p>
            <w:pPr>
              <w:jc w:val="right"/>
              <w:ind w:right="180"/>
              <w:spacing w:after="0"/>
              <w:rPr>
                <w:sz w:val="20"/>
                <w:szCs w:val="20"/>
                <w:color w:val="auto"/>
              </w:rPr>
            </w:pPr>
            <w:r>
              <w:rPr>
                <w:rFonts w:ascii="Arial" w:cs="Arial" w:eastAsia="Arial" w:hAnsi="Arial"/>
                <w:sz w:val="16"/>
                <w:szCs w:val="16"/>
                <w:color w:val="auto"/>
              </w:rPr>
              <w:t>429</w:t>
            </w:r>
          </w:p>
        </w:tc>
      </w:tr>
      <w:tr>
        <w:trPr>
          <w:trHeight w:val="191"/>
        </w:trPr>
        <w:tc>
          <w:tcPr>
            <w:tcW w:w="3220" w:type="dxa"/>
            <w:vAlign w:val="bottom"/>
          </w:tcPr>
          <w:p>
            <w:pPr>
              <w:ind w:left="20"/>
              <w:spacing w:after="0"/>
              <w:rPr>
                <w:sz w:val="20"/>
                <w:szCs w:val="20"/>
                <w:color w:val="auto"/>
              </w:rPr>
            </w:pPr>
            <w:r>
              <w:rPr>
                <w:rFonts w:ascii="Arial" w:cs="Arial" w:eastAsia="Arial" w:hAnsi="Arial"/>
                <w:sz w:val="16"/>
                <w:szCs w:val="16"/>
                <w:color w:val="auto"/>
              </w:rPr>
              <w:t>Cash dividends declared on common stock</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6"/>
                <w:szCs w:val="16"/>
                <w:color w:val="auto"/>
              </w:rPr>
              <w:t>(118)</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(118)</w:t>
            </w:r>
          </w:p>
        </w:tc>
      </w:tr>
      <w:tr>
        <w:trPr>
          <w:trHeight w:val="187"/>
        </w:trPr>
        <w:tc>
          <w:tcPr>
            <w:tcW w:w="3220" w:type="dxa"/>
            <w:vAlign w:val="bottom"/>
          </w:tcPr>
          <w:p>
            <w:pPr>
              <w:ind w:left="200"/>
              <w:spacing w:after="0"/>
              <w:rPr>
                <w:sz w:val="20"/>
                <w:szCs w:val="20"/>
                <w:color w:val="auto"/>
              </w:rPr>
            </w:pPr>
            <w:r>
              <w:rPr>
                <w:rFonts w:ascii="Arial" w:cs="Arial" w:eastAsia="Arial" w:hAnsi="Arial"/>
                <w:sz w:val="16"/>
                <w:szCs w:val="16"/>
                <w:color w:val="auto"/>
              </w:rPr>
              <w:t>($0.80 per share)</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9"/>
        </w:trPr>
        <w:tc>
          <w:tcPr>
            <w:tcW w:w="3220" w:type="dxa"/>
            <w:vAlign w:val="bottom"/>
            <w:shd w:val="clear" w:color="auto" w:fill="C0C0C0"/>
          </w:tcPr>
          <w:p>
            <w:pPr>
              <w:ind w:left="20"/>
              <w:spacing w:after="0"/>
              <w:rPr>
                <w:sz w:val="20"/>
                <w:szCs w:val="20"/>
                <w:color w:val="auto"/>
              </w:rPr>
            </w:pPr>
            <w:r>
              <w:rPr>
                <w:rFonts w:ascii="Arial" w:cs="Arial" w:eastAsia="Arial" w:hAnsi="Arial"/>
                <w:sz w:val="16"/>
                <w:szCs w:val="16"/>
                <w:color w:val="auto"/>
              </w:rPr>
              <w:t>Translation adjustment, net of tax</w:t>
            </w:r>
          </w:p>
        </w:tc>
        <w:tc>
          <w:tcPr>
            <w:tcW w:w="660" w:type="dxa"/>
            <w:vAlign w:val="bottom"/>
            <w:shd w:val="clear" w:color="auto" w:fill="C0C0C0"/>
          </w:tcPr>
          <w:p>
            <w:pPr>
              <w:spacing w:after="0"/>
              <w:rPr>
                <w:sz w:val="16"/>
                <w:szCs w:val="16"/>
                <w:color w:val="auto"/>
              </w:rPr>
            </w:pPr>
          </w:p>
        </w:tc>
        <w:tc>
          <w:tcPr>
            <w:tcW w:w="4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28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2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60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40" w:type="dxa"/>
            <w:vAlign w:val="bottom"/>
            <w:shd w:val="clear" w:color="auto" w:fill="C0C0C0"/>
          </w:tcPr>
          <w:p>
            <w:pPr>
              <w:spacing w:after="0"/>
              <w:rPr>
                <w:sz w:val="16"/>
                <w:szCs w:val="16"/>
                <w:color w:val="auto"/>
              </w:rPr>
            </w:pPr>
          </w:p>
        </w:tc>
        <w:tc>
          <w:tcPr>
            <w:tcW w:w="48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52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1000" w:type="dxa"/>
            <w:vAlign w:val="bottom"/>
            <w:gridSpan w:val="2"/>
            <w:shd w:val="clear" w:color="auto" w:fill="C0C0C0"/>
          </w:tcPr>
          <w:p>
            <w:pPr>
              <w:jc w:val="right"/>
              <w:ind w:right="180"/>
              <w:spacing w:after="0"/>
              <w:rPr>
                <w:sz w:val="20"/>
                <w:szCs w:val="20"/>
                <w:color w:val="auto"/>
              </w:rPr>
            </w:pPr>
            <w:r>
              <w:rPr>
                <w:rFonts w:ascii="Arial" w:cs="Arial" w:eastAsia="Arial" w:hAnsi="Arial"/>
                <w:sz w:val="16"/>
                <w:szCs w:val="16"/>
                <w:color w:val="auto"/>
              </w:rPr>
              <w:t>(25)</w:t>
            </w:r>
          </w:p>
        </w:tc>
        <w:tc>
          <w:tcPr>
            <w:tcW w:w="60" w:type="dxa"/>
            <w:vAlign w:val="bottom"/>
            <w:shd w:val="clear" w:color="auto" w:fill="C0C0C0"/>
          </w:tcPr>
          <w:p>
            <w:pPr>
              <w:spacing w:after="0"/>
              <w:rPr>
                <w:sz w:val="16"/>
                <w:szCs w:val="16"/>
                <w:color w:val="auto"/>
              </w:rPr>
            </w:pPr>
          </w:p>
        </w:tc>
        <w:tc>
          <w:tcPr>
            <w:tcW w:w="180" w:type="dxa"/>
            <w:vAlign w:val="bottom"/>
            <w:shd w:val="clear" w:color="auto" w:fill="C0C0C0"/>
          </w:tcPr>
          <w:p>
            <w:pPr>
              <w:spacing w:after="0"/>
              <w:rPr>
                <w:sz w:val="16"/>
                <w:szCs w:val="16"/>
                <w:color w:val="auto"/>
              </w:rPr>
            </w:pPr>
          </w:p>
        </w:tc>
        <w:tc>
          <w:tcPr>
            <w:tcW w:w="780" w:type="dxa"/>
            <w:vAlign w:val="bottom"/>
            <w:gridSpan w:val="2"/>
            <w:shd w:val="clear" w:color="auto" w:fill="C0C0C0"/>
          </w:tcPr>
          <w:p>
            <w:pPr>
              <w:jc w:val="right"/>
              <w:ind w:right="120"/>
              <w:spacing w:after="0"/>
              <w:rPr>
                <w:sz w:val="20"/>
                <w:szCs w:val="20"/>
                <w:color w:val="auto"/>
              </w:rPr>
            </w:pPr>
            <w:r>
              <w:rPr>
                <w:rFonts w:ascii="Arial" w:cs="Arial" w:eastAsia="Arial" w:hAnsi="Arial"/>
                <w:sz w:val="16"/>
                <w:szCs w:val="16"/>
                <w:color w:val="auto"/>
              </w:rPr>
              <w:t>(25)</w:t>
            </w:r>
          </w:p>
        </w:tc>
      </w:tr>
      <w:tr>
        <w:trPr>
          <w:trHeight w:val="189"/>
        </w:trPr>
        <w:tc>
          <w:tcPr>
            <w:tcW w:w="3220" w:type="dxa"/>
            <w:vAlign w:val="bottom"/>
          </w:tcPr>
          <w:p>
            <w:pPr>
              <w:ind w:left="20"/>
              <w:spacing w:after="0"/>
              <w:rPr>
                <w:sz w:val="20"/>
                <w:szCs w:val="20"/>
                <w:color w:val="auto"/>
              </w:rPr>
            </w:pPr>
            <w:r>
              <w:rPr>
                <w:rFonts w:ascii="Arial" w:cs="Arial" w:eastAsia="Arial" w:hAnsi="Arial"/>
                <w:sz w:val="16"/>
                <w:szCs w:val="16"/>
                <w:color w:val="auto"/>
              </w:rPr>
              <w:t>Change in cash flow hedges, net of tax</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(5)</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(5)</w:t>
            </w:r>
          </w:p>
        </w:tc>
      </w:tr>
      <w:tr>
        <w:trPr>
          <w:trHeight w:val="191"/>
        </w:trPr>
        <w:tc>
          <w:tcPr>
            <w:tcW w:w="3220" w:type="dxa"/>
            <w:vAlign w:val="bottom"/>
            <w:shd w:val="clear" w:color="auto" w:fill="C0C0C0"/>
          </w:tcPr>
          <w:p>
            <w:pPr>
              <w:ind w:left="20"/>
              <w:spacing w:after="0"/>
              <w:rPr>
                <w:sz w:val="20"/>
                <w:szCs w:val="20"/>
                <w:color w:val="auto"/>
              </w:rPr>
            </w:pPr>
            <w:r>
              <w:rPr>
                <w:rFonts w:ascii="Arial" w:cs="Arial" w:eastAsia="Arial" w:hAnsi="Arial"/>
                <w:sz w:val="16"/>
                <w:szCs w:val="16"/>
                <w:color w:val="auto"/>
              </w:rPr>
              <w:t>Pension and postretirement adjustments,</w:t>
            </w:r>
          </w:p>
        </w:tc>
        <w:tc>
          <w:tcPr>
            <w:tcW w:w="660" w:type="dxa"/>
            <w:vAlign w:val="bottom"/>
            <w:shd w:val="clear" w:color="auto" w:fill="C0C0C0"/>
          </w:tcPr>
          <w:p>
            <w:pPr>
              <w:spacing w:after="0"/>
              <w:rPr>
                <w:sz w:val="16"/>
                <w:szCs w:val="16"/>
                <w:color w:val="auto"/>
              </w:rPr>
            </w:pPr>
          </w:p>
        </w:tc>
        <w:tc>
          <w:tcPr>
            <w:tcW w:w="4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28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2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60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40" w:type="dxa"/>
            <w:vAlign w:val="bottom"/>
            <w:shd w:val="clear" w:color="auto" w:fill="C0C0C0"/>
          </w:tcPr>
          <w:p>
            <w:pPr>
              <w:spacing w:after="0"/>
              <w:rPr>
                <w:sz w:val="16"/>
                <w:szCs w:val="16"/>
                <w:color w:val="auto"/>
              </w:rPr>
            </w:pPr>
          </w:p>
        </w:tc>
        <w:tc>
          <w:tcPr>
            <w:tcW w:w="48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52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6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1000" w:type="dxa"/>
            <w:vAlign w:val="bottom"/>
            <w:gridSpan w:val="2"/>
            <w:shd w:val="clear" w:color="auto" w:fill="C0C0C0"/>
          </w:tcPr>
          <w:p>
            <w:pPr>
              <w:jc w:val="right"/>
              <w:ind w:right="240"/>
              <w:spacing w:after="0"/>
              <w:rPr>
                <w:sz w:val="20"/>
                <w:szCs w:val="20"/>
                <w:color w:val="auto"/>
              </w:rPr>
            </w:pPr>
            <w:r>
              <w:rPr>
                <w:rFonts w:ascii="Arial" w:cs="Arial" w:eastAsia="Arial" w:hAnsi="Arial"/>
                <w:sz w:val="16"/>
                <w:szCs w:val="16"/>
                <w:color w:val="auto"/>
              </w:rPr>
              <w:t>15</w:t>
            </w:r>
          </w:p>
        </w:tc>
        <w:tc>
          <w:tcPr>
            <w:tcW w:w="60" w:type="dxa"/>
            <w:vAlign w:val="bottom"/>
            <w:shd w:val="clear" w:color="auto" w:fill="C0C0C0"/>
          </w:tcPr>
          <w:p>
            <w:pPr>
              <w:spacing w:after="0"/>
              <w:rPr>
                <w:sz w:val="16"/>
                <w:szCs w:val="16"/>
                <w:color w:val="auto"/>
              </w:rPr>
            </w:pPr>
          </w:p>
        </w:tc>
        <w:tc>
          <w:tcPr>
            <w:tcW w:w="180" w:type="dxa"/>
            <w:vAlign w:val="bottom"/>
            <w:shd w:val="clear" w:color="auto" w:fill="C0C0C0"/>
          </w:tcPr>
          <w:p>
            <w:pPr>
              <w:spacing w:after="0"/>
              <w:rPr>
                <w:sz w:val="16"/>
                <w:szCs w:val="16"/>
                <w:color w:val="auto"/>
              </w:rPr>
            </w:pPr>
          </w:p>
        </w:tc>
        <w:tc>
          <w:tcPr>
            <w:tcW w:w="780" w:type="dxa"/>
            <w:vAlign w:val="bottom"/>
            <w:gridSpan w:val="2"/>
            <w:shd w:val="clear" w:color="auto" w:fill="C0C0C0"/>
          </w:tcPr>
          <w:p>
            <w:pPr>
              <w:jc w:val="right"/>
              <w:ind w:right="180"/>
              <w:spacing w:after="0"/>
              <w:rPr>
                <w:sz w:val="20"/>
                <w:szCs w:val="20"/>
                <w:color w:val="auto"/>
              </w:rPr>
            </w:pPr>
            <w:r>
              <w:rPr>
                <w:rFonts w:ascii="Arial" w:cs="Arial" w:eastAsia="Arial" w:hAnsi="Arial"/>
                <w:sz w:val="16"/>
                <w:szCs w:val="16"/>
                <w:color w:val="auto"/>
              </w:rPr>
              <w:t>15</w:t>
            </w:r>
          </w:p>
        </w:tc>
      </w:tr>
      <w:tr>
        <w:trPr>
          <w:trHeight w:val="187"/>
        </w:trPr>
        <w:tc>
          <w:tcPr>
            <w:tcW w:w="3220" w:type="dxa"/>
            <w:vAlign w:val="bottom"/>
            <w:tcBorders>
              <w:bottom w:val="single" w:sz="8" w:color="C0C0C0"/>
            </w:tcBorders>
            <w:shd w:val="clear" w:color="auto" w:fill="C0C0C0"/>
          </w:tcPr>
          <w:p>
            <w:pPr>
              <w:ind w:left="200"/>
              <w:spacing w:after="0"/>
              <w:rPr>
                <w:sz w:val="20"/>
                <w:szCs w:val="20"/>
                <w:color w:val="auto"/>
              </w:rPr>
            </w:pPr>
            <w:r>
              <w:rPr>
                <w:rFonts w:ascii="Arial" w:cs="Arial" w:eastAsia="Arial" w:hAnsi="Arial"/>
                <w:sz w:val="16"/>
                <w:szCs w:val="16"/>
                <w:color w:val="auto"/>
              </w:rPr>
              <w:t>net of tax</w:t>
            </w:r>
          </w:p>
        </w:tc>
        <w:tc>
          <w:tcPr>
            <w:tcW w:w="660" w:type="dxa"/>
            <w:vAlign w:val="bottom"/>
            <w:tcBorders>
              <w:bottom w:val="single" w:sz="8" w:color="auto"/>
            </w:tcBorders>
            <w:shd w:val="clear" w:color="auto" w:fill="C0C0C0"/>
          </w:tcPr>
          <w:p>
            <w:pPr>
              <w:spacing w:after="0"/>
              <w:rPr>
                <w:sz w:val="16"/>
                <w:szCs w:val="16"/>
                <w:color w:val="auto"/>
              </w:rPr>
            </w:pPr>
          </w:p>
        </w:tc>
        <w:tc>
          <w:tcPr>
            <w:tcW w:w="40" w:type="dxa"/>
            <w:vAlign w:val="bottom"/>
            <w:tcBorders>
              <w:bottom w:val="single" w:sz="8" w:color="C0C0C0"/>
            </w:tcBorders>
            <w:shd w:val="clear" w:color="auto" w:fill="C0C0C0"/>
          </w:tcPr>
          <w:p>
            <w:pPr>
              <w:spacing w:after="0"/>
              <w:rPr>
                <w:sz w:val="16"/>
                <w:szCs w:val="16"/>
                <w:color w:val="auto"/>
              </w:rPr>
            </w:pPr>
          </w:p>
        </w:tc>
        <w:tc>
          <w:tcPr>
            <w:tcW w:w="60" w:type="dxa"/>
            <w:vAlign w:val="bottom"/>
            <w:tcBorders>
              <w:bottom w:val="single" w:sz="8" w:color="C0C0C0"/>
            </w:tcBorders>
            <w:shd w:val="clear" w:color="auto" w:fill="C0C0C0"/>
          </w:tcPr>
          <w:p>
            <w:pPr>
              <w:spacing w:after="0"/>
              <w:rPr>
                <w:sz w:val="16"/>
                <w:szCs w:val="16"/>
                <w:color w:val="auto"/>
              </w:rPr>
            </w:pPr>
          </w:p>
        </w:tc>
        <w:tc>
          <w:tcPr>
            <w:tcW w:w="240" w:type="dxa"/>
            <w:vAlign w:val="bottom"/>
            <w:tcBorders>
              <w:bottom w:val="single" w:sz="8" w:color="auto"/>
            </w:tcBorders>
            <w:shd w:val="clear" w:color="auto" w:fill="C0C0C0"/>
          </w:tcPr>
          <w:p>
            <w:pPr>
              <w:spacing w:after="0"/>
              <w:rPr>
                <w:sz w:val="16"/>
                <w:szCs w:val="16"/>
                <w:color w:val="auto"/>
              </w:rPr>
            </w:pPr>
          </w:p>
        </w:tc>
        <w:tc>
          <w:tcPr>
            <w:tcW w:w="280" w:type="dxa"/>
            <w:vAlign w:val="bottom"/>
            <w:tcBorders>
              <w:bottom w:val="single" w:sz="8" w:color="auto"/>
            </w:tcBorders>
            <w:shd w:val="clear" w:color="auto" w:fill="C0C0C0"/>
          </w:tcPr>
          <w:p>
            <w:pPr>
              <w:spacing w:after="0"/>
              <w:rPr>
                <w:sz w:val="16"/>
                <w:szCs w:val="16"/>
                <w:color w:val="auto"/>
              </w:rPr>
            </w:pPr>
          </w:p>
        </w:tc>
        <w:tc>
          <w:tcPr>
            <w:tcW w:w="80" w:type="dxa"/>
            <w:vAlign w:val="bottom"/>
            <w:tcBorders>
              <w:bottom w:val="single" w:sz="8" w:color="C0C0C0"/>
            </w:tcBorders>
            <w:shd w:val="clear" w:color="auto" w:fill="C0C0C0"/>
          </w:tcPr>
          <w:p>
            <w:pPr>
              <w:spacing w:after="0"/>
              <w:rPr>
                <w:sz w:val="16"/>
                <w:szCs w:val="16"/>
                <w:color w:val="auto"/>
              </w:rPr>
            </w:pPr>
          </w:p>
        </w:tc>
        <w:tc>
          <w:tcPr>
            <w:tcW w:w="20" w:type="dxa"/>
            <w:vAlign w:val="bottom"/>
            <w:tcBorders>
              <w:bottom w:val="single" w:sz="8" w:color="C0C0C0"/>
            </w:tcBorders>
            <w:shd w:val="clear" w:color="auto" w:fill="C0C0C0"/>
          </w:tcPr>
          <w:p>
            <w:pPr>
              <w:spacing w:after="0"/>
              <w:rPr>
                <w:sz w:val="16"/>
                <w:szCs w:val="16"/>
                <w:color w:val="auto"/>
              </w:rPr>
            </w:pPr>
          </w:p>
        </w:tc>
        <w:tc>
          <w:tcPr>
            <w:tcW w:w="60" w:type="dxa"/>
            <w:vAlign w:val="bottom"/>
            <w:tcBorders>
              <w:bottom w:val="single" w:sz="8" w:color="C0C0C0"/>
            </w:tcBorders>
            <w:shd w:val="clear" w:color="auto" w:fill="C0C0C0"/>
          </w:tcPr>
          <w:p>
            <w:pPr>
              <w:spacing w:after="0"/>
              <w:rPr>
                <w:sz w:val="16"/>
                <w:szCs w:val="16"/>
                <w:color w:val="auto"/>
              </w:rPr>
            </w:pPr>
          </w:p>
        </w:tc>
        <w:tc>
          <w:tcPr>
            <w:tcW w:w="600" w:type="dxa"/>
            <w:vAlign w:val="bottom"/>
            <w:tcBorders>
              <w:bottom w:val="single" w:sz="8" w:color="auto"/>
            </w:tcBorders>
            <w:shd w:val="clear" w:color="auto" w:fill="C0C0C0"/>
          </w:tcPr>
          <w:p>
            <w:pPr>
              <w:spacing w:after="0"/>
              <w:rPr>
                <w:sz w:val="16"/>
                <w:szCs w:val="16"/>
                <w:color w:val="auto"/>
              </w:rPr>
            </w:pPr>
          </w:p>
        </w:tc>
        <w:tc>
          <w:tcPr>
            <w:tcW w:w="120" w:type="dxa"/>
            <w:vAlign w:val="bottom"/>
            <w:tcBorders>
              <w:bottom w:val="single" w:sz="8" w:color="C0C0C0"/>
            </w:tcBorders>
            <w:shd w:val="clear" w:color="auto" w:fill="C0C0C0"/>
          </w:tcPr>
          <w:p>
            <w:pPr>
              <w:spacing w:after="0"/>
              <w:rPr>
                <w:sz w:val="16"/>
                <w:szCs w:val="16"/>
                <w:color w:val="auto"/>
              </w:rPr>
            </w:pPr>
          </w:p>
        </w:tc>
        <w:tc>
          <w:tcPr>
            <w:tcW w:w="40" w:type="dxa"/>
            <w:vAlign w:val="bottom"/>
            <w:tcBorders>
              <w:bottom w:val="single" w:sz="8" w:color="C0C0C0"/>
            </w:tcBorders>
            <w:shd w:val="clear" w:color="auto" w:fill="C0C0C0"/>
          </w:tcPr>
          <w:p>
            <w:pPr>
              <w:spacing w:after="0"/>
              <w:rPr>
                <w:sz w:val="16"/>
                <w:szCs w:val="16"/>
                <w:color w:val="auto"/>
              </w:rPr>
            </w:pPr>
          </w:p>
        </w:tc>
        <w:tc>
          <w:tcPr>
            <w:tcW w:w="480" w:type="dxa"/>
            <w:vAlign w:val="bottom"/>
            <w:tcBorders>
              <w:bottom w:val="single" w:sz="8" w:color="auto"/>
            </w:tcBorders>
            <w:shd w:val="clear" w:color="auto" w:fill="C0C0C0"/>
          </w:tcPr>
          <w:p>
            <w:pPr>
              <w:spacing w:after="0"/>
              <w:rPr>
                <w:sz w:val="16"/>
                <w:szCs w:val="16"/>
                <w:color w:val="auto"/>
              </w:rPr>
            </w:pPr>
          </w:p>
        </w:tc>
        <w:tc>
          <w:tcPr>
            <w:tcW w:w="140" w:type="dxa"/>
            <w:vAlign w:val="bottom"/>
            <w:tcBorders>
              <w:bottom w:val="single" w:sz="8" w:color="C0C0C0"/>
            </w:tcBorders>
            <w:shd w:val="clear" w:color="auto" w:fill="C0C0C0"/>
          </w:tcPr>
          <w:p>
            <w:pPr>
              <w:spacing w:after="0"/>
              <w:rPr>
                <w:sz w:val="16"/>
                <w:szCs w:val="16"/>
                <w:color w:val="auto"/>
              </w:rPr>
            </w:pPr>
          </w:p>
        </w:tc>
        <w:tc>
          <w:tcPr>
            <w:tcW w:w="60" w:type="dxa"/>
            <w:vAlign w:val="bottom"/>
            <w:tcBorders>
              <w:bottom w:val="single" w:sz="8" w:color="C0C0C0"/>
            </w:tcBorders>
            <w:shd w:val="clear" w:color="auto" w:fill="C0C0C0"/>
          </w:tcPr>
          <w:p>
            <w:pPr>
              <w:spacing w:after="0"/>
              <w:rPr>
                <w:sz w:val="16"/>
                <w:szCs w:val="16"/>
                <w:color w:val="auto"/>
              </w:rPr>
            </w:pPr>
          </w:p>
        </w:tc>
        <w:tc>
          <w:tcPr>
            <w:tcW w:w="520" w:type="dxa"/>
            <w:vAlign w:val="bottom"/>
            <w:tcBorders>
              <w:bottom w:val="single" w:sz="8" w:color="auto"/>
            </w:tcBorders>
            <w:shd w:val="clear" w:color="auto" w:fill="C0C0C0"/>
          </w:tcPr>
          <w:p>
            <w:pPr>
              <w:spacing w:after="0"/>
              <w:rPr>
                <w:sz w:val="16"/>
                <w:szCs w:val="16"/>
                <w:color w:val="auto"/>
              </w:rPr>
            </w:pPr>
          </w:p>
        </w:tc>
        <w:tc>
          <w:tcPr>
            <w:tcW w:w="100" w:type="dxa"/>
            <w:vAlign w:val="bottom"/>
            <w:tcBorders>
              <w:bottom w:val="single" w:sz="8" w:color="C0C0C0"/>
            </w:tcBorders>
            <w:shd w:val="clear" w:color="auto" w:fill="C0C0C0"/>
          </w:tcPr>
          <w:p>
            <w:pPr>
              <w:spacing w:after="0"/>
              <w:rPr>
                <w:sz w:val="16"/>
                <w:szCs w:val="16"/>
                <w:color w:val="auto"/>
              </w:rPr>
            </w:pPr>
          </w:p>
        </w:tc>
        <w:tc>
          <w:tcPr>
            <w:tcW w:w="60" w:type="dxa"/>
            <w:vAlign w:val="bottom"/>
            <w:tcBorders>
              <w:bottom w:val="single" w:sz="8" w:color="C0C0C0"/>
            </w:tcBorders>
            <w:shd w:val="clear" w:color="auto" w:fill="C0C0C0"/>
          </w:tcPr>
          <w:p>
            <w:pPr>
              <w:spacing w:after="0"/>
              <w:rPr>
                <w:sz w:val="16"/>
                <w:szCs w:val="16"/>
                <w:color w:val="auto"/>
              </w:rPr>
            </w:pPr>
          </w:p>
        </w:tc>
        <w:tc>
          <w:tcPr>
            <w:tcW w:w="80" w:type="dxa"/>
            <w:vAlign w:val="bottom"/>
            <w:tcBorders>
              <w:bottom w:val="single" w:sz="8" w:color="auto"/>
            </w:tcBorders>
            <w:shd w:val="clear" w:color="auto" w:fill="C0C0C0"/>
          </w:tcPr>
          <w:p>
            <w:pPr>
              <w:spacing w:after="0"/>
              <w:rPr>
                <w:sz w:val="16"/>
                <w:szCs w:val="16"/>
                <w:color w:val="auto"/>
              </w:rPr>
            </w:pPr>
          </w:p>
        </w:tc>
        <w:tc>
          <w:tcPr>
            <w:tcW w:w="760" w:type="dxa"/>
            <w:vAlign w:val="bottom"/>
            <w:tcBorders>
              <w:bottom w:val="single" w:sz="8" w:color="auto"/>
            </w:tcBorders>
            <w:shd w:val="clear" w:color="auto" w:fill="C0C0C0"/>
          </w:tcPr>
          <w:p>
            <w:pPr>
              <w:spacing w:after="0"/>
              <w:rPr>
                <w:sz w:val="16"/>
                <w:szCs w:val="16"/>
                <w:color w:val="auto"/>
              </w:rPr>
            </w:pPr>
          </w:p>
        </w:tc>
        <w:tc>
          <w:tcPr>
            <w:tcW w:w="240" w:type="dxa"/>
            <w:vAlign w:val="bottom"/>
            <w:tcBorders>
              <w:bottom w:val="single" w:sz="8" w:color="C0C0C0"/>
            </w:tcBorders>
            <w:shd w:val="clear" w:color="auto" w:fill="C0C0C0"/>
          </w:tcPr>
          <w:p>
            <w:pPr>
              <w:spacing w:after="0"/>
              <w:rPr>
                <w:sz w:val="16"/>
                <w:szCs w:val="16"/>
                <w:color w:val="auto"/>
              </w:rPr>
            </w:pPr>
          </w:p>
        </w:tc>
        <w:tc>
          <w:tcPr>
            <w:tcW w:w="60" w:type="dxa"/>
            <w:vAlign w:val="bottom"/>
            <w:tcBorders>
              <w:bottom w:val="single" w:sz="8" w:color="C0C0C0"/>
            </w:tcBorders>
            <w:shd w:val="clear" w:color="auto" w:fill="C0C0C0"/>
          </w:tcPr>
          <w:p>
            <w:pPr>
              <w:spacing w:after="0"/>
              <w:rPr>
                <w:sz w:val="16"/>
                <w:szCs w:val="16"/>
                <w:color w:val="auto"/>
              </w:rPr>
            </w:pPr>
          </w:p>
        </w:tc>
        <w:tc>
          <w:tcPr>
            <w:tcW w:w="180" w:type="dxa"/>
            <w:vAlign w:val="bottom"/>
            <w:tcBorders>
              <w:bottom w:val="single" w:sz="8" w:color="auto"/>
            </w:tcBorders>
            <w:shd w:val="clear" w:color="auto" w:fill="C0C0C0"/>
          </w:tcPr>
          <w:p>
            <w:pPr>
              <w:spacing w:after="0"/>
              <w:rPr>
                <w:sz w:val="16"/>
                <w:szCs w:val="16"/>
                <w:color w:val="auto"/>
              </w:rPr>
            </w:pPr>
          </w:p>
        </w:tc>
        <w:tc>
          <w:tcPr>
            <w:tcW w:w="600" w:type="dxa"/>
            <w:vAlign w:val="bottom"/>
            <w:tcBorders>
              <w:bottom w:val="single" w:sz="8" w:color="auto"/>
            </w:tcBorders>
            <w:shd w:val="clear" w:color="auto" w:fill="C0C0C0"/>
          </w:tcPr>
          <w:p>
            <w:pPr>
              <w:spacing w:after="0"/>
              <w:rPr>
                <w:sz w:val="16"/>
                <w:szCs w:val="16"/>
                <w:color w:val="auto"/>
              </w:rPr>
            </w:pPr>
          </w:p>
        </w:tc>
        <w:tc>
          <w:tcPr>
            <w:tcW w:w="180" w:type="dxa"/>
            <w:vAlign w:val="bottom"/>
            <w:tcBorders>
              <w:bottom w:val="single" w:sz="8" w:color="C0C0C0"/>
            </w:tcBorders>
            <w:shd w:val="clear" w:color="auto" w:fill="C0C0C0"/>
          </w:tcPr>
          <w:p>
            <w:pPr>
              <w:spacing w:after="0"/>
              <w:rPr>
                <w:sz w:val="16"/>
                <w:szCs w:val="16"/>
                <w:color w:val="auto"/>
              </w:rPr>
            </w:pPr>
          </w:p>
        </w:tc>
      </w:tr>
      <w:tr>
        <w:trPr>
          <w:trHeight w:val="208"/>
        </w:trPr>
        <w:tc>
          <w:tcPr>
            <w:tcW w:w="3220" w:type="dxa"/>
            <w:vAlign w:val="bottom"/>
          </w:tcPr>
          <w:p>
            <w:pPr>
              <w:ind w:left="20"/>
              <w:spacing w:after="0"/>
              <w:rPr>
                <w:sz w:val="20"/>
                <w:szCs w:val="20"/>
                <w:color w:val="auto"/>
              </w:rPr>
            </w:pPr>
            <w:r>
              <w:rPr>
                <w:rFonts w:ascii="Arial" w:cs="Arial" w:eastAsia="Arial" w:hAnsi="Arial"/>
                <w:sz w:val="16"/>
                <w:szCs w:val="16"/>
                <w:b w:val="1"/>
                <w:bCs w:val="1"/>
                <w:color w:val="auto"/>
              </w:rPr>
              <w:t>Balance at February 1, 2014</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169,039</w:t>
            </w:r>
          </w:p>
        </w:tc>
        <w:tc>
          <w:tcPr>
            <w:tcW w:w="300" w:type="dxa"/>
            <w:vAlign w:val="bottom"/>
            <w:gridSpan w:val="2"/>
          </w:tcPr>
          <w:p>
            <w:pPr>
              <w:jc w:val="right"/>
              <w:ind w:right="68"/>
              <w:spacing w:after="0"/>
              <w:rPr>
                <w:sz w:val="20"/>
                <w:szCs w:val="20"/>
                <w:color w:val="auto"/>
              </w:rPr>
            </w:pPr>
            <w:r>
              <w:rPr>
                <w:rFonts w:ascii="Arial" w:cs="Arial" w:eastAsia="Arial" w:hAnsi="Arial"/>
                <w:sz w:val="16"/>
                <w:szCs w:val="16"/>
                <w:b w:val="1"/>
                <w:bCs w:val="1"/>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w w:val="97"/>
              </w:rPr>
              <w:t>921</w:t>
            </w:r>
          </w:p>
        </w:tc>
        <w:tc>
          <w:tcPr>
            <w:tcW w:w="80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rPr>
              <w:t>(23,612)</w:t>
            </w:r>
          </w:p>
        </w:tc>
        <w:tc>
          <w:tcPr>
            <w:tcW w:w="66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 (626)</w:t>
            </w:r>
          </w:p>
        </w:tc>
        <w:tc>
          <w:tcPr>
            <w:tcW w:w="68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$2,387</w:t>
            </w:r>
          </w:p>
        </w:tc>
        <w:tc>
          <w:tcPr>
            <w:tcW w:w="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(186)</w:t>
            </w:r>
          </w:p>
        </w:tc>
        <w:tc>
          <w:tcPr>
            <w:tcW w:w="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6"/>
                <w:szCs w:val="16"/>
                <w:b w:val="1"/>
                <w:bCs w:val="1"/>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2,496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-4603750</wp:posOffset>
            </wp:positionV>
            <wp:extent cx="5634355" cy="1289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3435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-144145</wp:posOffset>
            </wp:positionV>
            <wp:extent cx="5634355" cy="128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34355" cy="12890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96520</wp:posOffset>
            </wp:positionV>
            <wp:extent cx="6114415" cy="596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39" w:name="page40"/>
    <w:bookmarkEnd w:id="39"/>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92"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spacing w:after="0" w:line="16"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-78740</wp:posOffset>
            </wp:positionV>
            <wp:extent cx="556577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6"/>
        </w:trPr>
        <w:tc>
          <w:tcPr>
            <w:tcW w:w="57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7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From Operating Activities</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4"/>
          </w:tcPr>
          <w:p>
            <w:pPr>
              <w:ind w:left="8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7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Net income</w:t>
            </w:r>
          </w:p>
        </w:tc>
        <w:tc>
          <w:tcPr>
            <w:tcW w:w="20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C0C0C0"/>
          </w:tcPr>
          <w:p>
            <w:pPr>
              <w:jc w:val="right"/>
              <w:ind w:right="180"/>
              <w:spacing w:after="0" w:line="202" w:lineRule="exact"/>
              <w:rPr>
                <w:sz w:val="20"/>
                <w:szCs w:val="20"/>
                <w:color w:val="auto"/>
              </w:rPr>
            </w:pPr>
            <w:r>
              <w:rPr>
                <w:rFonts w:ascii="Arial" w:cs="Arial" w:eastAsia="Arial" w:hAnsi="Arial"/>
                <w:sz w:val="18"/>
                <w:szCs w:val="18"/>
                <w:b w:val="1"/>
                <w:bCs w:val="1"/>
                <w:color w:val="auto"/>
              </w:rPr>
              <w:t>429</w:t>
            </w:r>
          </w:p>
        </w:tc>
        <w:tc>
          <w:tcPr>
            <w:tcW w:w="360" w:type="dxa"/>
            <w:vAlign w:val="bottom"/>
            <w:gridSpan w:val="2"/>
            <w:shd w:val="clear" w:color="auto" w:fill="C0C0C0"/>
          </w:tcPr>
          <w:p>
            <w:pPr>
              <w:jc w:val="right"/>
              <w:ind w:right="8"/>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0C0C0"/>
          </w:tcPr>
          <w:p>
            <w:pPr>
              <w:jc w:val="right"/>
              <w:ind w:right="200"/>
              <w:spacing w:after="0" w:line="202" w:lineRule="exact"/>
              <w:rPr>
                <w:sz w:val="20"/>
                <w:szCs w:val="20"/>
                <w:color w:val="auto"/>
              </w:rPr>
            </w:pPr>
            <w:r>
              <w:rPr>
                <w:rFonts w:ascii="Arial" w:cs="Arial" w:eastAsia="Arial" w:hAnsi="Arial"/>
                <w:sz w:val="18"/>
                <w:szCs w:val="18"/>
                <w:color w:val="auto"/>
              </w:rPr>
              <w:t>397</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0C0C0"/>
          </w:tcPr>
          <w:p>
            <w:pPr>
              <w:jc w:val="right"/>
              <w:ind w:right="220"/>
              <w:spacing w:after="0" w:line="202" w:lineRule="exact"/>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2"/>
        </w:trPr>
        <w:tc>
          <w:tcPr>
            <w:tcW w:w="5760" w:type="dxa"/>
            <w:vAlign w:val="bottom"/>
          </w:tcPr>
          <w:p>
            <w:pPr>
              <w:ind w:left="20"/>
              <w:spacing w:after="0" w:line="201" w:lineRule="exact"/>
              <w:rPr>
                <w:sz w:val="20"/>
                <w:szCs w:val="20"/>
                <w:color w:val="auto"/>
              </w:rPr>
            </w:pPr>
            <w:r>
              <w:rPr>
                <w:rFonts w:ascii="Arial" w:cs="Arial" w:eastAsia="Arial" w:hAnsi="Arial"/>
                <w:sz w:val="18"/>
                <w:szCs w:val="18"/>
                <w:color w:val="auto"/>
              </w:rPr>
              <w:t>Adjustments to reconcile net income to net cash provided by</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0"/>
              <w:spacing w:after="0" w:line="203" w:lineRule="exact"/>
              <w:rPr>
                <w:sz w:val="20"/>
                <w:szCs w:val="20"/>
                <w:color w:val="auto"/>
              </w:rPr>
            </w:pPr>
            <w:r>
              <w:rPr>
                <w:rFonts w:ascii="Arial" w:cs="Arial" w:eastAsia="Arial" w:hAnsi="Arial"/>
                <w:sz w:val="18"/>
                <w:szCs w:val="18"/>
                <w:color w:val="auto"/>
              </w:rPr>
              <w:t>operating activities:</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0C0C0"/>
          </w:tcPr>
          <w:p>
            <w:pPr>
              <w:ind w:left="200"/>
              <w:spacing w:after="0" w:line="202" w:lineRule="exact"/>
              <w:rPr>
                <w:sz w:val="20"/>
                <w:szCs w:val="20"/>
                <w:color w:val="auto"/>
              </w:rPr>
            </w:pPr>
            <w:r>
              <w:rPr>
                <w:rFonts w:ascii="Arial" w:cs="Arial" w:eastAsia="Arial" w:hAnsi="Arial"/>
                <w:sz w:val="18"/>
                <w:szCs w:val="18"/>
                <w:color w:val="auto"/>
              </w:rPr>
              <w:t>Non-cash impairment charges</w:t>
            </w:r>
          </w:p>
        </w:tc>
        <w:tc>
          <w:tcPr>
            <w:tcW w:w="200" w:type="dxa"/>
            <w:vAlign w:val="bottom"/>
            <w:shd w:val="clear" w:color="auto" w:fill="C0C0C0"/>
          </w:tcPr>
          <w:p>
            <w:pPr>
              <w:spacing w:after="0"/>
              <w:rPr>
                <w:sz w:val="17"/>
                <w:szCs w:val="17"/>
                <w:color w:val="auto"/>
              </w:rPr>
            </w:pPr>
          </w:p>
        </w:tc>
        <w:tc>
          <w:tcPr>
            <w:tcW w:w="660" w:type="dxa"/>
            <w:vAlign w:val="bottom"/>
            <w:gridSpan w:val="2"/>
            <w:shd w:val="clear" w:color="auto" w:fill="C0C0C0"/>
          </w:tcPr>
          <w:p>
            <w:pPr>
              <w:jc w:val="right"/>
              <w:ind w:right="18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200"/>
              <w:spacing w:after="0" w:line="202" w:lineRule="exact"/>
              <w:rPr>
                <w:sz w:val="20"/>
                <w:szCs w:val="20"/>
                <w:color w:val="auto"/>
              </w:rPr>
            </w:pPr>
            <w:r>
              <w:rPr>
                <w:rFonts w:ascii="Arial" w:cs="Arial" w:eastAsia="Arial" w:hAnsi="Arial"/>
                <w:sz w:val="18"/>
                <w:szCs w:val="18"/>
                <w:color w:val="auto"/>
              </w:rPr>
              <w:t>12</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22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7"/>
                <w:szCs w:val="17"/>
                <w:color w:val="auto"/>
              </w:rPr>
            </w:pPr>
          </w:p>
        </w:tc>
        <w:tc>
          <w:tcPr>
            <w:tcW w:w="66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133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118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3"/>
        </w:trPr>
        <w:tc>
          <w:tcPr>
            <w:tcW w:w="5760" w:type="dxa"/>
            <w:vAlign w:val="bottom"/>
            <w:shd w:val="clear" w:color="auto" w:fill="C0C0C0"/>
          </w:tcPr>
          <w:p>
            <w:pPr>
              <w:ind w:left="200"/>
              <w:spacing w:after="0" w:line="202" w:lineRule="exact"/>
              <w:rPr>
                <w:sz w:val="20"/>
                <w:szCs w:val="20"/>
                <w:color w:val="auto"/>
              </w:rPr>
            </w:pPr>
            <w:r>
              <w:rPr>
                <w:rFonts w:ascii="Arial" w:cs="Arial" w:eastAsia="Arial" w:hAnsi="Arial"/>
                <w:sz w:val="18"/>
                <w:szCs w:val="18"/>
                <w:color w:val="auto"/>
              </w:rPr>
              <w:t>Share-based compensation expense</w:t>
            </w:r>
          </w:p>
        </w:tc>
        <w:tc>
          <w:tcPr>
            <w:tcW w:w="200" w:type="dxa"/>
            <w:vAlign w:val="bottom"/>
            <w:shd w:val="clear" w:color="auto" w:fill="C0C0C0"/>
          </w:tcPr>
          <w:p>
            <w:pPr>
              <w:spacing w:after="0"/>
              <w:rPr>
                <w:sz w:val="17"/>
                <w:szCs w:val="17"/>
                <w:color w:val="auto"/>
              </w:rPr>
            </w:pPr>
          </w:p>
        </w:tc>
        <w:tc>
          <w:tcPr>
            <w:tcW w:w="660" w:type="dxa"/>
            <w:vAlign w:val="bottom"/>
            <w:gridSpan w:val="2"/>
            <w:shd w:val="clear" w:color="auto" w:fill="C0C0C0"/>
          </w:tcPr>
          <w:p>
            <w:pPr>
              <w:jc w:val="right"/>
              <w:ind w:right="180"/>
              <w:spacing w:after="0" w:line="202" w:lineRule="exact"/>
              <w:rPr>
                <w:sz w:val="20"/>
                <w:szCs w:val="20"/>
                <w:color w:val="auto"/>
              </w:rPr>
            </w:pPr>
            <w:r>
              <w:rPr>
                <w:rFonts w:ascii="Arial" w:cs="Arial" w:eastAsia="Arial" w:hAnsi="Arial"/>
                <w:sz w:val="18"/>
                <w:szCs w:val="18"/>
                <w:b w:val="1"/>
                <w:bCs w:val="1"/>
                <w:color w:val="auto"/>
              </w:rPr>
              <w:t>25</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200"/>
              <w:spacing w:after="0" w:line="202" w:lineRule="exact"/>
              <w:rPr>
                <w:sz w:val="20"/>
                <w:szCs w:val="20"/>
                <w:color w:val="auto"/>
              </w:rPr>
            </w:pPr>
            <w:r>
              <w:rPr>
                <w:rFonts w:ascii="Arial" w:cs="Arial" w:eastAsia="Arial" w:hAnsi="Arial"/>
                <w:sz w:val="18"/>
                <w:szCs w:val="18"/>
                <w:color w:val="auto"/>
              </w:rPr>
              <w:t>20</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22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Deferred tax provision</w:t>
            </w:r>
          </w:p>
        </w:tc>
        <w:tc>
          <w:tcPr>
            <w:tcW w:w="200" w:type="dxa"/>
            <w:vAlign w:val="bottom"/>
          </w:tcPr>
          <w:p>
            <w:pPr>
              <w:spacing w:after="0"/>
              <w:rPr>
                <w:sz w:val="17"/>
                <w:szCs w:val="17"/>
                <w:color w:val="auto"/>
              </w:rPr>
            </w:pPr>
          </w:p>
        </w:tc>
        <w:tc>
          <w:tcPr>
            <w:tcW w:w="66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19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5760" w:type="dxa"/>
            <w:vAlign w:val="bottom"/>
            <w:shd w:val="clear" w:color="auto" w:fill="C0C0C0"/>
          </w:tcPr>
          <w:p>
            <w:pPr>
              <w:ind w:left="200"/>
              <w:spacing w:after="0" w:line="202" w:lineRule="exact"/>
              <w:rPr>
                <w:sz w:val="20"/>
                <w:szCs w:val="20"/>
                <w:color w:val="auto"/>
              </w:rPr>
            </w:pPr>
            <w:r>
              <w:rPr>
                <w:rFonts w:ascii="Arial" w:cs="Arial" w:eastAsia="Arial" w:hAnsi="Arial"/>
                <w:sz w:val="18"/>
                <w:szCs w:val="18"/>
                <w:color w:val="auto"/>
              </w:rPr>
              <w:t>Qualified pension plan contributions</w:t>
            </w:r>
          </w:p>
        </w:tc>
        <w:tc>
          <w:tcPr>
            <w:tcW w:w="200" w:type="dxa"/>
            <w:vAlign w:val="bottom"/>
            <w:shd w:val="clear" w:color="auto" w:fill="C0C0C0"/>
          </w:tcPr>
          <w:p>
            <w:pPr>
              <w:spacing w:after="0"/>
              <w:rPr>
                <w:sz w:val="17"/>
                <w:szCs w:val="17"/>
                <w:color w:val="auto"/>
              </w:rPr>
            </w:pPr>
          </w:p>
        </w:tc>
        <w:tc>
          <w:tcPr>
            <w:tcW w:w="66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b w:val="1"/>
                <w:bCs w:val="1"/>
                <w:color w:val="auto"/>
              </w:rPr>
              <w:t>(2)</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140"/>
              <w:spacing w:after="0" w:line="202" w:lineRule="exact"/>
              <w:rPr>
                <w:sz w:val="20"/>
                <w:szCs w:val="20"/>
                <w:color w:val="auto"/>
              </w:rPr>
            </w:pPr>
            <w:r>
              <w:rPr>
                <w:rFonts w:ascii="Arial" w:cs="Arial" w:eastAsia="Arial" w:hAnsi="Arial"/>
                <w:sz w:val="18"/>
                <w:szCs w:val="18"/>
                <w:color w:val="auto"/>
              </w:rPr>
              <w:t>(26)</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60"/>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Excess tax benefits on share-based compensation</w:t>
            </w:r>
          </w:p>
        </w:tc>
        <w:tc>
          <w:tcPr>
            <w:tcW w:w="200" w:type="dxa"/>
            <w:vAlign w:val="bottom"/>
          </w:tcPr>
          <w:p>
            <w:pPr>
              <w:spacing w:after="0"/>
              <w:rPr>
                <w:sz w:val="17"/>
                <w:szCs w:val="17"/>
                <w:color w:val="auto"/>
              </w:rPr>
            </w:pP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5760" w:type="dxa"/>
            <w:vAlign w:val="bottom"/>
            <w:shd w:val="clear" w:color="auto" w:fill="C0C0C0"/>
          </w:tcPr>
          <w:p>
            <w:pPr>
              <w:ind w:left="200"/>
              <w:spacing w:after="0" w:line="202" w:lineRule="exact"/>
              <w:rPr>
                <w:sz w:val="20"/>
                <w:szCs w:val="20"/>
                <w:color w:val="auto"/>
              </w:rPr>
            </w:pPr>
            <w:r>
              <w:rPr>
                <w:rFonts w:ascii="Arial" w:cs="Arial" w:eastAsia="Arial" w:hAnsi="Arial"/>
                <w:sz w:val="18"/>
                <w:szCs w:val="18"/>
                <w:color w:val="auto"/>
              </w:rPr>
              <w:t>Change in assets and liabilities:</w:t>
            </w:r>
          </w:p>
        </w:tc>
        <w:tc>
          <w:tcPr>
            <w:tcW w:w="20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5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380"/>
              <w:spacing w:after="0" w:line="202" w:lineRule="exact"/>
              <w:rPr>
                <w:sz w:val="20"/>
                <w:szCs w:val="20"/>
                <w:color w:val="auto"/>
              </w:rPr>
            </w:pPr>
            <w:r>
              <w:rPr>
                <w:rFonts w:ascii="Arial" w:cs="Arial" w:eastAsia="Arial" w:hAnsi="Arial"/>
                <w:sz w:val="18"/>
                <w:szCs w:val="18"/>
                <w:color w:val="auto"/>
              </w:rPr>
              <w:t>Merchandise inventories</w:t>
            </w:r>
          </w:p>
        </w:tc>
        <w:tc>
          <w:tcPr>
            <w:tcW w:w="200" w:type="dxa"/>
            <w:vAlign w:val="bottom"/>
          </w:tcPr>
          <w:p>
            <w:pPr>
              <w:spacing w:after="0"/>
              <w:rPr>
                <w:sz w:val="17"/>
                <w:szCs w:val="17"/>
                <w:color w:val="auto"/>
              </w:rPr>
            </w:pP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(20)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5760" w:type="dxa"/>
            <w:vAlign w:val="bottom"/>
            <w:shd w:val="clear" w:color="auto" w:fill="C0C0C0"/>
          </w:tcPr>
          <w:p>
            <w:pPr>
              <w:ind w:left="380"/>
              <w:spacing w:after="0" w:line="202" w:lineRule="exact"/>
              <w:rPr>
                <w:sz w:val="20"/>
                <w:szCs w:val="20"/>
                <w:color w:val="auto"/>
              </w:rPr>
            </w:pPr>
            <w:r>
              <w:rPr>
                <w:rFonts w:ascii="Arial" w:cs="Arial" w:eastAsia="Arial" w:hAnsi="Arial"/>
                <w:sz w:val="18"/>
                <w:szCs w:val="18"/>
                <w:color w:val="auto"/>
              </w:rPr>
              <w:t>Accounts payable</w:t>
            </w:r>
          </w:p>
        </w:tc>
        <w:tc>
          <w:tcPr>
            <w:tcW w:w="200" w:type="dxa"/>
            <w:vAlign w:val="bottom"/>
            <w:shd w:val="clear" w:color="auto" w:fill="C0C0C0"/>
          </w:tcPr>
          <w:p>
            <w:pPr>
              <w:spacing w:after="0"/>
              <w:rPr>
                <w:sz w:val="17"/>
                <w:szCs w:val="17"/>
                <w:color w:val="auto"/>
              </w:rPr>
            </w:pPr>
          </w:p>
        </w:tc>
        <w:tc>
          <w:tcPr>
            <w:tcW w:w="66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b w:val="1"/>
                <w:bCs w:val="1"/>
                <w:color w:val="auto"/>
              </w:rPr>
              <w:t>(48)</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200"/>
              <w:spacing w:after="0" w:line="202" w:lineRule="exact"/>
              <w:rPr>
                <w:sz w:val="20"/>
                <w:szCs w:val="20"/>
                <w:color w:val="auto"/>
              </w:rPr>
            </w:pPr>
            <w:r>
              <w:rPr>
                <w:rFonts w:ascii="Arial" w:cs="Arial" w:eastAsia="Arial" w:hAnsi="Arial"/>
                <w:sz w:val="18"/>
                <w:szCs w:val="18"/>
                <w:color w:val="auto"/>
              </w:rPr>
              <w:t>57</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22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5760" w:type="dxa"/>
            <w:vAlign w:val="bottom"/>
          </w:tcPr>
          <w:p>
            <w:pPr>
              <w:ind w:left="380"/>
              <w:spacing w:after="0" w:line="202" w:lineRule="exact"/>
              <w:rPr>
                <w:sz w:val="20"/>
                <w:szCs w:val="20"/>
                <w:color w:val="auto"/>
              </w:rPr>
            </w:pPr>
            <w:r>
              <w:rPr>
                <w:rFonts w:ascii="Arial" w:cs="Arial" w:eastAsia="Arial" w:hAnsi="Arial"/>
                <w:sz w:val="18"/>
                <w:szCs w:val="18"/>
                <w:color w:val="auto"/>
              </w:rPr>
              <w:t>Accrued and other liabilities</w:t>
            </w:r>
          </w:p>
        </w:tc>
        <w:tc>
          <w:tcPr>
            <w:tcW w:w="200" w:type="dxa"/>
            <w:vAlign w:val="bottom"/>
          </w:tcPr>
          <w:p>
            <w:pPr>
              <w:spacing w:after="0"/>
              <w:rPr>
                <w:sz w:val="17"/>
                <w:szCs w:val="17"/>
                <w:color w:val="auto"/>
              </w:rPr>
            </w:pP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(10)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5760" w:type="dxa"/>
            <w:vAlign w:val="bottom"/>
            <w:shd w:val="clear" w:color="auto" w:fill="C0C0C0"/>
          </w:tcPr>
          <w:p>
            <w:pPr>
              <w:ind w:left="380"/>
              <w:spacing w:after="0" w:line="202" w:lineRule="exact"/>
              <w:rPr>
                <w:sz w:val="20"/>
                <w:szCs w:val="20"/>
                <w:color w:val="auto"/>
              </w:rPr>
            </w:pPr>
            <w:r>
              <w:rPr>
                <w:rFonts w:ascii="Arial" w:cs="Arial" w:eastAsia="Arial" w:hAnsi="Arial"/>
                <w:sz w:val="18"/>
                <w:szCs w:val="18"/>
                <w:color w:val="auto"/>
              </w:rPr>
              <w:t>Income tax receivables and payables</w:t>
            </w:r>
          </w:p>
        </w:tc>
        <w:tc>
          <w:tcPr>
            <w:tcW w:w="200" w:type="dxa"/>
            <w:vAlign w:val="bottom"/>
            <w:shd w:val="clear" w:color="auto" w:fill="C0C0C0"/>
          </w:tcPr>
          <w:p>
            <w:pPr>
              <w:spacing w:after="0"/>
              <w:rPr>
                <w:sz w:val="17"/>
                <w:szCs w:val="17"/>
                <w:color w:val="auto"/>
              </w:rPr>
            </w:pPr>
          </w:p>
        </w:tc>
        <w:tc>
          <w:tcPr>
            <w:tcW w:w="660" w:type="dxa"/>
            <w:vAlign w:val="bottom"/>
            <w:gridSpan w:val="2"/>
            <w:shd w:val="clear" w:color="auto" w:fill="C0C0C0"/>
          </w:tcPr>
          <w:p>
            <w:pPr>
              <w:jc w:val="right"/>
              <w:ind w:right="180"/>
              <w:spacing w:after="0" w:line="202" w:lineRule="exact"/>
              <w:rPr>
                <w:sz w:val="20"/>
                <w:szCs w:val="20"/>
                <w:color w:val="auto"/>
              </w:rPr>
            </w:pPr>
            <w:r>
              <w:rPr>
                <w:rFonts w:ascii="Arial" w:cs="Arial" w:eastAsia="Arial" w:hAnsi="Arial"/>
                <w:sz w:val="18"/>
                <w:szCs w:val="18"/>
                <w:b w:val="1"/>
                <w:bCs w:val="1"/>
                <w:color w:val="auto"/>
              </w:rPr>
              <w:t>38</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140"/>
              <w:spacing w:after="0" w:line="202" w:lineRule="exact"/>
              <w:rPr>
                <w:sz w:val="20"/>
                <w:szCs w:val="20"/>
                <w:color w:val="auto"/>
              </w:rPr>
            </w:pPr>
            <w:r>
              <w:rPr>
                <w:rFonts w:ascii="Arial" w:cs="Arial" w:eastAsia="Arial" w:hAnsi="Arial"/>
                <w:sz w:val="18"/>
                <w:szCs w:val="18"/>
                <w:color w:val="auto"/>
              </w:rPr>
              <w:t>(34)</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22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5760" w:type="dxa"/>
            <w:vAlign w:val="bottom"/>
          </w:tcPr>
          <w:p>
            <w:pPr>
              <w:ind w:left="380"/>
              <w:spacing w:after="0" w:line="202" w:lineRule="exact"/>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17"/>
                <w:szCs w:val="17"/>
                <w:color w:val="auto"/>
              </w:rPr>
            </w:pP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(26)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shd w:val="clear" w:color="auto" w:fill="C0C0C0"/>
          </w:tcPr>
          <w:p>
            <w:pPr>
              <w:ind w:left="2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0C0C0"/>
          </w:tcPr>
          <w:p>
            <w:pPr>
              <w:spacing w:after="0"/>
              <w:rPr>
                <w:sz w:val="17"/>
                <w:szCs w:val="17"/>
                <w:color w:val="auto"/>
              </w:rPr>
            </w:pPr>
          </w:p>
        </w:tc>
        <w:tc>
          <w:tcPr>
            <w:tcW w:w="660" w:type="dxa"/>
            <w:vAlign w:val="bottom"/>
            <w:gridSpan w:val="2"/>
            <w:shd w:val="clear" w:color="auto" w:fill="C0C0C0"/>
          </w:tcPr>
          <w:p>
            <w:pPr>
              <w:jc w:val="right"/>
              <w:ind w:right="180"/>
              <w:spacing w:after="0" w:line="196" w:lineRule="exact"/>
              <w:rPr>
                <w:sz w:val="20"/>
                <w:szCs w:val="20"/>
                <w:color w:val="auto"/>
              </w:rPr>
            </w:pPr>
            <w:r>
              <w:rPr>
                <w:rFonts w:ascii="Arial" w:cs="Arial" w:eastAsia="Arial" w:hAnsi="Arial"/>
                <w:sz w:val="18"/>
                <w:szCs w:val="18"/>
                <w:b w:val="1"/>
                <w:bCs w:val="1"/>
                <w:color w:val="auto"/>
              </w:rPr>
              <w:t>530</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200"/>
              <w:spacing w:after="0" w:line="196" w:lineRule="exact"/>
              <w:rPr>
                <w:sz w:val="20"/>
                <w:szCs w:val="20"/>
                <w:color w:val="auto"/>
              </w:rPr>
            </w:pPr>
            <w:r>
              <w:rPr>
                <w:rFonts w:ascii="Arial" w:cs="Arial" w:eastAsia="Arial" w:hAnsi="Arial"/>
                <w:sz w:val="18"/>
                <w:szCs w:val="18"/>
                <w:color w:val="auto"/>
              </w:rPr>
              <w:t>416</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220"/>
              <w:spacing w:after="0" w:line="196" w:lineRule="exact"/>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196"/>
        </w:trPr>
        <w:tc>
          <w:tcPr>
            <w:tcW w:w="5760" w:type="dxa"/>
            <w:vAlign w:val="bottom"/>
            <w:tcBorders>
              <w:top w:val="single" w:sz="8" w:color="C0C0C0"/>
            </w:tcBorders>
          </w:tcPr>
          <w:p>
            <w:pPr>
              <w:ind w:left="20"/>
              <w:spacing w:after="0" w:line="196" w:lineRule="exact"/>
              <w:rPr>
                <w:sz w:val="20"/>
                <w:szCs w:val="20"/>
                <w:color w:val="auto"/>
              </w:rPr>
            </w:pPr>
            <w:r>
              <w:rPr>
                <w:rFonts w:ascii="Arial" w:cs="Arial" w:eastAsia="Arial" w:hAnsi="Arial"/>
                <w:sz w:val="18"/>
                <w:szCs w:val="18"/>
                <w:b w:val="1"/>
                <w:bCs w:val="1"/>
                <w:color w:val="auto"/>
              </w:rPr>
              <w:t>From Investing Activities</w:t>
            </w:r>
          </w:p>
        </w:tc>
        <w:tc>
          <w:tcPr>
            <w:tcW w:w="2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80" w:type="dxa"/>
            <w:vAlign w:val="bottom"/>
            <w:tcBorders>
              <w:top w:val="single" w:sz="8" w:color="C0C0C0"/>
            </w:tcBorders>
          </w:tcPr>
          <w:p>
            <w:pPr>
              <w:spacing w:after="0"/>
              <w:rPr>
                <w:sz w:val="17"/>
                <w:szCs w:val="17"/>
                <w:color w:val="auto"/>
              </w:rPr>
            </w:pPr>
          </w:p>
        </w:tc>
        <w:tc>
          <w:tcPr>
            <w:tcW w:w="160" w:type="dxa"/>
            <w:vAlign w:val="bottom"/>
            <w:tcBorders>
              <w:top w:val="single" w:sz="8" w:color="C0C0C0"/>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00" w:type="dxa"/>
            <w:vAlign w:val="bottom"/>
            <w:tcBorders>
              <w:top w:val="single" w:sz="8" w:color="C0C0C0"/>
            </w:tcBorders>
          </w:tcPr>
          <w:p>
            <w:pPr>
              <w:spacing w:after="0"/>
              <w:rPr>
                <w:sz w:val="17"/>
                <w:szCs w:val="17"/>
                <w:color w:val="auto"/>
              </w:rPr>
            </w:pPr>
          </w:p>
        </w:tc>
        <w:tc>
          <w:tcPr>
            <w:tcW w:w="160" w:type="dxa"/>
            <w:vAlign w:val="bottom"/>
            <w:tcBorders>
              <w:top w:val="single" w:sz="8" w:color="C0C0C0"/>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Borders>
              <w:top w:val="single" w:sz="8" w:color="C0C0C0"/>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Gain from lease terminations</w:t>
            </w:r>
          </w:p>
        </w:tc>
        <w:tc>
          <w:tcPr>
            <w:tcW w:w="200" w:type="dxa"/>
            <w:vAlign w:val="bottom"/>
            <w:shd w:val="clear" w:color="auto" w:fill="C0C0C0"/>
          </w:tcPr>
          <w:p>
            <w:pPr>
              <w:spacing w:after="0"/>
              <w:rPr>
                <w:sz w:val="17"/>
                <w:szCs w:val="17"/>
                <w:color w:val="auto"/>
              </w:rPr>
            </w:pPr>
          </w:p>
        </w:tc>
        <w:tc>
          <w:tcPr>
            <w:tcW w:w="660" w:type="dxa"/>
            <w:vAlign w:val="bottom"/>
            <w:gridSpan w:val="2"/>
            <w:shd w:val="clear" w:color="auto" w:fill="C0C0C0"/>
          </w:tcPr>
          <w:p>
            <w:pPr>
              <w:jc w:val="right"/>
              <w:ind w:right="180"/>
              <w:spacing w:after="0" w:line="202" w:lineRule="exact"/>
              <w:rPr>
                <w:sz w:val="20"/>
                <w:szCs w:val="20"/>
                <w:color w:val="auto"/>
              </w:rPr>
            </w:pPr>
            <w:r>
              <w:rPr>
                <w:rFonts w:ascii="Arial" w:cs="Arial" w:eastAsia="Arial" w:hAnsi="Arial"/>
                <w:sz w:val="18"/>
                <w:szCs w:val="18"/>
                <w:b w:val="1"/>
                <w:bCs w:val="1"/>
                <w:color w:val="auto"/>
              </w:rPr>
              <w:t>2</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840" w:type="dxa"/>
            <w:vAlign w:val="bottom"/>
            <w:gridSpan w:val="3"/>
            <w:shd w:val="clear" w:color="auto" w:fill="C0C0C0"/>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22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Gain from insurance recoveries</w:t>
            </w:r>
          </w:p>
        </w:tc>
        <w:tc>
          <w:tcPr>
            <w:tcW w:w="200" w:type="dxa"/>
            <w:vAlign w:val="bottom"/>
          </w:tcPr>
          <w:p>
            <w:pPr>
              <w:spacing w:after="0"/>
              <w:rPr>
                <w:sz w:val="17"/>
                <w:szCs w:val="17"/>
                <w:color w:val="auto"/>
              </w:rPr>
            </w:pPr>
          </w:p>
        </w:tc>
        <w:tc>
          <w:tcPr>
            <w:tcW w:w="66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57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Purchases of short-term investments</w:t>
            </w:r>
          </w:p>
        </w:tc>
        <w:tc>
          <w:tcPr>
            <w:tcW w:w="200" w:type="dxa"/>
            <w:vAlign w:val="bottom"/>
            <w:shd w:val="clear" w:color="auto" w:fill="C0C0C0"/>
          </w:tcPr>
          <w:p>
            <w:pPr>
              <w:spacing w:after="0"/>
              <w:rPr>
                <w:sz w:val="17"/>
                <w:szCs w:val="17"/>
                <w:color w:val="auto"/>
              </w:rPr>
            </w:pPr>
          </w:p>
        </w:tc>
        <w:tc>
          <w:tcPr>
            <w:tcW w:w="66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b w:val="1"/>
                <w:bCs w:val="1"/>
                <w:color w:val="auto"/>
              </w:rPr>
              <w:t>(23)</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140"/>
              <w:spacing w:after="0" w:line="202" w:lineRule="exact"/>
              <w:rPr>
                <w:sz w:val="20"/>
                <w:szCs w:val="20"/>
                <w:color w:val="auto"/>
              </w:rPr>
            </w:pPr>
            <w:r>
              <w:rPr>
                <w:rFonts w:ascii="Arial" w:cs="Arial" w:eastAsia="Arial" w:hAnsi="Arial"/>
                <w:sz w:val="18"/>
                <w:szCs w:val="18"/>
                <w:color w:val="auto"/>
              </w:rPr>
              <w:t>(88)</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Sales and maturities of short-term investments</w:t>
            </w:r>
          </w:p>
        </w:tc>
        <w:tc>
          <w:tcPr>
            <w:tcW w:w="200" w:type="dxa"/>
            <w:vAlign w:val="bottom"/>
          </w:tcPr>
          <w:p>
            <w:pPr>
              <w:spacing w:after="0"/>
              <w:rPr>
                <w:sz w:val="17"/>
                <w:szCs w:val="17"/>
                <w:color w:val="auto"/>
              </w:rPr>
            </w:pPr>
          </w:p>
        </w:tc>
        <w:tc>
          <w:tcPr>
            <w:tcW w:w="66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60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7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Purchase of business, net of cash acquired</w:t>
            </w:r>
          </w:p>
        </w:tc>
        <w:tc>
          <w:tcPr>
            <w:tcW w:w="200" w:type="dxa"/>
            <w:vAlign w:val="bottom"/>
            <w:shd w:val="clear" w:color="auto" w:fill="C0C0C0"/>
          </w:tcPr>
          <w:p>
            <w:pPr>
              <w:spacing w:after="0"/>
              <w:rPr>
                <w:sz w:val="17"/>
                <w:szCs w:val="17"/>
                <w:color w:val="auto"/>
              </w:rPr>
            </w:pPr>
          </w:p>
        </w:tc>
        <w:tc>
          <w:tcPr>
            <w:tcW w:w="66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b w:val="1"/>
                <w:bCs w:val="1"/>
                <w:color w:val="auto"/>
              </w:rPr>
              <w:t>(81)</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840" w:type="dxa"/>
            <w:vAlign w:val="bottom"/>
            <w:gridSpan w:val="3"/>
            <w:shd w:val="clear" w:color="auto" w:fill="C0C0C0"/>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17"/>
                <w:szCs w:val="17"/>
                <w:color w:val="auto"/>
              </w:rPr>
            </w:pP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(206)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shd w:val="clear" w:color="auto" w:fill="C0C0C0"/>
          </w:tcPr>
          <w:p>
            <w:pPr>
              <w:ind w:left="20"/>
              <w:spacing w:after="0" w:line="196" w:lineRule="exact"/>
              <w:rPr>
                <w:sz w:val="20"/>
                <w:szCs w:val="20"/>
                <w:color w:val="auto"/>
              </w:rPr>
            </w:pPr>
            <w:r>
              <w:rPr>
                <w:rFonts w:ascii="Arial" w:cs="Arial" w:eastAsia="Arial" w:hAnsi="Arial"/>
                <w:sz w:val="18"/>
                <w:szCs w:val="18"/>
                <w:color w:val="auto"/>
              </w:rPr>
              <w:t>Net cash used in investing activities</w:t>
            </w:r>
          </w:p>
        </w:tc>
        <w:tc>
          <w:tcPr>
            <w:tcW w:w="200" w:type="dxa"/>
            <w:vAlign w:val="bottom"/>
            <w:shd w:val="clear" w:color="auto" w:fill="C0C0C0"/>
          </w:tcPr>
          <w:p>
            <w:pPr>
              <w:spacing w:after="0"/>
              <w:rPr>
                <w:sz w:val="17"/>
                <w:szCs w:val="17"/>
                <w:color w:val="auto"/>
              </w:rPr>
            </w:pPr>
          </w:p>
        </w:tc>
        <w:tc>
          <w:tcPr>
            <w:tcW w:w="660" w:type="dxa"/>
            <w:vAlign w:val="bottom"/>
            <w:gridSpan w:val="2"/>
            <w:shd w:val="clear" w:color="auto" w:fill="C0C0C0"/>
          </w:tcPr>
          <w:p>
            <w:pPr>
              <w:jc w:val="right"/>
              <w:ind w:right="120"/>
              <w:spacing w:after="0" w:line="196" w:lineRule="exact"/>
              <w:rPr>
                <w:sz w:val="20"/>
                <w:szCs w:val="20"/>
                <w:color w:val="auto"/>
              </w:rPr>
            </w:pPr>
            <w:r>
              <w:rPr>
                <w:rFonts w:ascii="Arial" w:cs="Arial" w:eastAsia="Arial" w:hAnsi="Arial"/>
                <w:sz w:val="18"/>
                <w:szCs w:val="18"/>
                <w:b w:val="1"/>
                <w:bCs w:val="1"/>
                <w:color w:val="auto"/>
              </w:rPr>
              <w:t>(248)</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140"/>
              <w:spacing w:after="0" w:line="196" w:lineRule="exact"/>
              <w:rPr>
                <w:sz w:val="20"/>
                <w:szCs w:val="20"/>
                <w:color w:val="auto"/>
              </w:rPr>
            </w:pPr>
            <w:r>
              <w:rPr>
                <w:rFonts w:ascii="Arial" w:cs="Arial" w:eastAsia="Arial" w:hAnsi="Arial"/>
                <w:sz w:val="18"/>
                <w:szCs w:val="18"/>
                <w:color w:val="auto"/>
              </w:rPr>
              <w:t>(212)</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60"/>
              <w:spacing w:after="0" w:line="196"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196"/>
        </w:trPr>
        <w:tc>
          <w:tcPr>
            <w:tcW w:w="5760" w:type="dxa"/>
            <w:vAlign w:val="bottom"/>
            <w:tcBorders>
              <w:top w:val="single" w:sz="8" w:color="C0C0C0"/>
            </w:tcBorders>
          </w:tcPr>
          <w:p>
            <w:pPr>
              <w:ind w:left="20"/>
              <w:spacing w:after="0" w:line="196" w:lineRule="exact"/>
              <w:rPr>
                <w:sz w:val="20"/>
                <w:szCs w:val="20"/>
                <w:color w:val="auto"/>
              </w:rPr>
            </w:pPr>
            <w:r>
              <w:rPr>
                <w:rFonts w:ascii="Arial" w:cs="Arial" w:eastAsia="Arial" w:hAnsi="Arial"/>
                <w:sz w:val="18"/>
                <w:szCs w:val="18"/>
                <w:b w:val="1"/>
                <w:bCs w:val="1"/>
                <w:color w:val="auto"/>
              </w:rPr>
              <w:t>From Financing Activities</w:t>
            </w:r>
          </w:p>
        </w:tc>
        <w:tc>
          <w:tcPr>
            <w:tcW w:w="2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80" w:type="dxa"/>
            <w:vAlign w:val="bottom"/>
            <w:tcBorders>
              <w:top w:val="single" w:sz="8" w:color="C0C0C0"/>
            </w:tcBorders>
          </w:tcPr>
          <w:p>
            <w:pPr>
              <w:spacing w:after="0"/>
              <w:rPr>
                <w:sz w:val="17"/>
                <w:szCs w:val="17"/>
                <w:color w:val="auto"/>
              </w:rPr>
            </w:pPr>
          </w:p>
        </w:tc>
        <w:tc>
          <w:tcPr>
            <w:tcW w:w="160" w:type="dxa"/>
            <w:vAlign w:val="bottom"/>
            <w:tcBorders>
              <w:top w:val="single" w:sz="8" w:color="C0C0C0"/>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00" w:type="dxa"/>
            <w:vAlign w:val="bottom"/>
            <w:tcBorders>
              <w:top w:val="single" w:sz="8" w:color="C0C0C0"/>
            </w:tcBorders>
          </w:tcPr>
          <w:p>
            <w:pPr>
              <w:spacing w:after="0"/>
              <w:rPr>
                <w:sz w:val="17"/>
                <w:szCs w:val="17"/>
                <w:color w:val="auto"/>
              </w:rPr>
            </w:pPr>
          </w:p>
        </w:tc>
        <w:tc>
          <w:tcPr>
            <w:tcW w:w="160" w:type="dxa"/>
            <w:vAlign w:val="bottom"/>
            <w:tcBorders>
              <w:top w:val="single" w:sz="8" w:color="C0C0C0"/>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Borders>
              <w:top w:val="single" w:sz="8" w:color="C0C0C0"/>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Reduction in long-term debt and obligations under capital leases</w:t>
            </w:r>
          </w:p>
        </w:tc>
        <w:tc>
          <w:tcPr>
            <w:tcW w:w="200" w:type="dxa"/>
            <w:vAlign w:val="bottom"/>
            <w:shd w:val="clear" w:color="auto" w:fill="C0C0C0"/>
          </w:tcPr>
          <w:p>
            <w:pPr>
              <w:spacing w:after="0"/>
              <w:rPr>
                <w:sz w:val="17"/>
                <w:szCs w:val="17"/>
                <w:color w:val="auto"/>
              </w:rPr>
            </w:pPr>
          </w:p>
        </w:tc>
        <w:tc>
          <w:tcPr>
            <w:tcW w:w="66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b w:val="1"/>
                <w:bCs w:val="1"/>
                <w:color w:val="auto"/>
              </w:rPr>
              <w:t>(1)</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140"/>
              <w:spacing w:after="0" w:line="202" w:lineRule="exact"/>
              <w:rPr>
                <w:sz w:val="20"/>
                <w:szCs w:val="20"/>
                <w:color w:val="auto"/>
              </w:rPr>
            </w:pPr>
            <w:r>
              <w:rPr>
                <w:rFonts w:ascii="Arial" w:cs="Arial" w:eastAsia="Arial" w:hAnsi="Arial"/>
                <w:sz w:val="18"/>
                <w:szCs w:val="18"/>
                <w:color w:val="auto"/>
              </w:rPr>
              <w:t>(2)</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Dividends paid on common stock</w:t>
            </w:r>
          </w:p>
        </w:tc>
        <w:tc>
          <w:tcPr>
            <w:tcW w:w="200" w:type="dxa"/>
            <w:vAlign w:val="bottom"/>
          </w:tcPr>
          <w:p>
            <w:pPr>
              <w:spacing w:after="0"/>
              <w:rPr>
                <w:sz w:val="17"/>
                <w:szCs w:val="17"/>
                <w:color w:val="auto"/>
              </w:rPr>
            </w:pP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(118)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3"/>
        </w:trPr>
        <w:tc>
          <w:tcPr>
            <w:tcW w:w="57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Issuance of common stock</w:t>
            </w:r>
          </w:p>
        </w:tc>
        <w:tc>
          <w:tcPr>
            <w:tcW w:w="200" w:type="dxa"/>
            <w:vAlign w:val="bottom"/>
            <w:shd w:val="clear" w:color="auto" w:fill="C0C0C0"/>
          </w:tcPr>
          <w:p>
            <w:pPr>
              <w:spacing w:after="0"/>
              <w:rPr>
                <w:sz w:val="17"/>
                <w:szCs w:val="17"/>
                <w:color w:val="auto"/>
              </w:rPr>
            </w:pPr>
          </w:p>
        </w:tc>
        <w:tc>
          <w:tcPr>
            <w:tcW w:w="660" w:type="dxa"/>
            <w:vAlign w:val="bottom"/>
            <w:gridSpan w:val="2"/>
            <w:shd w:val="clear" w:color="auto" w:fill="C0C0C0"/>
          </w:tcPr>
          <w:p>
            <w:pPr>
              <w:jc w:val="right"/>
              <w:ind w:right="180"/>
              <w:spacing w:after="0" w:line="202" w:lineRule="exact"/>
              <w:rPr>
                <w:sz w:val="20"/>
                <w:szCs w:val="20"/>
                <w:color w:val="auto"/>
              </w:rPr>
            </w:pPr>
            <w:r>
              <w:rPr>
                <w:rFonts w:ascii="Arial" w:cs="Arial" w:eastAsia="Arial" w:hAnsi="Arial"/>
                <w:sz w:val="18"/>
                <w:szCs w:val="18"/>
                <w:b w:val="1"/>
                <w:bCs w:val="1"/>
                <w:color w:val="auto"/>
              </w:rPr>
              <w:t>27</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200"/>
              <w:spacing w:after="0" w:line="202" w:lineRule="exact"/>
              <w:rPr>
                <w:sz w:val="20"/>
                <w:szCs w:val="20"/>
                <w:color w:val="auto"/>
              </w:rPr>
            </w:pPr>
            <w:r>
              <w:rPr>
                <w:rFonts w:ascii="Arial" w:cs="Arial" w:eastAsia="Arial" w:hAnsi="Arial"/>
                <w:sz w:val="18"/>
                <w:szCs w:val="18"/>
                <w:color w:val="auto"/>
              </w:rPr>
              <w:t>43</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22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Purchase of treasury shares</w:t>
            </w:r>
          </w:p>
        </w:tc>
        <w:tc>
          <w:tcPr>
            <w:tcW w:w="200" w:type="dxa"/>
            <w:vAlign w:val="bottom"/>
          </w:tcPr>
          <w:p>
            <w:pPr>
              <w:spacing w:after="0"/>
              <w:rPr>
                <w:sz w:val="17"/>
                <w:szCs w:val="17"/>
                <w:color w:val="auto"/>
              </w:rPr>
            </w:pP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(229)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3"/>
        </w:trPr>
        <w:tc>
          <w:tcPr>
            <w:tcW w:w="57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Treasury stock reissued under employee stock plan</w:t>
            </w:r>
          </w:p>
        </w:tc>
        <w:tc>
          <w:tcPr>
            <w:tcW w:w="200" w:type="dxa"/>
            <w:vAlign w:val="bottom"/>
            <w:shd w:val="clear" w:color="auto" w:fill="C0C0C0"/>
          </w:tcPr>
          <w:p>
            <w:pPr>
              <w:spacing w:after="0"/>
              <w:rPr>
                <w:sz w:val="17"/>
                <w:szCs w:val="17"/>
                <w:color w:val="auto"/>
              </w:rPr>
            </w:pPr>
          </w:p>
        </w:tc>
        <w:tc>
          <w:tcPr>
            <w:tcW w:w="660" w:type="dxa"/>
            <w:vAlign w:val="bottom"/>
            <w:gridSpan w:val="2"/>
            <w:shd w:val="clear" w:color="auto" w:fill="C0C0C0"/>
          </w:tcPr>
          <w:p>
            <w:pPr>
              <w:jc w:val="right"/>
              <w:ind w:right="180"/>
              <w:spacing w:after="0" w:line="202" w:lineRule="exact"/>
              <w:rPr>
                <w:sz w:val="20"/>
                <w:szCs w:val="20"/>
                <w:color w:val="auto"/>
              </w:rPr>
            </w:pPr>
            <w:r>
              <w:rPr>
                <w:rFonts w:ascii="Arial" w:cs="Arial" w:eastAsia="Arial" w:hAnsi="Arial"/>
                <w:sz w:val="18"/>
                <w:szCs w:val="18"/>
                <w:b w:val="1"/>
                <w:bCs w:val="1"/>
                <w:color w:val="auto"/>
              </w:rPr>
              <w:t>3</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200"/>
              <w:spacing w:after="0" w:line="202" w:lineRule="exact"/>
              <w:rPr>
                <w:sz w:val="20"/>
                <w:szCs w:val="20"/>
                <w:color w:val="auto"/>
              </w:rPr>
            </w:pPr>
            <w:r>
              <w:rPr>
                <w:rFonts w:ascii="Arial" w:cs="Arial" w:eastAsia="Arial" w:hAnsi="Arial"/>
                <w:sz w:val="18"/>
                <w:szCs w:val="18"/>
                <w:color w:val="auto"/>
              </w:rPr>
              <w:t>5</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22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Excess tax benefits on share-based compensation</w:t>
            </w:r>
          </w:p>
        </w:tc>
        <w:tc>
          <w:tcPr>
            <w:tcW w:w="200" w:type="dxa"/>
            <w:vAlign w:val="bottom"/>
          </w:tcPr>
          <w:p>
            <w:pPr>
              <w:spacing w:after="0"/>
              <w:rPr>
                <w:sz w:val="17"/>
                <w:szCs w:val="17"/>
                <w:color w:val="auto"/>
              </w:rPr>
            </w:pPr>
          </w:p>
        </w:tc>
        <w:tc>
          <w:tcPr>
            <w:tcW w:w="66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shd w:val="clear" w:color="auto" w:fill="C0C0C0"/>
          </w:tcPr>
          <w:p>
            <w:pPr>
              <w:ind w:left="20"/>
              <w:spacing w:after="0" w:line="196" w:lineRule="exact"/>
              <w:rPr>
                <w:sz w:val="20"/>
                <w:szCs w:val="20"/>
                <w:color w:val="auto"/>
              </w:rPr>
            </w:pPr>
            <w:r>
              <w:rPr>
                <w:rFonts w:ascii="Arial" w:cs="Arial" w:eastAsia="Arial" w:hAnsi="Arial"/>
                <w:sz w:val="18"/>
                <w:szCs w:val="18"/>
                <w:color w:val="auto"/>
              </w:rPr>
              <w:t>Net cash used in financing activities</w:t>
            </w:r>
          </w:p>
        </w:tc>
        <w:tc>
          <w:tcPr>
            <w:tcW w:w="200" w:type="dxa"/>
            <w:vAlign w:val="bottom"/>
            <w:shd w:val="clear" w:color="auto" w:fill="C0C0C0"/>
          </w:tcPr>
          <w:p>
            <w:pPr>
              <w:spacing w:after="0"/>
              <w:rPr>
                <w:sz w:val="17"/>
                <w:szCs w:val="17"/>
                <w:color w:val="auto"/>
              </w:rPr>
            </w:pPr>
          </w:p>
        </w:tc>
        <w:tc>
          <w:tcPr>
            <w:tcW w:w="660" w:type="dxa"/>
            <w:vAlign w:val="bottom"/>
            <w:gridSpan w:val="2"/>
            <w:shd w:val="clear" w:color="auto" w:fill="C0C0C0"/>
          </w:tcPr>
          <w:p>
            <w:pPr>
              <w:jc w:val="right"/>
              <w:ind w:right="120"/>
              <w:spacing w:after="0" w:line="196" w:lineRule="exact"/>
              <w:rPr>
                <w:sz w:val="20"/>
                <w:szCs w:val="20"/>
                <w:color w:val="auto"/>
              </w:rPr>
            </w:pPr>
            <w:r>
              <w:rPr>
                <w:rFonts w:ascii="Arial" w:cs="Arial" w:eastAsia="Arial" w:hAnsi="Arial"/>
                <w:sz w:val="18"/>
                <w:szCs w:val="18"/>
                <w:b w:val="1"/>
                <w:bCs w:val="1"/>
                <w:color w:val="auto"/>
              </w:rPr>
              <w:t>(309)</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140"/>
              <w:spacing w:after="0" w:line="196" w:lineRule="exact"/>
              <w:rPr>
                <w:sz w:val="20"/>
                <w:szCs w:val="20"/>
                <w:color w:val="auto"/>
              </w:rPr>
            </w:pPr>
            <w:r>
              <w:rPr>
                <w:rFonts w:ascii="Arial" w:cs="Arial" w:eastAsia="Arial" w:hAnsi="Arial"/>
                <w:sz w:val="18"/>
                <w:szCs w:val="18"/>
                <w:color w:val="auto"/>
              </w:rPr>
              <w:t>(181)</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60"/>
              <w:spacing w:after="0" w:line="196" w:lineRule="exact"/>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
        </w:trPr>
        <w:tc>
          <w:tcPr>
            <w:tcW w:w="57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760" w:type="dxa"/>
            <w:vAlign w:val="bottom"/>
          </w:tcPr>
          <w:p>
            <w:pPr>
              <w:ind w:left="20"/>
              <w:spacing w:after="0" w:line="173" w:lineRule="exact"/>
              <w:rPr>
                <w:sz w:val="20"/>
                <w:szCs w:val="20"/>
                <w:color w:val="auto"/>
              </w:rPr>
            </w:pPr>
            <w:r>
              <w:rPr>
                <w:rFonts w:ascii="Arial" w:cs="Arial" w:eastAsia="Arial" w:hAnsi="Arial"/>
                <w:sz w:val="18"/>
                <w:szCs w:val="18"/>
                <w:b w:val="1"/>
                <w:bCs w:val="1"/>
                <w:color w:val="auto"/>
              </w:rPr>
              <w:t>Effect of Exchange Rate Fluctuations on Cash and</w:t>
            </w:r>
          </w:p>
        </w:tc>
        <w:tc>
          <w:tcPr>
            <w:tcW w:w="200" w:type="dxa"/>
            <w:vAlign w:val="bottom"/>
          </w:tcPr>
          <w:p>
            <w:pPr>
              <w:spacing w:after="0"/>
              <w:rPr>
                <w:sz w:val="15"/>
                <w:szCs w:val="15"/>
                <w:color w:val="auto"/>
              </w:rPr>
            </w:pPr>
          </w:p>
        </w:tc>
        <w:tc>
          <w:tcPr>
            <w:tcW w:w="660" w:type="dxa"/>
            <w:vAlign w:val="bottom"/>
            <w:gridSpan w:val="2"/>
          </w:tcPr>
          <w:p>
            <w:pPr>
              <w:jc w:val="right"/>
              <w:ind w:right="180"/>
              <w:spacing w:after="0" w:line="173" w:lineRule="exact"/>
              <w:rPr>
                <w:sz w:val="20"/>
                <w:szCs w:val="20"/>
                <w:color w:val="auto"/>
              </w:rPr>
            </w:pPr>
            <w:r>
              <w:rPr>
                <w:rFonts w:ascii="Arial" w:cs="Arial" w:eastAsia="Arial" w:hAnsi="Arial"/>
                <w:sz w:val="18"/>
                <w:szCs w:val="18"/>
                <w:b w:val="1"/>
                <w:bCs w:val="1"/>
                <w:color w:val="auto"/>
              </w:rPr>
              <w:t>5</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jc w:val="right"/>
              <w:ind w:right="200"/>
              <w:spacing w:after="0" w:line="173" w:lineRule="exact"/>
              <w:rPr>
                <w:sz w:val="20"/>
                <w:szCs w:val="20"/>
                <w:color w:val="auto"/>
              </w:rPr>
            </w:pPr>
            <w:r>
              <w:rPr>
                <w:rFonts w:ascii="Arial" w:cs="Arial" w:eastAsia="Arial" w:hAnsi="Arial"/>
                <w:sz w:val="18"/>
                <w:szCs w:val="18"/>
                <w:color w:val="auto"/>
              </w:rPr>
              <w:t>6</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160"/>
              <w:spacing w:after="0" w:line="173"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5"/>
        </w:trPr>
        <w:tc>
          <w:tcPr>
            <w:tcW w:w="5760" w:type="dxa"/>
            <w:vAlign w:val="bottom"/>
          </w:tcPr>
          <w:p>
            <w:pPr>
              <w:ind w:left="200"/>
              <w:spacing w:after="0"/>
              <w:rPr>
                <w:sz w:val="20"/>
                <w:szCs w:val="20"/>
                <w:color w:val="auto"/>
              </w:rPr>
            </w:pPr>
            <w:r>
              <w:rPr>
                <w:rFonts w:ascii="Arial" w:cs="Arial" w:eastAsia="Arial" w:hAnsi="Arial"/>
                <w:sz w:val="18"/>
                <w:szCs w:val="18"/>
                <w:b w:val="1"/>
                <w:bCs w:val="1"/>
                <w:color w:val="auto"/>
              </w:rPr>
              <w:t>Cash Equivalents</w:t>
            </w: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760" w:type="dxa"/>
            <w:vAlign w:val="bottom"/>
            <w:shd w:val="clear" w:color="auto" w:fill="C0C0C0"/>
          </w:tcPr>
          <w:p>
            <w:pPr>
              <w:ind w:left="20"/>
              <w:spacing w:after="0" w:line="196" w:lineRule="exact"/>
              <w:rPr>
                <w:sz w:val="20"/>
                <w:szCs w:val="20"/>
                <w:color w:val="auto"/>
              </w:rPr>
            </w:pPr>
            <w:r>
              <w:rPr>
                <w:rFonts w:ascii="Arial" w:cs="Arial" w:eastAsia="Arial" w:hAnsi="Arial"/>
                <w:sz w:val="18"/>
                <w:szCs w:val="18"/>
                <w:b w:val="1"/>
                <w:bCs w:val="1"/>
                <w:color w:val="auto"/>
              </w:rPr>
              <w:t>Net Change in Cash and Cash Equivalents</w:t>
            </w:r>
          </w:p>
        </w:tc>
        <w:tc>
          <w:tcPr>
            <w:tcW w:w="200" w:type="dxa"/>
            <w:vAlign w:val="bottom"/>
            <w:shd w:val="clear" w:color="auto" w:fill="C0C0C0"/>
          </w:tcPr>
          <w:p>
            <w:pPr>
              <w:spacing w:after="0"/>
              <w:rPr>
                <w:sz w:val="17"/>
                <w:szCs w:val="17"/>
                <w:color w:val="auto"/>
              </w:rPr>
            </w:pPr>
          </w:p>
        </w:tc>
        <w:tc>
          <w:tcPr>
            <w:tcW w:w="660" w:type="dxa"/>
            <w:vAlign w:val="bottom"/>
            <w:gridSpan w:val="2"/>
            <w:shd w:val="clear" w:color="auto" w:fill="C0C0C0"/>
          </w:tcPr>
          <w:p>
            <w:pPr>
              <w:jc w:val="right"/>
              <w:ind w:right="120"/>
              <w:spacing w:after="0" w:line="196" w:lineRule="exact"/>
              <w:rPr>
                <w:sz w:val="20"/>
                <w:szCs w:val="20"/>
                <w:color w:val="auto"/>
              </w:rPr>
            </w:pPr>
            <w:r>
              <w:rPr>
                <w:rFonts w:ascii="Arial" w:cs="Arial" w:eastAsia="Arial" w:hAnsi="Arial"/>
                <w:sz w:val="18"/>
                <w:szCs w:val="18"/>
                <w:b w:val="1"/>
                <w:bCs w:val="1"/>
                <w:color w:val="auto"/>
              </w:rPr>
              <w:t>(22)</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200"/>
              <w:spacing w:after="0" w:line="196" w:lineRule="exact"/>
              <w:rPr>
                <w:sz w:val="20"/>
                <w:szCs w:val="20"/>
                <w:color w:val="auto"/>
              </w:rPr>
            </w:pPr>
            <w:r>
              <w:rPr>
                <w:rFonts w:ascii="Arial" w:cs="Arial" w:eastAsia="Arial" w:hAnsi="Arial"/>
                <w:sz w:val="18"/>
                <w:szCs w:val="18"/>
                <w:color w:val="auto"/>
              </w:rPr>
              <w:t>29</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220"/>
              <w:spacing w:after="0" w:line="196" w:lineRule="exact"/>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Cash and Cash Equivalents at Beginning of Year</w:t>
            </w:r>
          </w:p>
        </w:tc>
        <w:tc>
          <w:tcPr>
            <w:tcW w:w="200" w:type="dxa"/>
            <w:vAlign w:val="bottom"/>
          </w:tcPr>
          <w:p>
            <w:pPr>
              <w:spacing w:after="0"/>
              <w:rPr>
                <w:sz w:val="17"/>
                <w:szCs w:val="17"/>
                <w:color w:val="auto"/>
              </w:rPr>
            </w:pPr>
          </w:p>
        </w:tc>
        <w:tc>
          <w:tcPr>
            <w:tcW w:w="66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880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851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60" w:type="dxa"/>
            <w:vAlign w:val="bottom"/>
            <w:shd w:val="clear" w:color="auto" w:fill="C0C0C0"/>
          </w:tcPr>
          <w:p>
            <w:pPr>
              <w:ind w:left="20"/>
              <w:spacing w:after="0" w:line="196" w:lineRule="exact"/>
              <w:rPr>
                <w:sz w:val="20"/>
                <w:szCs w:val="20"/>
                <w:color w:val="auto"/>
              </w:rPr>
            </w:pPr>
            <w:r>
              <w:rPr>
                <w:rFonts w:ascii="Arial" w:cs="Arial" w:eastAsia="Arial" w:hAnsi="Arial"/>
                <w:sz w:val="18"/>
                <w:szCs w:val="18"/>
                <w:b w:val="1"/>
                <w:bCs w:val="1"/>
                <w:color w:val="auto"/>
              </w:rPr>
              <w:t>Cash and Cash Equivalents at End of Year</w:t>
            </w:r>
          </w:p>
        </w:tc>
        <w:tc>
          <w:tcPr>
            <w:tcW w:w="200" w:type="dxa"/>
            <w:vAlign w:val="bottom"/>
            <w:shd w:val="clear" w:color="auto" w:fill="C0C0C0"/>
          </w:tcPr>
          <w:p>
            <w:pPr>
              <w:jc w:val="right"/>
              <w:ind w:right="10"/>
              <w:spacing w:after="0" w:line="196" w:lineRule="exact"/>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C0C0C0"/>
          </w:tcPr>
          <w:p>
            <w:pPr>
              <w:jc w:val="right"/>
              <w:ind w:right="180"/>
              <w:spacing w:after="0" w:line="196" w:lineRule="exact"/>
              <w:rPr>
                <w:sz w:val="20"/>
                <w:szCs w:val="20"/>
                <w:color w:val="auto"/>
              </w:rPr>
            </w:pPr>
            <w:r>
              <w:rPr>
                <w:rFonts w:ascii="Arial" w:cs="Arial" w:eastAsia="Arial" w:hAnsi="Arial"/>
                <w:sz w:val="18"/>
                <w:szCs w:val="18"/>
                <w:b w:val="1"/>
                <w:bCs w:val="1"/>
                <w:color w:val="auto"/>
              </w:rPr>
              <w:t>858</w:t>
            </w:r>
          </w:p>
        </w:tc>
        <w:tc>
          <w:tcPr>
            <w:tcW w:w="360" w:type="dxa"/>
            <w:vAlign w:val="bottom"/>
            <w:gridSpan w:val="2"/>
            <w:shd w:val="clear" w:color="auto" w:fill="C0C0C0"/>
          </w:tcPr>
          <w:p>
            <w:pPr>
              <w:jc w:val="right"/>
              <w:ind w:right="8"/>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0C0C0"/>
          </w:tcPr>
          <w:p>
            <w:pPr>
              <w:jc w:val="right"/>
              <w:ind w:right="200"/>
              <w:spacing w:after="0" w:line="196" w:lineRule="exact"/>
              <w:rPr>
                <w:sz w:val="20"/>
                <w:szCs w:val="20"/>
                <w:color w:val="auto"/>
              </w:rPr>
            </w:pPr>
            <w:r>
              <w:rPr>
                <w:rFonts w:ascii="Arial" w:cs="Arial" w:eastAsia="Arial" w:hAnsi="Arial"/>
                <w:sz w:val="18"/>
                <w:szCs w:val="18"/>
                <w:color w:val="auto"/>
              </w:rPr>
              <w:t>880</w:t>
            </w:r>
          </w:p>
        </w:tc>
        <w:tc>
          <w:tcPr>
            <w:tcW w:w="160" w:type="dxa"/>
            <w:vAlign w:val="bottom"/>
            <w:shd w:val="clear" w:color="auto" w:fill="C0C0C0"/>
          </w:tcPr>
          <w:p>
            <w:pPr>
              <w:spacing w:after="0"/>
              <w:rPr>
                <w:sz w:val="20"/>
                <w:szCs w:val="20"/>
                <w:color w:val="auto"/>
              </w:rPr>
            </w:pPr>
          </w:p>
        </w:tc>
        <w:tc>
          <w:tcPr>
            <w:tcW w:w="200" w:type="dxa"/>
            <w:vAlign w:val="bottom"/>
            <w:shd w:val="clear" w:color="auto" w:fill="C0C0C0"/>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0C0C0"/>
          </w:tcPr>
          <w:p>
            <w:pPr>
              <w:jc w:val="right"/>
              <w:ind w:right="220"/>
              <w:spacing w:after="0" w:line="196" w:lineRule="exact"/>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196"/>
        </w:trPr>
        <w:tc>
          <w:tcPr>
            <w:tcW w:w="5760" w:type="dxa"/>
            <w:vAlign w:val="bottom"/>
            <w:tcBorders>
              <w:top w:val="single" w:sz="8" w:color="C0C0C0"/>
            </w:tcBorders>
          </w:tcPr>
          <w:p>
            <w:pPr>
              <w:ind w:left="20"/>
              <w:spacing w:after="0" w:line="196" w:lineRule="exact"/>
              <w:rPr>
                <w:sz w:val="20"/>
                <w:szCs w:val="20"/>
                <w:color w:val="auto"/>
              </w:rPr>
            </w:pPr>
            <w:r>
              <w:rPr>
                <w:rFonts w:ascii="Arial" w:cs="Arial" w:eastAsia="Arial" w:hAnsi="Arial"/>
                <w:sz w:val="18"/>
                <w:szCs w:val="18"/>
                <w:b w:val="1"/>
                <w:bCs w:val="1"/>
                <w:color w:val="auto"/>
              </w:rPr>
              <w:t>Cash Paid During the Year:</w:t>
            </w:r>
          </w:p>
        </w:tc>
        <w:tc>
          <w:tcPr>
            <w:tcW w:w="2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80" w:type="dxa"/>
            <w:vAlign w:val="bottom"/>
            <w:tcBorders>
              <w:top w:val="single" w:sz="8" w:color="C0C0C0"/>
            </w:tcBorders>
          </w:tcPr>
          <w:p>
            <w:pPr>
              <w:spacing w:after="0"/>
              <w:rPr>
                <w:sz w:val="17"/>
                <w:szCs w:val="17"/>
                <w:color w:val="auto"/>
              </w:rPr>
            </w:pPr>
          </w:p>
        </w:tc>
        <w:tc>
          <w:tcPr>
            <w:tcW w:w="160" w:type="dxa"/>
            <w:vAlign w:val="bottom"/>
            <w:tcBorders>
              <w:top w:val="single" w:sz="8" w:color="C0C0C0"/>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00" w:type="dxa"/>
            <w:vAlign w:val="bottom"/>
            <w:tcBorders>
              <w:top w:val="single" w:sz="8" w:color="C0C0C0"/>
            </w:tcBorders>
          </w:tcPr>
          <w:p>
            <w:pPr>
              <w:spacing w:after="0"/>
              <w:rPr>
                <w:sz w:val="17"/>
                <w:szCs w:val="17"/>
                <w:color w:val="auto"/>
              </w:rPr>
            </w:pPr>
          </w:p>
        </w:tc>
        <w:tc>
          <w:tcPr>
            <w:tcW w:w="160" w:type="dxa"/>
            <w:vAlign w:val="bottom"/>
            <w:tcBorders>
              <w:top w:val="single" w:sz="8" w:color="C0C0C0"/>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Borders>
              <w:top w:val="single" w:sz="8" w:color="C0C0C0"/>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0C0C0"/>
          </w:tcPr>
          <w:p>
            <w:pPr>
              <w:ind w:left="200"/>
              <w:spacing w:after="0" w:line="202" w:lineRule="exact"/>
              <w:rPr>
                <w:sz w:val="20"/>
                <w:szCs w:val="20"/>
                <w:color w:val="auto"/>
              </w:rPr>
            </w:pPr>
            <w:r>
              <w:rPr>
                <w:rFonts w:ascii="Arial" w:cs="Arial" w:eastAsia="Arial" w:hAnsi="Arial"/>
                <w:sz w:val="18"/>
                <w:szCs w:val="18"/>
                <w:color w:val="auto"/>
              </w:rPr>
              <w:t>Interest</w:t>
            </w:r>
          </w:p>
        </w:tc>
        <w:tc>
          <w:tcPr>
            <w:tcW w:w="20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C0C0C0"/>
          </w:tcPr>
          <w:p>
            <w:pPr>
              <w:jc w:val="right"/>
              <w:ind w:right="180"/>
              <w:spacing w:after="0" w:line="202" w:lineRule="exact"/>
              <w:rPr>
                <w:sz w:val="20"/>
                <w:szCs w:val="20"/>
                <w:color w:val="auto"/>
              </w:rPr>
            </w:pPr>
            <w:r>
              <w:rPr>
                <w:rFonts w:ascii="Arial" w:cs="Arial" w:eastAsia="Arial" w:hAnsi="Arial"/>
                <w:sz w:val="18"/>
                <w:szCs w:val="18"/>
                <w:b w:val="1"/>
                <w:bCs w:val="1"/>
                <w:color w:val="auto"/>
              </w:rPr>
              <w:t>11</w:t>
            </w:r>
          </w:p>
        </w:tc>
        <w:tc>
          <w:tcPr>
            <w:tcW w:w="360" w:type="dxa"/>
            <w:vAlign w:val="bottom"/>
            <w:gridSpan w:val="2"/>
            <w:shd w:val="clear" w:color="auto" w:fill="C0C0C0"/>
          </w:tcPr>
          <w:p>
            <w:pPr>
              <w:jc w:val="right"/>
              <w:ind w:right="8"/>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0C0C0"/>
          </w:tcPr>
          <w:p>
            <w:pPr>
              <w:jc w:val="right"/>
              <w:ind w:right="200"/>
              <w:spacing w:after="0" w:line="202" w:lineRule="exact"/>
              <w:rPr>
                <w:sz w:val="20"/>
                <w:szCs w:val="20"/>
                <w:color w:val="auto"/>
              </w:rPr>
            </w:pPr>
            <w:r>
              <w:rPr>
                <w:rFonts w:ascii="Arial" w:cs="Arial" w:eastAsia="Arial" w:hAnsi="Arial"/>
                <w:sz w:val="18"/>
                <w:szCs w:val="18"/>
                <w:color w:val="auto"/>
              </w:rPr>
              <w:t>11</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0C0C0"/>
          </w:tcPr>
          <w:p>
            <w:pPr>
              <w:jc w:val="right"/>
              <w:ind w:right="22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9"/>
        </w:trPr>
        <w:tc>
          <w:tcPr>
            <w:tcW w:w="5760" w:type="dxa"/>
            <w:vAlign w:val="bottom"/>
          </w:tcPr>
          <w:p>
            <w:pPr>
              <w:ind w:left="200"/>
              <w:spacing w:after="0"/>
              <w:rPr>
                <w:sz w:val="20"/>
                <w:szCs w:val="20"/>
                <w:color w:val="auto"/>
              </w:rPr>
            </w:pPr>
            <w:r>
              <w:rPr>
                <w:rFonts w:ascii="Arial" w:cs="Arial" w:eastAsia="Arial" w:hAnsi="Arial"/>
                <w:sz w:val="18"/>
                <w:szCs w:val="18"/>
                <w:color w:val="auto"/>
              </w:rPr>
              <w:t>Income taxes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175</w:t>
            </w:r>
          </w:p>
        </w:tc>
        <w:tc>
          <w:tcPr>
            <w:tcW w:w="3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230</w:t>
            </w:r>
          </w:p>
        </w:tc>
        <w:tc>
          <w:tcPr>
            <w:tcW w:w="1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-3204210</wp:posOffset>
            </wp:positionV>
            <wp:extent cx="5565775"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6577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-2157730</wp:posOffset>
            </wp:positionV>
            <wp:extent cx="5565775"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6577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-1111885</wp:posOffset>
            </wp:positionV>
            <wp:extent cx="5565775" cy="2743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65775" cy="2743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-442595</wp:posOffset>
            </wp:positionV>
            <wp:extent cx="5565775" cy="1631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565775" cy="16319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96520</wp:posOffset>
            </wp:positionV>
            <wp:extent cx="6114415" cy="596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Foot Locker, Inc.</w:t>
      </w:r>
    </w:p>
    <w:p>
      <w:pPr>
        <w:jc w:val="center"/>
        <w:ind w:right="5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3" w:lineRule="exact"/>
        <w:rPr>
          <w:sz w:val="20"/>
          <w:szCs w:val="20"/>
          <w:color w:val="auto"/>
        </w:rPr>
      </w:pPr>
    </w:p>
    <w:p>
      <w:pPr>
        <w:ind w:left="40" w:right="5999" w:firstLine="8"/>
        <w:spacing w:after="0" w:line="388" w:lineRule="auto"/>
        <w:tabs>
          <w:tab w:leader="none" w:pos="29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Basis of Presentation</w:t>
      </w:r>
    </w:p>
    <w:p>
      <w:pPr>
        <w:spacing w:after="0" w:line="1"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The consolidated financial statements include the accounts of Foot Locker, Inc. and its domestic and international subsidiaries (the “Company”), all of which are wholly owned. All significant intercompany amounts have been eliminated. The preparation of financial statements in conformity with U.S. generally accepted accounting principles (“GAAP”) requires management to make estimates and assumptions relating to the reporting of assets and liabilities and the disclosure of contingent liabilities at the date of the financial statements, and the reported amounts of revenues and expenses during the reporting period. Actual results may differ from those estimates.</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Reporting Year</w:t>
      </w:r>
    </w:p>
    <w:p>
      <w:pPr>
        <w:spacing w:after="0" w:line="135"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The fiscal year end for the Company is the Saturday closest to the last day in January. Fiscal year 2013 represents the 52 weeks ending February 1, 2014. Fiscal years 2012 and 2011 represent the 53 week period ending February 2, 2013, and the 52 week period ending January 28, 2012, respectively. References to years in this annual report relate to fiscal years rather than calendar years.</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Revenue Recognition</w:t>
      </w:r>
    </w:p>
    <w:p>
      <w:pPr>
        <w:spacing w:after="0" w:line="135"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Revenue from retail stores is recognized at the point of sale when the product is delivered to customers. Internet and catalog sales revenue is recognized upon estimated receipt by the customer. Sales include shipping and handling fees for all periods presented. Sales include merchandise, net of returns, and exclude taxes. The Company provides for estimated returns based on return history and sales levels. Revenue from layaway sales is recognized when the customer receives the product, rather than when the initial deposit is paid.</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Gift Cards</w:t>
      </w:r>
    </w:p>
    <w:p>
      <w:pPr>
        <w:spacing w:after="0" w:line="135"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The Company sells gift cards to its customers, which do not have expiration dates. Revenue from gift card sales is recorded when the gift cards are redeemed or when the likelihood of the gift card being redeemed by the customer is remote and there is no legal obligation to remit the value of unredeemed gift cards to the relevant jurisdictions, referred to as breakage. The Company has determined its gift card breakage rate based upon historical redemption patterns. Historical experience indicates that after 12 months the likelihood of redemption is deemed to be remote. Gift card breakage income is included in selling, general and administrative expenses and totaled $4 million, $3 million, and $4 million in 2013, 2012, and 2011, respectively. Unredeemed gift cards are recorded as a current liability.</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Store Pre-Opening and Closing Costs</w:t>
      </w:r>
    </w:p>
    <w:p>
      <w:pPr>
        <w:spacing w:after="0" w:line="135" w:lineRule="exact"/>
        <w:rPr>
          <w:sz w:val="20"/>
          <w:szCs w:val="20"/>
          <w:color w:val="auto"/>
        </w:rPr>
      </w:pPr>
    </w:p>
    <w:p>
      <w:pPr>
        <w:jc w:val="both"/>
        <w:ind w:left="40" w:right="519"/>
        <w:spacing w:after="0" w:line="256" w:lineRule="auto"/>
        <w:rPr>
          <w:sz w:val="20"/>
          <w:szCs w:val="20"/>
          <w:color w:val="auto"/>
        </w:rPr>
      </w:pPr>
      <w:r>
        <w:rPr>
          <w:rFonts w:ascii="Arial" w:cs="Arial" w:eastAsia="Arial" w:hAnsi="Arial"/>
          <w:sz w:val="18"/>
          <w:szCs w:val="18"/>
          <w:color w:val="auto"/>
        </w:rPr>
        <w:t>Store pre-opening costs are charged to expense as incurred. In the event a store is closed before its lease has expired, the estimated post-closing lease exit costs, less any sublease rental income, is provided for once the store ceases to be used.</w:t>
      </w:r>
    </w:p>
    <w:p>
      <w:pPr>
        <w:spacing w:after="0" w:line="7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Advertising Costs and Sales Promotion</w:t>
      </w:r>
    </w:p>
    <w:p>
      <w:pPr>
        <w:spacing w:after="0" w:line="135"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Advertising and sales promotion costs are expensed at the time the advertising or promotion takes place, net of reimbursements for cooperative advertising. Advertising expenses also include advertising costs as required by some of the Company’s mall-based leases. Cooperative advertising reimbursements earned for the launch and promotion of certain products agreed upon with vendors are recorded in the same period as the associated expenses are incurred.</w:t>
      </w:r>
    </w:p>
    <w:p>
      <w:pPr>
        <w:spacing w:after="0" w:line="96" w:lineRule="exact"/>
        <w:rPr>
          <w:sz w:val="20"/>
          <w:szCs w:val="20"/>
          <w:color w:val="auto"/>
        </w:rPr>
      </w:pPr>
    </w:p>
    <w:p>
      <w:pPr>
        <w:jc w:val="both"/>
        <w:ind w:left="40" w:right="519"/>
        <w:spacing w:after="0" w:line="256" w:lineRule="auto"/>
        <w:rPr>
          <w:sz w:val="20"/>
          <w:szCs w:val="20"/>
          <w:color w:val="auto"/>
        </w:rPr>
      </w:pPr>
      <w:r>
        <w:rPr>
          <w:rFonts w:ascii="Arial" w:cs="Arial" w:eastAsia="Arial" w:hAnsi="Arial"/>
          <w:sz w:val="18"/>
          <w:szCs w:val="18"/>
          <w:color w:val="auto"/>
        </w:rPr>
        <w:t>Reimbursement received in excess of expenses incurred related to specific, incremental, and identifiable advertising costs, is accounted for as a reduction to the cost of merchandise, which is reflected in cost of sales as the merchandise is sold.</w:t>
      </w:r>
    </w:p>
    <w:p>
      <w:pPr>
        <w:spacing w:after="0" w:line="200" w:lineRule="exact"/>
        <w:rPr>
          <w:sz w:val="20"/>
          <w:szCs w:val="20"/>
          <w:color w:val="auto"/>
        </w:rPr>
      </w:pPr>
    </w:p>
    <w:p>
      <w:pPr>
        <w:spacing w:after="0" w:line="35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96520</wp:posOffset>
            </wp:positionV>
            <wp:extent cx="6114415" cy="596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41" w:name="page42"/>
    <w:bookmarkEnd w:id="4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Summary of Significant Accounting Policies – (continued)</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Advertising costs, which are included as a component of selling, general and administrative expenses,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5657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57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760" w:type="dxa"/>
            <w:vAlign w:val="bottom"/>
          </w:tcPr>
          <w:p>
            <w:pPr>
              <w:spacing w:after="0"/>
              <w:rPr>
                <w:sz w:val="16"/>
                <w:szCs w:val="16"/>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4"/>
          </w:tcPr>
          <w:p>
            <w:pPr>
              <w:ind w:left="8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3" w:lineRule="exact"/>
              <w:rPr>
                <w:sz w:val="20"/>
                <w:szCs w:val="20"/>
                <w:color w:val="auto"/>
              </w:rPr>
            </w:pPr>
            <w:r>
              <w:rPr>
                <w:rFonts w:ascii="Arial" w:cs="Arial" w:eastAsia="Arial" w:hAnsi="Arial"/>
                <w:sz w:val="18"/>
                <w:szCs w:val="18"/>
                <w:color w:val="auto"/>
              </w:rPr>
              <w:t>Advertising expenses</w:t>
            </w:r>
          </w:p>
        </w:tc>
        <w:tc>
          <w:tcPr>
            <w:tcW w:w="20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132</w:t>
            </w:r>
          </w:p>
        </w:tc>
        <w:tc>
          <w:tcPr>
            <w:tcW w:w="160" w:type="dxa"/>
            <w:vAlign w:val="bottom"/>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3"/>
        </w:trPr>
        <w:tc>
          <w:tcPr>
            <w:tcW w:w="57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Cooperative advertising reimbursements</w:t>
            </w:r>
          </w:p>
        </w:tc>
        <w:tc>
          <w:tcPr>
            <w:tcW w:w="200" w:type="dxa"/>
            <w:vAlign w:val="bottom"/>
            <w:shd w:val="clear" w:color="auto" w:fill="C0C0C0"/>
          </w:tcPr>
          <w:p>
            <w:pPr>
              <w:spacing w:after="0"/>
              <w:rPr>
                <w:sz w:val="17"/>
                <w:szCs w:val="17"/>
                <w:color w:val="auto"/>
              </w:rPr>
            </w:pPr>
          </w:p>
        </w:tc>
        <w:tc>
          <w:tcPr>
            <w:tcW w:w="660" w:type="dxa"/>
            <w:vAlign w:val="bottom"/>
            <w:gridSpan w:val="2"/>
            <w:shd w:val="clear" w:color="auto" w:fill="C0C0C0"/>
          </w:tcPr>
          <w:p>
            <w:pPr>
              <w:jc w:val="right"/>
              <w:ind w:right="140"/>
              <w:spacing w:after="0" w:line="202" w:lineRule="exact"/>
              <w:rPr>
                <w:sz w:val="20"/>
                <w:szCs w:val="20"/>
                <w:color w:val="auto"/>
              </w:rPr>
            </w:pPr>
            <w:r>
              <w:rPr>
                <w:rFonts w:ascii="Arial" w:cs="Arial" w:eastAsia="Arial" w:hAnsi="Arial"/>
                <w:sz w:val="18"/>
                <w:szCs w:val="18"/>
                <w:b w:val="1"/>
                <w:bCs w:val="1"/>
                <w:color w:val="auto"/>
              </w:rPr>
              <w:t>(22)</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160"/>
              <w:spacing w:after="0" w:line="202" w:lineRule="exact"/>
              <w:rPr>
                <w:sz w:val="20"/>
                <w:szCs w:val="20"/>
                <w:color w:val="auto"/>
              </w:rPr>
            </w:pPr>
            <w:r>
              <w:rPr>
                <w:rFonts w:ascii="Arial" w:cs="Arial" w:eastAsia="Arial" w:hAnsi="Arial"/>
                <w:sz w:val="18"/>
                <w:szCs w:val="18"/>
                <w:color w:val="auto"/>
              </w:rPr>
              <w:t>(25)</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8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7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tcPr>
          <w:p>
            <w:pPr>
              <w:ind w:left="20"/>
              <w:spacing w:after="0" w:line="196" w:lineRule="exact"/>
              <w:rPr>
                <w:sz w:val="20"/>
                <w:szCs w:val="20"/>
                <w:color w:val="auto"/>
              </w:rPr>
            </w:pPr>
            <w:r>
              <w:rPr>
                <w:rFonts w:ascii="Arial" w:cs="Arial" w:eastAsia="Arial" w:hAnsi="Arial"/>
                <w:sz w:val="18"/>
                <w:szCs w:val="18"/>
                <w:color w:val="auto"/>
              </w:rPr>
              <w:t>Net advertising expense</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102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107</w:t>
            </w:r>
          </w:p>
        </w:tc>
        <w:tc>
          <w:tcPr>
            <w:tcW w:w="16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-170815</wp:posOffset>
            </wp:positionV>
            <wp:extent cx="5565775"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565775" cy="171450"/>
                    </a:xfrm>
                    <a:prstGeom prst="rect">
                      <a:avLst/>
                    </a:prstGeom>
                    <a:noFill/>
                  </pic:spPr>
                </pic:pic>
              </a:graphicData>
            </a:graphic>
          </wp:anchor>
        </w:drawing>
      </w:r>
    </w:p>
    <w:p>
      <w:pPr>
        <w:spacing w:after="0" w:line="6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Catalog Costs</w:t>
      </w:r>
    </w:p>
    <w:p>
      <w:pPr>
        <w:spacing w:after="0" w:line="135" w:lineRule="exact"/>
        <w:rPr>
          <w:sz w:val="20"/>
          <w:szCs w:val="20"/>
          <w:color w:val="auto"/>
        </w:rPr>
      </w:pPr>
    </w:p>
    <w:p>
      <w:pPr>
        <w:jc w:val="both"/>
        <w:ind w:left="60" w:right="519"/>
        <w:spacing w:after="0" w:line="253" w:lineRule="auto"/>
        <w:rPr>
          <w:sz w:val="20"/>
          <w:szCs w:val="20"/>
          <w:color w:val="auto"/>
        </w:rPr>
      </w:pPr>
      <w:r>
        <w:rPr>
          <w:rFonts w:ascii="Arial" w:cs="Arial" w:eastAsia="Arial" w:hAnsi="Arial"/>
          <w:sz w:val="18"/>
          <w:szCs w:val="18"/>
          <w:color w:val="auto"/>
        </w:rPr>
        <w:t>Catalog costs, which primarily comprise paper, printing, and postage, are capitalized and amortized over the expected customer response period related to each catalog, which is generally 90 days. Cooperative reimbursements earned for the promotion of certain products are agreed upon with vendors and are recorded in the same period as the associated catalog expenses are amortized. Prepaid catalog costs totaled $3 million and $4 million at February 1, 2014 and February 2, 2013, respectively.</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Catalog costs, which are included as a component of selling, general and administrative expenses,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56577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57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5"/>
        </w:trPr>
        <w:tc>
          <w:tcPr>
            <w:tcW w:w="5760" w:type="dxa"/>
            <w:vAlign w:val="bottom"/>
          </w:tcPr>
          <w:p>
            <w:pPr>
              <w:spacing w:after="0"/>
              <w:rPr>
                <w:sz w:val="16"/>
                <w:szCs w:val="16"/>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3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36</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4"/>
          </w:tcPr>
          <w:p>
            <w:pPr>
              <w:ind w:left="8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3" w:lineRule="exact"/>
              <w:rPr>
                <w:sz w:val="20"/>
                <w:szCs w:val="20"/>
                <w:color w:val="auto"/>
              </w:rPr>
            </w:pPr>
            <w:r>
              <w:rPr>
                <w:rFonts w:ascii="Arial" w:cs="Arial" w:eastAsia="Arial" w:hAnsi="Arial"/>
                <w:sz w:val="18"/>
                <w:szCs w:val="18"/>
                <w:color w:val="auto"/>
              </w:rPr>
              <w:t>Catalog costs</w:t>
            </w:r>
          </w:p>
        </w:tc>
        <w:tc>
          <w:tcPr>
            <w:tcW w:w="20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45</w:t>
            </w:r>
          </w:p>
        </w:tc>
        <w:tc>
          <w:tcPr>
            <w:tcW w:w="160" w:type="dxa"/>
            <w:vAlign w:val="bottom"/>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3"/>
        </w:trPr>
        <w:tc>
          <w:tcPr>
            <w:tcW w:w="57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Cooperative reimbursements</w:t>
            </w:r>
          </w:p>
        </w:tc>
        <w:tc>
          <w:tcPr>
            <w:tcW w:w="200" w:type="dxa"/>
            <w:vAlign w:val="bottom"/>
            <w:shd w:val="clear" w:color="auto" w:fill="C0C0C0"/>
          </w:tcPr>
          <w:p>
            <w:pPr>
              <w:spacing w:after="0"/>
              <w:rPr>
                <w:sz w:val="17"/>
                <w:szCs w:val="17"/>
                <w:color w:val="auto"/>
              </w:rPr>
            </w:pPr>
          </w:p>
        </w:tc>
        <w:tc>
          <w:tcPr>
            <w:tcW w:w="660" w:type="dxa"/>
            <w:vAlign w:val="bottom"/>
            <w:gridSpan w:val="2"/>
            <w:shd w:val="clear" w:color="auto" w:fill="C0C0C0"/>
          </w:tcPr>
          <w:p>
            <w:pPr>
              <w:jc w:val="right"/>
              <w:ind w:right="220"/>
              <w:spacing w:after="0" w:line="202" w:lineRule="exact"/>
              <w:rPr>
                <w:sz w:val="20"/>
                <w:szCs w:val="20"/>
                <w:color w:val="auto"/>
              </w:rPr>
            </w:pPr>
            <w:r>
              <w:rPr>
                <w:rFonts w:ascii="Arial" w:cs="Arial" w:eastAsia="Arial" w:hAnsi="Arial"/>
                <w:sz w:val="18"/>
                <w:szCs w:val="18"/>
                <w:b w:val="1"/>
                <w:bCs w:val="1"/>
                <w:color w:val="auto"/>
              </w:rPr>
              <w:t>(5)</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220"/>
              <w:spacing w:after="0" w:line="202" w:lineRule="exact"/>
              <w:rPr>
                <w:sz w:val="20"/>
                <w:szCs w:val="20"/>
                <w:color w:val="auto"/>
              </w:rPr>
            </w:pPr>
            <w:r>
              <w:rPr>
                <w:rFonts w:ascii="Arial" w:cs="Arial" w:eastAsia="Arial" w:hAnsi="Arial"/>
                <w:sz w:val="18"/>
                <w:szCs w:val="18"/>
                <w:color w:val="auto"/>
              </w:rPr>
              <w:t>(6)</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26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7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tcPr>
          <w:p>
            <w:pPr>
              <w:ind w:left="20"/>
              <w:spacing w:after="0" w:line="196" w:lineRule="exact"/>
              <w:rPr>
                <w:sz w:val="20"/>
                <w:szCs w:val="20"/>
                <w:color w:val="auto"/>
              </w:rPr>
            </w:pPr>
            <w:r>
              <w:rPr>
                <w:rFonts w:ascii="Arial" w:cs="Arial" w:eastAsia="Arial" w:hAnsi="Arial"/>
                <w:sz w:val="18"/>
                <w:szCs w:val="18"/>
                <w:color w:val="auto"/>
              </w:rPr>
              <w:t>Net catalog expense</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w w:val="79"/>
              </w:rPr>
              <w:t>$</w:t>
            </w:r>
          </w:p>
        </w:tc>
        <w:tc>
          <w:tcPr>
            <w:tcW w:w="3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31</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39</w:t>
            </w:r>
          </w:p>
        </w:tc>
        <w:tc>
          <w:tcPr>
            <w:tcW w:w="16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-170815</wp:posOffset>
            </wp:positionV>
            <wp:extent cx="5565775"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565775" cy="171450"/>
                    </a:xfrm>
                    <a:prstGeom prst="rect">
                      <a:avLst/>
                    </a:prstGeom>
                    <a:noFill/>
                  </pic:spPr>
                </pic:pic>
              </a:graphicData>
            </a:graphic>
          </wp:anchor>
        </w:drawing>
      </w:r>
    </w:p>
    <w:p>
      <w:pPr>
        <w:spacing w:after="0" w:line="6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Earnings Per Share</w:t>
      </w:r>
    </w:p>
    <w:p>
      <w:pPr>
        <w:spacing w:after="0" w:line="135"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The Company accounts for and discloses earnings per share using the treasury stock method. Basic earnings per share is computed by dividing reported net income for the period by the weighted-average number of common shares outstanding at the end of the period. Restricted stock awards, which contain non-forfeitable rights to dividends, are considered participating securities and are included in the calculation of basic earnings per share. Diluted earnings per share reflects the weighted-average number of common shares outstanding during the period used in the basic earnings per share computation plus dilutive common stock equivalents.</w:t>
      </w:r>
    </w:p>
    <w:p>
      <w:pPr>
        <w:spacing w:after="0" w:line="10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computation of basic and diluted earnings per share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56577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57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5"/>
                <w:szCs w:val="15"/>
                <w:color w:val="auto"/>
              </w:rPr>
            </w:pPr>
          </w:p>
        </w:tc>
      </w:tr>
      <w:tr>
        <w:trPr>
          <w:trHeight w:val="173"/>
        </w:trPr>
        <w:tc>
          <w:tcPr>
            <w:tcW w:w="5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20" w:type="dxa"/>
            <w:vAlign w:val="bottom"/>
            <w:gridSpan w:val="10"/>
          </w:tcPr>
          <w:p>
            <w:pPr>
              <w:jc w:val="right"/>
              <w:ind w:right="320"/>
              <w:spacing w:after="0"/>
              <w:rPr>
                <w:sz w:val="20"/>
                <w:szCs w:val="20"/>
                <w:color w:val="auto"/>
              </w:rPr>
            </w:pPr>
            <w:r>
              <w:rPr>
                <w:rFonts w:ascii="Arial" w:cs="Arial" w:eastAsia="Arial" w:hAnsi="Arial"/>
                <w:sz w:val="14"/>
                <w:szCs w:val="14"/>
                <w:b w:val="1"/>
                <w:bCs w:val="1"/>
                <w:color w:val="auto"/>
              </w:rPr>
              <w:t>(in millions, except per share data)</w:t>
            </w:r>
          </w:p>
        </w:tc>
      </w:tr>
      <w:tr>
        <w:trPr>
          <w:trHeight w:val="225"/>
        </w:trPr>
        <w:tc>
          <w:tcPr>
            <w:tcW w:w="57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429</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397</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r>
      <w:tr>
        <w:trPr>
          <w:trHeight w:val="21"/>
        </w:trPr>
        <w:tc>
          <w:tcPr>
            <w:tcW w:w="5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760" w:type="dxa"/>
            <w:vAlign w:val="bottom"/>
            <w:shd w:val="clear" w:color="auto" w:fill="C0C0C0"/>
          </w:tcPr>
          <w:p>
            <w:pPr>
              <w:ind w:left="20"/>
              <w:spacing w:after="0" w:line="196" w:lineRule="exact"/>
              <w:rPr>
                <w:sz w:val="20"/>
                <w:szCs w:val="20"/>
                <w:color w:val="auto"/>
              </w:rPr>
            </w:pPr>
            <w:r>
              <w:rPr>
                <w:rFonts w:ascii="Arial" w:cs="Arial" w:eastAsia="Arial" w:hAnsi="Arial"/>
                <w:sz w:val="18"/>
                <w:szCs w:val="18"/>
                <w:color w:val="auto"/>
              </w:rPr>
              <w:t>Weighted-average common shares outstanding</w:t>
            </w:r>
          </w:p>
        </w:tc>
        <w:tc>
          <w:tcPr>
            <w:tcW w:w="200" w:type="dxa"/>
            <w:vAlign w:val="bottom"/>
            <w:shd w:val="clear" w:color="auto" w:fill="C0C0C0"/>
          </w:tcPr>
          <w:p>
            <w:pPr>
              <w:spacing w:after="0"/>
              <w:rPr>
                <w:sz w:val="17"/>
                <w:szCs w:val="17"/>
                <w:color w:val="auto"/>
              </w:rPr>
            </w:pPr>
          </w:p>
        </w:tc>
        <w:tc>
          <w:tcPr>
            <w:tcW w:w="660" w:type="dxa"/>
            <w:vAlign w:val="bottom"/>
            <w:gridSpan w:val="2"/>
            <w:shd w:val="clear" w:color="auto" w:fill="C0C0C0"/>
          </w:tcPr>
          <w:p>
            <w:pPr>
              <w:jc w:val="right"/>
              <w:ind w:right="60"/>
              <w:spacing w:after="0" w:line="196" w:lineRule="exact"/>
              <w:rPr>
                <w:sz w:val="20"/>
                <w:szCs w:val="20"/>
                <w:color w:val="auto"/>
              </w:rPr>
            </w:pPr>
            <w:r>
              <w:rPr>
                <w:rFonts w:ascii="Arial" w:cs="Arial" w:eastAsia="Arial" w:hAnsi="Arial"/>
                <w:sz w:val="18"/>
                <w:szCs w:val="18"/>
                <w:b w:val="1"/>
                <w:bCs w:val="1"/>
                <w:color w:val="auto"/>
              </w:rPr>
              <w:t>148.4</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80"/>
              <w:spacing w:after="0" w:line="196" w:lineRule="exact"/>
              <w:rPr>
                <w:sz w:val="20"/>
                <w:szCs w:val="20"/>
                <w:color w:val="auto"/>
              </w:rPr>
            </w:pPr>
            <w:r>
              <w:rPr>
                <w:rFonts w:ascii="Arial" w:cs="Arial" w:eastAsia="Arial" w:hAnsi="Arial"/>
                <w:sz w:val="18"/>
                <w:szCs w:val="18"/>
                <w:color w:val="auto"/>
              </w:rPr>
              <w:t>151.2</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00"/>
              <w:spacing w:after="0" w:line="196" w:lineRule="exact"/>
              <w:rPr>
                <w:sz w:val="20"/>
                <w:szCs w:val="20"/>
                <w:color w:val="auto"/>
              </w:rPr>
            </w:pPr>
            <w:r>
              <w:rPr>
                <w:rFonts w:ascii="Arial" w:cs="Arial" w:eastAsia="Arial" w:hAnsi="Arial"/>
                <w:sz w:val="18"/>
                <w:szCs w:val="18"/>
                <w:color w:val="auto"/>
              </w:rPr>
              <w:t>153.0</w:t>
            </w:r>
          </w:p>
        </w:tc>
      </w:tr>
      <w:tr>
        <w:trPr>
          <w:trHeight w:val="203"/>
        </w:trPr>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Basic earnings per share</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w w:val="79"/>
              </w:rPr>
              <w:t>$</w:t>
            </w: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2.89</w:t>
            </w:r>
          </w:p>
        </w:tc>
        <w:tc>
          <w:tcPr>
            <w:tcW w:w="3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2.62</w:t>
            </w:r>
          </w:p>
        </w:tc>
        <w:tc>
          <w:tcPr>
            <w:tcW w:w="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1.81</w:t>
            </w:r>
          </w:p>
        </w:tc>
      </w:tr>
      <w:tr>
        <w:trPr>
          <w:trHeight w:val="203"/>
        </w:trPr>
        <w:tc>
          <w:tcPr>
            <w:tcW w:w="57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Weighted-average common shares outstanding</w:t>
            </w:r>
          </w:p>
        </w:tc>
        <w:tc>
          <w:tcPr>
            <w:tcW w:w="200" w:type="dxa"/>
            <w:vAlign w:val="bottom"/>
            <w:shd w:val="clear" w:color="auto" w:fill="C0C0C0"/>
          </w:tcPr>
          <w:p>
            <w:pPr>
              <w:spacing w:after="0"/>
              <w:rPr>
                <w:sz w:val="17"/>
                <w:szCs w:val="17"/>
                <w:color w:val="auto"/>
              </w:rPr>
            </w:pPr>
          </w:p>
        </w:tc>
        <w:tc>
          <w:tcPr>
            <w:tcW w:w="660" w:type="dxa"/>
            <w:vAlign w:val="bottom"/>
            <w:gridSpan w:val="2"/>
            <w:shd w:val="clear" w:color="auto" w:fill="C0C0C0"/>
          </w:tcPr>
          <w:p>
            <w:pPr>
              <w:jc w:val="right"/>
              <w:ind w:right="60"/>
              <w:spacing w:after="0" w:line="202" w:lineRule="exact"/>
              <w:rPr>
                <w:sz w:val="20"/>
                <w:szCs w:val="20"/>
                <w:color w:val="auto"/>
              </w:rPr>
            </w:pPr>
            <w:r>
              <w:rPr>
                <w:rFonts w:ascii="Arial" w:cs="Arial" w:eastAsia="Arial" w:hAnsi="Arial"/>
                <w:sz w:val="18"/>
                <w:szCs w:val="18"/>
                <w:b w:val="1"/>
                <w:bCs w:val="1"/>
                <w:color w:val="auto"/>
              </w:rPr>
              <w:t>148.4</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80"/>
              <w:spacing w:after="0" w:line="202" w:lineRule="exact"/>
              <w:rPr>
                <w:sz w:val="20"/>
                <w:szCs w:val="20"/>
                <w:color w:val="auto"/>
              </w:rPr>
            </w:pPr>
            <w:r>
              <w:rPr>
                <w:rFonts w:ascii="Arial" w:cs="Arial" w:eastAsia="Arial" w:hAnsi="Arial"/>
                <w:sz w:val="18"/>
                <w:szCs w:val="18"/>
                <w:color w:val="auto"/>
              </w:rPr>
              <w:t>151.2</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153.0</w:t>
            </w: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Dilutive effect of potential common shares</w:t>
            </w:r>
          </w:p>
        </w:tc>
        <w:tc>
          <w:tcPr>
            <w:tcW w:w="200" w:type="dxa"/>
            <w:vAlign w:val="bottom"/>
          </w:tcPr>
          <w:p>
            <w:pPr>
              <w:spacing w:after="0"/>
              <w:rPr>
                <w:sz w:val="17"/>
                <w:szCs w:val="17"/>
                <w:color w:val="auto"/>
              </w:rPr>
            </w:pP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2.1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w:t>
            </w:r>
          </w:p>
        </w:tc>
      </w:tr>
      <w:tr>
        <w:trPr>
          <w:trHeight w:val="20"/>
        </w:trPr>
        <w:tc>
          <w:tcPr>
            <w:tcW w:w="5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760" w:type="dxa"/>
            <w:vAlign w:val="bottom"/>
            <w:shd w:val="clear" w:color="auto" w:fill="C0C0C0"/>
          </w:tcPr>
          <w:p>
            <w:pPr>
              <w:ind w:left="20"/>
              <w:spacing w:after="0" w:line="196" w:lineRule="exact"/>
              <w:rPr>
                <w:sz w:val="20"/>
                <w:szCs w:val="20"/>
                <w:color w:val="auto"/>
              </w:rPr>
            </w:pPr>
            <w:r>
              <w:rPr>
                <w:rFonts w:ascii="Arial" w:cs="Arial" w:eastAsia="Arial" w:hAnsi="Arial"/>
                <w:sz w:val="18"/>
                <w:szCs w:val="18"/>
                <w:color w:val="auto"/>
              </w:rPr>
              <w:t>Weighted-average common shares outstanding assuming dilution</w:t>
            </w:r>
          </w:p>
        </w:tc>
        <w:tc>
          <w:tcPr>
            <w:tcW w:w="200" w:type="dxa"/>
            <w:vAlign w:val="bottom"/>
            <w:shd w:val="clear" w:color="auto" w:fill="C0C0C0"/>
          </w:tcPr>
          <w:p>
            <w:pPr>
              <w:spacing w:after="0"/>
              <w:rPr>
                <w:sz w:val="17"/>
                <w:szCs w:val="17"/>
                <w:color w:val="auto"/>
              </w:rPr>
            </w:pPr>
          </w:p>
        </w:tc>
        <w:tc>
          <w:tcPr>
            <w:tcW w:w="660" w:type="dxa"/>
            <w:vAlign w:val="bottom"/>
            <w:gridSpan w:val="2"/>
            <w:shd w:val="clear" w:color="auto" w:fill="C0C0C0"/>
          </w:tcPr>
          <w:p>
            <w:pPr>
              <w:jc w:val="right"/>
              <w:ind w:right="60"/>
              <w:spacing w:after="0" w:line="196" w:lineRule="exact"/>
              <w:rPr>
                <w:sz w:val="20"/>
                <w:szCs w:val="20"/>
                <w:color w:val="auto"/>
              </w:rPr>
            </w:pPr>
            <w:r>
              <w:rPr>
                <w:rFonts w:ascii="Arial" w:cs="Arial" w:eastAsia="Arial" w:hAnsi="Arial"/>
                <w:sz w:val="18"/>
                <w:szCs w:val="18"/>
                <w:b w:val="1"/>
                <w:bCs w:val="1"/>
                <w:color w:val="auto"/>
              </w:rPr>
              <w:t>150.5</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80"/>
              <w:spacing w:after="0" w:line="196" w:lineRule="exact"/>
              <w:rPr>
                <w:sz w:val="20"/>
                <w:szCs w:val="20"/>
                <w:color w:val="auto"/>
              </w:rPr>
            </w:pPr>
            <w:r>
              <w:rPr>
                <w:rFonts w:ascii="Arial" w:cs="Arial" w:eastAsia="Arial" w:hAnsi="Arial"/>
                <w:sz w:val="18"/>
                <w:szCs w:val="18"/>
                <w:color w:val="auto"/>
              </w:rPr>
              <w:t>154.0</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00"/>
              <w:spacing w:after="0" w:line="196" w:lineRule="exact"/>
              <w:rPr>
                <w:sz w:val="20"/>
                <w:szCs w:val="20"/>
                <w:color w:val="auto"/>
              </w:rPr>
            </w:pPr>
            <w:r>
              <w:rPr>
                <w:rFonts w:ascii="Arial" w:cs="Arial" w:eastAsia="Arial" w:hAnsi="Arial"/>
                <w:sz w:val="18"/>
                <w:szCs w:val="18"/>
                <w:color w:val="auto"/>
              </w:rPr>
              <w:t>154.4</w:t>
            </w:r>
          </w:p>
        </w:tc>
      </w:tr>
      <w:tr>
        <w:trPr>
          <w:trHeight w:val="239"/>
        </w:trPr>
        <w:tc>
          <w:tcPr>
            <w:tcW w:w="5760" w:type="dxa"/>
            <w:vAlign w:val="bottom"/>
          </w:tcPr>
          <w:p>
            <w:pPr>
              <w:ind w:left="200"/>
              <w:spacing w:after="0"/>
              <w:rPr>
                <w:sz w:val="20"/>
                <w:szCs w:val="20"/>
                <w:color w:val="auto"/>
              </w:rPr>
            </w:pPr>
            <w:r>
              <w:rPr>
                <w:rFonts w:ascii="Arial" w:cs="Arial" w:eastAsia="Arial" w:hAnsi="Arial"/>
                <w:sz w:val="18"/>
                <w:szCs w:val="18"/>
                <w:color w:val="auto"/>
              </w:rPr>
              <w:t>Diluted earnings per share</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2.85</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2.58</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r>
    </w:tbl>
    <w:p>
      <w:pPr>
        <w:spacing w:after="0" w:line="71" w:lineRule="exact"/>
        <w:rPr>
          <w:sz w:val="20"/>
          <w:szCs w:val="20"/>
          <w:color w:val="auto"/>
        </w:rPr>
      </w:pPr>
    </w:p>
    <w:p>
      <w:pPr>
        <w:jc w:val="both"/>
        <w:ind w:left="60" w:right="519"/>
        <w:spacing w:after="0" w:line="253" w:lineRule="auto"/>
        <w:rPr>
          <w:sz w:val="20"/>
          <w:szCs w:val="20"/>
          <w:color w:val="auto"/>
        </w:rPr>
      </w:pPr>
      <w:r>
        <w:rPr>
          <w:rFonts w:ascii="Arial" w:cs="Arial" w:eastAsia="Arial" w:hAnsi="Arial"/>
          <w:sz w:val="18"/>
          <w:szCs w:val="18"/>
          <w:color w:val="auto"/>
        </w:rPr>
        <w:t>Potential common shares include the dilutive effect of stock options and restricted stock units. Options to purchase 1.0 million, 0.8 million, and 3.8 million shares of common stock at February 1, 2014, February 2, 2013, and January 28, 2012, respectively, were not included in the computations primarily because the exercise price of the options was greater than the average market price of the common shares and, therefore, the effect of their inclusion would be antidilutive.</w:t>
      </w:r>
    </w:p>
    <w:p>
      <w:pPr>
        <w:spacing w:after="0" w:line="200" w:lineRule="exact"/>
        <w:rPr>
          <w:sz w:val="20"/>
          <w:szCs w:val="20"/>
          <w:color w:val="auto"/>
        </w:rPr>
      </w:pPr>
    </w:p>
    <w:p>
      <w:pPr>
        <w:spacing w:after="0" w:line="35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96520</wp:posOffset>
            </wp:positionV>
            <wp:extent cx="6114415" cy="596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Foot Locker, Inc.</w:t>
      </w:r>
    </w:p>
    <w:p>
      <w:pPr>
        <w:jc w:val="center"/>
        <w:ind w:right="5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Summary of Significant Accounting Policies – (continued)</w:t>
      </w:r>
    </w:p>
    <w:p>
      <w:pPr>
        <w:spacing w:after="0" w:line="139" w:lineRule="exact"/>
        <w:rPr>
          <w:sz w:val="20"/>
          <w:szCs w:val="20"/>
          <w:color w:val="auto"/>
        </w:rPr>
      </w:pPr>
    </w:p>
    <w:p>
      <w:pPr>
        <w:jc w:val="both"/>
        <w:ind w:left="40" w:right="539"/>
        <w:spacing w:after="0" w:line="262" w:lineRule="auto"/>
        <w:rPr>
          <w:sz w:val="20"/>
          <w:szCs w:val="20"/>
          <w:color w:val="auto"/>
        </w:rPr>
      </w:pPr>
      <w:r>
        <w:rPr>
          <w:rFonts w:ascii="Arial" w:cs="Arial" w:eastAsia="Arial" w:hAnsi="Arial"/>
          <w:sz w:val="18"/>
          <w:szCs w:val="18"/>
          <w:color w:val="auto"/>
        </w:rPr>
        <w:t>Contingently issuable shares of 0.2 million, 0.1 million, and 0.9 million stock at February 1, 2014, February 2, 2013, and January 28, 2012, respectively, have not been included as the vesting conditions have not been satisfied.</w:t>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Share-Based Compensation</w:t>
      </w:r>
    </w:p>
    <w:p>
      <w:pPr>
        <w:spacing w:after="0" w:line="135"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 xml:space="preserve">The Company recognizes compensation expense in the financial statements for share-based awards based on the grant date fair value of those awards. Additionally, stock-based compensation expense includes an estimate for pre-vesting forfeitures and is recognized over the requisite service periods of the awards. See Note 22, </w:t>
      </w:r>
      <w:r>
        <w:rPr>
          <w:rFonts w:ascii="Arial" w:cs="Arial" w:eastAsia="Arial" w:hAnsi="Arial"/>
          <w:sz w:val="18"/>
          <w:szCs w:val="18"/>
          <w:i w:val="1"/>
          <w:iCs w:val="1"/>
          <w:color w:val="auto"/>
        </w:rPr>
        <w:t>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for information on the assumptions the Company used to calculate the fair value of share-based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w:t>
      </w:r>
    </w:p>
    <w:p>
      <w:pPr>
        <w:spacing w:after="0" w:line="97" w:lineRule="exact"/>
        <w:rPr>
          <w:sz w:val="20"/>
          <w:szCs w:val="20"/>
          <w:color w:val="auto"/>
        </w:rPr>
      </w:pPr>
    </w:p>
    <w:p>
      <w:pPr>
        <w:jc w:val="both"/>
        <w:ind w:left="40" w:right="539"/>
        <w:spacing w:after="0" w:line="254" w:lineRule="auto"/>
        <w:rPr>
          <w:sz w:val="20"/>
          <w:szCs w:val="20"/>
          <w:color w:val="auto"/>
        </w:rPr>
      </w:pPr>
      <w:r>
        <w:rPr>
          <w:rFonts w:ascii="Arial" w:cs="Arial" w:eastAsia="Arial" w:hAnsi="Arial"/>
          <w:sz w:val="18"/>
          <w:szCs w:val="18"/>
          <w:color w:val="auto"/>
        </w:rPr>
        <w:t>Upon exercise of stock options, issuance of restricted stock or units, or issuance of shares under the employees stock purchase plan, the Company will issue authorized but unissued common stock or use common stock held in treasury. The Company may make repurchases of its common stock from time to time, subject to legal and contractual restrictions, market conditions, and other factors.</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Cash and Cash Equivalents</w:t>
      </w:r>
    </w:p>
    <w:p>
      <w:pPr>
        <w:spacing w:after="0" w:line="135"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Cash equivalents at February 1, 2014 and February 2, 2013 were $819 million and $841 million, respectively. Cash equivalents include amounts on demand with banks and all highly liquid investments with original maturities of three months or less, including commercial paper and money market funds. Additionally, amounts due from third-party credit card processors for the settlement of debit and credit card transactions are included as cash equivalents as they are generally collected within three business days.</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Investments</w:t>
      </w:r>
    </w:p>
    <w:p>
      <w:pPr>
        <w:spacing w:after="0" w:line="135"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Changes in the fair value of available-for-sale securities are reported as a component of accumulated other comprehensive loss in the Consolidated Statements of Shareholders’ Equity and are not reflected in the Consolidated Statements of Operations until a sale transaction occurs or when declines in fair value are deemed to be other-than-temporary. The Company routinely reviews available-for-sale securities for other-than-temporary declines in fair value below the cost basis, and when events or changes in circumstances indicate the carrying value of a security may not be recoverable, the security is written down to fair value. As of February 1, 2014, the Company held $ 15 million of available-for-sale securities, which was comprised of $9 million in short-term investments and a $6 million auction rate security. See Note 20</w:t>
      </w:r>
      <w:r>
        <w:rPr>
          <w:rFonts w:ascii="Arial" w:cs="Arial" w:eastAsia="Arial" w:hAnsi="Arial"/>
          <w:sz w:val="18"/>
          <w:szCs w:val="18"/>
          <w:i w:val="1"/>
          <w:iCs w:val="1"/>
          <w:color w:val="auto"/>
        </w:rPr>
        <w:t>, Fair Value Measurements</w:t>
      </w:r>
      <w:r>
        <w:rPr>
          <w:rFonts w:ascii="Arial" w:cs="Arial" w:eastAsia="Arial" w:hAnsi="Arial"/>
          <w:sz w:val="18"/>
          <w:szCs w:val="18"/>
          <w:color w:val="auto"/>
        </w:rPr>
        <w:t>, for further discussion of these investments.</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Merchandise Inventories and Cost of Sales</w:t>
      </w:r>
    </w:p>
    <w:p>
      <w:pPr>
        <w:spacing w:after="0" w:line="135"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Merchandise inventories for the Company’s Athletic Stores are valued at the lower of cost or market using the retail inventory method. Cost for retail stores is determined on the last-in, first-out (“LIFO”) basis for domestic inventories and on the first-in, first-out (“FIFO”) basis for international inventories. The retail inventory method is commonly used by retail companies to value inventories at cost and calculate gross margins due to its practicality. Under the retail inventory method, cost is determined by applying a cost-to-retail percentage across groupings of similar items, known as departments. The cost-to-retail percentage is applied to ending inventory at its current owned retail valuation to determine the cost of ending inventory on a department basis. The Company provides reserves based on current selling prices when the inventory has not been marked down to market. Merchandise inventories of the Direct-to-Customers business are valued at the lower of cost or market using weighted-average cost, which approximates FIFO. Transportation, distribution center, and sourcing costs are capitalized in merchandise inventories. The Company expenses the freight associated with transfers between its store locations in the period incurred. The Company maintains an accrual for shrinkage based on historical rates.</w:t>
      </w:r>
    </w:p>
    <w:p>
      <w:pPr>
        <w:spacing w:after="0" w:line="103" w:lineRule="exact"/>
        <w:rPr>
          <w:sz w:val="20"/>
          <w:szCs w:val="20"/>
          <w:color w:val="auto"/>
        </w:rPr>
      </w:pPr>
    </w:p>
    <w:p>
      <w:pPr>
        <w:jc w:val="both"/>
        <w:ind w:left="40" w:right="519"/>
        <w:spacing w:after="0" w:line="262" w:lineRule="auto"/>
        <w:rPr>
          <w:sz w:val="20"/>
          <w:szCs w:val="20"/>
          <w:color w:val="auto"/>
        </w:rPr>
      </w:pPr>
      <w:r>
        <w:rPr>
          <w:rFonts w:ascii="Arial" w:cs="Arial" w:eastAsia="Arial" w:hAnsi="Arial"/>
          <w:sz w:val="18"/>
          <w:szCs w:val="18"/>
          <w:color w:val="auto"/>
        </w:rPr>
        <w:t>Cost of sales is comprised of the cost of merchandise, occupancy, buyers’ compensation, and shipping and handling costs. The cost of merchandise is recorded net of amounts received from vendors for damaged prod</w:t>
      </w:r>
    </w:p>
    <w:p>
      <w:pPr>
        <w:spacing w:after="0" w:line="200" w:lineRule="exact"/>
        <w:rPr>
          <w:sz w:val="20"/>
          <w:szCs w:val="20"/>
          <w:color w:val="auto"/>
        </w:rPr>
      </w:pPr>
    </w:p>
    <w:p>
      <w:pPr>
        <w:spacing w:after="0" w:line="34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96520</wp:posOffset>
            </wp:positionV>
            <wp:extent cx="6114415" cy="596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Foot Locker, Inc.</w:t>
      </w:r>
    </w:p>
    <w:p>
      <w:pPr>
        <w:jc w:val="center"/>
        <w:ind w:right="5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Summary of Significant Accounting Policies – (continued)</w:t>
      </w:r>
    </w:p>
    <w:p>
      <w:pPr>
        <w:spacing w:after="0" w:line="139" w:lineRule="exact"/>
        <w:rPr>
          <w:sz w:val="20"/>
          <w:szCs w:val="20"/>
          <w:color w:val="auto"/>
        </w:rPr>
      </w:pPr>
    </w:p>
    <w:p>
      <w:pPr>
        <w:jc w:val="both"/>
        <w:ind w:left="40" w:right="519"/>
        <w:spacing w:after="0" w:line="256" w:lineRule="auto"/>
        <w:rPr>
          <w:sz w:val="20"/>
          <w:szCs w:val="20"/>
          <w:color w:val="auto"/>
        </w:rPr>
      </w:pPr>
      <w:r>
        <w:rPr>
          <w:rFonts w:ascii="Arial" w:cs="Arial" w:eastAsia="Arial" w:hAnsi="Arial"/>
          <w:sz w:val="18"/>
          <w:szCs w:val="18"/>
          <w:color w:val="auto"/>
        </w:rPr>
        <w:t>uct returns, markdown allowances, and volume rebates, as well as cooperative advertising reimbursements received in excess of specific, incremental advertising expenses. Occupancy includes the amortization of amounts received from landlords for tenant improvements.</w:t>
      </w:r>
    </w:p>
    <w:p>
      <w:pPr>
        <w:spacing w:after="0" w:line="7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Property and Equipment</w:t>
      </w:r>
    </w:p>
    <w:p>
      <w:pPr>
        <w:spacing w:after="0" w:line="135" w:lineRule="exact"/>
        <w:rPr>
          <w:sz w:val="20"/>
          <w:szCs w:val="20"/>
          <w:color w:val="auto"/>
        </w:rPr>
      </w:pPr>
    </w:p>
    <w:p>
      <w:pPr>
        <w:jc w:val="both"/>
        <w:ind w:left="40" w:right="519"/>
        <w:spacing w:after="0" w:line="245" w:lineRule="auto"/>
        <w:rPr>
          <w:sz w:val="20"/>
          <w:szCs w:val="20"/>
          <w:color w:val="auto"/>
        </w:rPr>
      </w:pPr>
      <w:r>
        <w:rPr>
          <w:rFonts w:ascii="Arial" w:cs="Arial" w:eastAsia="Arial" w:hAnsi="Arial"/>
          <w:sz w:val="18"/>
          <w:szCs w:val="18"/>
          <w:color w:val="auto"/>
        </w:rPr>
        <w:t>Property and equipment are recorded at cost, less accumulated depreciation and amortization. Significant additions and improvements to property and equipment are capitalized. Depreciation and amortization are computed on a straight-line basis over the following estimated useful lives: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-66675</wp:posOffset>
            </wp:positionV>
            <wp:extent cx="508571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08571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3"/>
        </w:trPr>
        <w:tc>
          <w:tcPr>
            <w:tcW w:w="3320" w:type="dxa"/>
            <w:vAlign w:val="bottom"/>
          </w:tcPr>
          <w:p>
            <w:pPr>
              <w:spacing w:after="0" w:line="203" w:lineRule="exact"/>
              <w:rPr>
                <w:sz w:val="20"/>
                <w:szCs w:val="20"/>
                <w:color w:val="auto"/>
              </w:rPr>
            </w:pPr>
            <w:r>
              <w:rPr>
                <w:rFonts w:ascii="Arial" w:cs="Arial" w:eastAsia="Arial" w:hAnsi="Arial"/>
                <w:sz w:val="18"/>
                <w:szCs w:val="18"/>
                <w:color w:val="auto"/>
              </w:rPr>
              <w:t>Buildings</w:t>
            </w:r>
          </w:p>
        </w:tc>
        <w:tc>
          <w:tcPr>
            <w:tcW w:w="3420" w:type="dxa"/>
            <w:vAlign w:val="bottom"/>
            <w:gridSpan w:val="2"/>
          </w:tcPr>
          <w:p>
            <w:pPr>
              <w:ind w:left="640"/>
              <w:spacing w:after="0" w:line="203" w:lineRule="exact"/>
              <w:rPr>
                <w:sz w:val="20"/>
                <w:szCs w:val="20"/>
                <w:color w:val="auto"/>
              </w:rPr>
            </w:pPr>
            <w:r>
              <w:rPr>
                <w:rFonts w:ascii="Arial" w:cs="Arial" w:eastAsia="Arial" w:hAnsi="Arial"/>
                <w:sz w:val="18"/>
                <w:szCs w:val="18"/>
                <w:color w:val="auto"/>
              </w:rPr>
              <w:t>Maximum of 50 years</w:t>
            </w:r>
          </w:p>
        </w:tc>
      </w:tr>
      <w:tr>
        <w:trPr>
          <w:trHeight w:val="203"/>
        </w:trPr>
        <w:tc>
          <w:tcPr>
            <w:tcW w:w="332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3420" w:type="dxa"/>
            <w:vAlign w:val="bottom"/>
            <w:gridSpan w:val="2"/>
          </w:tcPr>
          <w:p>
            <w:pPr>
              <w:ind w:left="640"/>
              <w:spacing w:after="0" w:line="202" w:lineRule="exact"/>
              <w:rPr>
                <w:sz w:val="20"/>
                <w:szCs w:val="20"/>
                <w:color w:val="auto"/>
              </w:rPr>
            </w:pPr>
            <w:r>
              <w:rPr>
                <w:rFonts w:ascii="Arial" w:cs="Arial" w:eastAsia="Arial" w:hAnsi="Arial"/>
                <w:sz w:val="18"/>
                <w:szCs w:val="18"/>
                <w:color w:val="auto"/>
                <w:w w:val="98"/>
              </w:rPr>
              <w:t>10 years or term of lease, if shorter</w:t>
            </w:r>
          </w:p>
        </w:tc>
      </w:tr>
      <w:tr>
        <w:trPr>
          <w:trHeight w:val="203"/>
        </w:trPr>
        <w:tc>
          <w:tcPr>
            <w:tcW w:w="3320" w:type="dxa"/>
            <w:vAlign w:val="bottom"/>
          </w:tcPr>
          <w:p>
            <w:pPr>
              <w:spacing w:after="0" w:line="202" w:lineRule="exact"/>
              <w:rPr>
                <w:sz w:val="20"/>
                <w:szCs w:val="20"/>
                <w:color w:val="auto"/>
              </w:rPr>
            </w:pPr>
            <w:r>
              <w:rPr>
                <w:rFonts w:ascii="Arial" w:cs="Arial" w:eastAsia="Arial" w:hAnsi="Arial"/>
                <w:sz w:val="18"/>
                <w:szCs w:val="18"/>
                <w:color w:val="auto"/>
              </w:rPr>
              <w:t>Furniture, fixtures, and equipment</w:t>
            </w:r>
          </w:p>
        </w:tc>
        <w:tc>
          <w:tcPr>
            <w:tcW w:w="760" w:type="dxa"/>
            <w:vAlign w:val="bottom"/>
          </w:tcPr>
          <w:p>
            <w:pPr>
              <w:ind w:left="640"/>
              <w:spacing w:after="0" w:line="202" w:lineRule="exact"/>
              <w:rPr>
                <w:sz w:val="20"/>
                <w:szCs w:val="20"/>
                <w:color w:val="auto"/>
              </w:rPr>
            </w:pPr>
            <w:r>
              <w:rPr>
                <w:rFonts w:ascii="Arial" w:cs="Arial" w:eastAsia="Arial" w:hAnsi="Arial"/>
                <w:sz w:val="18"/>
                <w:szCs w:val="18"/>
                <w:color w:val="auto"/>
                <w:w w:val="99"/>
              </w:rPr>
              <w:t>3</w:t>
            </w:r>
          </w:p>
        </w:tc>
        <w:tc>
          <w:tcPr>
            <w:tcW w:w="2660" w:type="dxa"/>
            <w:vAlign w:val="bottom"/>
          </w:tcPr>
          <w:p>
            <w:pPr>
              <w:ind w:left="20"/>
              <w:spacing w:after="0" w:line="202" w:lineRule="exact"/>
              <w:rPr>
                <w:sz w:val="20"/>
                <w:szCs w:val="20"/>
                <w:color w:val="auto"/>
              </w:rPr>
            </w:pPr>
            <w:r>
              <w:rPr>
                <w:rFonts w:ascii="Arial" w:cs="Arial" w:eastAsia="Arial" w:hAnsi="Arial"/>
                <w:sz w:val="18"/>
                <w:szCs w:val="18"/>
                <w:color w:val="auto"/>
              </w:rPr>
              <w:t>– 10 years</w:t>
            </w:r>
          </w:p>
        </w:tc>
      </w:tr>
      <w:tr>
        <w:trPr>
          <w:trHeight w:val="217"/>
        </w:trPr>
        <w:tc>
          <w:tcPr>
            <w:tcW w:w="3320" w:type="dxa"/>
            <w:vAlign w:val="bottom"/>
          </w:tcPr>
          <w:p>
            <w:pPr>
              <w:spacing w:after="0"/>
              <w:rPr>
                <w:sz w:val="20"/>
                <w:szCs w:val="20"/>
                <w:color w:val="auto"/>
              </w:rPr>
            </w:pPr>
            <w:r>
              <w:rPr>
                <w:rFonts w:ascii="Arial" w:cs="Arial" w:eastAsia="Arial" w:hAnsi="Arial"/>
                <w:sz w:val="18"/>
                <w:szCs w:val="18"/>
                <w:color w:val="auto"/>
              </w:rPr>
              <w:t>Software</w:t>
            </w:r>
          </w:p>
        </w:tc>
        <w:tc>
          <w:tcPr>
            <w:tcW w:w="760" w:type="dxa"/>
            <w:vAlign w:val="bottom"/>
          </w:tcPr>
          <w:p>
            <w:pPr>
              <w:ind w:left="640"/>
              <w:spacing w:after="0"/>
              <w:rPr>
                <w:sz w:val="20"/>
                <w:szCs w:val="20"/>
                <w:color w:val="auto"/>
              </w:rPr>
            </w:pPr>
            <w:r>
              <w:rPr>
                <w:rFonts w:ascii="Arial" w:cs="Arial" w:eastAsia="Arial" w:hAnsi="Arial"/>
                <w:sz w:val="18"/>
                <w:szCs w:val="18"/>
                <w:color w:val="auto"/>
                <w:w w:val="99"/>
              </w:rPr>
              <w:t>2</w:t>
            </w:r>
          </w:p>
        </w:tc>
        <w:tc>
          <w:tcPr>
            <w:tcW w:w="2660" w:type="dxa"/>
            <w:vAlign w:val="bottom"/>
          </w:tcPr>
          <w:p>
            <w:pPr>
              <w:ind w:left="20"/>
              <w:spacing w:after="0"/>
              <w:rPr>
                <w:sz w:val="20"/>
                <w:szCs w:val="20"/>
                <w:color w:val="auto"/>
              </w:rPr>
            </w:pPr>
            <w:r>
              <w:rPr>
                <w:rFonts w:ascii="Arial" w:cs="Arial" w:eastAsia="Arial" w:hAnsi="Arial"/>
                <w:sz w:val="18"/>
                <w:szCs w:val="18"/>
                <w:color w:val="auto"/>
              </w:rPr>
              <w:t>– 7 years</w:t>
            </w:r>
          </w:p>
        </w:tc>
      </w:tr>
    </w:tbl>
    <w:p>
      <w:pPr>
        <w:spacing w:after="0" w:line="94" w:lineRule="exact"/>
        <w:rPr>
          <w:sz w:val="20"/>
          <w:szCs w:val="20"/>
          <w:color w:val="auto"/>
        </w:rPr>
      </w:pPr>
    </w:p>
    <w:p>
      <w:pPr>
        <w:jc w:val="both"/>
        <w:ind w:left="40" w:right="539"/>
        <w:spacing w:after="0" w:line="262" w:lineRule="auto"/>
        <w:rPr>
          <w:sz w:val="20"/>
          <w:szCs w:val="20"/>
          <w:color w:val="auto"/>
        </w:rPr>
      </w:pPr>
      <w:r>
        <w:rPr>
          <w:rFonts w:ascii="Arial" w:cs="Arial" w:eastAsia="Arial" w:hAnsi="Arial"/>
          <w:sz w:val="18"/>
          <w:szCs w:val="18"/>
          <w:color w:val="auto"/>
        </w:rPr>
        <w:t>Maintenance and repairs are charged to current operations as incurred. Major renewals or replacements that substantially extend the useful life of an asset are capitalized and depreciated.</w:t>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Internal-Use Software Development Costs</w:t>
      </w:r>
    </w:p>
    <w:p>
      <w:pPr>
        <w:spacing w:after="0" w:line="135"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The Company capitalizes certain external and internal computer software and software development costs incurred during the application development stage. The application development stage generally includes software design and configuration, coding, testing, and installation activities. Capitalized costs include only external direct cost of materials and services consumed in developing or obtaining internal-use software, and payroll and payroll-related costs for employees who are directly associated with and devote time to the internal-use software project. Capitalization of such costs ceases no later than the point at which the project is substantially complete and ready for its intended use. Training and maintenance costs are expensed as incurred, while upgrades and enhancements are capitalized if it is probable that such expenditures will result in additional functionality. Capitalized software, net of accumulated amortization, is included as a component of property and equipment and was $38 million and $29 million at February 1, 2014 and February 2, 2013, respectively.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Recoverability of Long-Lived Assets</w:t>
      </w:r>
    </w:p>
    <w:p>
      <w:pPr>
        <w:spacing w:after="0" w:line="135"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The Company reviews long-lived tangible and intangible assets with finite lives for impairment losses whenever events or changes in circumstances indicate that the carrying amounts may not be recoverable. Management’s policy in determining whether an impairment indicator exists, a triggering event, comprises measurable operating performance criteria at the division level, as well as qualitative measures. The Company considers historical performance and future estimated results, which are predominately identified from the Company’s strategic long-range plans, in its evaluation of potential store-level impairment and then compares the carrying amount of the asset with the estimated future cash flows expected to result from the use of the asset. If the carrying amount of the asset exceeds the estimated expected undiscounted future cash flows, the Company measures the amount of the impairment by comparing the carrying amount of the asset with its estimated fair value. The estimation of fair value is measured by discounting expected future cash flows at the Company’s weighted-average cost of capital. The Company estimates fair value based on the best information available using estimates, judgments, and projections as considered necessary.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Goodwill and Other Intangible Assets</w:t>
      </w:r>
    </w:p>
    <w:p>
      <w:pPr>
        <w:spacing w:after="0" w:line="135"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The Company reviews goodwill and intangible assets with indefinite lives for impairment annually during the first quarter of its fiscal year or more frequently if impairment indicators arise. The review of impairment consists of either using a qualitative approach to determine whether it is more likely than not that the fair value of the assets is less than their respective carrying values or a two-step impairment test, if necessary. If, based on the results of the qualitative assessment, it is concluded that it is not more likely than not that the fair value of the</w:t>
      </w:r>
    </w:p>
    <w:p>
      <w:pPr>
        <w:spacing w:after="0" w:line="200" w:lineRule="exact"/>
        <w:rPr>
          <w:sz w:val="20"/>
          <w:szCs w:val="20"/>
          <w:color w:val="auto"/>
        </w:rPr>
      </w:pPr>
    </w:p>
    <w:p>
      <w:pPr>
        <w:spacing w:after="0" w:line="35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96520</wp:posOffset>
            </wp:positionV>
            <wp:extent cx="6114415" cy="596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Foot Locker, Inc.</w:t>
      </w:r>
    </w:p>
    <w:p>
      <w:pPr>
        <w:jc w:val="center"/>
        <w:ind w:right="5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Summary of Significant Accounting Policies – (continued)</w:t>
      </w:r>
    </w:p>
    <w:p>
      <w:pPr>
        <w:spacing w:after="0" w:line="139" w:lineRule="exact"/>
        <w:rPr>
          <w:sz w:val="20"/>
          <w:szCs w:val="20"/>
          <w:color w:val="auto"/>
        </w:rPr>
      </w:pPr>
    </w:p>
    <w:p>
      <w:pPr>
        <w:jc w:val="both"/>
        <w:ind w:left="40" w:right="539"/>
        <w:spacing w:after="0" w:line="256" w:lineRule="auto"/>
        <w:rPr>
          <w:sz w:val="20"/>
          <w:szCs w:val="20"/>
          <w:color w:val="auto"/>
        </w:rPr>
      </w:pPr>
      <w:r>
        <w:rPr>
          <w:rFonts w:ascii="Arial" w:cs="Arial" w:eastAsia="Arial" w:hAnsi="Arial"/>
          <w:sz w:val="18"/>
          <w:szCs w:val="18"/>
          <w:color w:val="auto"/>
        </w:rPr>
        <w:t>intangible asset is greater than its carrying value, the two-step test is performed. If the carrying value of the asset exceeds its fair value, an impairment loss is recognized in the amount of the excess. The fair value of each reporting unit is determined using a combination of market and discounted cash flow approaches.</w:t>
      </w:r>
    </w:p>
    <w:p>
      <w:pPr>
        <w:spacing w:after="0" w:line="7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Derivative Financial Instruments</w:t>
      </w:r>
    </w:p>
    <w:p>
      <w:pPr>
        <w:spacing w:after="0" w:line="135"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All derivative financial instruments are recorded in the Company’s Consolidated Balance Sheets at their fair values. For derivatives designated as a hedge, and effective as part of a hedge transaction, the effective portion of the gain or loss on the hedging derivative instrument is reported as a component of other comprehensive income/loss or as a basis adjustment to the underlying hedged item and reclassified to earnings in the period in which the hedged item affects earnings. The effective portion of the gain or loss on hedges of foreign net investments is generally not reclassified to earnings unless the net investment is disposed of.</w:t>
      </w:r>
    </w:p>
    <w:p>
      <w:pPr>
        <w:spacing w:after="0" w:line="101" w:lineRule="exact"/>
        <w:rPr>
          <w:sz w:val="20"/>
          <w:szCs w:val="20"/>
          <w:color w:val="auto"/>
        </w:rPr>
      </w:pPr>
    </w:p>
    <w:p>
      <w:pPr>
        <w:jc w:val="both"/>
        <w:ind w:left="40" w:right="519"/>
        <w:spacing w:after="0" w:line="262" w:lineRule="auto"/>
        <w:rPr>
          <w:sz w:val="20"/>
          <w:szCs w:val="20"/>
          <w:color w:val="auto"/>
        </w:rPr>
      </w:pPr>
      <w:r>
        <w:rPr>
          <w:rFonts w:ascii="Arial" w:cs="Arial" w:eastAsia="Arial" w:hAnsi="Arial"/>
          <w:sz w:val="18"/>
          <w:szCs w:val="18"/>
          <w:color w:val="auto"/>
        </w:rPr>
        <w:t>To the extent derivatives do not qualify or are not designated as hedges, or are ineffective, their changes in fair value are recorded in earnings immediately, which may subject the Company to increased earnings volatility.</w:t>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Fair Value</w:t>
      </w:r>
    </w:p>
    <w:p>
      <w:pPr>
        <w:spacing w:after="0" w:line="135"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The Company categorizes its financial instruments into a three-level fair value hierarchy that prioritizes the inputs to valuation techniques used to measure fair value into three broad levels. The fair value hierarchy gives the highest priority to quoted prices in active markets for identical assets or liabilities (Level 1) and the lowest priority to unobservable inputs (Level 3). If the inputs used to measure fair value fall within different levels of the hierarchy, the category level is based on the lowest priority level input that is significant to the fair value measurement of the instrument. Fair value is determined based upon the exit price that would be received to sell an asset or paid to transfer a liability in an orderly transaction between market participants exclusive of any transaction costs.</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Company’s financial assets recorded at fair value are categorized as follows:</w:t>
      </w:r>
    </w:p>
    <w:p>
      <w:pPr>
        <w:spacing w:after="0" w:line="9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for identical instruments in active markets.</w:t>
      </w:r>
    </w:p>
    <w:p>
      <w:pPr>
        <w:spacing w:after="0" w:line="117" w:lineRule="exact"/>
        <w:rPr>
          <w:sz w:val="20"/>
          <w:szCs w:val="20"/>
          <w:color w:val="auto"/>
        </w:rPr>
      </w:pPr>
    </w:p>
    <w:p>
      <w:pPr>
        <w:jc w:val="both"/>
        <w:ind w:left="320" w:right="539"/>
        <w:spacing w:after="0" w:line="269"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Quoted prices for similar instruments in active markets; quoted prices for identical or similar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in markets that are not active; and model-derived valuations in which all significant inputs or significant value-drivers are observable in active markets.</w:t>
      </w:r>
    </w:p>
    <w:p>
      <w:pPr>
        <w:spacing w:after="0" w:line="60" w:lineRule="exact"/>
        <w:rPr>
          <w:sz w:val="20"/>
          <w:szCs w:val="20"/>
          <w:color w:val="auto"/>
        </w:rPr>
      </w:pPr>
    </w:p>
    <w:p>
      <w:pPr>
        <w:jc w:val="both"/>
        <w:ind w:left="320" w:right="539"/>
        <w:spacing w:after="0" w:line="287"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Model-derived valuations in which one or more significant inputs or significant value-drivers are</w:t>
      </w:r>
      <w:r>
        <w:rPr>
          <w:rFonts w:ascii="Arial" w:cs="Arial" w:eastAsia="Arial" w:hAnsi="Arial"/>
          <w:sz w:val="18"/>
          <w:szCs w:val="18"/>
          <w:b w:val="1"/>
          <w:bCs w:val="1"/>
          <w:color w:val="auto"/>
        </w:rPr>
        <w:t xml:space="preserve"> </w:t>
      </w:r>
      <w:r>
        <w:rPr>
          <w:rFonts w:ascii="Arial" w:cs="Arial" w:eastAsia="Arial" w:hAnsi="Arial"/>
          <w:sz w:val="18"/>
          <w:szCs w:val="18"/>
          <w:color w:val="auto"/>
        </w:rPr>
        <w:t>unobservable.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Income Taxes</w:t>
      </w:r>
    </w:p>
    <w:p>
      <w:pPr>
        <w:spacing w:after="0" w:line="135"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The Company accounts for its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the tax basis of assets and liabilities using enacted tax rates in effect for the year in which the differences are expected to reverse. The effect of a change in tax rates on deferred tax assets and liabilities is recognized in income in the period that includes the enactment date. Deferred tax assets are recognized for tax credits and net operating loss carryforwards, reduced by a valuation allowance, which is established when it is more likely than not that some portion or all of the deferred tax assets will not be realized. The effect on deferred tax assets and liabilities of a change in tax rates is recognized in income in the period that includes the enactment date.</w:t>
      </w:r>
    </w:p>
    <w:p>
      <w:pPr>
        <w:spacing w:after="0" w:line="104" w:lineRule="exact"/>
        <w:rPr>
          <w:sz w:val="20"/>
          <w:szCs w:val="20"/>
          <w:color w:val="auto"/>
        </w:rPr>
      </w:pPr>
    </w:p>
    <w:p>
      <w:pPr>
        <w:jc w:val="both"/>
        <w:ind w:left="40" w:right="519"/>
        <w:spacing w:after="0" w:line="256" w:lineRule="auto"/>
        <w:rPr>
          <w:sz w:val="20"/>
          <w:szCs w:val="20"/>
          <w:color w:val="auto"/>
        </w:rPr>
      </w:pPr>
      <w:r>
        <w:rPr>
          <w:rFonts w:ascii="Arial" w:cs="Arial" w:eastAsia="Arial" w:hAnsi="Arial"/>
          <w:sz w:val="18"/>
          <w:szCs w:val="18"/>
          <w:color w:val="auto"/>
        </w:rPr>
        <w:t>The Company recognizes net deferred tax assets to the extent that it believes these assets are more likely than not to be realized. In making such a determination, the Company considers all available positive and negative evidence, including future reversals of existing taxable temporary differences, projected future taxable income,</w:t>
      </w:r>
    </w:p>
    <w:p>
      <w:pPr>
        <w:spacing w:after="0" w:line="200" w:lineRule="exact"/>
        <w:rPr>
          <w:sz w:val="20"/>
          <w:szCs w:val="20"/>
          <w:color w:val="auto"/>
        </w:rPr>
      </w:pPr>
    </w:p>
    <w:p>
      <w:pPr>
        <w:spacing w:after="0" w:line="35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96520</wp:posOffset>
            </wp:positionV>
            <wp:extent cx="6114415" cy="596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Foot Locker, Inc.</w:t>
      </w:r>
    </w:p>
    <w:p>
      <w:pPr>
        <w:jc w:val="center"/>
        <w:ind w:right="5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Summary of Significant Accounting Policies – (continued)</w:t>
      </w:r>
    </w:p>
    <w:p>
      <w:pPr>
        <w:spacing w:after="0" w:line="139" w:lineRule="exact"/>
        <w:rPr>
          <w:sz w:val="20"/>
          <w:szCs w:val="20"/>
          <w:color w:val="auto"/>
        </w:rPr>
      </w:pPr>
    </w:p>
    <w:p>
      <w:pPr>
        <w:jc w:val="both"/>
        <w:ind w:left="40" w:right="519"/>
        <w:spacing w:after="0" w:line="256" w:lineRule="auto"/>
        <w:rPr>
          <w:sz w:val="20"/>
          <w:szCs w:val="20"/>
          <w:color w:val="auto"/>
        </w:rPr>
      </w:pPr>
      <w:r>
        <w:rPr>
          <w:rFonts w:ascii="Arial" w:cs="Arial" w:eastAsia="Arial" w:hAnsi="Arial"/>
          <w:sz w:val="18"/>
          <w:szCs w:val="18"/>
          <w:color w:val="auto"/>
        </w:rPr>
        <w:t>tax-planning strategies, and results of recent operations. If the Company determines that it would be able to realize their deferred tax assets in the future in excess of their net recorded amount, the Company would make an adjustment to the deferred tax asset valuation allowance, which would reduce the provision for income taxes.</w:t>
      </w:r>
    </w:p>
    <w:p>
      <w:pPr>
        <w:spacing w:after="0" w:line="94"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A taxing authority may challenge positions that the Company adopted in its income tax filings. Accordingly, the Company may apply different tax treatments for transactions in filing its income tax returns than for income tax financial reporting. The Company regularly assesses its tax positions for such transactions and records reserves for those differences when considered necessary. Tax positions are recognized only when it is more likely than not, based on technical merits, that the positions will be sustained upon examination. Tax positions that meet the more-likely-than-not threshold are measured using a probability weighted approach as the largest amount of tax benefit that is greater than fifty percent likely of being realized upon settlement. Whether the more-likely-than-not recognition threshold is met for a tax position is a matter of judgment based on the individual facts and circumstances of that position evaluated in light of all available evidence. The Company recognizes interest and penalties related to unrecognized tax benefits within income tax expense in the accompanying consolidated statement of operations. Accrued interest and penalties are included within the related tax liability line in the consolidated balance sheet. Provision for U.S. income taxes on undistributed earnings of foreign subsidiaries is made only on those amounts in excess of the funds considered to be permanently reinvested.</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Pension and Postretirement Obligations</w:t>
      </w:r>
    </w:p>
    <w:p>
      <w:pPr>
        <w:spacing w:after="0" w:line="135"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The discount rate for the U.S. plans is determined by reference to the Bond:Link interest rate model based upon a portfolio of highly rated U.S. corporate bonds with individual bonds that are theoretically purchased to settle the plan’s anticipated cash outflows. The cash flows are discounted to their present value and an overall discount rate is determined. The discount rate selected to measure the present value of the Company’s Canadian benefit obligations was developed by using the plan’s bond portfolio indices, which match the benefit obligations.</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Insurance Liabilities</w:t>
      </w:r>
    </w:p>
    <w:p>
      <w:pPr>
        <w:spacing w:after="0" w:line="135"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The Company is primarily self-insured for health care, workers’ compensation, and general liability costs. Accordingly, provisions are made for the Company’s actuarially determined estimates of discounted future claim costs for such risks, for the aggregate of claims reported and claims incurred but not yet reported. Self-insured liabilities totaled $ 11 million and $14 million at February 1, 2014 and February 2, 2013, respectively. The Company discounts its workers’ compensation and general liability reserves using a risk-free interest rate. Imputed interest expense related to these liabilities was not significant for 2013, 2012, and 2011.</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Accounting for Leases</w:t>
      </w:r>
    </w:p>
    <w:p>
      <w:pPr>
        <w:spacing w:after="0" w:line="135"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The Company recognizes rent expense for operating leases as of the possession date for store leases or the commencement of the agreement for a non-store lease. Rental expense, inclusive of rent holidays, concessions, and tenant allowances are recognized over the lease term on a straight-line basis. Contingent payments based upon sales and future increases determined by inflation related indices cannot be estimated at the inception of the lease and accordingly, are charged to operations as incurred.</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Foreign Currency Translation</w:t>
      </w:r>
    </w:p>
    <w:p>
      <w:pPr>
        <w:spacing w:after="0" w:line="135"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The functional currency of the Company’s international operations is the applicable local currency. The translation of the applicable foreign currency into U.S. dollars is performed for balance sheet accounts using current exchange rates in effect at the balance sheet date and for revenue and expense accounts using the weighted-average rates of exchange prevailing during the year. The unearned gains and losses resulting from such translation are included as a separate component of accumulated other comprehensive loss within shareholders’ equity.</w:t>
      </w:r>
    </w:p>
    <w:p>
      <w:pPr>
        <w:spacing w:after="0" w:line="200" w:lineRule="exact"/>
        <w:rPr>
          <w:sz w:val="20"/>
          <w:szCs w:val="20"/>
          <w:color w:val="auto"/>
        </w:rPr>
      </w:pPr>
    </w:p>
    <w:p>
      <w:pPr>
        <w:spacing w:after="0" w:line="35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96520</wp:posOffset>
            </wp:positionV>
            <wp:extent cx="6114415" cy="596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46" w:name="page47"/>
    <w:bookmarkEnd w:id="46"/>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right="4779" w:firstLine="8"/>
        <w:spacing w:after="0" w:line="378" w:lineRule="auto"/>
        <w:tabs>
          <w:tab w:leader="none" w:pos="31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 (continued) </w:t>
      </w:r>
      <w:r>
        <w:rPr>
          <w:rFonts w:ascii="Arial" w:cs="Arial" w:eastAsia="Arial" w:hAnsi="Arial"/>
          <w:sz w:val="18"/>
          <w:szCs w:val="18"/>
          <w:i w:val="1"/>
          <w:iCs w:val="1"/>
          <w:color w:val="auto"/>
        </w:rPr>
        <w:t>Recent Accounting Pronouncements</w:t>
      </w:r>
    </w:p>
    <w:p>
      <w:pPr>
        <w:jc w:val="both"/>
        <w:ind w:left="60" w:right="519"/>
        <w:spacing w:after="0" w:line="255" w:lineRule="auto"/>
        <w:rPr>
          <w:sz w:val="20"/>
          <w:szCs w:val="20"/>
          <w:color w:val="auto"/>
        </w:rPr>
      </w:pPr>
      <w:r>
        <w:rPr>
          <w:rFonts w:ascii="Arial" w:cs="Arial" w:eastAsia="Arial" w:hAnsi="Arial"/>
          <w:sz w:val="18"/>
          <w:szCs w:val="18"/>
          <w:color w:val="auto"/>
        </w:rPr>
        <w:t xml:space="preserve">During the first quarter of 2013, the Company adopted Accounting Standards Update 2013-02, </w:t>
      </w:r>
      <w:r>
        <w:rPr>
          <w:rFonts w:ascii="Arial" w:cs="Arial" w:eastAsia="Arial" w:hAnsi="Arial"/>
          <w:sz w:val="18"/>
          <w:szCs w:val="18"/>
          <w:i w:val="1"/>
          <w:iCs w:val="1"/>
          <w:color w:val="auto"/>
        </w:rPr>
        <w:t>Comprehensive 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220): Reporting of Amounts Reclassified out of Accumulated Other Comprehensive Income </w:t>
      </w:r>
      <w:r>
        <w:rPr>
          <w:rFonts w:ascii="Arial" w:cs="Arial" w:eastAsia="Arial" w:hAnsi="Arial"/>
          <w:sz w:val="18"/>
          <w:szCs w:val="18"/>
          <w:color w:val="auto"/>
        </w:rPr>
        <w:t>(“ASU 2013-02”).</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ASU 2013-02 amended existing guidance by requiring additional disclosure either on the face of the income statement or in the notes to the financial statements of significant amounts reclassified out of accumulated other comprehensive income. The provisions of this new guidance were effective prospectively as of the beginning of 2013. Accordingly, enhanced footnote disclosure is included in Note 17,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The adoption of ASU 2013-02 had no effect on our results of operations or financial position.</w:t>
      </w:r>
    </w:p>
    <w:p>
      <w:pPr>
        <w:spacing w:after="0" w:line="99" w:lineRule="exact"/>
        <w:rPr>
          <w:sz w:val="20"/>
          <w:szCs w:val="20"/>
          <w:color w:val="auto"/>
        </w:rPr>
      </w:pPr>
    </w:p>
    <w:p>
      <w:pPr>
        <w:jc w:val="both"/>
        <w:ind w:left="60" w:right="539"/>
        <w:spacing w:after="0" w:line="262" w:lineRule="auto"/>
        <w:rPr>
          <w:sz w:val="20"/>
          <w:szCs w:val="20"/>
          <w:color w:val="auto"/>
        </w:rPr>
      </w:pPr>
      <w:r>
        <w:rPr>
          <w:rFonts w:ascii="Arial" w:cs="Arial" w:eastAsia="Arial" w:hAnsi="Arial"/>
          <w:sz w:val="18"/>
          <w:szCs w:val="18"/>
          <w:color w:val="auto"/>
        </w:rPr>
        <w:t>Other recently issued accounting pronouncements did not, or are not believed by management to, have a material effect on the Company’s present or future consolidated financial statements.</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Acquisition</w:t>
      </w:r>
    </w:p>
    <w:p>
      <w:pPr>
        <w:spacing w:after="0" w:line="139" w:lineRule="exact"/>
        <w:rPr>
          <w:sz w:val="20"/>
          <w:szCs w:val="20"/>
          <w:color w:val="auto"/>
        </w:rPr>
      </w:pPr>
    </w:p>
    <w:p>
      <w:pPr>
        <w:jc w:val="both"/>
        <w:ind w:left="60" w:right="519"/>
        <w:spacing w:after="0" w:line="251" w:lineRule="auto"/>
        <w:rPr>
          <w:sz w:val="20"/>
          <w:szCs w:val="20"/>
          <w:color w:val="auto"/>
        </w:rPr>
      </w:pPr>
      <w:r>
        <w:rPr>
          <w:rFonts w:ascii="Arial" w:cs="Arial" w:eastAsia="Arial" w:hAnsi="Arial"/>
          <w:sz w:val="18"/>
          <w:szCs w:val="18"/>
          <w:color w:val="auto"/>
        </w:rPr>
        <w:t>Effective July 7, 2013, the Company acquired 100 percent of the shares of Runners Point Warenhandelsgesellschaft mbH, (“Runners Point Group”) a specialty athletic store and online retailer based in Recklinghausen, Germany. The aggregate purchase price paid for the acquisition was $87 million in cash, subject to adjustment for finalization of the purchase price for working capital adjustments. At the date of acquisition, Runners Point Group operated 194 stores in Germany, Austria, and the Netherlands. Additionally, there were 24 Runners Point Group franchise stores operating in Germany and Switzerland. The acquisition is intended to enhance the Company’s position in Germany and also provide additional banners to further diversify and expand the Company’s European business. Also, the addition of the strong digital capabilities of Tredex, the e-commerce subsidiary of Runners Point Group, allows for the potential of accelerated e-commerce growth in Europe.</w:t>
      </w:r>
    </w:p>
    <w:p>
      <w:pPr>
        <w:spacing w:after="0" w:line="1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results of Runners Point Group are included in our consolidated financial statements since the acquisition date.</w:t>
      </w:r>
    </w:p>
    <w:p>
      <w:pPr>
        <w:spacing w:after="0" w:line="117" w:lineRule="exact"/>
        <w:rPr>
          <w:sz w:val="20"/>
          <w:szCs w:val="20"/>
          <w:color w:val="auto"/>
        </w:rPr>
      </w:pPr>
    </w:p>
    <w:p>
      <w:pPr>
        <w:jc w:val="both"/>
        <w:ind w:left="60" w:right="519"/>
        <w:spacing w:after="0" w:line="250" w:lineRule="auto"/>
        <w:rPr>
          <w:sz w:val="20"/>
          <w:szCs w:val="20"/>
          <w:color w:val="auto"/>
        </w:rPr>
      </w:pPr>
      <w:r>
        <w:rPr>
          <w:rFonts w:ascii="Arial" w:cs="Arial" w:eastAsia="Arial" w:hAnsi="Arial"/>
          <w:sz w:val="18"/>
          <w:szCs w:val="18"/>
          <w:color w:val="auto"/>
        </w:rPr>
        <w:t>The following table summarizes allocation of the purchase price to the fair value of assets acquired, based on the exchange rate in effect at the date of our acquisition of Runners Point Group. The Company has allocated the purchase price, in part, upon internal estimates of cash flows and considering the report of a third-party valuation expert retained to assist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-74930</wp:posOffset>
            </wp:positionV>
            <wp:extent cx="55657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7820" w:type="dxa"/>
            <w:vAlign w:val="bottom"/>
          </w:tcPr>
          <w:p>
            <w:pPr>
              <w:spacing w:after="0"/>
              <w:rPr>
                <w:sz w:val="15"/>
                <w:szCs w:val="15"/>
                <w:color w:val="auto"/>
              </w:rPr>
            </w:pPr>
          </w:p>
        </w:tc>
        <w:tc>
          <w:tcPr>
            <w:tcW w:w="9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(in millions)</w:t>
            </w:r>
          </w:p>
        </w:tc>
      </w:tr>
      <w:tr>
        <w:trPr>
          <w:trHeight w:val="196"/>
        </w:trPr>
        <w:tc>
          <w:tcPr>
            <w:tcW w:w="7820" w:type="dxa"/>
            <w:vAlign w:val="bottom"/>
            <w:shd w:val="clear" w:color="auto" w:fill="C0C0C0"/>
          </w:tcPr>
          <w:p>
            <w:pPr>
              <w:ind w:left="20"/>
              <w:spacing w:after="0" w:line="196" w:lineRule="exact"/>
              <w:rPr>
                <w:sz w:val="20"/>
                <w:szCs w:val="20"/>
                <w:color w:val="auto"/>
              </w:rPr>
            </w:pPr>
            <w:r>
              <w:rPr>
                <w:rFonts w:ascii="Arial" w:cs="Arial" w:eastAsia="Arial" w:hAnsi="Arial"/>
                <w:sz w:val="18"/>
                <w:szCs w:val="18"/>
                <w:b w:val="1"/>
                <w:bCs w:val="1"/>
                <w:color w:val="auto"/>
              </w:rPr>
              <w:t>Assets acquired:</w:t>
            </w:r>
          </w:p>
        </w:tc>
        <w:tc>
          <w:tcPr>
            <w:tcW w:w="20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420" w:type="dxa"/>
            <w:vAlign w:val="bottom"/>
            <w:shd w:val="clear" w:color="auto" w:fill="C0C0C0"/>
          </w:tcPr>
          <w:p>
            <w:pPr>
              <w:spacing w:after="0"/>
              <w:rPr>
                <w:sz w:val="17"/>
                <w:szCs w:val="17"/>
                <w:color w:val="auto"/>
              </w:rPr>
            </w:pPr>
          </w:p>
        </w:tc>
      </w:tr>
      <w:tr>
        <w:trPr>
          <w:trHeight w:val="203"/>
        </w:trPr>
        <w:tc>
          <w:tcPr>
            <w:tcW w:w="7820" w:type="dxa"/>
            <w:vAlign w:val="bottom"/>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6"/>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6</w:t>
            </w:r>
          </w:p>
        </w:tc>
      </w:tr>
      <w:tr>
        <w:trPr>
          <w:trHeight w:val="203"/>
        </w:trPr>
        <w:tc>
          <w:tcPr>
            <w:tcW w:w="782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Inventory</w:t>
            </w: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420"/>
              <w:spacing w:after="0" w:line="202" w:lineRule="exact"/>
              <w:rPr>
                <w:sz w:val="20"/>
                <w:szCs w:val="20"/>
                <w:color w:val="auto"/>
              </w:rPr>
            </w:pPr>
            <w:r>
              <w:rPr>
                <w:rFonts w:ascii="Arial" w:cs="Arial" w:eastAsia="Arial" w:hAnsi="Arial"/>
                <w:sz w:val="18"/>
                <w:szCs w:val="18"/>
                <w:color w:val="auto"/>
              </w:rPr>
              <w:t>41</w:t>
            </w:r>
          </w:p>
        </w:tc>
      </w:tr>
      <w:tr>
        <w:trPr>
          <w:trHeight w:val="203"/>
        </w:trPr>
        <w:tc>
          <w:tcPr>
            <w:tcW w:w="7820" w:type="dxa"/>
            <w:vAlign w:val="bottom"/>
          </w:tcPr>
          <w:p>
            <w:pPr>
              <w:ind w:left="20"/>
              <w:spacing w:after="0" w:line="202" w:lineRule="exact"/>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17"/>
                <w:szCs w:val="17"/>
                <w:color w:val="auto"/>
              </w:rPr>
            </w:pPr>
          </w:p>
        </w:tc>
        <w:tc>
          <w:tcPr>
            <w:tcW w:w="7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11</w:t>
            </w:r>
          </w:p>
        </w:tc>
      </w:tr>
      <w:tr>
        <w:trPr>
          <w:trHeight w:val="203"/>
        </w:trPr>
        <w:tc>
          <w:tcPr>
            <w:tcW w:w="782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Property and equipment</w:t>
            </w: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420"/>
              <w:spacing w:after="0" w:line="202" w:lineRule="exact"/>
              <w:rPr>
                <w:sz w:val="20"/>
                <w:szCs w:val="20"/>
                <w:color w:val="auto"/>
              </w:rPr>
            </w:pPr>
            <w:r>
              <w:rPr>
                <w:rFonts w:ascii="Arial" w:cs="Arial" w:eastAsia="Arial" w:hAnsi="Arial"/>
                <w:sz w:val="18"/>
                <w:szCs w:val="18"/>
                <w:color w:val="auto"/>
              </w:rPr>
              <w:t>24</w:t>
            </w:r>
          </w:p>
        </w:tc>
      </w:tr>
      <w:tr>
        <w:trPr>
          <w:trHeight w:val="203"/>
        </w:trPr>
        <w:tc>
          <w:tcPr>
            <w:tcW w:w="7820" w:type="dxa"/>
            <w:vAlign w:val="bottom"/>
          </w:tcPr>
          <w:p>
            <w:pPr>
              <w:ind w:left="20"/>
              <w:spacing w:after="0" w:line="202" w:lineRule="exact"/>
              <w:rPr>
                <w:sz w:val="20"/>
                <w:szCs w:val="20"/>
                <w:color w:val="auto"/>
              </w:rPr>
            </w:pPr>
            <w:r>
              <w:rPr>
                <w:rFonts w:ascii="Arial" w:cs="Arial" w:eastAsia="Arial" w:hAnsi="Arial"/>
                <w:sz w:val="18"/>
                <w:szCs w:val="18"/>
                <w:color w:val="auto"/>
              </w:rPr>
              <w:t>Other long-term assets</w:t>
            </w:r>
          </w:p>
        </w:tc>
        <w:tc>
          <w:tcPr>
            <w:tcW w:w="200" w:type="dxa"/>
            <w:vAlign w:val="bottom"/>
          </w:tcPr>
          <w:p>
            <w:pPr>
              <w:spacing w:after="0"/>
              <w:rPr>
                <w:sz w:val="17"/>
                <w:szCs w:val="17"/>
                <w:color w:val="auto"/>
              </w:rPr>
            </w:pPr>
          </w:p>
        </w:tc>
        <w:tc>
          <w:tcPr>
            <w:tcW w:w="7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w:t>
            </w:r>
          </w:p>
        </w:tc>
      </w:tr>
      <w:tr>
        <w:trPr>
          <w:trHeight w:val="243"/>
        </w:trPr>
        <w:tc>
          <w:tcPr>
            <w:tcW w:w="7820" w:type="dxa"/>
            <w:vAlign w:val="bottom"/>
            <w:shd w:val="clear" w:color="auto" w:fill="C0C0C0"/>
          </w:tcPr>
          <w:p>
            <w:pPr>
              <w:ind w:left="20"/>
              <w:spacing w:after="0"/>
              <w:rPr>
                <w:sz w:val="20"/>
                <w:szCs w:val="20"/>
                <w:color w:val="auto"/>
              </w:rPr>
            </w:pPr>
            <w:r>
              <w:rPr>
                <w:rFonts w:ascii="Arial" w:cs="Arial" w:eastAsia="Arial" w:hAnsi="Arial"/>
                <w:sz w:val="18"/>
                <w:szCs w:val="18"/>
                <w:color w:val="auto"/>
              </w:rPr>
              <w:t>Tradenames</w:t>
            </w:r>
          </w:p>
        </w:tc>
        <w:tc>
          <w:tcPr>
            <w:tcW w:w="200" w:type="dxa"/>
            <w:vAlign w:val="bottom"/>
            <w:shd w:val="clear" w:color="auto" w:fill="C0C0C0"/>
          </w:tcPr>
          <w:p>
            <w:pPr>
              <w:spacing w:after="0"/>
              <w:rPr>
                <w:sz w:val="21"/>
                <w:szCs w:val="21"/>
                <w:color w:val="auto"/>
              </w:rPr>
            </w:pPr>
          </w:p>
        </w:tc>
        <w:tc>
          <w:tcPr>
            <w:tcW w:w="760" w:type="dxa"/>
            <w:vAlign w:val="bottom"/>
            <w:gridSpan w:val="2"/>
            <w:shd w:val="clear" w:color="auto" w:fill="C0C0C0"/>
          </w:tcPr>
          <w:p>
            <w:pPr>
              <w:jc w:val="right"/>
              <w:ind w:right="240"/>
              <w:spacing w:after="0" w:line="243" w:lineRule="exact"/>
              <w:rPr>
                <w:sz w:val="20"/>
                <w:szCs w:val="20"/>
                <w:color w:val="auto"/>
              </w:rPr>
            </w:pPr>
            <w:r>
              <w:rPr>
                <w:rFonts w:ascii="Arial" w:cs="Arial" w:eastAsia="Arial" w:hAnsi="Arial"/>
                <w:sz w:val="28"/>
                <w:szCs w:val="28"/>
                <w:color w:val="auto"/>
                <w:vertAlign w:val="subscript"/>
              </w:rPr>
              <w:t>29</w:t>
            </w:r>
            <w:r>
              <w:rPr>
                <w:rFonts w:ascii="Arial" w:cs="Arial" w:eastAsia="Arial" w:hAnsi="Arial"/>
                <w:sz w:val="13"/>
                <w:szCs w:val="13"/>
                <w:color w:val="auto"/>
              </w:rPr>
              <w:t>(1)</w:t>
            </w:r>
          </w:p>
        </w:tc>
      </w:tr>
      <w:tr>
        <w:trPr>
          <w:trHeight w:val="203"/>
        </w:trPr>
        <w:tc>
          <w:tcPr>
            <w:tcW w:w="7820" w:type="dxa"/>
            <w:vAlign w:val="bottom"/>
          </w:tcPr>
          <w:p>
            <w:pPr>
              <w:ind w:left="20"/>
              <w:spacing w:after="0" w:line="202" w:lineRule="exact"/>
              <w:rPr>
                <w:sz w:val="20"/>
                <w:szCs w:val="20"/>
                <w:color w:val="auto"/>
              </w:rPr>
            </w:pPr>
            <w:r>
              <w:rPr>
                <w:rFonts w:ascii="Arial" w:cs="Arial" w:eastAsia="Arial" w:hAnsi="Arial"/>
                <w:sz w:val="18"/>
                <w:szCs w:val="18"/>
                <w:color w:val="auto"/>
              </w:rPr>
              <w:t>Favorable leases</w:t>
            </w:r>
          </w:p>
        </w:tc>
        <w:tc>
          <w:tcPr>
            <w:tcW w:w="200" w:type="dxa"/>
            <w:vAlign w:val="bottom"/>
          </w:tcPr>
          <w:p>
            <w:pPr>
              <w:spacing w:after="0"/>
              <w:rPr>
                <w:sz w:val="17"/>
                <w:szCs w:val="17"/>
                <w:color w:val="auto"/>
              </w:rPr>
            </w:pPr>
          </w:p>
        </w:tc>
        <w:tc>
          <w:tcPr>
            <w:tcW w:w="7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5</w:t>
            </w:r>
          </w:p>
        </w:tc>
      </w:tr>
      <w:tr>
        <w:trPr>
          <w:trHeight w:val="203"/>
        </w:trPr>
        <w:tc>
          <w:tcPr>
            <w:tcW w:w="782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b w:val="1"/>
                <w:bCs w:val="1"/>
                <w:color w:val="auto"/>
              </w:rPr>
              <w:t>Liabilities assumed:</w:t>
            </w:r>
          </w:p>
        </w:tc>
        <w:tc>
          <w:tcPr>
            <w:tcW w:w="20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420" w:type="dxa"/>
            <w:vAlign w:val="bottom"/>
            <w:shd w:val="clear" w:color="auto" w:fill="C0C0C0"/>
          </w:tcPr>
          <w:p>
            <w:pPr>
              <w:spacing w:after="0"/>
              <w:rPr>
                <w:sz w:val="17"/>
                <w:szCs w:val="17"/>
                <w:color w:val="auto"/>
              </w:rPr>
            </w:pPr>
          </w:p>
        </w:tc>
      </w:tr>
      <w:tr>
        <w:trPr>
          <w:trHeight w:val="203"/>
        </w:trPr>
        <w:tc>
          <w:tcPr>
            <w:tcW w:w="7820" w:type="dxa"/>
            <w:vAlign w:val="bottom"/>
          </w:tcPr>
          <w:p>
            <w:pPr>
              <w:ind w:left="20"/>
              <w:spacing w:after="0" w:line="202" w:lineRule="exact"/>
              <w:rPr>
                <w:sz w:val="20"/>
                <w:szCs w:val="20"/>
                <w:color w:val="auto"/>
              </w:rPr>
            </w:pPr>
            <w:r>
              <w:rPr>
                <w:rFonts w:ascii="Arial" w:cs="Arial" w:eastAsia="Arial" w:hAnsi="Arial"/>
                <w:sz w:val="18"/>
                <w:szCs w:val="18"/>
                <w:color w:val="auto"/>
              </w:rPr>
              <w:t>Accounts payable and other accruals</w:t>
            </w:r>
          </w:p>
        </w:tc>
        <w:tc>
          <w:tcPr>
            <w:tcW w:w="200" w:type="dxa"/>
            <w:vAlign w:val="bottom"/>
          </w:tcPr>
          <w:p>
            <w:pPr>
              <w:spacing w:after="0"/>
              <w:rPr>
                <w:sz w:val="17"/>
                <w:szCs w:val="17"/>
                <w:color w:val="auto"/>
              </w:rPr>
            </w:pPr>
          </w:p>
        </w:tc>
        <w:tc>
          <w:tcPr>
            <w:tcW w:w="7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(27)</w:t>
            </w:r>
          </w:p>
        </w:tc>
      </w:tr>
      <w:tr>
        <w:trPr>
          <w:trHeight w:val="203"/>
        </w:trPr>
        <w:tc>
          <w:tcPr>
            <w:tcW w:w="782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Income taxes and deferred taxes, net</w:t>
            </w: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360"/>
              <w:spacing w:after="0" w:line="202" w:lineRule="exact"/>
              <w:rPr>
                <w:sz w:val="20"/>
                <w:szCs w:val="20"/>
                <w:color w:val="auto"/>
              </w:rPr>
            </w:pPr>
            <w:r>
              <w:rPr>
                <w:rFonts w:ascii="Arial" w:cs="Arial" w:eastAsia="Arial" w:hAnsi="Arial"/>
                <w:sz w:val="18"/>
                <w:szCs w:val="18"/>
                <w:color w:val="auto"/>
              </w:rPr>
              <w:t>(11)</w:t>
            </w:r>
          </w:p>
        </w:tc>
      </w:tr>
      <w:tr>
        <w:trPr>
          <w:trHeight w:val="203"/>
        </w:trPr>
        <w:tc>
          <w:tcPr>
            <w:tcW w:w="7820" w:type="dxa"/>
            <w:vAlign w:val="bottom"/>
          </w:tcPr>
          <w:p>
            <w:pPr>
              <w:ind w:left="20"/>
              <w:spacing w:after="0" w:line="202" w:lineRule="exact"/>
              <w:rPr>
                <w:sz w:val="20"/>
                <w:szCs w:val="20"/>
                <w:color w:val="auto"/>
              </w:rPr>
            </w:pPr>
            <w:r>
              <w:rPr>
                <w:rFonts w:ascii="Arial" w:cs="Arial" w:eastAsia="Arial" w:hAnsi="Arial"/>
                <w:sz w:val="18"/>
                <w:szCs w:val="18"/>
                <w:color w:val="auto"/>
              </w:rPr>
              <w:t>Obligations under capital leases</w:t>
            </w:r>
          </w:p>
        </w:tc>
        <w:tc>
          <w:tcPr>
            <w:tcW w:w="200" w:type="dxa"/>
            <w:vAlign w:val="bottom"/>
          </w:tcPr>
          <w:p>
            <w:pPr>
              <w:spacing w:after="0"/>
              <w:rPr>
                <w:sz w:val="17"/>
                <w:szCs w:val="17"/>
                <w:color w:val="auto"/>
              </w:rPr>
            </w:pPr>
          </w:p>
        </w:tc>
        <w:tc>
          <w:tcPr>
            <w:tcW w:w="7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(9)</w:t>
            </w:r>
          </w:p>
        </w:tc>
      </w:tr>
      <w:tr>
        <w:trPr>
          <w:trHeight w:val="203"/>
        </w:trPr>
        <w:tc>
          <w:tcPr>
            <w:tcW w:w="782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Other long-term liabilities</w:t>
            </w: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360"/>
              <w:spacing w:after="0" w:line="202" w:lineRule="exact"/>
              <w:rPr>
                <w:sz w:val="20"/>
                <w:szCs w:val="20"/>
                <w:color w:val="auto"/>
              </w:rPr>
            </w:pPr>
            <w:r>
              <w:rPr>
                <w:rFonts w:ascii="Arial" w:cs="Arial" w:eastAsia="Arial" w:hAnsi="Arial"/>
                <w:sz w:val="18"/>
                <w:szCs w:val="18"/>
                <w:color w:val="auto"/>
              </w:rPr>
              <w:t>(1)</w:t>
            </w:r>
          </w:p>
        </w:tc>
      </w:tr>
      <w:tr>
        <w:trPr>
          <w:trHeight w:val="203"/>
        </w:trPr>
        <w:tc>
          <w:tcPr>
            <w:tcW w:w="7820" w:type="dxa"/>
            <w:vAlign w:val="bottom"/>
          </w:tcPr>
          <w:p>
            <w:pPr>
              <w:ind w:left="20"/>
              <w:spacing w:after="0" w:line="202" w:lineRule="exact"/>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7"/>
                <w:szCs w:val="17"/>
                <w:color w:val="auto"/>
              </w:rPr>
            </w:pPr>
          </w:p>
        </w:tc>
        <w:tc>
          <w:tcPr>
            <w:tcW w:w="7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18</w:t>
            </w:r>
          </w:p>
        </w:tc>
      </w:tr>
      <w:tr>
        <w:trPr>
          <w:trHeight w:val="20"/>
        </w:trPr>
        <w:tc>
          <w:tcPr>
            <w:tcW w:w="7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7"/>
        </w:trPr>
        <w:tc>
          <w:tcPr>
            <w:tcW w:w="7820" w:type="dxa"/>
            <w:vAlign w:val="bottom"/>
            <w:shd w:val="clear" w:color="auto" w:fill="C0C0C0"/>
          </w:tcPr>
          <w:p>
            <w:pPr>
              <w:ind w:left="200"/>
              <w:spacing w:after="0" w:line="196" w:lineRule="exact"/>
              <w:rPr>
                <w:sz w:val="20"/>
                <w:szCs w:val="20"/>
                <w:color w:val="auto"/>
              </w:rPr>
            </w:pPr>
            <w:r>
              <w:rPr>
                <w:rFonts w:ascii="Arial" w:cs="Arial" w:eastAsia="Arial" w:hAnsi="Arial"/>
                <w:sz w:val="18"/>
                <w:szCs w:val="18"/>
                <w:color w:val="auto"/>
              </w:rPr>
              <w:t>Total purchase price</w:t>
            </w:r>
          </w:p>
        </w:tc>
        <w:tc>
          <w:tcPr>
            <w:tcW w:w="200" w:type="dxa"/>
            <w:vAlign w:val="bottom"/>
            <w:shd w:val="clear" w:color="auto" w:fill="C0C0C0"/>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0C0C0"/>
          </w:tcPr>
          <w:p>
            <w:pPr>
              <w:jc w:val="right"/>
              <w:ind w:right="420"/>
              <w:spacing w:after="0" w:line="196" w:lineRule="exact"/>
              <w:rPr>
                <w:sz w:val="20"/>
                <w:szCs w:val="20"/>
                <w:color w:val="auto"/>
              </w:rPr>
            </w:pPr>
            <w:r>
              <w:rPr>
                <w:rFonts w:ascii="Arial" w:cs="Arial" w:eastAsia="Arial" w:hAnsi="Arial"/>
                <w:sz w:val="18"/>
                <w:szCs w:val="18"/>
                <w:color w:val="auto"/>
              </w:rPr>
              <w:t>87</w:t>
            </w:r>
          </w:p>
        </w:tc>
      </w:tr>
      <w:tr>
        <w:trPr>
          <w:trHeight w:val="20"/>
        </w:trPr>
        <w:tc>
          <w:tcPr>
            <w:tcW w:w="7820" w:type="dxa"/>
            <w:vAlign w:val="bottom"/>
            <w:tcBorders>
              <w:top w:val="single" w:sz="8" w:color="C0C0C0"/>
            </w:tcBorders>
            <w:shd w:val="clear" w:color="auto" w:fill="C0C0C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0C0C0"/>
            </w:tcBorders>
            <w:shd w:val="clear" w:color="auto" w:fill="C0C0C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565775"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565775" cy="34290"/>
                    </a:xfrm>
                    <a:prstGeom prst="rect">
                      <a:avLst/>
                    </a:prstGeom>
                    <a:noFill/>
                  </pic:spPr>
                </pic:pic>
              </a:graphicData>
            </a:graphic>
          </wp:anchor>
        </w:drawing>
      </w:r>
    </w:p>
    <w:p>
      <w:pPr>
        <w:spacing w:after="0" w:line="93" w:lineRule="exact"/>
        <w:rPr>
          <w:sz w:val="20"/>
          <w:szCs w:val="20"/>
          <w:color w:val="auto"/>
        </w:rPr>
      </w:pPr>
    </w:p>
    <w:p>
      <w:pPr>
        <w:ind w:left="20"/>
        <w:spacing w:after="0"/>
        <w:rPr>
          <w:sz w:val="20"/>
          <w:szCs w:val="20"/>
          <w:color w:val="auto"/>
        </w:rPr>
      </w:pPr>
      <w:r>
        <w:rPr>
          <w:rFonts w:ascii="Arial" w:cs="Arial" w:eastAsia="Arial" w:hAnsi="Arial"/>
          <w:sz w:val="14"/>
          <w:szCs w:val="14"/>
          <w:color w:val="auto"/>
        </w:rPr>
        <w:t>(1) Due to foreign currency fluctuations, the U.S. dollar value of tradenames increased to $30 million as of February 1, 2014.</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96520</wp:posOffset>
            </wp:positionV>
            <wp:extent cx="6114415" cy="596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47" w:name="page48"/>
    <w:bookmarkEnd w:id="4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Acquisition – (continued)</w:t>
      </w:r>
    </w:p>
    <w:p>
      <w:pPr>
        <w:spacing w:after="0" w:line="139" w:lineRule="exact"/>
        <w:rPr>
          <w:sz w:val="20"/>
          <w:szCs w:val="20"/>
          <w:color w:val="auto"/>
        </w:rPr>
      </w:pPr>
    </w:p>
    <w:p>
      <w:pPr>
        <w:jc w:val="both"/>
        <w:ind w:left="60" w:right="519"/>
        <w:spacing w:after="0" w:line="256" w:lineRule="auto"/>
        <w:rPr>
          <w:sz w:val="20"/>
          <w:szCs w:val="20"/>
          <w:color w:val="auto"/>
        </w:rPr>
      </w:pPr>
      <w:r>
        <w:rPr>
          <w:rFonts w:ascii="Arial" w:cs="Arial" w:eastAsia="Arial" w:hAnsi="Arial"/>
          <w:sz w:val="18"/>
          <w:szCs w:val="18"/>
          <w:color w:val="auto"/>
        </w:rPr>
        <w:t>We determined that the tradenames have an indefinite life and will not be amortized. These tradenames will be tested annually for impairment, along with the goodwill recorded for the purchase. The value of the favorable leases will be amortized over the terms of the respective leases.</w:t>
      </w:r>
    </w:p>
    <w:p>
      <w:pPr>
        <w:spacing w:after="0" w:line="94" w:lineRule="exact"/>
        <w:rPr>
          <w:sz w:val="20"/>
          <w:szCs w:val="20"/>
          <w:color w:val="auto"/>
        </w:rPr>
      </w:pPr>
    </w:p>
    <w:p>
      <w:pPr>
        <w:jc w:val="both"/>
        <w:ind w:left="60" w:right="519"/>
        <w:spacing w:after="0" w:line="262" w:lineRule="auto"/>
        <w:rPr>
          <w:sz w:val="20"/>
          <w:szCs w:val="20"/>
          <w:color w:val="auto"/>
        </w:rPr>
      </w:pPr>
      <w:r>
        <w:rPr>
          <w:rFonts w:ascii="Arial" w:cs="Arial" w:eastAsia="Arial" w:hAnsi="Arial"/>
          <w:sz w:val="18"/>
          <w:szCs w:val="18"/>
          <w:color w:val="auto"/>
        </w:rPr>
        <w:t>The amount of goodwill expected to be tax deductible is $5 million. The proforma effects of the acquisition have not been presented, as their effects were not significant to the consolidated results of operations.</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Segment Information</w:t>
      </w:r>
    </w:p>
    <w:p>
      <w:pPr>
        <w:spacing w:after="0" w:line="139"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 xml:space="preserve">The Company has determined that its reportable segments are those that are based on its method of internal reporting. As of February 1, 2014, the Company has two reportable segments, Athletic Stores and Direct-to-Customers. The accounting policies of both segments are the same as those described in the </w:t>
      </w:r>
      <w:r>
        <w:rPr>
          <w:rFonts w:ascii="Arial" w:cs="Arial" w:eastAsia="Arial" w:hAnsi="Arial"/>
          <w:sz w:val="18"/>
          <w:szCs w:val="18"/>
          <w:i w:val="1"/>
          <w:iCs w:val="1"/>
          <w:color w:val="auto"/>
        </w:rPr>
        <w:t>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w:t>
      </w:r>
      <w:r>
        <w:rPr>
          <w:rFonts w:ascii="Arial" w:cs="Arial" w:eastAsia="Arial" w:hAnsi="Arial"/>
          <w:sz w:val="18"/>
          <w:szCs w:val="18"/>
          <w:color w:val="auto"/>
        </w:rPr>
        <w:t>note. The Company evaluates performance based on several factors, of which the primary financial measure is</w:t>
      </w:r>
      <w:r>
        <w:rPr>
          <w:rFonts w:ascii="Arial" w:cs="Arial" w:eastAsia="Arial" w:hAnsi="Arial"/>
          <w:sz w:val="18"/>
          <w:szCs w:val="18"/>
          <w:i w:val="1"/>
          <w:iCs w:val="1"/>
          <w:color w:val="auto"/>
        </w:rPr>
        <w:t xml:space="preserve"> </w:t>
      </w:r>
      <w:r>
        <w:rPr>
          <w:rFonts w:ascii="Arial" w:cs="Arial" w:eastAsia="Arial" w:hAnsi="Arial"/>
          <w:sz w:val="18"/>
          <w:szCs w:val="18"/>
          <w:color w:val="auto"/>
        </w:rPr>
        <w:t>division results. Division profit reflects income before income taxes, corporate expense, non-operating income, and net interest expense.</w:t>
      </w:r>
    </w:p>
    <w:p>
      <w:pPr>
        <w:spacing w:after="0" w:line="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As discussed in detail in Note 2, </w:t>
      </w:r>
      <w:r>
        <w:rPr>
          <w:rFonts w:ascii="Arial" w:cs="Arial" w:eastAsia="Arial" w:hAnsi="Arial"/>
          <w:sz w:val="18"/>
          <w:szCs w:val="18"/>
          <w:i w:val="1"/>
          <w:iCs w:val="1"/>
          <w:color w:val="auto"/>
        </w:rPr>
        <w:t>Acquisition</w:t>
      </w:r>
      <w:r>
        <w:rPr>
          <w:rFonts w:ascii="Arial" w:cs="Arial" w:eastAsia="Arial" w:hAnsi="Arial"/>
          <w:sz w:val="18"/>
          <w:szCs w:val="18"/>
          <w:color w:val="auto"/>
        </w:rPr>
        <w:t>, the Company acquired Runners Point Group during the second quarter of</w:t>
      </w:r>
    </w:p>
    <w:p>
      <w:pPr>
        <w:spacing w:after="0" w:line="54" w:lineRule="exact"/>
        <w:rPr>
          <w:sz w:val="20"/>
          <w:szCs w:val="20"/>
          <w:color w:val="auto"/>
        </w:rPr>
      </w:pPr>
    </w:p>
    <w:p>
      <w:pPr>
        <w:jc w:val="both"/>
        <w:ind w:left="60" w:right="539"/>
        <w:spacing w:after="0" w:line="225" w:lineRule="auto"/>
        <w:rPr>
          <w:sz w:val="20"/>
          <w:szCs w:val="20"/>
          <w:color w:val="auto"/>
        </w:rPr>
      </w:pPr>
      <w:r>
        <w:rPr>
          <w:rFonts w:ascii="Arial" w:cs="Arial" w:eastAsia="Arial" w:hAnsi="Arial"/>
          <w:sz w:val="18"/>
          <w:szCs w:val="18"/>
          <w:color w:val="auto"/>
        </w:rPr>
        <w:t>2013. Sales and division results for the Runners Point Group stores, including Runners Point, Sidestep and Run</w:t>
      </w:r>
      <w:r>
        <w:rPr>
          <w:rFonts w:ascii="Arial" w:cs="Arial" w:eastAsia="Arial" w:hAnsi="Arial"/>
          <w:sz w:val="30"/>
          <w:szCs w:val="30"/>
          <w:color w:val="auto"/>
          <w:vertAlign w:val="superscript"/>
        </w:rPr>
        <w:t>2</w:t>
      </w:r>
      <w:r>
        <w:rPr>
          <w:rFonts w:ascii="Arial" w:cs="Arial" w:eastAsia="Arial" w:hAnsi="Arial"/>
          <w:sz w:val="18"/>
          <w:szCs w:val="18"/>
          <w:color w:val="auto"/>
        </w:rPr>
        <w:t>, are included in the Athletic Stores segment since the date of acquisition. Sales and division results for Tredex, a direct-to-customers subsidiary of Runners Point Group, are included in the Direct-to-Customers segment since the date of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-76200</wp:posOffset>
            </wp:positionV>
            <wp:extent cx="556577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57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7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Sales</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4"/>
          </w:tcPr>
          <w:p>
            <w:pPr>
              <w:ind w:left="8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7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Athletic Stores</w:t>
            </w:r>
          </w:p>
        </w:tc>
        <w:tc>
          <w:tcPr>
            <w:tcW w:w="20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rPr>
              <w:t>5,790</w:t>
            </w:r>
          </w:p>
        </w:tc>
        <w:tc>
          <w:tcPr>
            <w:tcW w:w="80" w:type="dxa"/>
            <w:vAlign w:val="bottom"/>
            <w:tcBorders>
              <w:left w:val="single" w:sz="8" w:color="C0C0C0"/>
            </w:tcBorders>
            <w:shd w:val="clear" w:color="auto" w:fill="C0C0C0"/>
          </w:tcPr>
          <w:p>
            <w:pPr>
              <w:spacing w:after="0"/>
              <w:rPr>
                <w:sz w:val="17"/>
                <w:szCs w:val="17"/>
                <w:color w:val="auto"/>
              </w:rPr>
            </w:pPr>
          </w:p>
        </w:tc>
        <w:tc>
          <w:tcPr>
            <w:tcW w:w="360" w:type="dxa"/>
            <w:vAlign w:val="bottom"/>
            <w:gridSpan w:val="2"/>
            <w:shd w:val="clear" w:color="auto" w:fill="C0C0C0"/>
          </w:tcPr>
          <w:p>
            <w:pPr>
              <w:jc w:val="right"/>
              <w:ind w:right="8"/>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0C0C0"/>
          </w:tcPr>
          <w:p>
            <w:pPr>
              <w:jc w:val="right"/>
              <w:ind w:right="80"/>
              <w:spacing w:after="0" w:line="202" w:lineRule="exact"/>
              <w:rPr>
                <w:sz w:val="20"/>
                <w:szCs w:val="20"/>
                <w:color w:val="auto"/>
              </w:rPr>
            </w:pPr>
            <w:r>
              <w:rPr>
                <w:rFonts w:ascii="Arial" w:cs="Arial" w:eastAsia="Arial" w:hAnsi="Arial"/>
                <w:sz w:val="18"/>
                <w:szCs w:val="18"/>
                <w:color w:val="auto"/>
              </w:rPr>
              <w:t>5,568</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0C0C0"/>
          </w:tcPr>
          <w:p>
            <w:pPr>
              <w:jc w:val="right"/>
              <w:ind w:right="180"/>
              <w:spacing w:after="0" w:line="202" w:lineRule="exact"/>
              <w:rPr>
                <w:sz w:val="20"/>
                <w:szCs w:val="20"/>
                <w:color w:val="auto"/>
              </w:rPr>
            </w:pPr>
            <w:r>
              <w:rPr>
                <w:rFonts w:ascii="Arial" w:cs="Arial" w:eastAsia="Arial" w:hAnsi="Arial"/>
                <w:sz w:val="18"/>
                <w:szCs w:val="18"/>
                <w:color w:val="auto"/>
              </w:rPr>
              <w:t>5,110</w:t>
            </w: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Direct-to-Customers</w:t>
            </w:r>
          </w:p>
        </w:tc>
        <w:tc>
          <w:tcPr>
            <w:tcW w:w="2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715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614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60" w:type="dxa"/>
            <w:vAlign w:val="bottom"/>
            <w:shd w:val="clear" w:color="auto" w:fill="C0C0C0"/>
          </w:tcPr>
          <w:p>
            <w:pPr>
              <w:ind w:left="200"/>
              <w:spacing w:after="0" w:line="196" w:lineRule="exact"/>
              <w:rPr>
                <w:sz w:val="20"/>
                <w:szCs w:val="20"/>
                <w:color w:val="auto"/>
              </w:rPr>
            </w:pPr>
            <w:r>
              <w:rPr>
                <w:rFonts w:ascii="Arial" w:cs="Arial" w:eastAsia="Arial" w:hAnsi="Arial"/>
                <w:sz w:val="18"/>
                <w:szCs w:val="18"/>
                <w:color w:val="auto"/>
              </w:rPr>
              <w:t>Total sales</w:t>
            </w:r>
          </w:p>
        </w:tc>
        <w:tc>
          <w:tcPr>
            <w:tcW w:w="200" w:type="dxa"/>
            <w:vAlign w:val="bottom"/>
            <w:shd w:val="clear" w:color="auto" w:fill="C0C0C0"/>
          </w:tcPr>
          <w:p>
            <w:pPr>
              <w:jc w:val="right"/>
              <w:ind w:right="10"/>
              <w:spacing w:after="0" w:line="196" w:lineRule="exact"/>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b w:val="1"/>
                <w:bCs w:val="1"/>
                <w:color w:val="auto"/>
              </w:rPr>
              <w:t>6,505</w:t>
            </w:r>
          </w:p>
        </w:tc>
        <w:tc>
          <w:tcPr>
            <w:tcW w:w="80" w:type="dxa"/>
            <w:vAlign w:val="bottom"/>
            <w:tcBorders>
              <w:left w:val="single" w:sz="8" w:color="C0C0C0"/>
            </w:tcBorders>
            <w:shd w:val="clear" w:color="auto" w:fill="C0C0C0"/>
          </w:tcPr>
          <w:p>
            <w:pPr>
              <w:spacing w:after="0"/>
              <w:rPr>
                <w:sz w:val="20"/>
                <w:szCs w:val="20"/>
                <w:color w:val="auto"/>
              </w:rPr>
            </w:pPr>
          </w:p>
        </w:tc>
        <w:tc>
          <w:tcPr>
            <w:tcW w:w="360" w:type="dxa"/>
            <w:vAlign w:val="bottom"/>
            <w:gridSpan w:val="2"/>
            <w:shd w:val="clear" w:color="auto" w:fill="C0C0C0"/>
          </w:tcPr>
          <w:p>
            <w:pPr>
              <w:jc w:val="right"/>
              <w:ind w:right="8"/>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0C0C0"/>
          </w:tcPr>
          <w:p>
            <w:pPr>
              <w:jc w:val="right"/>
              <w:ind w:right="80"/>
              <w:spacing w:after="0" w:line="196" w:lineRule="exact"/>
              <w:rPr>
                <w:sz w:val="20"/>
                <w:szCs w:val="20"/>
                <w:color w:val="auto"/>
              </w:rPr>
            </w:pPr>
            <w:r>
              <w:rPr>
                <w:rFonts w:ascii="Arial" w:cs="Arial" w:eastAsia="Arial" w:hAnsi="Arial"/>
                <w:sz w:val="18"/>
                <w:szCs w:val="18"/>
                <w:color w:val="auto"/>
              </w:rPr>
              <w:t>6,182</w:t>
            </w:r>
          </w:p>
        </w:tc>
        <w:tc>
          <w:tcPr>
            <w:tcW w:w="160" w:type="dxa"/>
            <w:vAlign w:val="bottom"/>
            <w:shd w:val="clear" w:color="auto" w:fill="C0C0C0"/>
          </w:tcPr>
          <w:p>
            <w:pPr>
              <w:spacing w:after="0"/>
              <w:rPr>
                <w:sz w:val="20"/>
                <w:szCs w:val="20"/>
                <w:color w:val="auto"/>
              </w:rPr>
            </w:pPr>
          </w:p>
        </w:tc>
        <w:tc>
          <w:tcPr>
            <w:tcW w:w="200" w:type="dxa"/>
            <w:vAlign w:val="bottom"/>
            <w:shd w:val="clear" w:color="auto" w:fill="C0C0C0"/>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0C0C0"/>
          </w:tcPr>
          <w:p>
            <w:pPr>
              <w:jc w:val="right"/>
              <w:ind w:right="180"/>
              <w:spacing w:after="0" w:line="196" w:lineRule="exact"/>
              <w:rPr>
                <w:sz w:val="20"/>
                <w:szCs w:val="20"/>
                <w:color w:val="auto"/>
              </w:rPr>
            </w:pPr>
            <w:r>
              <w:rPr>
                <w:rFonts w:ascii="Arial" w:cs="Arial" w:eastAsia="Arial" w:hAnsi="Arial"/>
                <w:sz w:val="18"/>
                <w:szCs w:val="18"/>
                <w:color w:val="auto"/>
              </w:rPr>
              <w:t>5,623</w:t>
            </w:r>
          </w:p>
        </w:tc>
        <w:tc>
          <w:tcPr>
            <w:tcW w:w="0" w:type="dxa"/>
            <w:vAlign w:val="bottom"/>
          </w:tcPr>
          <w:p>
            <w:pPr>
              <w:spacing w:after="0"/>
              <w:rPr>
                <w:sz w:val="1"/>
                <w:szCs w:val="1"/>
                <w:color w:val="auto"/>
              </w:rPr>
            </w:pPr>
          </w:p>
        </w:tc>
      </w:tr>
      <w:tr>
        <w:trPr>
          <w:trHeight w:val="196"/>
        </w:trPr>
        <w:tc>
          <w:tcPr>
            <w:tcW w:w="5760" w:type="dxa"/>
            <w:vAlign w:val="bottom"/>
            <w:tcBorders>
              <w:top w:val="single" w:sz="8" w:color="C0C0C0"/>
            </w:tcBorders>
          </w:tcPr>
          <w:p>
            <w:pPr>
              <w:ind w:left="20"/>
              <w:spacing w:after="0" w:line="196" w:lineRule="exact"/>
              <w:rPr>
                <w:sz w:val="20"/>
                <w:szCs w:val="20"/>
                <w:color w:val="auto"/>
              </w:rPr>
            </w:pPr>
            <w:r>
              <w:rPr>
                <w:rFonts w:ascii="Arial" w:cs="Arial" w:eastAsia="Arial" w:hAnsi="Arial"/>
                <w:sz w:val="18"/>
                <w:szCs w:val="18"/>
                <w:b w:val="1"/>
                <w:bCs w:val="1"/>
                <w:color w:val="auto"/>
              </w:rPr>
              <w:t>Operating Results</w:t>
            </w: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0" w:type="dxa"/>
            <w:vAlign w:val="bottom"/>
            <w:tcBorders>
              <w:top w:val="single" w:sz="8" w:color="C0C0C0"/>
            </w:tcBorders>
          </w:tcPr>
          <w:p>
            <w:pPr>
              <w:spacing w:after="0"/>
              <w:rPr>
                <w:sz w:val="17"/>
                <w:szCs w:val="17"/>
                <w:color w:val="auto"/>
              </w:rPr>
            </w:pPr>
          </w:p>
        </w:tc>
        <w:tc>
          <w:tcPr>
            <w:tcW w:w="160" w:type="dxa"/>
            <w:vAlign w:val="bottom"/>
            <w:tcBorders>
              <w:top w:val="single" w:sz="8" w:color="C0C0C0"/>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 w:type="dxa"/>
            <w:vAlign w:val="bottom"/>
            <w:tcBorders>
              <w:top w:val="single" w:sz="8" w:color="C0C0C0"/>
            </w:tcBorders>
          </w:tcPr>
          <w:p>
            <w:pPr>
              <w:spacing w:after="0"/>
              <w:rPr>
                <w:sz w:val="17"/>
                <w:szCs w:val="17"/>
                <w:color w:val="auto"/>
              </w:rPr>
            </w:pPr>
          </w:p>
        </w:tc>
        <w:tc>
          <w:tcPr>
            <w:tcW w:w="160" w:type="dxa"/>
            <w:vAlign w:val="bottom"/>
            <w:tcBorders>
              <w:top w:val="single" w:sz="8" w:color="C0C0C0"/>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0" w:type="dxa"/>
            <w:vAlign w:val="bottom"/>
            <w:tcBorders>
              <w:top w:val="single" w:sz="8" w:color="C0C0C0"/>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760" w:type="dxa"/>
            <w:vAlign w:val="bottom"/>
            <w:shd w:val="clear" w:color="auto" w:fill="C0C0C0"/>
          </w:tcPr>
          <w:p>
            <w:pPr>
              <w:ind w:left="20"/>
              <w:spacing w:after="0" w:line="243" w:lineRule="exact"/>
              <w:rPr>
                <w:sz w:val="20"/>
                <w:szCs w:val="20"/>
                <w:color w:val="auto"/>
              </w:rPr>
            </w:pPr>
            <w:r>
              <w:rPr>
                <w:rFonts w:ascii="Arial" w:cs="Arial" w:eastAsia="Arial" w:hAnsi="Arial"/>
                <w:sz w:val="17"/>
                <w:szCs w:val="17"/>
                <w:color w:val="auto"/>
              </w:rPr>
              <w:t>Athletic Stores</w:t>
            </w:r>
            <w:r>
              <w:rPr>
                <w:rFonts w:ascii="Arial" w:cs="Arial" w:eastAsia="Arial" w:hAnsi="Arial"/>
                <w:sz w:val="28"/>
                <w:szCs w:val="28"/>
                <w:color w:val="auto"/>
                <w:vertAlign w:val="superscript"/>
              </w:rPr>
              <w:t>(1)</w:t>
            </w:r>
          </w:p>
        </w:tc>
        <w:tc>
          <w:tcPr>
            <w:tcW w:w="200" w:type="dxa"/>
            <w:vAlign w:val="bottom"/>
            <w:shd w:val="clear" w:color="auto" w:fill="C0C0C0"/>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656</w:t>
            </w:r>
          </w:p>
        </w:tc>
        <w:tc>
          <w:tcPr>
            <w:tcW w:w="80" w:type="dxa"/>
            <w:vAlign w:val="bottom"/>
            <w:tcBorders>
              <w:left w:val="single" w:sz="8" w:color="C0C0C0"/>
            </w:tcBorders>
            <w:shd w:val="clear" w:color="auto" w:fill="C0C0C0"/>
          </w:tcPr>
          <w:p>
            <w:pPr>
              <w:spacing w:after="0"/>
              <w:rPr>
                <w:sz w:val="21"/>
                <w:szCs w:val="21"/>
                <w:color w:val="auto"/>
              </w:rPr>
            </w:pPr>
          </w:p>
        </w:tc>
        <w:tc>
          <w:tcPr>
            <w:tcW w:w="360" w:type="dxa"/>
            <w:vAlign w:val="bottom"/>
            <w:gridSpan w:val="2"/>
            <w:shd w:val="clear" w:color="auto" w:fill="C0C0C0"/>
          </w:tcPr>
          <w:p>
            <w:pPr>
              <w:jc w:val="right"/>
              <w:ind w:right="8"/>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653</w:t>
            </w:r>
          </w:p>
        </w:tc>
        <w:tc>
          <w:tcPr>
            <w:tcW w:w="160" w:type="dxa"/>
            <w:vAlign w:val="bottom"/>
            <w:shd w:val="clear" w:color="auto" w:fill="C0C0C0"/>
          </w:tcPr>
          <w:p>
            <w:pPr>
              <w:spacing w:after="0"/>
              <w:rPr>
                <w:sz w:val="21"/>
                <w:szCs w:val="21"/>
                <w:color w:val="auto"/>
              </w:rPr>
            </w:pPr>
          </w:p>
        </w:tc>
        <w:tc>
          <w:tcPr>
            <w:tcW w:w="20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0C0C0"/>
          </w:tcPr>
          <w:p>
            <w:pPr>
              <w:jc w:val="right"/>
              <w:ind w:right="2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43"/>
        </w:trPr>
        <w:tc>
          <w:tcPr>
            <w:tcW w:w="5760" w:type="dxa"/>
            <w:vAlign w:val="bottom"/>
          </w:tcPr>
          <w:p>
            <w:pPr>
              <w:ind w:left="20"/>
              <w:spacing w:after="0" w:line="243" w:lineRule="exact"/>
              <w:rPr>
                <w:sz w:val="20"/>
                <w:szCs w:val="20"/>
                <w:color w:val="auto"/>
              </w:rPr>
            </w:pPr>
            <w:r>
              <w:rPr>
                <w:rFonts w:ascii="Arial" w:cs="Arial" w:eastAsia="Arial" w:hAnsi="Arial"/>
                <w:sz w:val="17"/>
                <w:szCs w:val="17"/>
                <w:color w:val="auto"/>
              </w:rPr>
              <w:t>Direct-to-Customers</w:t>
            </w:r>
            <w:r>
              <w:rPr>
                <w:rFonts w:ascii="Arial" w:cs="Arial" w:eastAsia="Arial" w:hAnsi="Arial"/>
                <w:sz w:val="28"/>
                <w:szCs w:val="28"/>
                <w:color w:val="auto"/>
                <w:vertAlign w:val="superscript"/>
              </w:rPr>
              <w:t>(2)</w:t>
            </w:r>
          </w:p>
        </w:tc>
        <w:tc>
          <w:tcPr>
            <w:tcW w:w="20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84</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58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b w:val="1"/>
                <w:bCs w:val="1"/>
                <w:color w:val="auto"/>
              </w:rPr>
              <w:t>740</w:t>
            </w:r>
          </w:p>
        </w:tc>
        <w:tc>
          <w:tcPr>
            <w:tcW w:w="80" w:type="dxa"/>
            <w:vAlign w:val="bottom"/>
            <w:tcBorders>
              <w:left w:val="single" w:sz="8" w:color="C0C0C0"/>
            </w:tcBorders>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80"/>
              <w:spacing w:after="0" w:line="196" w:lineRule="exact"/>
              <w:rPr>
                <w:sz w:val="20"/>
                <w:szCs w:val="20"/>
                <w:color w:val="auto"/>
              </w:rPr>
            </w:pPr>
            <w:r>
              <w:rPr>
                <w:rFonts w:ascii="Arial" w:cs="Arial" w:eastAsia="Arial" w:hAnsi="Arial"/>
                <w:sz w:val="18"/>
                <w:szCs w:val="18"/>
                <w:color w:val="auto"/>
              </w:rPr>
              <w:t>718</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200"/>
              <w:spacing w:after="0" w:line="196" w:lineRule="exact"/>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43"/>
        </w:trPr>
        <w:tc>
          <w:tcPr>
            <w:tcW w:w="5760" w:type="dxa"/>
            <w:vAlign w:val="bottom"/>
          </w:tcPr>
          <w:p>
            <w:pPr>
              <w:ind w:left="20"/>
              <w:spacing w:after="0" w:line="243" w:lineRule="exact"/>
              <w:rPr>
                <w:sz w:val="20"/>
                <w:szCs w:val="20"/>
                <w:color w:val="auto"/>
              </w:rPr>
            </w:pPr>
            <w:r>
              <w:rPr>
                <w:rFonts w:ascii="Arial" w:cs="Arial" w:eastAsia="Arial" w:hAnsi="Arial"/>
                <w:sz w:val="17"/>
                <w:szCs w:val="17"/>
                <w:color w:val="auto"/>
              </w:rPr>
              <w:t>Restructuring charge</w:t>
            </w:r>
            <w:r>
              <w:rPr>
                <w:rFonts w:ascii="Arial" w:cs="Arial" w:eastAsia="Arial" w:hAnsi="Arial"/>
                <w:sz w:val="28"/>
                <w:szCs w:val="28"/>
                <w:color w:val="auto"/>
                <w:vertAlign w:val="superscript"/>
              </w:rPr>
              <w:t>(3)</w:t>
            </w:r>
          </w:p>
        </w:tc>
        <w:tc>
          <w:tcPr>
            <w:tcW w:w="20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shd w:val="clear" w:color="auto" w:fill="C0C0C0"/>
          </w:tcPr>
          <w:p>
            <w:pPr>
              <w:ind w:left="20"/>
              <w:spacing w:after="0" w:line="196" w:lineRule="exact"/>
              <w:rPr>
                <w:sz w:val="20"/>
                <w:szCs w:val="20"/>
                <w:color w:val="auto"/>
              </w:rPr>
            </w:pPr>
            <w:r>
              <w:rPr>
                <w:rFonts w:ascii="Arial" w:cs="Arial" w:eastAsia="Arial" w:hAnsi="Arial"/>
                <w:sz w:val="18"/>
                <w:szCs w:val="18"/>
                <w:color w:val="auto"/>
              </w:rPr>
              <w:t>Division profit</w:t>
            </w:r>
          </w:p>
        </w:tc>
        <w:tc>
          <w:tcPr>
            <w:tcW w:w="200" w:type="dxa"/>
            <w:vAlign w:val="bottom"/>
            <w:shd w:val="clear" w:color="auto" w:fill="C0C0C0"/>
          </w:tcPr>
          <w:p>
            <w:pPr>
              <w:spacing w:after="0"/>
              <w:rPr>
                <w:sz w:val="17"/>
                <w:szCs w:val="17"/>
                <w:color w:val="auto"/>
              </w:rPr>
            </w:pPr>
          </w:p>
        </w:tc>
        <w:tc>
          <w:tcPr>
            <w:tcW w:w="58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b w:val="1"/>
                <w:bCs w:val="1"/>
                <w:color w:val="auto"/>
              </w:rPr>
              <w:t>740</w:t>
            </w:r>
          </w:p>
        </w:tc>
        <w:tc>
          <w:tcPr>
            <w:tcW w:w="80" w:type="dxa"/>
            <w:vAlign w:val="bottom"/>
            <w:tcBorders>
              <w:left w:val="single" w:sz="8" w:color="C0C0C0"/>
            </w:tcBorders>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80"/>
              <w:spacing w:after="0" w:line="196" w:lineRule="exact"/>
              <w:rPr>
                <w:sz w:val="20"/>
                <w:szCs w:val="20"/>
                <w:color w:val="auto"/>
              </w:rPr>
            </w:pPr>
            <w:r>
              <w:rPr>
                <w:rFonts w:ascii="Arial" w:cs="Arial" w:eastAsia="Arial" w:hAnsi="Arial"/>
                <w:sz w:val="18"/>
                <w:szCs w:val="18"/>
                <w:color w:val="auto"/>
              </w:rPr>
              <w:t>718</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200"/>
              <w:spacing w:after="0" w:line="196" w:lineRule="exact"/>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43"/>
        </w:trPr>
        <w:tc>
          <w:tcPr>
            <w:tcW w:w="5760" w:type="dxa"/>
            <w:vAlign w:val="bottom"/>
          </w:tcPr>
          <w:p>
            <w:pPr>
              <w:ind w:left="20"/>
              <w:spacing w:after="0" w:line="243" w:lineRule="exact"/>
              <w:rPr>
                <w:sz w:val="20"/>
                <w:szCs w:val="20"/>
                <w:color w:val="auto"/>
              </w:rPr>
            </w:pPr>
            <w:r>
              <w:rPr>
                <w:rFonts w:ascii="Arial" w:cs="Arial" w:eastAsia="Arial" w:hAnsi="Arial"/>
                <w:sz w:val="17"/>
                <w:szCs w:val="17"/>
                <w:color w:val="auto"/>
              </w:rPr>
              <w:t>Less: Corporate expense</w:t>
            </w:r>
            <w:r>
              <w:rPr>
                <w:rFonts w:ascii="Arial" w:cs="Arial" w:eastAsia="Arial" w:hAnsi="Arial"/>
                <w:sz w:val="28"/>
                <w:szCs w:val="28"/>
                <w:color w:val="auto"/>
                <w:vertAlign w:val="superscript"/>
              </w:rPr>
              <w:t>(4)</w:t>
            </w:r>
          </w:p>
        </w:tc>
        <w:tc>
          <w:tcPr>
            <w:tcW w:w="20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76</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shd w:val="clear" w:color="auto" w:fill="C0C0C0"/>
          </w:tcPr>
          <w:p>
            <w:pPr>
              <w:ind w:left="20"/>
              <w:spacing w:after="0" w:line="196" w:lineRule="exact"/>
              <w:rPr>
                <w:sz w:val="20"/>
                <w:szCs w:val="20"/>
                <w:color w:val="auto"/>
              </w:rPr>
            </w:pPr>
            <w:r>
              <w:rPr>
                <w:rFonts w:ascii="Arial" w:cs="Arial" w:eastAsia="Arial" w:hAnsi="Arial"/>
                <w:sz w:val="18"/>
                <w:szCs w:val="18"/>
                <w:color w:val="auto"/>
              </w:rPr>
              <w:t>Operating profit</w:t>
            </w:r>
          </w:p>
        </w:tc>
        <w:tc>
          <w:tcPr>
            <w:tcW w:w="200" w:type="dxa"/>
            <w:vAlign w:val="bottom"/>
            <w:shd w:val="clear" w:color="auto" w:fill="C0C0C0"/>
          </w:tcPr>
          <w:p>
            <w:pPr>
              <w:spacing w:after="0"/>
              <w:rPr>
                <w:sz w:val="17"/>
                <w:szCs w:val="17"/>
                <w:color w:val="auto"/>
              </w:rPr>
            </w:pPr>
          </w:p>
        </w:tc>
        <w:tc>
          <w:tcPr>
            <w:tcW w:w="58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b w:val="1"/>
                <w:bCs w:val="1"/>
                <w:color w:val="auto"/>
              </w:rPr>
              <w:t>664</w:t>
            </w:r>
          </w:p>
        </w:tc>
        <w:tc>
          <w:tcPr>
            <w:tcW w:w="80" w:type="dxa"/>
            <w:vAlign w:val="bottom"/>
            <w:tcBorders>
              <w:left w:val="single" w:sz="8" w:color="C0C0C0"/>
            </w:tcBorders>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80"/>
              <w:spacing w:after="0" w:line="196" w:lineRule="exact"/>
              <w:rPr>
                <w:sz w:val="20"/>
                <w:szCs w:val="20"/>
                <w:color w:val="auto"/>
              </w:rPr>
            </w:pPr>
            <w:r>
              <w:rPr>
                <w:rFonts w:ascii="Arial" w:cs="Arial" w:eastAsia="Arial" w:hAnsi="Arial"/>
                <w:sz w:val="18"/>
                <w:szCs w:val="18"/>
                <w:color w:val="auto"/>
              </w:rPr>
              <w:t>610</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200"/>
              <w:spacing w:after="0" w:line="196" w:lineRule="exact"/>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57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0C0C0"/>
          </w:tcPr>
          <w:p>
            <w:pPr>
              <w:spacing w:after="0"/>
              <w:rPr>
                <w:sz w:val="17"/>
                <w:szCs w:val="17"/>
                <w:color w:val="auto"/>
              </w:rPr>
            </w:pPr>
          </w:p>
        </w:tc>
        <w:tc>
          <w:tcPr>
            <w:tcW w:w="58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rPr>
              <w:t>5</w:t>
            </w:r>
          </w:p>
        </w:tc>
        <w:tc>
          <w:tcPr>
            <w:tcW w:w="80" w:type="dxa"/>
            <w:vAlign w:val="bottom"/>
            <w:tcBorders>
              <w:left w:val="single" w:sz="8" w:color="C0C0C0"/>
            </w:tcBorders>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80"/>
              <w:spacing w:after="0" w:line="202" w:lineRule="exact"/>
              <w:rPr>
                <w:sz w:val="20"/>
                <w:szCs w:val="20"/>
                <w:color w:val="auto"/>
              </w:rPr>
            </w:pPr>
            <w:r>
              <w:rPr>
                <w:rFonts w:ascii="Arial" w:cs="Arial" w:eastAsia="Arial" w:hAnsi="Arial"/>
                <w:sz w:val="18"/>
                <w:szCs w:val="18"/>
                <w:color w:val="auto"/>
              </w:rPr>
              <w:t>5</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8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7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Borders>
              <w:left w:val="single" w:sz="8" w:color="C0C0C0"/>
            </w:tcBorders>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tcPr>
          <w:p>
            <w:pPr>
              <w:ind w:left="20"/>
              <w:spacing w:after="0" w:line="196" w:lineRule="exact"/>
              <w:rPr>
                <w:sz w:val="20"/>
                <w:szCs w:val="20"/>
                <w:color w:val="auto"/>
              </w:rPr>
            </w:pPr>
            <w:r>
              <w:rPr>
                <w:rFonts w:ascii="Arial" w:cs="Arial" w:eastAsia="Arial" w:hAnsi="Arial"/>
                <w:sz w:val="18"/>
                <w:szCs w:val="18"/>
                <w:color w:val="auto"/>
              </w:rPr>
              <w:t>Income before income taxes</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663</w:t>
            </w:r>
          </w:p>
        </w:tc>
        <w:tc>
          <w:tcPr>
            <w:tcW w:w="80" w:type="dxa"/>
            <w:vAlign w:val="bottom"/>
          </w:tcPr>
          <w:p>
            <w:pPr>
              <w:spacing w:after="0"/>
              <w:rPr>
                <w:sz w:val="17"/>
                <w:szCs w:val="17"/>
                <w:color w:val="auto"/>
              </w:rPr>
            </w:pPr>
          </w:p>
        </w:tc>
        <w:tc>
          <w:tcPr>
            <w:tcW w:w="360" w:type="dxa"/>
            <w:vAlign w:val="bottom"/>
            <w:gridSpan w:val="2"/>
          </w:tcPr>
          <w:p>
            <w:pPr>
              <w:jc w:val="right"/>
              <w:ind w:right="8"/>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607</w:t>
            </w:r>
          </w:p>
        </w:tc>
        <w:tc>
          <w:tcPr>
            <w:tcW w:w="16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-1619885</wp:posOffset>
            </wp:positionV>
            <wp:extent cx="5565775" cy="1631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565775"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-170815</wp:posOffset>
            </wp:positionV>
            <wp:extent cx="5565775"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565775" cy="171450"/>
                    </a:xfrm>
                    <a:prstGeom prst="rect">
                      <a:avLst/>
                    </a:prstGeom>
                    <a:noFill/>
                  </pic:spPr>
                </pic:pic>
              </a:graphicData>
            </a:graphic>
          </wp:anchor>
        </w:drawing>
      </w:r>
    </w:p>
    <w:p>
      <w:pPr>
        <w:spacing w:after="0" w:line="93" w:lineRule="exact"/>
        <w:rPr>
          <w:sz w:val="20"/>
          <w:szCs w:val="20"/>
          <w:color w:val="auto"/>
        </w:rPr>
      </w:pPr>
    </w:p>
    <w:p>
      <w:pPr>
        <w:jc w:val="both"/>
        <w:ind w:left="300" w:right="539" w:hanging="272"/>
        <w:spacing w:after="0" w:line="270" w:lineRule="auto"/>
        <w:tabs>
          <w:tab w:leader="none" w:pos="3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results for 2013 include a $2 million charge recorded in connection with the closure of all CCS stores. The results of 2012 include a non-cash impairment charge of $5 million to write down long-lived assets of the CCS stores as a result of the Company’s decision to close the stores during the first quarter of 2013.</w:t>
      </w:r>
    </w:p>
    <w:p>
      <w:pPr>
        <w:spacing w:after="0" w:line="91" w:lineRule="exact"/>
        <w:rPr>
          <w:rFonts w:ascii="Arial" w:cs="Arial" w:eastAsia="Arial" w:hAnsi="Arial"/>
          <w:sz w:val="14"/>
          <w:szCs w:val="14"/>
          <w:color w:val="auto"/>
        </w:rPr>
      </w:pPr>
    </w:p>
    <w:p>
      <w:pPr>
        <w:ind w:left="300" w:right="539" w:hanging="272"/>
        <w:spacing w:after="0" w:line="278" w:lineRule="auto"/>
        <w:tabs>
          <w:tab w:leader="none" w:pos="3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 xml:space="preserve">Included in the results for 2012 and 2011 are non-cash impairment charges of $7 million and $5 million, respectively, related to the CCS business. See Note 4, </w:t>
      </w:r>
      <w:r>
        <w:rPr>
          <w:rFonts w:ascii="Arial" w:cs="Arial" w:eastAsia="Arial" w:hAnsi="Arial"/>
          <w:sz w:val="14"/>
          <w:szCs w:val="14"/>
          <w:i w:val="1"/>
          <w:iCs w:val="1"/>
          <w:color w:val="auto"/>
        </w:rPr>
        <w:t>Impairment and Other Charges</w:t>
      </w:r>
      <w:r>
        <w:rPr>
          <w:rFonts w:ascii="Arial" w:cs="Arial" w:eastAsia="Arial" w:hAnsi="Arial"/>
          <w:sz w:val="14"/>
          <w:szCs w:val="14"/>
          <w:color w:val="auto"/>
        </w:rPr>
        <w:t xml:space="preserve"> for additional information.</w:t>
      </w:r>
    </w:p>
    <w:p>
      <w:pPr>
        <w:spacing w:after="0" w:line="86" w:lineRule="exact"/>
        <w:rPr>
          <w:rFonts w:ascii="Arial" w:cs="Arial" w:eastAsia="Arial" w:hAnsi="Arial"/>
          <w:sz w:val="14"/>
          <w:szCs w:val="14"/>
          <w:color w:val="auto"/>
        </w:rPr>
      </w:pPr>
    </w:p>
    <w:p>
      <w:pPr>
        <w:ind w:left="300" w:right="519" w:hanging="272"/>
        <w:spacing w:after="0" w:line="278" w:lineRule="auto"/>
        <w:tabs>
          <w:tab w:leader="none" w:pos="3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 2011, the Company increased its 1993 Repositioning and 1991 Restructuring reserve by $1 million for repairs necessary to one of the locations comprising this reserve. This amount is included in selling, general and administrative expenses.</w:t>
      </w:r>
    </w:p>
    <w:p>
      <w:pPr>
        <w:spacing w:after="0" w:line="86" w:lineRule="exact"/>
        <w:rPr>
          <w:rFonts w:ascii="Arial" w:cs="Arial" w:eastAsia="Arial" w:hAnsi="Arial"/>
          <w:sz w:val="14"/>
          <w:szCs w:val="14"/>
          <w:color w:val="auto"/>
        </w:rPr>
      </w:pPr>
    </w:p>
    <w:p>
      <w:pPr>
        <w:ind w:left="300" w:right="539" w:hanging="272"/>
        <w:spacing w:after="0" w:line="278" w:lineRule="auto"/>
        <w:tabs>
          <w:tab w:leader="none" w:pos="3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Corporate expense for 2013 reflects the reallocation of expense between corporate and the operating divisions. Based upon an internal study of corporate expense, the allocation of such expenses to the operating divisions was increased by $27 million thereby reducing corporate expense.</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96520</wp:posOffset>
            </wp:positionV>
            <wp:extent cx="6114415" cy="596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48" w:name="page49"/>
    <w:bookmarkEnd w:id="48"/>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Segment Information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-56515</wp:posOffset>
            </wp:positionV>
            <wp:extent cx="552259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gridSpan w:val="7"/>
          </w:tcPr>
          <w:p>
            <w:pPr>
              <w:jc w:val="center"/>
              <w:spacing w:after="0"/>
              <w:rPr>
                <w:sz w:val="20"/>
                <w:szCs w:val="20"/>
                <w:color w:val="auto"/>
              </w:rPr>
            </w:pPr>
            <w:r>
              <w:rPr>
                <w:rFonts w:ascii="Arial" w:cs="Arial" w:eastAsia="Arial" w:hAnsi="Arial"/>
                <w:sz w:val="14"/>
                <w:szCs w:val="14"/>
                <w:b w:val="1"/>
                <w:bCs w:val="1"/>
                <w:color w:val="auto"/>
              </w:rPr>
              <w:t>Depreciation</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5"/>
          </w:tcPr>
          <w:p>
            <w:pPr>
              <w:jc w:val="right"/>
              <w:ind w:right="48"/>
              <w:spacing w:after="0"/>
              <w:rPr>
                <w:sz w:val="20"/>
                <w:szCs w:val="20"/>
                <w:color w:val="auto"/>
              </w:rPr>
            </w:pPr>
            <w:r>
              <w:rPr>
                <w:rFonts w:ascii="Arial" w:cs="Arial" w:eastAsia="Arial" w:hAnsi="Arial"/>
                <w:sz w:val="14"/>
                <w:szCs w:val="14"/>
                <w:b w:val="1"/>
                <w:bCs w:val="1"/>
                <w:color w:val="auto"/>
              </w:rPr>
              <w:t>Capital Expenditures</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rPr>
              <w:t>Total Assets</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5"/>
        </w:trPr>
        <w:tc>
          <w:tcPr>
            <w:tcW w:w="2460" w:type="dxa"/>
            <w:vAlign w:val="bottom"/>
          </w:tcPr>
          <w:p>
            <w:pPr>
              <w:spacing w:after="0"/>
              <w:rPr>
                <w:sz w:val="15"/>
                <w:szCs w:val="15"/>
                <w:color w:val="auto"/>
              </w:rPr>
            </w:pPr>
          </w:p>
        </w:tc>
        <w:tc>
          <w:tcPr>
            <w:tcW w:w="1820" w:type="dxa"/>
            <w:vAlign w:val="bottom"/>
            <w:tcBorders>
              <w:bottom w:val="single" w:sz="8" w:color="auto"/>
            </w:tcBorders>
            <w:gridSpan w:val="10"/>
          </w:tcPr>
          <w:p>
            <w:pPr>
              <w:jc w:val="center"/>
              <w:spacing w:after="0"/>
              <w:rPr>
                <w:sz w:val="20"/>
                <w:szCs w:val="20"/>
                <w:color w:val="auto"/>
              </w:rPr>
            </w:pPr>
            <w:r>
              <w:rPr>
                <w:rFonts w:ascii="Arial" w:cs="Arial" w:eastAsia="Arial" w:hAnsi="Arial"/>
                <w:sz w:val="14"/>
                <w:szCs w:val="14"/>
                <w:b w:val="1"/>
                <w:bCs w:val="1"/>
                <w:color w:val="auto"/>
              </w:rPr>
              <w:t>and Amortization</w:t>
            </w:r>
          </w:p>
        </w:tc>
        <w:tc>
          <w:tcPr>
            <w:tcW w:w="1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r>
      <w:tr>
        <w:trPr>
          <w:trHeight w:val="183"/>
        </w:trPr>
        <w:tc>
          <w:tcPr>
            <w:tcW w:w="2460" w:type="dxa"/>
            <w:vAlign w:val="bottom"/>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Borders>
              <w:bottom w:val="single" w:sz="8" w:color="auto"/>
            </w:tcBorders>
            <w:gridSpan w:val="2"/>
          </w:tcPr>
          <w:p>
            <w:pPr>
              <w:jc w:val="center"/>
              <w:ind w:left="28"/>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5"/>
                <w:szCs w:val="15"/>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5"/>
                <w:szCs w:val="15"/>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5"/>
                <w:szCs w:val="15"/>
                <w:color w:val="auto"/>
              </w:rPr>
            </w:pP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auto"/>
            </w:tcBorders>
          </w:tcPr>
          <w:p>
            <w:pPr>
              <w:spacing w:after="0"/>
              <w:rPr>
                <w:sz w:val="15"/>
                <w:szCs w:val="15"/>
                <w:color w:val="auto"/>
              </w:rPr>
            </w:pPr>
          </w:p>
        </w:tc>
      </w:tr>
      <w:tr>
        <w:trPr>
          <w:trHeight w:val="196"/>
        </w:trPr>
        <w:tc>
          <w:tcPr>
            <w:tcW w:w="2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24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Athletic Stores</w:t>
            </w:r>
          </w:p>
        </w:tc>
        <w:tc>
          <w:tcPr>
            <w:tcW w:w="42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w w:val="93"/>
              </w:rPr>
              <w:t>$ 112</w:t>
            </w:r>
          </w:p>
        </w:tc>
        <w:tc>
          <w:tcPr>
            <w:tcW w:w="360" w:type="dxa"/>
            <w:vAlign w:val="bottom"/>
            <w:tcBorders>
              <w:left w:val="single" w:sz="8" w:color="C0C0C0"/>
            </w:tcBorders>
            <w:gridSpan w:val="3"/>
            <w:shd w:val="clear" w:color="auto" w:fill="C0C0C0"/>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0C0C0"/>
          </w:tcPr>
          <w:p>
            <w:pPr>
              <w:jc w:val="right"/>
              <w:ind w:right="60"/>
              <w:spacing w:after="0" w:line="202" w:lineRule="exact"/>
              <w:rPr>
                <w:sz w:val="20"/>
                <w:szCs w:val="20"/>
                <w:color w:val="auto"/>
              </w:rPr>
            </w:pPr>
            <w:r>
              <w:rPr>
                <w:rFonts w:ascii="Arial" w:cs="Arial" w:eastAsia="Arial" w:hAnsi="Arial"/>
                <w:sz w:val="18"/>
                <w:szCs w:val="18"/>
                <w:color w:val="auto"/>
              </w:rPr>
              <w:t>96</w:t>
            </w:r>
          </w:p>
        </w:tc>
        <w:tc>
          <w:tcPr>
            <w:tcW w:w="280" w:type="dxa"/>
            <w:vAlign w:val="bottom"/>
            <w:gridSpan w:val="2"/>
            <w:shd w:val="clear" w:color="auto" w:fill="C0C0C0"/>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0C0C0"/>
          </w:tcPr>
          <w:p>
            <w:pPr>
              <w:jc w:val="right"/>
              <w:ind w:right="60"/>
              <w:spacing w:after="0" w:line="202" w:lineRule="exact"/>
              <w:rPr>
                <w:sz w:val="20"/>
                <w:szCs w:val="20"/>
                <w:color w:val="auto"/>
              </w:rPr>
            </w:pPr>
            <w:r>
              <w:rPr>
                <w:rFonts w:ascii="Arial" w:cs="Arial" w:eastAsia="Arial" w:hAnsi="Arial"/>
                <w:sz w:val="18"/>
                <w:szCs w:val="18"/>
                <w:color w:val="auto"/>
              </w:rPr>
              <w:t>90</w:t>
            </w:r>
          </w:p>
        </w:tc>
        <w:tc>
          <w:tcPr>
            <w:tcW w:w="600" w:type="dxa"/>
            <w:vAlign w:val="bottom"/>
            <w:gridSpan w:val="2"/>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rPr>
              <w:t>$ 163</w:t>
            </w:r>
          </w:p>
        </w:tc>
        <w:tc>
          <w:tcPr>
            <w:tcW w:w="660" w:type="dxa"/>
            <w:vAlign w:val="bottom"/>
            <w:tcBorders>
              <w:left w:val="single" w:sz="8" w:color="C0C0C0"/>
            </w:tcBorders>
            <w:gridSpan w:val="2"/>
            <w:shd w:val="clear" w:color="auto" w:fill="C0C0C0"/>
          </w:tcPr>
          <w:p>
            <w:pPr>
              <w:jc w:val="right"/>
              <w:spacing w:after="0" w:line="202" w:lineRule="exact"/>
              <w:rPr>
                <w:sz w:val="20"/>
                <w:szCs w:val="20"/>
                <w:color w:val="auto"/>
              </w:rPr>
            </w:pPr>
            <w:r>
              <w:rPr>
                <w:rFonts w:ascii="Arial" w:cs="Arial" w:eastAsia="Arial" w:hAnsi="Arial"/>
                <w:sz w:val="18"/>
                <w:szCs w:val="18"/>
                <w:color w:val="auto"/>
              </w:rPr>
              <w:t>$ 128</w:t>
            </w:r>
          </w:p>
        </w:tc>
        <w:tc>
          <w:tcPr>
            <w:tcW w:w="660" w:type="dxa"/>
            <w:vAlign w:val="bottom"/>
            <w:tcBorders>
              <w:left w:val="single" w:sz="8" w:color="C0C0C0"/>
            </w:tcBorders>
            <w:gridSpan w:val="2"/>
            <w:shd w:val="clear" w:color="auto" w:fill="C0C0C0"/>
          </w:tcPr>
          <w:p>
            <w:pPr>
              <w:jc w:val="right"/>
              <w:spacing w:after="0" w:line="202" w:lineRule="exact"/>
              <w:rPr>
                <w:sz w:val="20"/>
                <w:szCs w:val="20"/>
                <w:color w:val="auto"/>
              </w:rPr>
            </w:pPr>
            <w:r>
              <w:rPr>
                <w:rFonts w:ascii="Arial" w:cs="Arial" w:eastAsia="Arial" w:hAnsi="Arial"/>
                <w:sz w:val="18"/>
                <w:szCs w:val="18"/>
                <w:color w:val="auto"/>
              </w:rPr>
              <w:t>$ 117</w:t>
            </w:r>
          </w:p>
        </w:tc>
        <w:tc>
          <w:tcPr>
            <w:tcW w:w="840" w:type="dxa"/>
            <w:vAlign w:val="bottom"/>
            <w:tcBorders>
              <w:left w:val="single" w:sz="8" w:color="C0C0C0"/>
            </w:tcBorders>
            <w:gridSpan w:val="2"/>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rPr>
              <w:t>$ 2,398</w:t>
            </w:r>
          </w:p>
        </w:tc>
        <w:tc>
          <w:tcPr>
            <w:tcW w:w="820" w:type="dxa"/>
            <w:vAlign w:val="bottom"/>
            <w:tcBorders>
              <w:left w:val="single" w:sz="8" w:color="C0C0C0"/>
            </w:tcBorders>
            <w:gridSpan w:val="2"/>
            <w:shd w:val="clear" w:color="auto" w:fill="C0C0C0"/>
          </w:tcPr>
          <w:p>
            <w:pPr>
              <w:jc w:val="right"/>
              <w:spacing w:after="0" w:line="202" w:lineRule="exact"/>
              <w:rPr>
                <w:sz w:val="20"/>
                <w:szCs w:val="20"/>
                <w:color w:val="auto"/>
              </w:rPr>
            </w:pPr>
            <w:r>
              <w:rPr>
                <w:rFonts w:ascii="Arial" w:cs="Arial" w:eastAsia="Arial" w:hAnsi="Arial"/>
                <w:sz w:val="18"/>
                <w:szCs w:val="18"/>
                <w:color w:val="auto"/>
              </w:rPr>
              <w:t>$ 2,310</w:t>
            </w:r>
          </w:p>
        </w:tc>
        <w:tc>
          <w:tcPr>
            <w:tcW w:w="220" w:type="dxa"/>
            <w:vAlign w:val="bottom"/>
            <w:tcBorders>
              <w:left w:val="single" w:sz="8" w:color="C0C0C0"/>
            </w:tcBorders>
            <w:shd w:val="clear" w:color="auto" w:fill="C0C0C0"/>
          </w:tcPr>
          <w:p>
            <w:pPr>
              <w:spacing w:after="0"/>
              <w:rPr>
                <w:sz w:val="17"/>
                <w:szCs w:val="17"/>
                <w:color w:val="auto"/>
              </w:rPr>
            </w:pPr>
          </w:p>
        </w:tc>
        <w:tc>
          <w:tcPr>
            <w:tcW w:w="700" w:type="dxa"/>
            <w:vAlign w:val="bottom"/>
            <w:gridSpan w:val="2"/>
            <w:shd w:val="clear" w:color="auto" w:fill="C0C0C0"/>
          </w:tcPr>
          <w:p>
            <w:pPr>
              <w:jc w:val="right"/>
              <w:ind w:right="80"/>
              <w:spacing w:after="0" w:line="202" w:lineRule="exact"/>
              <w:rPr>
                <w:sz w:val="20"/>
                <w:szCs w:val="20"/>
                <w:color w:val="auto"/>
              </w:rPr>
            </w:pPr>
            <w:r>
              <w:rPr>
                <w:rFonts w:ascii="Arial" w:cs="Arial" w:eastAsia="Arial" w:hAnsi="Arial"/>
                <w:sz w:val="18"/>
                <w:szCs w:val="18"/>
                <w:color w:val="auto"/>
                <w:w w:val="99"/>
              </w:rPr>
              <w:t>$ 2,065</w:t>
            </w:r>
          </w:p>
        </w:tc>
      </w:tr>
      <w:tr>
        <w:trPr>
          <w:trHeight w:val="203"/>
        </w:trPr>
        <w:tc>
          <w:tcPr>
            <w:tcW w:w="2460" w:type="dxa"/>
            <w:vAlign w:val="bottom"/>
          </w:tcPr>
          <w:p>
            <w:pPr>
              <w:ind w:left="20"/>
              <w:spacing w:after="0" w:line="202" w:lineRule="exact"/>
              <w:rPr>
                <w:sz w:val="20"/>
                <w:szCs w:val="20"/>
                <w:color w:val="auto"/>
              </w:rPr>
            </w:pPr>
            <w:r>
              <w:rPr>
                <w:rFonts w:ascii="Arial" w:cs="Arial" w:eastAsia="Arial" w:hAnsi="Arial"/>
                <w:sz w:val="18"/>
                <w:szCs w:val="18"/>
                <w:color w:val="auto"/>
              </w:rPr>
              <w:t>Direct-to-Customers</w:t>
            </w:r>
          </w:p>
        </w:tc>
        <w:tc>
          <w:tcPr>
            <w:tcW w:w="4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5</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320</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290</w:t>
            </w:r>
          </w:p>
        </w:tc>
        <w:tc>
          <w:tcPr>
            <w:tcW w:w="220" w:type="dxa"/>
            <w:vAlign w:val="bottom"/>
          </w:tcPr>
          <w:p>
            <w:pPr>
              <w:spacing w:after="0"/>
              <w:rPr>
                <w:sz w:val="17"/>
                <w:szCs w:val="17"/>
                <w:color w:val="auto"/>
              </w:rPr>
            </w:pPr>
          </w:p>
        </w:tc>
        <w:tc>
          <w:tcPr>
            <w:tcW w:w="7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284</w:t>
            </w:r>
          </w:p>
        </w:tc>
      </w:tr>
      <w:tr>
        <w:trPr>
          <w:trHeight w:val="20"/>
        </w:trPr>
        <w:tc>
          <w:tcPr>
            <w:tcW w:w="24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460" w:type="dxa"/>
            <w:vAlign w:val="bottom"/>
            <w:shd w:val="clear" w:color="auto" w:fill="C0C0C0"/>
          </w:tcPr>
          <w:p>
            <w:pPr>
              <w:spacing w:after="0"/>
              <w:rPr>
                <w:sz w:val="17"/>
                <w:szCs w:val="17"/>
                <w:color w:val="auto"/>
              </w:rPr>
            </w:pPr>
          </w:p>
        </w:tc>
        <w:tc>
          <w:tcPr>
            <w:tcW w:w="42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b w:val="1"/>
                <w:bCs w:val="1"/>
                <w:color w:val="auto"/>
              </w:rPr>
              <w:t>121</w:t>
            </w:r>
          </w:p>
        </w:tc>
        <w:tc>
          <w:tcPr>
            <w:tcW w:w="80" w:type="dxa"/>
            <w:vAlign w:val="bottom"/>
            <w:tcBorders>
              <w:left w:val="single" w:sz="8" w:color="C0C0C0"/>
            </w:tcBorders>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380" w:type="dxa"/>
            <w:vAlign w:val="bottom"/>
            <w:gridSpan w:val="2"/>
            <w:shd w:val="clear" w:color="auto" w:fill="C0C0C0"/>
          </w:tcPr>
          <w:p>
            <w:pPr>
              <w:jc w:val="right"/>
              <w:ind w:right="60"/>
              <w:spacing w:after="0" w:line="196" w:lineRule="exact"/>
              <w:rPr>
                <w:sz w:val="20"/>
                <w:szCs w:val="20"/>
                <w:color w:val="auto"/>
              </w:rPr>
            </w:pPr>
            <w:r>
              <w:rPr>
                <w:rFonts w:ascii="Arial" w:cs="Arial" w:eastAsia="Arial" w:hAnsi="Arial"/>
                <w:sz w:val="18"/>
                <w:szCs w:val="18"/>
                <w:color w:val="auto"/>
                <w:w w:val="99"/>
              </w:rPr>
              <w:t>105</w:t>
            </w:r>
          </w:p>
        </w:tc>
        <w:tc>
          <w:tcPr>
            <w:tcW w:w="1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380" w:type="dxa"/>
            <w:vAlign w:val="bottom"/>
            <w:gridSpan w:val="2"/>
            <w:shd w:val="clear" w:color="auto" w:fill="C0C0C0"/>
          </w:tcPr>
          <w:p>
            <w:pPr>
              <w:jc w:val="right"/>
              <w:ind w:right="60"/>
              <w:spacing w:after="0" w:line="196" w:lineRule="exact"/>
              <w:rPr>
                <w:sz w:val="20"/>
                <w:szCs w:val="20"/>
                <w:color w:val="auto"/>
              </w:rPr>
            </w:pPr>
            <w:r>
              <w:rPr>
                <w:rFonts w:ascii="Arial" w:cs="Arial" w:eastAsia="Arial" w:hAnsi="Arial"/>
                <w:sz w:val="18"/>
                <w:szCs w:val="18"/>
                <w:color w:val="auto"/>
              </w:rPr>
              <w:t>99</w:t>
            </w:r>
          </w:p>
        </w:tc>
        <w:tc>
          <w:tcPr>
            <w:tcW w:w="600" w:type="dxa"/>
            <w:vAlign w:val="bottom"/>
            <w:gridSpan w:val="2"/>
            <w:shd w:val="clear" w:color="auto" w:fill="C0C0C0"/>
          </w:tcPr>
          <w:p>
            <w:pPr>
              <w:jc w:val="right"/>
              <w:spacing w:after="0" w:line="196" w:lineRule="exact"/>
              <w:rPr>
                <w:sz w:val="20"/>
                <w:szCs w:val="20"/>
                <w:color w:val="auto"/>
              </w:rPr>
            </w:pPr>
            <w:r>
              <w:rPr>
                <w:rFonts w:ascii="Arial" w:cs="Arial" w:eastAsia="Arial" w:hAnsi="Arial"/>
                <w:sz w:val="18"/>
                <w:szCs w:val="18"/>
                <w:b w:val="1"/>
                <w:bCs w:val="1"/>
                <w:color w:val="auto"/>
              </w:rPr>
              <w:t>168</w:t>
            </w:r>
          </w:p>
        </w:tc>
        <w:tc>
          <w:tcPr>
            <w:tcW w:w="660" w:type="dxa"/>
            <w:vAlign w:val="bottom"/>
            <w:tcBorders>
              <w:left w:val="single" w:sz="8" w:color="C0C0C0"/>
            </w:tcBorders>
            <w:gridSpan w:val="2"/>
            <w:shd w:val="clear" w:color="auto" w:fill="C0C0C0"/>
          </w:tcPr>
          <w:p>
            <w:pPr>
              <w:jc w:val="right"/>
              <w:spacing w:after="0" w:line="196" w:lineRule="exact"/>
              <w:rPr>
                <w:sz w:val="20"/>
                <w:szCs w:val="20"/>
                <w:color w:val="auto"/>
              </w:rPr>
            </w:pPr>
            <w:r>
              <w:rPr>
                <w:rFonts w:ascii="Arial" w:cs="Arial" w:eastAsia="Arial" w:hAnsi="Arial"/>
                <w:sz w:val="18"/>
                <w:szCs w:val="18"/>
                <w:color w:val="auto"/>
              </w:rPr>
              <w:t>133</w:t>
            </w:r>
          </w:p>
        </w:tc>
        <w:tc>
          <w:tcPr>
            <w:tcW w:w="660" w:type="dxa"/>
            <w:vAlign w:val="bottom"/>
            <w:tcBorders>
              <w:left w:val="single" w:sz="8" w:color="C0C0C0"/>
            </w:tcBorders>
            <w:gridSpan w:val="2"/>
            <w:shd w:val="clear" w:color="auto" w:fill="C0C0C0"/>
          </w:tcPr>
          <w:p>
            <w:pPr>
              <w:jc w:val="right"/>
              <w:spacing w:after="0" w:line="196" w:lineRule="exact"/>
              <w:rPr>
                <w:sz w:val="20"/>
                <w:szCs w:val="20"/>
                <w:color w:val="auto"/>
              </w:rPr>
            </w:pPr>
            <w:r>
              <w:rPr>
                <w:rFonts w:ascii="Arial" w:cs="Arial" w:eastAsia="Arial" w:hAnsi="Arial"/>
                <w:sz w:val="18"/>
                <w:szCs w:val="18"/>
                <w:color w:val="auto"/>
              </w:rPr>
              <w:t>123</w:t>
            </w:r>
          </w:p>
        </w:tc>
        <w:tc>
          <w:tcPr>
            <w:tcW w:w="840" w:type="dxa"/>
            <w:vAlign w:val="bottom"/>
            <w:tcBorders>
              <w:left w:val="single" w:sz="8" w:color="C0C0C0"/>
            </w:tcBorders>
            <w:gridSpan w:val="2"/>
            <w:shd w:val="clear" w:color="auto" w:fill="C0C0C0"/>
          </w:tcPr>
          <w:p>
            <w:pPr>
              <w:jc w:val="right"/>
              <w:spacing w:after="0" w:line="196" w:lineRule="exact"/>
              <w:rPr>
                <w:sz w:val="20"/>
                <w:szCs w:val="20"/>
                <w:color w:val="auto"/>
              </w:rPr>
            </w:pPr>
            <w:r>
              <w:rPr>
                <w:rFonts w:ascii="Arial" w:cs="Arial" w:eastAsia="Arial" w:hAnsi="Arial"/>
                <w:sz w:val="18"/>
                <w:szCs w:val="18"/>
                <w:b w:val="1"/>
                <w:bCs w:val="1"/>
                <w:color w:val="auto"/>
              </w:rPr>
              <w:t>2,718</w:t>
            </w:r>
          </w:p>
        </w:tc>
        <w:tc>
          <w:tcPr>
            <w:tcW w:w="820" w:type="dxa"/>
            <w:vAlign w:val="bottom"/>
            <w:tcBorders>
              <w:left w:val="single" w:sz="8" w:color="C0C0C0"/>
            </w:tcBorders>
            <w:gridSpan w:val="2"/>
            <w:shd w:val="clear" w:color="auto" w:fill="C0C0C0"/>
          </w:tcPr>
          <w:p>
            <w:pPr>
              <w:jc w:val="right"/>
              <w:spacing w:after="0" w:line="196" w:lineRule="exact"/>
              <w:rPr>
                <w:sz w:val="20"/>
                <w:szCs w:val="20"/>
                <w:color w:val="auto"/>
              </w:rPr>
            </w:pPr>
            <w:r>
              <w:rPr>
                <w:rFonts w:ascii="Arial" w:cs="Arial" w:eastAsia="Arial" w:hAnsi="Arial"/>
                <w:sz w:val="18"/>
                <w:szCs w:val="18"/>
                <w:color w:val="auto"/>
              </w:rPr>
              <w:t>2,600</w:t>
            </w:r>
          </w:p>
        </w:tc>
        <w:tc>
          <w:tcPr>
            <w:tcW w:w="220" w:type="dxa"/>
            <w:vAlign w:val="bottom"/>
            <w:tcBorders>
              <w:left w:val="single" w:sz="8" w:color="C0C0C0"/>
            </w:tcBorders>
            <w:shd w:val="clear" w:color="auto" w:fill="C0C0C0"/>
          </w:tcPr>
          <w:p>
            <w:pPr>
              <w:spacing w:after="0"/>
              <w:rPr>
                <w:sz w:val="17"/>
                <w:szCs w:val="17"/>
                <w:color w:val="auto"/>
              </w:rPr>
            </w:pPr>
          </w:p>
        </w:tc>
        <w:tc>
          <w:tcPr>
            <w:tcW w:w="700" w:type="dxa"/>
            <w:vAlign w:val="bottom"/>
            <w:gridSpan w:val="2"/>
            <w:shd w:val="clear" w:color="auto" w:fill="C0C0C0"/>
          </w:tcPr>
          <w:p>
            <w:pPr>
              <w:jc w:val="right"/>
              <w:ind w:right="80"/>
              <w:spacing w:after="0" w:line="196" w:lineRule="exact"/>
              <w:rPr>
                <w:sz w:val="20"/>
                <w:szCs w:val="20"/>
                <w:color w:val="auto"/>
              </w:rPr>
            </w:pPr>
            <w:r>
              <w:rPr>
                <w:rFonts w:ascii="Arial" w:cs="Arial" w:eastAsia="Arial" w:hAnsi="Arial"/>
                <w:sz w:val="18"/>
                <w:szCs w:val="18"/>
                <w:color w:val="auto"/>
              </w:rPr>
              <w:t>2,349</w:t>
            </w:r>
          </w:p>
        </w:tc>
      </w:tr>
      <w:tr>
        <w:trPr>
          <w:trHeight w:val="203"/>
        </w:trPr>
        <w:tc>
          <w:tcPr>
            <w:tcW w:w="2460" w:type="dxa"/>
            <w:vAlign w:val="bottom"/>
          </w:tcPr>
          <w:p>
            <w:pPr>
              <w:ind w:left="20"/>
              <w:spacing w:after="0" w:line="202" w:lineRule="exact"/>
              <w:rPr>
                <w:sz w:val="20"/>
                <w:szCs w:val="20"/>
                <w:color w:val="auto"/>
              </w:rPr>
            </w:pPr>
            <w:r>
              <w:rPr>
                <w:rFonts w:ascii="Arial" w:cs="Arial" w:eastAsia="Arial" w:hAnsi="Arial"/>
                <w:sz w:val="18"/>
                <w:szCs w:val="18"/>
                <w:color w:val="auto"/>
              </w:rPr>
              <w:t>Corporate</w:t>
            </w:r>
          </w:p>
        </w:tc>
        <w:tc>
          <w:tcPr>
            <w:tcW w:w="4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38</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769</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767</w:t>
            </w:r>
          </w:p>
        </w:tc>
        <w:tc>
          <w:tcPr>
            <w:tcW w:w="220" w:type="dxa"/>
            <w:vAlign w:val="bottom"/>
          </w:tcPr>
          <w:p>
            <w:pPr>
              <w:spacing w:after="0"/>
              <w:rPr>
                <w:sz w:val="17"/>
                <w:szCs w:val="17"/>
                <w:color w:val="auto"/>
              </w:rPr>
            </w:pPr>
          </w:p>
        </w:tc>
        <w:tc>
          <w:tcPr>
            <w:tcW w:w="7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701</w:t>
            </w:r>
          </w:p>
        </w:tc>
      </w:tr>
      <w:tr>
        <w:trPr>
          <w:trHeight w:val="20"/>
        </w:trPr>
        <w:tc>
          <w:tcPr>
            <w:tcW w:w="24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7"/>
        </w:trPr>
        <w:tc>
          <w:tcPr>
            <w:tcW w:w="2460" w:type="dxa"/>
            <w:vAlign w:val="bottom"/>
            <w:shd w:val="clear" w:color="auto" w:fill="C0C0C0"/>
          </w:tcPr>
          <w:p>
            <w:pPr>
              <w:ind w:left="20"/>
              <w:spacing w:after="0" w:line="196" w:lineRule="exact"/>
              <w:rPr>
                <w:sz w:val="20"/>
                <w:szCs w:val="20"/>
                <w:color w:val="auto"/>
              </w:rPr>
            </w:pPr>
            <w:r>
              <w:rPr>
                <w:rFonts w:ascii="Arial" w:cs="Arial" w:eastAsia="Arial" w:hAnsi="Arial"/>
                <w:sz w:val="18"/>
                <w:szCs w:val="18"/>
                <w:color w:val="auto"/>
              </w:rPr>
              <w:t>Total Company</w:t>
            </w:r>
          </w:p>
        </w:tc>
        <w:tc>
          <w:tcPr>
            <w:tcW w:w="42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b w:val="1"/>
                <w:bCs w:val="1"/>
                <w:color w:val="auto"/>
                <w:w w:val="93"/>
              </w:rPr>
              <w:t>$ 133</w:t>
            </w:r>
          </w:p>
        </w:tc>
        <w:tc>
          <w:tcPr>
            <w:tcW w:w="360" w:type="dxa"/>
            <w:vAlign w:val="bottom"/>
            <w:tcBorders>
              <w:left w:val="single" w:sz="8" w:color="C0C0C0"/>
            </w:tcBorders>
            <w:gridSpan w:val="3"/>
            <w:shd w:val="clear" w:color="auto" w:fill="C0C0C0"/>
          </w:tcPr>
          <w:p>
            <w:pPr>
              <w:jc w:val="right"/>
              <w:spacing w:after="0" w:line="196"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0C0C0"/>
          </w:tcPr>
          <w:p>
            <w:pPr>
              <w:jc w:val="right"/>
              <w:ind w:right="60"/>
              <w:spacing w:after="0" w:line="196" w:lineRule="exact"/>
              <w:rPr>
                <w:sz w:val="20"/>
                <w:szCs w:val="20"/>
                <w:color w:val="auto"/>
              </w:rPr>
            </w:pPr>
            <w:r>
              <w:rPr>
                <w:rFonts w:ascii="Arial" w:cs="Arial" w:eastAsia="Arial" w:hAnsi="Arial"/>
                <w:sz w:val="18"/>
                <w:szCs w:val="18"/>
                <w:color w:val="auto"/>
                <w:w w:val="99"/>
              </w:rPr>
              <w:t>118</w:t>
            </w:r>
          </w:p>
        </w:tc>
        <w:tc>
          <w:tcPr>
            <w:tcW w:w="280" w:type="dxa"/>
            <w:vAlign w:val="bottom"/>
            <w:gridSpan w:val="2"/>
            <w:shd w:val="clear" w:color="auto" w:fill="C0C0C0"/>
          </w:tcPr>
          <w:p>
            <w:pPr>
              <w:jc w:val="right"/>
              <w:spacing w:after="0" w:line="196"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0C0C0"/>
          </w:tcPr>
          <w:p>
            <w:pPr>
              <w:jc w:val="right"/>
              <w:ind w:right="60"/>
              <w:spacing w:after="0" w:line="196" w:lineRule="exact"/>
              <w:rPr>
                <w:sz w:val="20"/>
                <w:szCs w:val="20"/>
                <w:color w:val="auto"/>
              </w:rPr>
            </w:pPr>
            <w:r>
              <w:rPr>
                <w:rFonts w:ascii="Arial" w:cs="Arial" w:eastAsia="Arial" w:hAnsi="Arial"/>
                <w:sz w:val="18"/>
                <w:szCs w:val="18"/>
                <w:color w:val="auto"/>
                <w:w w:val="99"/>
              </w:rPr>
              <w:t>110</w:t>
            </w:r>
          </w:p>
        </w:tc>
        <w:tc>
          <w:tcPr>
            <w:tcW w:w="600" w:type="dxa"/>
            <w:vAlign w:val="bottom"/>
            <w:gridSpan w:val="2"/>
            <w:shd w:val="clear" w:color="auto" w:fill="C0C0C0"/>
          </w:tcPr>
          <w:p>
            <w:pPr>
              <w:jc w:val="right"/>
              <w:spacing w:after="0" w:line="196" w:lineRule="exact"/>
              <w:rPr>
                <w:sz w:val="20"/>
                <w:szCs w:val="20"/>
                <w:color w:val="auto"/>
              </w:rPr>
            </w:pPr>
            <w:r>
              <w:rPr>
                <w:rFonts w:ascii="Arial" w:cs="Arial" w:eastAsia="Arial" w:hAnsi="Arial"/>
                <w:sz w:val="18"/>
                <w:szCs w:val="18"/>
                <w:b w:val="1"/>
                <w:bCs w:val="1"/>
                <w:color w:val="auto"/>
              </w:rPr>
              <w:t>$ 206</w:t>
            </w:r>
          </w:p>
        </w:tc>
        <w:tc>
          <w:tcPr>
            <w:tcW w:w="660" w:type="dxa"/>
            <w:vAlign w:val="bottom"/>
            <w:tcBorders>
              <w:left w:val="single" w:sz="8" w:color="C0C0C0"/>
            </w:tcBorders>
            <w:gridSpan w:val="2"/>
            <w:shd w:val="clear" w:color="auto" w:fill="C0C0C0"/>
          </w:tcPr>
          <w:p>
            <w:pPr>
              <w:jc w:val="right"/>
              <w:spacing w:after="0" w:line="196" w:lineRule="exact"/>
              <w:rPr>
                <w:sz w:val="20"/>
                <w:szCs w:val="20"/>
                <w:color w:val="auto"/>
              </w:rPr>
            </w:pPr>
            <w:r>
              <w:rPr>
                <w:rFonts w:ascii="Arial" w:cs="Arial" w:eastAsia="Arial" w:hAnsi="Arial"/>
                <w:sz w:val="18"/>
                <w:szCs w:val="18"/>
                <w:color w:val="auto"/>
              </w:rPr>
              <w:t>$ 163</w:t>
            </w:r>
          </w:p>
        </w:tc>
        <w:tc>
          <w:tcPr>
            <w:tcW w:w="660" w:type="dxa"/>
            <w:vAlign w:val="bottom"/>
            <w:tcBorders>
              <w:left w:val="single" w:sz="8" w:color="C0C0C0"/>
            </w:tcBorders>
            <w:gridSpan w:val="2"/>
            <w:shd w:val="clear" w:color="auto" w:fill="C0C0C0"/>
          </w:tcPr>
          <w:p>
            <w:pPr>
              <w:jc w:val="right"/>
              <w:spacing w:after="0" w:line="196" w:lineRule="exact"/>
              <w:rPr>
                <w:sz w:val="20"/>
                <w:szCs w:val="20"/>
                <w:color w:val="auto"/>
              </w:rPr>
            </w:pPr>
            <w:r>
              <w:rPr>
                <w:rFonts w:ascii="Arial" w:cs="Arial" w:eastAsia="Arial" w:hAnsi="Arial"/>
                <w:sz w:val="18"/>
                <w:szCs w:val="18"/>
                <w:color w:val="auto"/>
              </w:rPr>
              <w:t>$ 152</w:t>
            </w:r>
          </w:p>
        </w:tc>
        <w:tc>
          <w:tcPr>
            <w:tcW w:w="840" w:type="dxa"/>
            <w:vAlign w:val="bottom"/>
            <w:tcBorders>
              <w:left w:val="single" w:sz="8" w:color="C0C0C0"/>
            </w:tcBorders>
            <w:gridSpan w:val="2"/>
            <w:shd w:val="clear" w:color="auto" w:fill="C0C0C0"/>
          </w:tcPr>
          <w:p>
            <w:pPr>
              <w:jc w:val="right"/>
              <w:spacing w:after="0" w:line="196" w:lineRule="exact"/>
              <w:rPr>
                <w:sz w:val="20"/>
                <w:szCs w:val="20"/>
                <w:color w:val="auto"/>
              </w:rPr>
            </w:pPr>
            <w:r>
              <w:rPr>
                <w:rFonts w:ascii="Arial" w:cs="Arial" w:eastAsia="Arial" w:hAnsi="Arial"/>
                <w:sz w:val="18"/>
                <w:szCs w:val="18"/>
                <w:b w:val="1"/>
                <w:bCs w:val="1"/>
                <w:color w:val="auto"/>
              </w:rPr>
              <w:t>$ 3,487</w:t>
            </w:r>
          </w:p>
        </w:tc>
        <w:tc>
          <w:tcPr>
            <w:tcW w:w="820" w:type="dxa"/>
            <w:vAlign w:val="bottom"/>
            <w:tcBorders>
              <w:left w:val="single" w:sz="8" w:color="C0C0C0"/>
            </w:tcBorders>
            <w:gridSpan w:val="2"/>
            <w:shd w:val="clear" w:color="auto" w:fill="C0C0C0"/>
          </w:tcPr>
          <w:p>
            <w:pPr>
              <w:jc w:val="right"/>
              <w:spacing w:after="0" w:line="196" w:lineRule="exact"/>
              <w:rPr>
                <w:sz w:val="20"/>
                <w:szCs w:val="20"/>
                <w:color w:val="auto"/>
              </w:rPr>
            </w:pPr>
            <w:r>
              <w:rPr>
                <w:rFonts w:ascii="Arial" w:cs="Arial" w:eastAsia="Arial" w:hAnsi="Arial"/>
                <w:sz w:val="18"/>
                <w:szCs w:val="18"/>
                <w:color w:val="auto"/>
              </w:rPr>
              <w:t>$ 3,367</w:t>
            </w:r>
          </w:p>
        </w:tc>
        <w:tc>
          <w:tcPr>
            <w:tcW w:w="220" w:type="dxa"/>
            <w:vAlign w:val="bottom"/>
            <w:tcBorders>
              <w:left w:val="single" w:sz="8" w:color="C0C0C0"/>
            </w:tcBorders>
            <w:shd w:val="clear" w:color="auto" w:fill="C0C0C0"/>
          </w:tcPr>
          <w:p>
            <w:pPr>
              <w:spacing w:after="0"/>
              <w:rPr>
                <w:sz w:val="18"/>
                <w:szCs w:val="18"/>
                <w:color w:val="auto"/>
              </w:rPr>
            </w:pPr>
          </w:p>
        </w:tc>
        <w:tc>
          <w:tcPr>
            <w:tcW w:w="700" w:type="dxa"/>
            <w:vAlign w:val="bottom"/>
            <w:gridSpan w:val="2"/>
            <w:shd w:val="clear" w:color="auto" w:fill="C0C0C0"/>
          </w:tcPr>
          <w:p>
            <w:pPr>
              <w:jc w:val="right"/>
              <w:ind w:right="80"/>
              <w:spacing w:after="0" w:line="196" w:lineRule="exact"/>
              <w:rPr>
                <w:sz w:val="20"/>
                <w:szCs w:val="20"/>
                <w:color w:val="auto"/>
              </w:rPr>
            </w:pPr>
            <w:r>
              <w:rPr>
                <w:rFonts w:ascii="Arial" w:cs="Arial" w:eastAsia="Arial" w:hAnsi="Arial"/>
                <w:sz w:val="18"/>
                <w:szCs w:val="18"/>
                <w:color w:val="auto"/>
                <w:w w:val="99"/>
              </w:rPr>
              <w:t>$ 3,050</w:t>
            </w:r>
          </w:p>
        </w:tc>
      </w:tr>
      <w:tr>
        <w:trPr>
          <w:trHeight w:val="20"/>
        </w:trPr>
        <w:tc>
          <w:tcPr>
            <w:tcW w:w="2460" w:type="dxa"/>
            <w:vAlign w:val="bottom"/>
            <w:tcBorders>
              <w:top w:val="single" w:sz="8" w:color="C0C0C0"/>
            </w:tcBorders>
            <w:shd w:val="clear" w:color="auto" w:fill="C0C0C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C0C0"/>
              <w:left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C0C0"/>
              <w:left w:val="single" w:sz="8" w:color="C0C0C0"/>
            </w:tcBorders>
            <w:shd w:val="clear" w:color="auto" w:fill="C0C0C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C0C0"/>
              <w:left w:val="single" w:sz="8" w:color="C0C0C0"/>
            </w:tcBorders>
            <w:shd w:val="clear" w:color="auto" w:fill="C0C0C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C0C0"/>
              <w:left w:val="single" w:sz="8" w:color="C0C0C0"/>
            </w:tcBorders>
            <w:shd w:val="clear" w:color="auto" w:fill="C0C0C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0C0C0"/>
              <w:left w:val="single" w:sz="8" w:color="C0C0C0"/>
            </w:tcBorders>
            <w:shd w:val="clear" w:color="auto" w:fill="C0C0C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C0C0"/>
              <w:left w:val="single" w:sz="8" w:color="C0C0C0"/>
            </w:tcBorders>
            <w:shd w:val="clear" w:color="auto" w:fill="C0C0C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C0C0"/>
            </w:tcBorders>
            <w:shd w:val="clear" w:color="auto" w:fill="C0C0C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565775" cy="342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565775" cy="34290"/>
                    </a:xfrm>
                    <a:prstGeom prst="rect">
                      <a:avLst/>
                    </a:prstGeom>
                    <a:noFill/>
                  </pic:spPr>
                </pic:pic>
              </a:graphicData>
            </a:graphic>
          </wp:anchor>
        </w:drawing>
      </w:r>
    </w:p>
    <w:p>
      <w:pPr>
        <w:spacing w:after="0" w:line="87" w:lineRule="exact"/>
        <w:rPr>
          <w:sz w:val="20"/>
          <w:szCs w:val="20"/>
          <w:color w:val="auto"/>
        </w:rPr>
      </w:pPr>
    </w:p>
    <w:p>
      <w:pPr>
        <w:jc w:val="both"/>
        <w:ind w:left="60" w:right="539"/>
        <w:spacing w:after="0" w:line="250" w:lineRule="auto"/>
        <w:rPr>
          <w:sz w:val="20"/>
          <w:szCs w:val="20"/>
          <w:color w:val="auto"/>
        </w:rPr>
      </w:pPr>
      <w:r>
        <w:rPr>
          <w:rFonts w:ascii="Arial" w:cs="Arial" w:eastAsia="Arial" w:hAnsi="Arial"/>
          <w:sz w:val="18"/>
          <w:szCs w:val="18"/>
          <w:color w:val="auto"/>
        </w:rPr>
        <w:t>Sales and long-lived asset information by geographic area as of and for the fiscal years ended February 1, 2014, February 2, 2013, and January 28, 2012 are presented in the following tables. Sales are attributed to the country in which the sales originate, which is where the legal subsidiary is domiciled. Long-lived assets reflect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-74930</wp:posOffset>
            </wp:positionV>
            <wp:extent cx="556577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57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7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Sales</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4"/>
          </w:tcPr>
          <w:p>
            <w:pPr>
              <w:ind w:left="8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7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United States</w:t>
            </w:r>
          </w:p>
        </w:tc>
        <w:tc>
          <w:tcPr>
            <w:tcW w:w="20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C0C0C0"/>
          </w:tcPr>
          <w:p>
            <w:pPr>
              <w:jc w:val="right"/>
              <w:ind w:right="60"/>
              <w:spacing w:after="0" w:line="202" w:lineRule="exact"/>
              <w:rPr>
                <w:sz w:val="20"/>
                <w:szCs w:val="20"/>
                <w:color w:val="auto"/>
              </w:rPr>
            </w:pPr>
            <w:r>
              <w:rPr>
                <w:rFonts w:ascii="Arial" w:cs="Arial" w:eastAsia="Arial" w:hAnsi="Arial"/>
                <w:sz w:val="18"/>
                <w:szCs w:val="18"/>
                <w:b w:val="1"/>
                <w:bCs w:val="1"/>
                <w:color w:val="auto"/>
              </w:rPr>
              <w:t>4,567</w:t>
            </w:r>
          </w:p>
        </w:tc>
        <w:tc>
          <w:tcPr>
            <w:tcW w:w="360" w:type="dxa"/>
            <w:vAlign w:val="bottom"/>
            <w:gridSpan w:val="2"/>
            <w:shd w:val="clear" w:color="auto" w:fill="C0C0C0"/>
          </w:tcPr>
          <w:p>
            <w:pPr>
              <w:jc w:val="right"/>
              <w:ind w:right="8"/>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0C0C0"/>
          </w:tcPr>
          <w:p>
            <w:pPr>
              <w:jc w:val="right"/>
              <w:ind w:right="80"/>
              <w:spacing w:after="0" w:line="202" w:lineRule="exact"/>
              <w:rPr>
                <w:sz w:val="20"/>
                <w:szCs w:val="20"/>
                <w:color w:val="auto"/>
              </w:rPr>
            </w:pPr>
            <w:r>
              <w:rPr>
                <w:rFonts w:ascii="Arial" w:cs="Arial" w:eastAsia="Arial" w:hAnsi="Arial"/>
                <w:sz w:val="18"/>
                <w:szCs w:val="18"/>
                <w:color w:val="auto"/>
              </w:rPr>
              <w:t>4,495</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3,959</w:t>
            </w: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17"/>
                <w:szCs w:val="17"/>
                <w:color w:val="auto"/>
              </w:rPr>
            </w:pP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1,938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1,687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60" w:type="dxa"/>
            <w:vAlign w:val="bottom"/>
            <w:shd w:val="clear" w:color="auto" w:fill="C0C0C0"/>
          </w:tcPr>
          <w:p>
            <w:pPr>
              <w:ind w:left="20"/>
              <w:spacing w:after="0" w:line="196" w:lineRule="exact"/>
              <w:rPr>
                <w:sz w:val="20"/>
                <w:szCs w:val="20"/>
                <w:color w:val="auto"/>
              </w:rPr>
            </w:pPr>
            <w:r>
              <w:rPr>
                <w:rFonts w:ascii="Arial" w:cs="Arial" w:eastAsia="Arial" w:hAnsi="Arial"/>
                <w:sz w:val="18"/>
                <w:szCs w:val="18"/>
                <w:color w:val="auto"/>
              </w:rPr>
              <w:t>Total sales</w:t>
            </w:r>
          </w:p>
        </w:tc>
        <w:tc>
          <w:tcPr>
            <w:tcW w:w="200" w:type="dxa"/>
            <w:vAlign w:val="bottom"/>
            <w:shd w:val="clear" w:color="auto" w:fill="C0C0C0"/>
          </w:tcPr>
          <w:p>
            <w:pPr>
              <w:jc w:val="right"/>
              <w:ind w:right="10"/>
              <w:spacing w:after="0" w:line="196" w:lineRule="exact"/>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C0C0C0"/>
          </w:tcPr>
          <w:p>
            <w:pPr>
              <w:jc w:val="right"/>
              <w:ind w:right="60"/>
              <w:spacing w:after="0" w:line="196" w:lineRule="exact"/>
              <w:rPr>
                <w:sz w:val="20"/>
                <w:szCs w:val="20"/>
                <w:color w:val="auto"/>
              </w:rPr>
            </w:pPr>
            <w:r>
              <w:rPr>
                <w:rFonts w:ascii="Arial" w:cs="Arial" w:eastAsia="Arial" w:hAnsi="Arial"/>
                <w:sz w:val="18"/>
                <w:szCs w:val="18"/>
                <w:b w:val="1"/>
                <w:bCs w:val="1"/>
                <w:color w:val="auto"/>
              </w:rPr>
              <w:t>6,505</w:t>
            </w:r>
          </w:p>
        </w:tc>
        <w:tc>
          <w:tcPr>
            <w:tcW w:w="360" w:type="dxa"/>
            <w:vAlign w:val="bottom"/>
            <w:gridSpan w:val="2"/>
            <w:shd w:val="clear" w:color="auto" w:fill="C0C0C0"/>
          </w:tcPr>
          <w:p>
            <w:pPr>
              <w:jc w:val="right"/>
              <w:ind w:right="8"/>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0C0C0"/>
          </w:tcPr>
          <w:p>
            <w:pPr>
              <w:jc w:val="right"/>
              <w:ind w:right="80"/>
              <w:spacing w:after="0" w:line="196" w:lineRule="exact"/>
              <w:rPr>
                <w:sz w:val="20"/>
                <w:szCs w:val="20"/>
                <w:color w:val="auto"/>
              </w:rPr>
            </w:pPr>
            <w:r>
              <w:rPr>
                <w:rFonts w:ascii="Arial" w:cs="Arial" w:eastAsia="Arial" w:hAnsi="Arial"/>
                <w:sz w:val="18"/>
                <w:szCs w:val="18"/>
                <w:color w:val="auto"/>
              </w:rPr>
              <w:t>6,182</w:t>
            </w:r>
          </w:p>
        </w:tc>
        <w:tc>
          <w:tcPr>
            <w:tcW w:w="160" w:type="dxa"/>
            <w:vAlign w:val="bottom"/>
            <w:shd w:val="clear" w:color="auto" w:fill="C0C0C0"/>
          </w:tcPr>
          <w:p>
            <w:pPr>
              <w:spacing w:after="0"/>
              <w:rPr>
                <w:sz w:val="18"/>
                <w:szCs w:val="18"/>
                <w:color w:val="auto"/>
              </w:rPr>
            </w:pPr>
          </w:p>
        </w:tc>
        <w:tc>
          <w:tcPr>
            <w:tcW w:w="200" w:type="dxa"/>
            <w:vAlign w:val="bottom"/>
            <w:shd w:val="clear" w:color="auto" w:fill="C0C0C0"/>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0C0C0"/>
          </w:tcPr>
          <w:p>
            <w:pPr>
              <w:jc w:val="right"/>
              <w:ind w:right="100"/>
              <w:spacing w:after="0" w:line="196" w:lineRule="exact"/>
              <w:rPr>
                <w:sz w:val="20"/>
                <w:szCs w:val="20"/>
                <w:color w:val="auto"/>
              </w:rPr>
            </w:pPr>
            <w:r>
              <w:rPr>
                <w:rFonts w:ascii="Arial" w:cs="Arial" w:eastAsia="Arial" w:hAnsi="Arial"/>
                <w:sz w:val="18"/>
                <w:szCs w:val="18"/>
                <w:color w:val="auto"/>
              </w:rPr>
              <w:t>5,623</w:t>
            </w:r>
          </w:p>
        </w:tc>
        <w:tc>
          <w:tcPr>
            <w:tcW w:w="0" w:type="dxa"/>
            <w:vAlign w:val="bottom"/>
          </w:tcPr>
          <w:p>
            <w:pPr>
              <w:spacing w:after="0"/>
              <w:rPr>
                <w:sz w:val="1"/>
                <w:szCs w:val="1"/>
                <w:color w:val="auto"/>
              </w:rPr>
            </w:pPr>
          </w:p>
        </w:tc>
      </w:tr>
      <w:tr>
        <w:trPr>
          <w:trHeight w:val="20"/>
        </w:trPr>
        <w:tc>
          <w:tcPr>
            <w:tcW w:w="5760" w:type="dxa"/>
            <w:vAlign w:val="bottom"/>
            <w:tcBorders>
              <w:top w:val="single" w:sz="8" w:color="C0C0C0"/>
            </w:tcBorders>
            <w:shd w:val="clear" w:color="auto" w:fill="C0C0C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C0C0"/>
            </w:tcBorders>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565775" cy="34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565775" cy="34290"/>
                    </a:xfrm>
                    <a:prstGeom prst="rect">
                      <a:avLst/>
                    </a:prstGeom>
                    <a:noFill/>
                  </pic:spPr>
                </pic:pic>
              </a:graphicData>
            </a:graphic>
          </wp:anchor>
        </w:drawing>
      </w:r>
    </w:p>
    <w:p>
      <w:pPr>
        <w:spacing w:after="0" w:line="87" w:lineRule="exact"/>
        <w:rPr>
          <w:sz w:val="20"/>
          <w:szCs w:val="20"/>
          <w:color w:val="auto"/>
        </w:rPr>
      </w:pPr>
    </w:p>
    <w:p>
      <w:pPr>
        <w:jc w:val="both"/>
        <w:ind w:left="60" w:right="519"/>
        <w:spacing w:after="0" w:line="250" w:lineRule="auto"/>
        <w:rPr>
          <w:sz w:val="20"/>
          <w:szCs w:val="20"/>
          <w:color w:val="auto"/>
        </w:rPr>
      </w:pPr>
      <w:r>
        <w:rPr>
          <w:rFonts w:ascii="Arial" w:cs="Arial" w:eastAsia="Arial" w:hAnsi="Arial"/>
          <w:sz w:val="18"/>
          <w:szCs w:val="18"/>
          <w:color w:val="auto"/>
        </w:rPr>
        <w:t>The Company’s sales in Italy, Germany, Canada, and France represent approximately 20, 16, 16, and 14 percent, respectively, of the International category’s sales for the period ended February 1, 2014. No other individual country included in the International category is 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-74930</wp:posOffset>
            </wp:positionV>
            <wp:extent cx="556577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57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7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Long-Lived Assets</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4"/>
          </w:tcPr>
          <w:p>
            <w:pPr>
              <w:ind w:left="8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7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United States</w:t>
            </w:r>
          </w:p>
        </w:tc>
        <w:tc>
          <w:tcPr>
            <w:tcW w:w="20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C0C0C0"/>
          </w:tcPr>
          <w:p>
            <w:pPr>
              <w:jc w:val="right"/>
              <w:ind w:right="100"/>
              <w:spacing w:after="0" w:line="202" w:lineRule="exact"/>
              <w:rPr>
                <w:sz w:val="20"/>
                <w:szCs w:val="20"/>
                <w:color w:val="auto"/>
              </w:rPr>
            </w:pPr>
            <w:r>
              <w:rPr>
                <w:rFonts w:ascii="Arial" w:cs="Arial" w:eastAsia="Arial" w:hAnsi="Arial"/>
                <w:sz w:val="18"/>
                <w:szCs w:val="18"/>
                <w:b w:val="1"/>
                <w:bCs w:val="1"/>
                <w:color w:val="auto"/>
              </w:rPr>
              <w:t>394</w:t>
            </w:r>
          </w:p>
        </w:tc>
        <w:tc>
          <w:tcPr>
            <w:tcW w:w="360" w:type="dxa"/>
            <w:vAlign w:val="bottom"/>
            <w:gridSpan w:val="2"/>
            <w:shd w:val="clear" w:color="auto" w:fill="C0C0C0"/>
          </w:tcPr>
          <w:p>
            <w:pPr>
              <w:jc w:val="right"/>
              <w:ind w:right="2"/>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321</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0C0C0"/>
          </w:tcPr>
          <w:p>
            <w:pPr>
              <w:jc w:val="right"/>
              <w:ind w:right="140"/>
              <w:spacing w:after="0" w:line="202" w:lineRule="exact"/>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196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60" w:type="dxa"/>
            <w:vAlign w:val="bottom"/>
            <w:shd w:val="clear" w:color="auto" w:fill="C0C0C0"/>
          </w:tcPr>
          <w:p>
            <w:pPr>
              <w:ind w:left="20"/>
              <w:spacing w:after="0" w:line="196" w:lineRule="exact"/>
              <w:rPr>
                <w:sz w:val="20"/>
                <w:szCs w:val="20"/>
                <w:color w:val="auto"/>
              </w:rPr>
            </w:pPr>
            <w:r>
              <w:rPr>
                <w:rFonts w:ascii="Arial" w:cs="Arial" w:eastAsia="Arial" w:hAnsi="Arial"/>
                <w:sz w:val="18"/>
                <w:szCs w:val="18"/>
                <w:color w:val="auto"/>
              </w:rPr>
              <w:t>Total long-lived assets</w:t>
            </w:r>
          </w:p>
        </w:tc>
        <w:tc>
          <w:tcPr>
            <w:tcW w:w="200" w:type="dxa"/>
            <w:vAlign w:val="bottom"/>
            <w:shd w:val="clear" w:color="auto" w:fill="C0C0C0"/>
          </w:tcPr>
          <w:p>
            <w:pPr>
              <w:jc w:val="right"/>
              <w:ind w:right="10"/>
              <w:spacing w:after="0" w:line="196" w:lineRule="exact"/>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C0C0C0"/>
          </w:tcPr>
          <w:p>
            <w:pPr>
              <w:jc w:val="right"/>
              <w:ind w:right="100"/>
              <w:spacing w:after="0" w:line="196" w:lineRule="exact"/>
              <w:rPr>
                <w:sz w:val="20"/>
                <w:szCs w:val="20"/>
                <w:color w:val="auto"/>
              </w:rPr>
            </w:pPr>
            <w:r>
              <w:rPr>
                <w:rFonts w:ascii="Arial" w:cs="Arial" w:eastAsia="Arial" w:hAnsi="Arial"/>
                <w:sz w:val="18"/>
                <w:szCs w:val="18"/>
                <w:b w:val="1"/>
                <w:bCs w:val="1"/>
                <w:color w:val="auto"/>
              </w:rPr>
              <w:t>590</w:t>
            </w:r>
          </w:p>
        </w:tc>
        <w:tc>
          <w:tcPr>
            <w:tcW w:w="360" w:type="dxa"/>
            <w:vAlign w:val="bottom"/>
            <w:gridSpan w:val="2"/>
            <w:shd w:val="clear" w:color="auto" w:fill="C0C0C0"/>
          </w:tcPr>
          <w:p>
            <w:pPr>
              <w:jc w:val="right"/>
              <w:ind w:right="2"/>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0C0C0"/>
          </w:tcPr>
          <w:p>
            <w:pPr>
              <w:jc w:val="right"/>
              <w:ind w:right="120"/>
              <w:spacing w:after="0" w:line="196" w:lineRule="exact"/>
              <w:rPr>
                <w:sz w:val="20"/>
                <w:szCs w:val="20"/>
                <w:color w:val="auto"/>
              </w:rPr>
            </w:pPr>
            <w:r>
              <w:rPr>
                <w:rFonts w:ascii="Arial" w:cs="Arial" w:eastAsia="Arial" w:hAnsi="Arial"/>
                <w:sz w:val="18"/>
                <w:szCs w:val="18"/>
                <w:color w:val="auto"/>
              </w:rPr>
              <w:t>490</w:t>
            </w:r>
          </w:p>
        </w:tc>
        <w:tc>
          <w:tcPr>
            <w:tcW w:w="160" w:type="dxa"/>
            <w:vAlign w:val="bottom"/>
            <w:shd w:val="clear" w:color="auto" w:fill="C0C0C0"/>
          </w:tcPr>
          <w:p>
            <w:pPr>
              <w:spacing w:after="0"/>
              <w:rPr>
                <w:sz w:val="20"/>
                <w:szCs w:val="20"/>
                <w:color w:val="auto"/>
              </w:rPr>
            </w:pPr>
          </w:p>
        </w:tc>
        <w:tc>
          <w:tcPr>
            <w:tcW w:w="200" w:type="dxa"/>
            <w:vAlign w:val="bottom"/>
            <w:shd w:val="clear" w:color="auto" w:fill="C0C0C0"/>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0C0C0"/>
          </w:tcPr>
          <w:p>
            <w:pPr>
              <w:jc w:val="right"/>
              <w:ind w:right="140"/>
              <w:spacing w:after="0" w:line="196" w:lineRule="exact"/>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358"/>
        </w:trPr>
        <w:tc>
          <w:tcPr>
            <w:tcW w:w="5760" w:type="dxa"/>
            <w:vAlign w:val="bottom"/>
            <w:tcBorders>
              <w:top w:val="single" w:sz="8" w:color="C0C0C0"/>
            </w:tcBorders>
          </w:tcPr>
          <w:p>
            <w:pPr>
              <w:ind w:left="60"/>
              <w:spacing w:after="0"/>
              <w:rPr>
                <w:sz w:val="20"/>
                <w:szCs w:val="20"/>
                <w:color w:val="auto"/>
              </w:rPr>
            </w:pPr>
            <w:r>
              <w:rPr>
                <w:rFonts w:ascii="Arial" w:cs="Arial" w:eastAsia="Arial" w:hAnsi="Arial"/>
                <w:sz w:val="18"/>
                <w:szCs w:val="18"/>
                <w:b w:val="1"/>
                <w:bCs w:val="1"/>
                <w:color w:val="auto"/>
              </w:rPr>
              <w:t>4.  Impairment and Other Charges</w:t>
            </w:r>
          </w:p>
        </w:tc>
        <w:tc>
          <w:tcPr>
            <w:tcW w:w="2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60" w:type="dxa"/>
            <w:vAlign w:val="bottom"/>
            <w:tcBorders>
              <w:top w:val="single" w:sz="8" w:color="C0C0C0"/>
            </w:tcBorders>
          </w:tcPr>
          <w:p>
            <w:pPr>
              <w:spacing w:after="0"/>
              <w:rPr>
                <w:sz w:val="24"/>
                <w:szCs w:val="24"/>
                <w:color w:val="auto"/>
              </w:rPr>
            </w:pPr>
          </w:p>
        </w:tc>
        <w:tc>
          <w:tcPr>
            <w:tcW w:w="160" w:type="dxa"/>
            <w:vAlign w:val="bottom"/>
            <w:tcBorders>
              <w:top w:val="single" w:sz="8" w:color="C0C0C0"/>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60" w:type="dxa"/>
            <w:vAlign w:val="bottom"/>
            <w:tcBorders>
              <w:top w:val="single" w:sz="8" w:color="C0C0C0"/>
            </w:tcBorders>
          </w:tcPr>
          <w:p>
            <w:pPr>
              <w:spacing w:after="0"/>
              <w:rPr>
                <w:sz w:val="24"/>
                <w:szCs w:val="24"/>
                <w:color w:val="auto"/>
              </w:rPr>
            </w:pPr>
          </w:p>
        </w:tc>
        <w:tc>
          <w:tcPr>
            <w:tcW w:w="160" w:type="dxa"/>
            <w:vAlign w:val="bottom"/>
            <w:tcBorders>
              <w:top w:val="single" w:sz="8" w:color="C0C0C0"/>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0" w:type="dxa"/>
            <w:vAlign w:val="bottom"/>
            <w:tcBorders>
              <w:top w:val="single" w:sz="8" w:color="C0C0C0"/>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7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760" w:type="dxa"/>
            <w:vAlign w:val="bottom"/>
          </w:tcPr>
          <w:p>
            <w:pPr>
              <w:spacing w:after="0"/>
              <w:rPr>
                <w:sz w:val="16"/>
                <w:szCs w:val="16"/>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4"/>
          </w:tcPr>
          <w:p>
            <w:pPr>
              <w:ind w:left="8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3" w:lineRule="exact"/>
              <w:rPr>
                <w:sz w:val="20"/>
                <w:szCs w:val="20"/>
                <w:color w:val="auto"/>
              </w:rPr>
            </w:pPr>
            <w:r>
              <w:rPr>
                <w:rFonts w:ascii="Arial" w:cs="Arial" w:eastAsia="Arial" w:hAnsi="Arial"/>
                <w:sz w:val="18"/>
                <w:szCs w:val="18"/>
                <w:color w:val="auto"/>
              </w:rPr>
              <w:t>CCS store closure costs</w:t>
            </w:r>
          </w:p>
        </w:tc>
        <w:tc>
          <w:tcPr>
            <w:tcW w:w="20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gridSpan w:val="2"/>
          </w:tcPr>
          <w:p>
            <w:pPr>
              <w:jc w:val="right"/>
              <w:ind w:right="2"/>
              <w:spacing w:after="0" w:line="203" w:lineRule="exact"/>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7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Impairment of intangible assets</w:t>
            </w:r>
          </w:p>
        </w:tc>
        <w:tc>
          <w:tcPr>
            <w:tcW w:w="200" w:type="dxa"/>
            <w:vAlign w:val="bottom"/>
            <w:shd w:val="clear" w:color="auto" w:fill="C0C0C0"/>
          </w:tcPr>
          <w:p>
            <w:pPr>
              <w:spacing w:after="0"/>
              <w:rPr>
                <w:sz w:val="17"/>
                <w:szCs w:val="17"/>
                <w:color w:val="auto"/>
              </w:rPr>
            </w:pPr>
          </w:p>
        </w:tc>
        <w:tc>
          <w:tcPr>
            <w:tcW w:w="660" w:type="dxa"/>
            <w:vAlign w:val="bottom"/>
            <w:gridSpan w:val="2"/>
            <w:shd w:val="clear" w:color="auto" w:fill="C0C0C0"/>
          </w:tcPr>
          <w:p>
            <w:pPr>
              <w:jc w:val="right"/>
              <w:ind w:right="16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52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7</w:t>
            </w:r>
          </w:p>
        </w:tc>
        <w:tc>
          <w:tcPr>
            <w:tcW w:w="160" w:type="dxa"/>
            <w:vAlign w:val="bottom"/>
            <w:tcBorders>
              <w:left w:val="single" w:sz="8" w:color="C0C0C0"/>
            </w:tcBorders>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56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5</w:t>
            </w:r>
          </w:p>
        </w:tc>
        <w:tc>
          <w:tcPr>
            <w:tcW w:w="200" w:type="dxa"/>
            <w:vAlign w:val="bottom"/>
            <w:tcBorders>
              <w:left w:val="single" w:sz="8" w:color="C0C0C0"/>
            </w:tcBorders>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Impairment of long-lived assets</w:t>
            </w:r>
          </w:p>
        </w:tc>
        <w:tc>
          <w:tcPr>
            <w:tcW w:w="2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60" w:type="dxa"/>
            <w:vAlign w:val="bottom"/>
            <w:shd w:val="clear" w:color="auto" w:fill="C0C0C0"/>
          </w:tcPr>
          <w:p>
            <w:pPr>
              <w:ind w:left="20"/>
              <w:spacing w:after="0" w:line="196" w:lineRule="exact"/>
              <w:rPr>
                <w:sz w:val="20"/>
                <w:szCs w:val="20"/>
                <w:color w:val="auto"/>
              </w:rPr>
            </w:pPr>
            <w:r>
              <w:rPr>
                <w:rFonts w:ascii="Arial" w:cs="Arial" w:eastAsia="Arial" w:hAnsi="Arial"/>
                <w:sz w:val="18"/>
                <w:szCs w:val="18"/>
                <w:color w:val="auto"/>
              </w:rPr>
              <w:t>Total impairment and other charges</w:t>
            </w:r>
          </w:p>
        </w:tc>
        <w:tc>
          <w:tcPr>
            <w:tcW w:w="200" w:type="dxa"/>
            <w:vAlign w:val="bottom"/>
            <w:shd w:val="clear" w:color="auto" w:fill="C0C0C0"/>
          </w:tcPr>
          <w:p>
            <w:pPr>
              <w:jc w:val="right"/>
              <w:ind w:right="10"/>
              <w:spacing w:after="0" w:line="196" w:lineRule="exact"/>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b w:val="1"/>
                <w:bCs w:val="1"/>
                <w:color w:val="auto"/>
              </w:rPr>
              <w:t>2</w:t>
            </w:r>
          </w:p>
        </w:tc>
        <w:tc>
          <w:tcPr>
            <w:tcW w:w="160" w:type="dxa"/>
            <w:vAlign w:val="bottom"/>
            <w:tcBorders>
              <w:left w:val="single" w:sz="8" w:color="C0C0C0"/>
            </w:tcBorders>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200" w:type="dxa"/>
            <w:vAlign w:val="bottom"/>
            <w:shd w:val="clear" w:color="auto" w:fill="C0C0C0"/>
          </w:tcPr>
          <w:p>
            <w:pPr>
              <w:jc w:val="right"/>
              <w:ind w:right="2"/>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color w:val="auto"/>
              </w:rPr>
              <w:t>12</w:t>
            </w:r>
          </w:p>
        </w:tc>
        <w:tc>
          <w:tcPr>
            <w:tcW w:w="160" w:type="dxa"/>
            <w:vAlign w:val="bottom"/>
            <w:tcBorders>
              <w:left w:val="single" w:sz="8" w:color="C0C0C0"/>
            </w:tcBorders>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200" w:type="dxa"/>
            <w:vAlign w:val="bottom"/>
            <w:shd w:val="clear" w:color="auto" w:fill="C0C0C0"/>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color w:val="auto"/>
              </w:rPr>
              <w:t>5</w:t>
            </w:r>
          </w:p>
        </w:tc>
        <w:tc>
          <w:tcPr>
            <w:tcW w:w="200" w:type="dxa"/>
            <w:vAlign w:val="bottom"/>
            <w:tcBorders>
              <w:left w:val="single" w:sz="8" w:color="C0C0C0"/>
            </w:tcBorders>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tcBorders>
              <w:top w:val="single" w:sz="8" w:color="C0C0C0"/>
            </w:tcBorders>
            <w:shd w:val="clear" w:color="auto" w:fill="C0C0C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0C0C0"/>
              <w:left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0C0C0"/>
              <w:left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0C0C0"/>
              <w:left w:val="single" w:sz="8" w:color="C0C0C0"/>
            </w:tcBorders>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-1071245</wp:posOffset>
            </wp:positionV>
            <wp:extent cx="5565775" cy="342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565775"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565775" cy="342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565775"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-882650</wp:posOffset>
            </wp:positionV>
            <wp:extent cx="556577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6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CCS Store Closure Costs</w:t>
      </w:r>
    </w:p>
    <w:p>
      <w:pPr>
        <w:spacing w:after="0" w:line="135" w:lineRule="exact"/>
        <w:rPr>
          <w:sz w:val="20"/>
          <w:szCs w:val="20"/>
          <w:color w:val="auto"/>
        </w:rPr>
      </w:pPr>
    </w:p>
    <w:p>
      <w:pPr>
        <w:ind w:left="60" w:right="519"/>
        <w:spacing w:after="0" w:line="262" w:lineRule="auto"/>
        <w:rPr>
          <w:sz w:val="20"/>
          <w:szCs w:val="20"/>
          <w:color w:val="auto"/>
        </w:rPr>
      </w:pPr>
      <w:r>
        <w:rPr>
          <w:rFonts w:ascii="Arial" w:cs="Arial" w:eastAsia="Arial" w:hAnsi="Arial"/>
          <w:sz w:val="18"/>
          <w:szCs w:val="18"/>
          <w:color w:val="auto"/>
        </w:rPr>
        <w:t>During 2013, the Company recorded $2 million of store closing costs, primarily related to lease buy-out expenses, resulting from the decision to close the 22 CCS store locations.</w:t>
      </w:r>
    </w:p>
    <w:p>
      <w:pPr>
        <w:spacing w:after="0" w:line="200" w:lineRule="exact"/>
        <w:rPr>
          <w:sz w:val="20"/>
          <w:szCs w:val="20"/>
          <w:color w:val="auto"/>
        </w:rPr>
      </w:pPr>
    </w:p>
    <w:p>
      <w:pPr>
        <w:spacing w:after="0" w:line="33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96520</wp:posOffset>
            </wp:positionV>
            <wp:extent cx="6114415" cy="596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49" w:name="page50"/>
    <w:bookmarkEnd w:id="49"/>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800"/>
        <w:spacing w:after="0"/>
        <w:rPr>
          <w:sz w:val="20"/>
          <w:szCs w:val="20"/>
          <w:color w:val="auto"/>
        </w:rPr>
      </w:pPr>
      <w:r>
        <w:rPr>
          <w:rFonts w:ascii="Arial" w:cs="Arial" w:eastAsia="Arial" w:hAnsi="Arial"/>
          <w:sz w:val="22"/>
          <w:szCs w:val="22"/>
          <w:b w:val="1"/>
          <w:bCs w:val="1"/>
          <w:color w:val="auto"/>
        </w:rPr>
        <w:t>Foot Locker, Inc.</w:t>
      </w:r>
    </w:p>
    <w:p>
      <w:pPr>
        <w:jc w:val="center"/>
        <w:ind w:right="8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right="6160" w:firstLine="8"/>
        <w:spacing w:after="0" w:line="388" w:lineRule="auto"/>
        <w:tabs>
          <w:tab w:leader="none" w:pos="3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Impairment and Other Charges – (continued) </w:t>
      </w:r>
      <w:r>
        <w:rPr>
          <w:rFonts w:ascii="Arial" w:cs="Arial" w:eastAsia="Arial" w:hAnsi="Arial"/>
          <w:sz w:val="18"/>
          <w:szCs w:val="18"/>
          <w:i w:val="1"/>
          <w:iCs w:val="1"/>
          <w:color w:val="auto"/>
        </w:rPr>
        <w:t>Impairment of Intangible Assets</w:t>
      </w:r>
    </w:p>
    <w:p>
      <w:pPr>
        <w:spacing w:after="0" w:line="1" w:lineRule="exact"/>
        <w:rPr>
          <w:sz w:val="20"/>
          <w:szCs w:val="20"/>
          <w:color w:val="auto"/>
        </w:rPr>
      </w:pPr>
    </w:p>
    <w:p>
      <w:pPr>
        <w:jc w:val="both"/>
        <w:ind w:left="60" w:right="820"/>
        <w:spacing w:after="0" w:line="252" w:lineRule="auto"/>
        <w:rPr>
          <w:sz w:val="20"/>
          <w:szCs w:val="20"/>
          <w:color w:val="auto"/>
        </w:rPr>
      </w:pPr>
      <w:r>
        <w:rPr>
          <w:rFonts w:ascii="Arial" w:cs="Arial" w:eastAsia="Arial" w:hAnsi="Arial"/>
          <w:sz w:val="18"/>
          <w:szCs w:val="18"/>
          <w:color w:val="auto"/>
        </w:rPr>
        <w:t>Intangible assets that are determined to have finite lives are amortized over their useful lives and are measured for impairment only when events or changes in circumstances indicate that the carrying value may be impaired. Intangible assets with indefinite lives are tested for impairment if impairment indicators arise and, at a minimum, annually. We estimate the fair value based on an income approach using the relief-from-royalty method. During the fourth quarters of 2012 and 2011, the Company determined that triggering events had occurred related to its CCS intangible assets, which is part of the Direct-to-Customers segment, reflecting decreases in projected revenues. The 2012 charge also reflected a decrease in the assumed royalty rate as a result of lower profitability. No impairment charges related to intangible assets were recorded during 2013.</w:t>
      </w:r>
    </w:p>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Impairment of Long-lived Assets</w:t>
      </w:r>
    </w:p>
    <w:p>
      <w:pPr>
        <w:spacing w:after="0" w:line="135" w:lineRule="exact"/>
        <w:rPr>
          <w:sz w:val="20"/>
          <w:szCs w:val="20"/>
          <w:color w:val="auto"/>
        </w:rPr>
      </w:pPr>
    </w:p>
    <w:p>
      <w:pPr>
        <w:jc w:val="both"/>
        <w:ind w:left="60" w:right="820"/>
        <w:spacing w:after="0" w:line="256" w:lineRule="auto"/>
        <w:rPr>
          <w:sz w:val="20"/>
          <w:szCs w:val="20"/>
          <w:color w:val="auto"/>
        </w:rPr>
      </w:pPr>
      <w:r>
        <w:rPr>
          <w:rFonts w:ascii="Arial" w:cs="Arial" w:eastAsia="Arial" w:hAnsi="Arial"/>
          <w:sz w:val="18"/>
          <w:szCs w:val="18"/>
          <w:color w:val="auto"/>
        </w:rPr>
        <w:t>During 2012, the Company recorded non-cash impairment charges totaling $5 million to write-down long-lived assets at its CCS division. This impairment charge was recorded to fully impair the CCS stores net book value as a result of the Company’s decision to close all 22 of its locations during 2013.</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Other Income</w:t>
      </w:r>
    </w:p>
    <w:p>
      <w:pPr>
        <w:spacing w:after="0" w:line="139" w:lineRule="exact"/>
        <w:rPr>
          <w:sz w:val="20"/>
          <w:szCs w:val="20"/>
          <w:color w:val="auto"/>
        </w:rPr>
      </w:pPr>
    </w:p>
    <w:p>
      <w:pPr>
        <w:jc w:val="both"/>
        <w:ind w:left="60" w:right="820"/>
        <w:spacing w:after="0" w:line="254" w:lineRule="auto"/>
        <w:rPr>
          <w:sz w:val="20"/>
          <w:szCs w:val="20"/>
          <w:color w:val="auto"/>
        </w:rPr>
      </w:pPr>
      <w:r>
        <w:rPr>
          <w:rFonts w:ascii="Arial" w:cs="Arial" w:eastAsia="Arial" w:hAnsi="Arial"/>
          <w:sz w:val="18"/>
          <w:szCs w:val="18"/>
          <w:color w:val="auto"/>
        </w:rPr>
        <w:t>Other income includes non-operating items, such as: gains from insurance recoveries; discounts/premiums paid on the repurchase and retirement of bonds; royalty income; and the changes in fair value, premiums paid, and realized gains associated with foreign currency option contracts. Other income was $4 million in 2013, $2 million in 2012, and $4 million in 2011.</w:t>
      </w:r>
    </w:p>
    <w:p>
      <w:pPr>
        <w:spacing w:after="0" w:line="96" w:lineRule="exact"/>
        <w:rPr>
          <w:sz w:val="20"/>
          <w:szCs w:val="20"/>
          <w:color w:val="auto"/>
        </w:rPr>
      </w:pPr>
    </w:p>
    <w:p>
      <w:pPr>
        <w:jc w:val="both"/>
        <w:ind w:left="60" w:right="820"/>
        <w:spacing w:after="0" w:line="254" w:lineRule="auto"/>
        <w:rPr>
          <w:sz w:val="20"/>
          <w:szCs w:val="20"/>
          <w:color w:val="auto"/>
        </w:rPr>
      </w:pPr>
      <w:r>
        <w:rPr>
          <w:rFonts w:ascii="Arial" w:cs="Arial" w:eastAsia="Arial" w:hAnsi="Arial"/>
          <w:sz w:val="18"/>
          <w:szCs w:val="18"/>
          <w:color w:val="auto"/>
        </w:rPr>
        <w:t>For 2013, other income includes $2 million of royalty income and $2 million of lease termination gains related to the sales of leasehold interests. For 2012, other income primarily includes royalty income. For 2011, other income primarily includes $2 million of lease termination gains related to the sales of leasehold interests, $1 million for insurance recoveries, as well as royalty income.</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Merchandise 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-56515</wp:posOffset>
            </wp:positionV>
            <wp:extent cx="556577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5"/>
                <w:szCs w:val="15"/>
                <w:color w:val="auto"/>
              </w:rPr>
            </w:pPr>
          </w:p>
        </w:tc>
      </w:tr>
      <w:tr>
        <w:trPr>
          <w:trHeight w:val="173"/>
        </w:trPr>
        <w:tc>
          <w:tcPr>
            <w:tcW w:w="6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(in millions)</w:t>
            </w:r>
          </w:p>
        </w:tc>
      </w:tr>
      <w:tr>
        <w:trPr>
          <w:trHeight w:val="225"/>
        </w:trPr>
        <w:tc>
          <w:tcPr>
            <w:tcW w:w="6780" w:type="dxa"/>
            <w:vAlign w:val="bottom"/>
          </w:tcPr>
          <w:p>
            <w:pPr>
              <w:ind w:left="20"/>
              <w:spacing w:after="0"/>
              <w:rPr>
                <w:sz w:val="20"/>
                <w:szCs w:val="20"/>
                <w:color w:val="auto"/>
              </w:rPr>
            </w:pPr>
            <w:r>
              <w:rPr>
                <w:rFonts w:ascii="Arial" w:cs="Arial" w:eastAsia="Arial" w:hAnsi="Arial"/>
                <w:sz w:val="18"/>
                <w:szCs w:val="18"/>
                <w:color w:val="auto"/>
              </w:rPr>
              <w:t>LIFO inventories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746</w:t>
            </w:r>
          </w:p>
        </w:tc>
        <w:tc>
          <w:tcPr>
            <w:tcW w:w="80" w:type="dxa"/>
            <w:vAlign w:val="bottom"/>
          </w:tcPr>
          <w:p>
            <w:pPr>
              <w:spacing w:after="0"/>
              <w:rPr>
                <w:sz w:val="19"/>
                <w:szCs w:val="19"/>
                <w:color w:val="auto"/>
              </w:rPr>
            </w:pP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752</w:t>
            </w:r>
          </w:p>
        </w:tc>
      </w:tr>
      <w:tr>
        <w:trPr>
          <w:trHeight w:val="203"/>
        </w:trPr>
        <w:tc>
          <w:tcPr>
            <w:tcW w:w="678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FIFO inventories</w:t>
            </w:r>
          </w:p>
        </w:tc>
        <w:tc>
          <w:tcPr>
            <w:tcW w:w="200" w:type="dxa"/>
            <w:vAlign w:val="bottom"/>
            <w:shd w:val="clear" w:color="auto" w:fill="C0C0C0"/>
          </w:tcPr>
          <w:p>
            <w:pPr>
              <w:spacing w:after="0"/>
              <w:rPr>
                <w:sz w:val="17"/>
                <w:szCs w:val="17"/>
                <w:color w:val="auto"/>
              </w:rPr>
            </w:pPr>
          </w:p>
        </w:tc>
        <w:tc>
          <w:tcPr>
            <w:tcW w:w="60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rPr>
              <w:t>474</w:t>
            </w:r>
          </w:p>
        </w:tc>
        <w:tc>
          <w:tcPr>
            <w:tcW w:w="8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415</w:t>
            </w:r>
          </w:p>
        </w:tc>
      </w:tr>
      <w:tr>
        <w:trPr>
          <w:trHeight w:val="20"/>
        </w:trPr>
        <w:tc>
          <w:tcPr>
            <w:tcW w:w="678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r>
      <w:tr>
        <w:trPr>
          <w:trHeight w:val="196"/>
        </w:trPr>
        <w:tc>
          <w:tcPr>
            <w:tcW w:w="6780" w:type="dxa"/>
            <w:vAlign w:val="bottom"/>
          </w:tcPr>
          <w:p>
            <w:pPr>
              <w:ind w:left="20"/>
              <w:spacing w:after="0" w:line="196" w:lineRule="exact"/>
              <w:rPr>
                <w:sz w:val="20"/>
                <w:szCs w:val="20"/>
                <w:color w:val="auto"/>
              </w:rPr>
            </w:pPr>
            <w:r>
              <w:rPr>
                <w:rFonts w:ascii="Arial" w:cs="Arial" w:eastAsia="Arial" w:hAnsi="Arial"/>
                <w:sz w:val="18"/>
                <w:szCs w:val="18"/>
                <w:color w:val="auto"/>
              </w:rPr>
              <w:t>Total merchandise inventories</w:t>
            </w:r>
          </w:p>
        </w:tc>
        <w:tc>
          <w:tcPr>
            <w:tcW w:w="2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1,220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1,167</w:t>
            </w:r>
          </w:p>
        </w:tc>
      </w:tr>
      <w:tr>
        <w:trPr>
          <w:trHeight w:val="21"/>
        </w:trPr>
        <w:tc>
          <w:tcPr>
            <w:tcW w:w="6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-170815</wp:posOffset>
            </wp:positionV>
            <wp:extent cx="5565775"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565775" cy="171450"/>
                    </a:xfrm>
                    <a:prstGeom prst="rect">
                      <a:avLst/>
                    </a:prstGeom>
                    <a:noFill/>
                  </pic:spPr>
                </pic:pic>
              </a:graphicData>
            </a:graphic>
          </wp:anchor>
        </w:drawing>
      </w:r>
    </w:p>
    <w:p>
      <w:pPr>
        <w:spacing w:after="0" w:line="87" w:lineRule="exact"/>
        <w:rPr>
          <w:sz w:val="20"/>
          <w:szCs w:val="20"/>
          <w:color w:val="auto"/>
        </w:rPr>
      </w:pPr>
    </w:p>
    <w:p>
      <w:pPr>
        <w:ind w:left="60" w:right="820"/>
        <w:spacing w:after="0" w:line="262" w:lineRule="auto"/>
        <w:rPr>
          <w:sz w:val="20"/>
          <w:szCs w:val="20"/>
          <w:color w:val="auto"/>
        </w:rPr>
      </w:pPr>
      <w:r>
        <w:rPr>
          <w:rFonts w:ascii="Arial" w:cs="Arial" w:eastAsia="Arial" w:hAnsi="Arial"/>
          <w:sz w:val="18"/>
          <w:szCs w:val="18"/>
          <w:color w:val="auto"/>
        </w:rPr>
        <w:t>The value of the Company’s LIFO inventories, as calculated on a LIFO basis, approximates their value as calculated on a FIFO basis.</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-56515</wp:posOffset>
            </wp:positionV>
            <wp:extent cx="556577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auto"/>
            </w:tcBorders>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(in millions)</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Net receivables</w:t>
            </w:r>
          </w:p>
        </w:tc>
        <w:tc>
          <w:tcPr>
            <w:tcW w:w="29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99</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00" w:type="dxa"/>
            <w:vAlign w:val="bottom"/>
            <w:gridSpan w:val="2"/>
            <w:shd w:val="clear" w:color="auto" w:fill="C0C0C0"/>
          </w:tcPr>
          <w:p>
            <w:pPr>
              <w:ind w:left="20"/>
              <w:spacing w:after="0" w:line="202" w:lineRule="exact"/>
              <w:rPr>
                <w:sz w:val="20"/>
                <w:szCs w:val="20"/>
                <w:color w:val="auto"/>
              </w:rPr>
            </w:pPr>
            <w:r>
              <w:rPr>
                <w:rFonts w:ascii="Arial" w:cs="Arial" w:eastAsia="Arial" w:hAnsi="Arial"/>
                <w:sz w:val="18"/>
                <w:szCs w:val="18"/>
                <w:color w:val="auto"/>
              </w:rPr>
              <w:t>Prepaid rent</w:t>
            </w:r>
          </w:p>
        </w:tc>
        <w:tc>
          <w:tcPr>
            <w:tcW w:w="278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b w:val="1"/>
                <w:bCs w:val="1"/>
                <w:color w:val="auto"/>
              </w:rPr>
              <w:t>75</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40"/>
              <w:spacing w:after="0" w:line="202" w:lineRule="exact"/>
              <w:rPr>
                <w:sz w:val="20"/>
                <w:szCs w:val="20"/>
                <w:color w:val="auto"/>
              </w:rPr>
            </w:pPr>
            <w:r>
              <w:rPr>
                <w:rFonts w:ascii="Arial" w:cs="Arial" w:eastAsia="Arial" w:hAnsi="Arial"/>
                <w:sz w:val="18"/>
                <w:szCs w:val="18"/>
                <w:color w:val="auto"/>
              </w:rPr>
              <w:t>70</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Prepaid income taxes</w:t>
            </w:r>
          </w:p>
        </w:tc>
        <w:tc>
          <w:tcPr>
            <w:tcW w:w="2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35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72</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gridSpan w:val="2"/>
            <w:shd w:val="clear" w:color="auto" w:fill="C0C0C0"/>
          </w:tcPr>
          <w:p>
            <w:pPr>
              <w:ind w:left="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78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b w:val="1"/>
                <w:bCs w:val="1"/>
                <w:color w:val="auto"/>
              </w:rPr>
              <w:t>34</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40"/>
              <w:spacing w:after="0" w:line="202" w:lineRule="exact"/>
              <w:rPr>
                <w:sz w:val="20"/>
                <w:szCs w:val="20"/>
                <w:color w:val="auto"/>
              </w:rPr>
            </w:pPr>
            <w:r>
              <w:rPr>
                <w:rFonts w:ascii="Arial" w:cs="Arial" w:eastAsia="Arial" w:hAnsi="Arial"/>
                <w:sz w:val="18"/>
                <w:szCs w:val="18"/>
                <w:color w:val="auto"/>
              </w:rPr>
              <w:t>38</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Deferred taxes and costs</w:t>
            </w:r>
          </w:p>
        </w:tc>
        <w:tc>
          <w:tcPr>
            <w:tcW w:w="2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20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gridSpan w:val="2"/>
            <w:shd w:val="clear" w:color="auto" w:fill="C0C0C0"/>
          </w:tcPr>
          <w:p>
            <w:pPr>
              <w:ind w:left="20"/>
              <w:spacing w:after="0" w:line="202" w:lineRule="exact"/>
              <w:rPr>
                <w:sz w:val="20"/>
                <w:szCs w:val="20"/>
                <w:color w:val="auto"/>
              </w:rPr>
            </w:pPr>
            <w:r>
              <w:rPr>
                <w:rFonts w:ascii="Arial" w:cs="Arial" w:eastAsia="Arial" w:hAnsi="Arial"/>
                <w:sz w:val="18"/>
                <w:szCs w:val="18"/>
                <w:color w:val="auto"/>
              </w:rPr>
              <w:t>Fair value of derivative contracts</w:t>
            </w:r>
          </w:p>
        </w:tc>
        <w:tc>
          <w:tcPr>
            <w:tcW w:w="278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56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40"/>
              <w:spacing w:after="0" w:line="202" w:lineRule="exact"/>
              <w:rPr>
                <w:sz w:val="20"/>
                <w:szCs w:val="20"/>
                <w:color w:val="auto"/>
              </w:rPr>
            </w:pPr>
            <w:r>
              <w:rPr>
                <w:rFonts w:ascii="Arial" w:cs="Arial" w:eastAsia="Arial" w:hAnsi="Arial"/>
                <w:sz w:val="18"/>
                <w:szCs w:val="18"/>
                <w:color w:val="auto"/>
              </w:rPr>
              <w:t>6</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shd w:val="clear" w:color="auto" w:fill="C0C0C0"/>
          </w:tcPr>
          <w:p>
            <w:pPr>
              <w:spacing w:after="0" w:line="20" w:lineRule="exact"/>
              <w:rPr>
                <w:sz w:val="1"/>
                <w:szCs w:val="1"/>
                <w:color w:val="auto"/>
              </w:rPr>
            </w:pPr>
          </w:p>
        </w:tc>
        <w:tc>
          <w:tcPr>
            <w:tcW w:w="3200" w:type="dxa"/>
            <w:vAlign w:val="bottom"/>
            <w:shd w:val="clear" w:color="auto" w:fill="C0C0C0"/>
          </w:tcPr>
          <w:p>
            <w:pPr>
              <w:spacing w:after="0" w:line="20" w:lineRule="exact"/>
              <w:rPr>
                <w:sz w:val="1"/>
                <w:szCs w:val="1"/>
                <w:color w:val="auto"/>
              </w:rPr>
            </w:pPr>
          </w:p>
        </w:tc>
        <w:tc>
          <w:tcPr>
            <w:tcW w:w="278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5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263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268</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780" w:type="dxa"/>
            <w:vAlign w:val="bottom"/>
            <w:vMerge w:val="restart"/>
          </w:tcPr>
          <w:p>
            <w:pPr>
              <w:jc w:val="right"/>
              <w:ind w:right="1930"/>
              <w:spacing w:after="0"/>
              <w:rPr>
                <w:sz w:val="20"/>
                <w:szCs w:val="20"/>
                <w:color w:val="auto"/>
              </w:rPr>
            </w:pPr>
            <w:r>
              <w:rPr>
                <w:rFonts w:ascii="Arial" w:cs="Arial" w:eastAsia="Arial" w:hAnsi="Arial"/>
                <w:sz w:val="18"/>
                <w:szCs w:val="18"/>
                <w:color w:val="auto"/>
              </w:rPr>
              <w:t>48</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8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3200" w:type="dxa"/>
            <w:vAlign w:val="bottom"/>
            <w:tcBorders>
              <w:bottom w:val="single" w:sz="8" w:color="9A9A9A"/>
            </w:tcBorders>
          </w:tcPr>
          <w:p>
            <w:pPr>
              <w:spacing w:after="0"/>
              <w:rPr>
                <w:sz w:val="14"/>
                <w:szCs w:val="14"/>
                <w:color w:val="auto"/>
              </w:rPr>
            </w:pPr>
          </w:p>
        </w:tc>
        <w:tc>
          <w:tcPr>
            <w:tcW w:w="278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3200" w:type="dxa"/>
            <w:vAlign w:val="bottom"/>
            <w:tcBorders>
              <w:bottom w:val="single" w:sz="8" w:color="EEEEEE"/>
            </w:tcBorders>
          </w:tcPr>
          <w:p>
            <w:pPr>
              <w:spacing w:after="0" w:line="20" w:lineRule="exact"/>
              <w:rPr>
                <w:sz w:val="1"/>
                <w:szCs w:val="1"/>
                <w:color w:val="auto"/>
              </w:rPr>
            </w:pPr>
          </w:p>
        </w:tc>
        <w:tc>
          <w:tcPr>
            <w:tcW w:w="27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-805180</wp:posOffset>
            </wp:positionV>
            <wp:extent cx="5565775"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565775" cy="17145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802" w:right="1139" w:bottom="1440" w:gutter="0" w:footer="0" w:header="0"/>
        </w:sectPr>
      </w:pPr>
    </w:p>
    <w:bookmarkStart w:id="50" w:name="page51"/>
    <w:bookmarkEnd w:id="50"/>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Foot Locker, Inc.</w:t>
      </w:r>
    </w:p>
    <w:p>
      <w:pPr>
        <w:jc w:val="center"/>
        <w:ind w:right="5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-56515</wp:posOffset>
            </wp:positionV>
            <wp:extent cx="556577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5"/>
                <w:szCs w:val="15"/>
                <w:color w:val="auto"/>
              </w:rPr>
            </w:pPr>
          </w:p>
        </w:tc>
      </w:tr>
      <w:tr>
        <w:trPr>
          <w:trHeight w:val="173"/>
        </w:trPr>
        <w:tc>
          <w:tcPr>
            <w:tcW w:w="6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(in millions)</w:t>
            </w:r>
          </w:p>
        </w:tc>
      </w:tr>
      <w:tr>
        <w:trPr>
          <w:trHeight w:val="225"/>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Land</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r>
      <w:tr>
        <w:trPr>
          <w:trHeight w:val="203"/>
        </w:trPr>
        <w:tc>
          <w:tcPr>
            <w:tcW w:w="678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b w:val="1"/>
                <w:bCs w:val="1"/>
                <w:color w:val="auto"/>
              </w:rPr>
              <w:t>Buildings:</w:t>
            </w:r>
          </w:p>
        </w:tc>
        <w:tc>
          <w:tcPr>
            <w:tcW w:w="20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5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r>
      <w:tr>
        <w:trPr>
          <w:trHeight w:val="203"/>
        </w:trPr>
        <w:tc>
          <w:tcPr>
            <w:tcW w:w="6780" w:type="dxa"/>
            <w:vAlign w:val="bottom"/>
          </w:tcPr>
          <w:p>
            <w:pPr>
              <w:ind w:left="200"/>
              <w:spacing w:after="0" w:line="202" w:lineRule="exact"/>
              <w:rPr>
                <w:sz w:val="20"/>
                <w:szCs w:val="20"/>
                <w:color w:val="auto"/>
              </w:rPr>
            </w:pPr>
            <w:r>
              <w:rPr>
                <w:rFonts w:ascii="Arial" w:cs="Arial" w:eastAsia="Arial" w:hAnsi="Arial"/>
                <w:sz w:val="18"/>
                <w:szCs w:val="18"/>
                <w:color w:val="auto"/>
              </w:rPr>
              <w:t>Owned</w:t>
            </w:r>
          </w:p>
        </w:tc>
        <w:tc>
          <w:tcPr>
            <w:tcW w:w="200" w:type="dxa"/>
            <w:vAlign w:val="bottom"/>
          </w:tcPr>
          <w:p>
            <w:pPr>
              <w:spacing w:after="0"/>
              <w:rPr>
                <w:sz w:val="17"/>
                <w:szCs w:val="17"/>
                <w:color w:val="auto"/>
              </w:rPr>
            </w:pPr>
          </w:p>
        </w:tc>
        <w:tc>
          <w:tcPr>
            <w:tcW w:w="68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44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41</w:t>
            </w:r>
          </w:p>
        </w:tc>
      </w:tr>
      <w:tr>
        <w:trPr>
          <w:trHeight w:val="203"/>
        </w:trPr>
        <w:tc>
          <w:tcPr>
            <w:tcW w:w="678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b w:val="1"/>
                <w:bCs w:val="1"/>
                <w:color w:val="auto"/>
              </w:rPr>
              <w:t>Furniture, fixtures, equipment and software development costs:</w:t>
            </w:r>
          </w:p>
        </w:tc>
        <w:tc>
          <w:tcPr>
            <w:tcW w:w="20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5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r>
      <w:tr>
        <w:trPr>
          <w:trHeight w:val="203"/>
        </w:trPr>
        <w:tc>
          <w:tcPr>
            <w:tcW w:w="6780" w:type="dxa"/>
            <w:vAlign w:val="bottom"/>
          </w:tcPr>
          <w:p>
            <w:pPr>
              <w:ind w:left="200"/>
              <w:spacing w:after="0" w:line="202" w:lineRule="exact"/>
              <w:rPr>
                <w:sz w:val="20"/>
                <w:szCs w:val="20"/>
                <w:color w:val="auto"/>
              </w:rPr>
            </w:pPr>
            <w:r>
              <w:rPr>
                <w:rFonts w:ascii="Arial" w:cs="Arial" w:eastAsia="Arial" w:hAnsi="Arial"/>
                <w:sz w:val="18"/>
                <w:szCs w:val="18"/>
                <w:color w:val="auto"/>
              </w:rPr>
              <w:t>Owned</w:t>
            </w:r>
          </w:p>
        </w:tc>
        <w:tc>
          <w:tcPr>
            <w:tcW w:w="200" w:type="dxa"/>
            <w:vAlign w:val="bottom"/>
          </w:tcPr>
          <w:p>
            <w:pPr>
              <w:spacing w:after="0"/>
              <w:rPr>
                <w:sz w:val="17"/>
                <w:szCs w:val="17"/>
                <w:color w:val="auto"/>
              </w:rPr>
            </w:pPr>
          </w:p>
        </w:tc>
        <w:tc>
          <w:tcPr>
            <w:tcW w:w="68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888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832</w:t>
            </w:r>
          </w:p>
        </w:tc>
      </w:tr>
      <w:tr>
        <w:trPr>
          <w:trHeight w:val="203"/>
        </w:trPr>
        <w:tc>
          <w:tcPr>
            <w:tcW w:w="6780" w:type="dxa"/>
            <w:vAlign w:val="bottom"/>
            <w:shd w:val="clear" w:color="auto" w:fill="C0C0C0"/>
          </w:tcPr>
          <w:p>
            <w:pPr>
              <w:ind w:left="200"/>
              <w:spacing w:after="0" w:line="202" w:lineRule="exact"/>
              <w:rPr>
                <w:sz w:val="20"/>
                <w:szCs w:val="20"/>
                <w:color w:val="auto"/>
              </w:rPr>
            </w:pPr>
            <w:r>
              <w:rPr>
                <w:rFonts w:ascii="Arial" w:cs="Arial" w:eastAsia="Arial" w:hAnsi="Arial"/>
                <w:sz w:val="18"/>
                <w:szCs w:val="18"/>
                <w:color w:val="auto"/>
              </w:rPr>
              <w:t>Assets under capital leases</w:t>
            </w:r>
          </w:p>
        </w:tc>
        <w:tc>
          <w:tcPr>
            <w:tcW w:w="2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200"/>
              <w:spacing w:after="0" w:line="202" w:lineRule="exact"/>
              <w:rPr>
                <w:sz w:val="20"/>
                <w:szCs w:val="20"/>
                <w:color w:val="auto"/>
              </w:rPr>
            </w:pPr>
            <w:r>
              <w:rPr>
                <w:rFonts w:ascii="Arial" w:cs="Arial" w:eastAsia="Arial" w:hAnsi="Arial"/>
                <w:sz w:val="18"/>
                <w:szCs w:val="18"/>
                <w:b w:val="1"/>
                <w:bCs w:val="1"/>
                <w:color w:val="auto"/>
              </w:rPr>
              <w:t>10</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
        </w:trPr>
        <w:tc>
          <w:tcPr>
            <w:tcW w:w="678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r>
      <w:tr>
        <w:trPr>
          <w:trHeight w:val="196"/>
        </w:trPr>
        <w:tc>
          <w:tcPr>
            <w:tcW w:w="6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jc w:val="right"/>
              <w:ind w:right="200"/>
              <w:spacing w:after="0" w:line="196" w:lineRule="exact"/>
              <w:rPr>
                <w:sz w:val="20"/>
                <w:szCs w:val="20"/>
                <w:color w:val="auto"/>
              </w:rPr>
            </w:pPr>
            <w:r>
              <w:rPr>
                <w:rFonts w:ascii="Arial" w:cs="Arial" w:eastAsia="Arial" w:hAnsi="Arial"/>
                <w:sz w:val="18"/>
                <w:szCs w:val="18"/>
                <w:b w:val="1"/>
                <w:bCs w:val="1"/>
                <w:color w:val="auto"/>
              </w:rPr>
              <w:t>948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879</w:t>
            </w:r>
          </w:p>
        </w:tc>
      </w:tr>
      <w:tr>
        <w:trPr>
          <w:trHeight w:val="203"/>
        </w:trPr>
        <w:tc>
          <w:tcPr>
            <w:tcW w:w="6780" w:type="dxa"/>
            <w:vAlign w:val="bottom"/>
            <w:shd w:val="clear" w:color="auto" w:fill="C0C0C0"/>
          </w:tcPr>
          <w:p>
            <w:pPr>
              <w:ind w:left="200"/>
              <w:spacing w:after="0" w:line="202" w:lineRule="exact"/>
              <w:rPr>
                <w:sz w:val="20"/>
                <w:szCs w:val="20"/>
                <w:color w:val="auto"/>
              </w:rPr>
            </w:pPr>
            <w:r>
              <w:rPr>
                <w:rFonts w:ascii="Arial" w:cs="Arial" w:eastAsia="Arial" w:hAnsi="Arial"/>
                <w:sz w:val="18"/>
                <w:szCs w:val="18"/>
                <w:color w:val="auto"/>
              </w:rPr>
              <w:t>Less: accumulated depreciation</w:t>
            </w:r>
          </w:p>
        </w:tc>
        <w:tc>
          <w:tcPr>
            <w:tcW w:w="2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140"/>
              <w:spacing w:after="0" w:line="202" w:lineRule="exact"/>
              <w:rPr>
                <w:sz w:val="20"/>
                <w:szCs w:val="20"/>
                <w:color w:val="auto"/>
              </w:rPr>
            </w:pPr>
            <w:r>
              <w:rPr>
                <w:rFonts w:ascii="Arial" w:cs="Arial" w:eastAsia="Arial" w:hAnsi="Arial"/>
                <w:sz w:val="18"/>
                <w:szCs w:val="18"/>
                <w:b w:val="1"/>
                <w:bCs w:val="1"/>
                <w:color w:val="auto"/>
              </w:rPr>
              <w:t>(621)</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60"/>
              <w:spacing w:after="0" w:line="202" w:lineRule="exact"/>
              <w:rPr>
                <w:sz w:val="20"/>
                <w:szCs w:val="20"/>
                <w:color w:val="auto"/>
              </w:rPr>
            </w:pPr>
            <w:r>
              <w:rPr>
                <w:rFonts w:ascii="Arial" w:cs="Arial" w:eastAsia="Arial" w:hAnsi="Arial"/>
                <w:sz w:val="18"/>
                <w:szCs w:val="18"/>
                <w:color w:val="auto"/>
              </w:rPr>
              <w:t>(622)</w:t>
            </w:r>
          </w:p>
        </w:tc>
      </w:tr>
      <w:tr>
        <w:trPr>
          <w:trHeight w:val="20"/>
        </w:trPr>
        <w:tc>
          <w:tcPr>
            <w:tcW w:w="678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r>
      <w:tr>
        <w:trPr>
          <w:trHeight w:val="196"/>
        </w:trPr>
        <w:tc>
          <w:tcPr>
            <w:tcW w:w="6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jc w:val="right"/>
              <w:ind w:right="200"/>
              <w:spacing w:after="0" w:line="196" w:lineRule="exact"/>
              <w:rPr>
                <w:sz w:val="20"/>
                <w:szCs w:val="20"/>
                <w:color w:val="auto"/>
              </w:rPr>
            </w:pPr>
            <w:r>
              <w:rPr>
                <w:rFonts w:ascii="Arial" w:cs="Arial" w:eastAsia="Arial" w:hAnsi="Arial"/>
                <w:sz w:val="18"/>
                <w:szCs w:val="18"/>
                <w:b w:val="1"/>
                <w:bCs w:val="1"/>
                <w:color w:val="auto"/>
              </w:rPr>
              <w:t>327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257</w:t>
            </w:r>
          </w:p>
        </w:tc>
      </w:tr>
      <w:tr>
        <w:trPr>
          <w:trHeight w:val="203"/>
        </w:trPr>
        <w:tc>
          <w:tcPr>
            <w:tcW w:w="678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b w:val="1"/>
                <w:bCs w:val="1"/>
                <w:color w:val="auto"/>
              </w:rPr>
              <w:t>Alterations to leased and owned buildings</w:t>
            </w:r>
          </w:p>
        </w:tc>
        <w:tc>
          <w:tcPr>
            <w:tcW w:w="20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5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r>
      <w:tr>
        <w:trPr>
          <w:trHeight w:val="203"/>
        </w:trPr>
        <w:tc>
          <w:tcPr>
            <w:tcW w:w="6780" w:type="dxa"/>
            <w:vAlign w:val="bottom"/>
          </w:tcPr>
          <w:p>
            <w:pPr>
              <w:ind w:left="200"/>
              <w:spacing w:after="0" w:line="202" w:lineRule="exact"/>
              <w:rPr>
                <w:sz w:val="20"/>
                <w:szCs w:val="20"/>
                <w:color w:val="auto"/>
              </w:rPr>
            </w:pPr>
            <w:r>
              <w:rPr>
                <w:rFonts w:ascii="Arial" w:cs="Arial" w:eastAsia="Arial" w:hAnsi="Arial"/>
                <w:sz w:val="18"/>
                <w:szCs w:val="18"/>
                <w:color w:val="auto"/>
              </w:rPr>
              <w:t>Cost</w:t>
            </w:r>
          </w:p>
        </w:tc>
        <w:tc>
          <w:tcPr>
            <w:tcW w:w="200" w:type="dxa"/>
            <w:vAlign w:val="bottom"/>
          </w:tcPr>
          <w:p>
            <w:pPr>
              <w:spacing w:after="0"/>
              <w:rPr>
                <w:sz w:val="17"/>
                <w:szCs w:val="17"/>
                <w:color w:val="auto"/>
              </w:rPr>
            </w:pPr>
          </w:p>
        </w:tc>
        <w:tc>
          <w:tcPr>
            <w:tcW w:w="68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804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772</w:t>
            </w:r>
          </w:p>
        </w:tc>
      </w:tr>
      <w:tr>
        <w:trPr>
          <w:trHeight w:val="203"/>
        </w:trPr>
        <w:tc>
          <w:tcPr>
            <w:tcW w:w="6780" w:type="dxa"/>
            <w:vAlign w:val="bottom"/>
            <w:shd w:val="clear" w:color="auto" w:fill="C0C0C0"/>
          </w:tcPr>
          <w:p>
            <w:pPr>
              <w:ind w:left="200"/>
              <w:spacing w:after="0" w:line="202" w:lineRule="exact"/>
              <w:rPr>
                <w:sz w:val="20"/>
                <w:szCs w:val="20"/>
                <w:color w:val="auto"/>
              </w:rPr>
            </w:pPr>
            <w:r>
              <w:rPr>
                <w:rFonts w:ascii="Arial" w:cs="Arial" w:eastAsia="Arial" w:hAnsi="Arial"/>
                <w:sz w:val="18"/>
                <w:szCs w:val="18"/>
                <w:color w:val="auto"/>
              </w:rPr>
              <w:t>Less: accumulated amortization</w:t>
            </w:r>
          </w:p>
        </w:tc>
        <w:tc>
          <w:tcPr>
            <w:tcW w:w="2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140"/>
              <w:spacing w:after="0" w:line="202" w:lineRule="exact"/>
              <w:rPr>
                <w:sz w:val="20"/>
                <w:szCs w:val="20"/>
                <w:color w:val="auto"/>
              </w:rPr>
            </w:pPr>
            <w:r>
              <w:rPr>
                <w:rFonts w:ascii="Arial" w:cs="Arial" w:eastAsia="Arial" w:hAnsi="Arial"/>
                <w:sz w:val="18"/>
                <w:szCs w:val="18"/>
                <w:b w:val="1"/>
                <w:bCs w:val="1"/>
                <w:color w:val="auto"/>
              </w:rPr>
              <w:t>(541)</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60"/>
              <w:spacing w:after="0" w:line="202" w:lineRule="exact"/>
              <w:rPr>
                <w:sz w:val="20"/>
                <w:szCs w:val="20"/>
                <w:color w:val="auto"/>
              </w:rPr>
            </w:pPr>
            <w:r>
              <w:rPr>
                <w:rFonts w:ascii="Arial" w:cs="Arial" w:eastAsia="Arial" w:hAnsi="Arial"/>
                <w:sz w:val="18"/>
                <w:szCs w:val="18"/>
                <w:color w:val="auto"/>
              </w:rPr>
              <w:t>(539)</w:t>
            </w:r>
          </w:p>
        </w:tc>
      </w:tr>
      <w:tr>
        <w:trPr>
          <w:trHeight w:val="20"/>
        </w:trPr>
        <w:tc>
          <w:tcPr>
            <w:tcW w:w="678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r>
      <w:tr>
        <w:trPr>
          <w:trHeight w:val="196"/>
        </w:trPr>
        <w:tc>
          <w:tcPr>
            <w:tcW w:w="6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jc w:val="right"/>
              <w:ind w:right="200"/>
              <w:spacing w:after="0" w:line="196" w:lineRule="exact"/>
              <w:rPr>
                <w:sz w:val="20"/>
                <w:szCs w:val="20"/>
                <w:color w:val="auto"/>
              </w:rPr>
            </w:pPr>
            <w:r>
              <w:rPr>
                <w:rFonts w:ascii="Arial" w:cs="Arial" w:eastAsia="Arial" w:hAnsi="Arial"/>
                <w:sz w:val="18"/>
                <w:szCs w:val="18"/>
                <w:b w:val="1"/>
                <w:bCs w:val="1"/>
                <w:color w:val="auto"/>
              </w:rPr>
              <w:t>263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233</w:t>
            </w:r>
          </w:p>
        </w:tc>
      </w:tr>
      <w:tr>
        <w:trPr>
          <w:trHeight w:val="20"/>
        </w:trPr>
        <w:tc>
          <w:tcPr>
            <w:tcW w:w="6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7"/>
        </w:trPr>
        <w:tc>
          <w:tcPr>
            <w:tcW w:w="6780" w:type="dxa"/>
            <w:vAlign w:val="bottom"/>
            <w:shd w:val="clear" w:color="auto" w:fill="C0C0C0"/>
          </w:tcPr>
          <w:p>
            <w:pPr>
              <w:spacing w:after="0"/>
              <w:rPr>
                <w:sz w:val="18"/>
                <w:szCs w:val="18"/>
                <w:color w:val="auto"/>
              </w:rPr>
            </w:pPr>
          </w:p>
        </w:tc>
        <w:tc>
          <w:tcPr>
            <w:tcW w:w="20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680" w:type="dxa"/>
            <w:vAlign w:val="bottom"/>
            <w:gridSpan w:val="2"/>
            <w:shd w:val="clear" w:color="auto" w:fill="C0C0C0"/>
          </w:tcPr>
          <w:p>
            <w:pPr>
              <w:jc w:val="right"/>
              <w:ind w:right="200"/>
              <w:spacing w:after="0" w:line="196" w:lineRule="exact"/>
              <w:rPr>
                <w:sz w:val="20"/>
                <w:szCs w:val="20"/>
                <w:color w:val="auto"/>
              </w:rPr>
            </w:pPr>
            <w:r>
              <w:rPr>
                <w:rFonts w:ascii="Arial" w:cs="Arial" w:eastAsia="Arial" w:hAnsi="Arial"/>
                <w:sz w:val="18"/>
                <w:szCs w:val="18"/>
                <w:b w:val="1"/>
                <w:bCs w:val="1"/>
                <w:color w:val="auto"/>
              </w:rPr>
              <w:t>590</w:t>
            </w:r>
          </w:p>
        </w:tc>
        <w:tc>
          <w:tcPr>
            <w:tcW w:w="360" w:type="dxa"/>
            <w:vAlign w:val="bottom"/>
            <w:gridSpan w:val="2"/>
            <w:shd w:val="clear" w:color="auto" w:fill="C0C0C0"/>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0C0C0"/>
          </w:tcPr>
          <w:p>
            <w:pPr>
              <w:jc w:val="right"/>
              <w:ind w:right="220"/>
              <w:spacing w:after="0" w:line="196" w:lineRule="exact"/>
              <w:rPr>
                <w:sz w:val="20"/>
                <w:szCs w:val="20"/>
                <w:color w:val="auto"/>
              </w:rPr>
            </w:pPr>
            <w:r>
              <w:rPr>
                <w:rFonts w:ascii="Arial" w:cs="Arial" w:eastAsia="Arial" w:hAnsi="Arial"/>
                <w:sz w:val="18"/>
                <w:szCs w:val="18"/>
                <w:color w:val="auto"/>
              </w:rPr>
              <w:t>490</w:t>
            </w:r>
          </w:p>
        </w:tc>
      </w:tr>
      <w:tr>
        <w:trPr>
          <w:trHeight w:val="20"/>
        </w:trPr>
        <w:tc>
          <w:tcPr>
            <w:tcW w:w="6780" w:type="dxa"/>
            <w:vAlign w:val="bottom"/>
            <w:tcBorders>
              <w:top w:val="single" w:sz="8" w:color="C0C0C0"/>
            </w:tcBorders>
            <w:shd w:val="clear" w:color="auto" w:fill="C0C0C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C0C0"/>
            </w:tcBorders>
            <w:shd w:val="clear" w:color="auto" w:fill="C0C0C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-1097280</wp:posOffset>
            </wp:positionV>
            <wp:extent cx="5565775"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56577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-831215</wp:posOffset>
            </wp:positionV>
            <wp:extent cx="5565775" cy="137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56577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-307975</wp:posOffset>
            </wp:positionV>
            <wp:extent cx="5565775" cy="146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56577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565775" cy="342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565775" cy="34290"/>
                    </a:xfrm>
                    <a:prstGeom prst="rect">
                      <a:avLst/>
                    </a:prstGeom>
                    <a:noFill/>
                  </pic:spPr>
                </pic:pic>
              </a:graphicData>
            </a:graphic>
          </wp:anchor>
        </w:drawing>
      </w:r>
    </w:p>
    <w:p>
      <w:pPr>
        <w:spacing w:after="0" w:line="1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Goodwill</w:t>
      </w:r>
    </w:p>
    <w:p>
      <w:pPr>
        <w:spacing w:after="0" w:line="139" w:lineRule="exact"/>
        <w:rPr>
          <w:sz w:val="20"/>
          <w:szCs w:val="20"/>
          <w:color w:val="auto"/>
        </w:rPr>
      </w:pPr>
    </w:p>
    <w:p>
      <w:pPr>
        <w:jc w:val="both"/>
        <w:ind w:left="60" w:right="539"/>
        <w:spacing w:after="0" w:line="250" w:lineRule="auto"/>
        <w:rPr>
          <w:sz w:val="20"/>
          <w:szCs w:val="20"/>
          <w:color w:val="auto"/>
        </w:rPr>
      </w:pPr>
      <w:r>
        <w:rPr>
          <w:rFonts w:ascii="Arial" w:cs="Arial" w:eastAsia="Arial" w:hAnsi="Arial"/>
          <w:sz w:val="18"/>
          <w:szCs w:val="18"/>
          <w:color w:val="auto"/>
        </w:rPr>
        <w:t>At February 1, 2014, Goodwill includes $18 million relating to the acquisition of Runners Point Group, which was allocated to the segments based upon their relative fair values. The Athletic Stores segment’s goodwill is net of accumulated impairment charges of $167 million for all periods presented. The 2013 and 2012 annual goodwill impairment tests did not result in an impairment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-74930</wp:posOffset>
            </wp:positionV>
            <wp:extent cx="556577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Athletic</w:t>
            </w:r>
          </w:p>
        </w:tc>
        <w:tc>
          <w:tcPr>
            <w:tcW w:w="160" w:type="dxa"/>
            <w:vAlign w:val="bottom"/>
          </w:tcPr>
          <w:p>
            <w:pPr>
              <w:spacing w:after="0"/>
              <w:rPr>
                <w:sz w:val="14"/>
                <w:szCs w:val="14"/>
                <w:color w:val="auto"/>
              </w:rPr>
            </w:pPr>
          </w:p>
        </w:tc>
        <w:tc>
          <w:tcPr>
            <w:tcW w:w="92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Direct-to-</w:t>
            </w:r>
          </w:p>
        </w:tc>
        <w:tc>
          <w:tcPr>
            <w:tcW w:w="220" w:type="dxa"/>
            <w:vAlign w:val="bottom"/>
          </w:tcPr>
          <w:p>
            <w:pPr>
              <w:spacing w:after="0"/>
              <w:rPr>
                <w:sz w:val="14"/>
                <w:szCs w:val="14"/>
                <w:color w:val="auto"/>
              </w:rPr>
            </w:pPr>
          </w:p>
        </w:tc>
        <w:tc>
          <w:tcPr>
            <w:tcW w:w="6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rPr>
              <w:t>Stores</w:t>
            </w:r>
          </w:p>
        </w:tc>
        <w:tc>
          <w:tcPr>
            <w:tcW w:w="160" w:type="dxa"/>
            <w:vAlign w:val="bottom"/>
          </w:tcPr>
          <w:p>
            <w:pPr>
              <w:spacing w:after="0"/>
              <w:rPr>
                <w:sz w:val="15"/>
                <w:szCs w:val="15"/>
                <w:color w:val="auto"/>
              </w:rPr>
            </w:pPr>
          </w:p>
        </w:tc>
        <w:tc>
          <w:tcPr>
            <w:tcW w:w="920" w:type="dxa"/>
            <w:vAlign w:val="bottom"/>
            <w:gridSpan w:val="6"/>
          </w:tcPr>
          <w:p>
            <w:pPr>
              <w:ind w:left="20"/>
              <w:spacing w:after="0"/>
              <w:rPr>
                <w:sz w:val="20"/>
                <w:szCs w:val="20"/>
                <w:color w:val="auto"/>
              </w:rPr>
            </w:pPr>
            <w:r>
              <w:rPr>
                <w:rFonts w:ascii="Arial" w:cs="Arial" w:eastAsia="Arial" w:hAnsi="Arial"/>
                <w:sz w:val="14"/>
                <w:szCs w:val="14"/>
                <w:b w:val="1"/>
                <w:bCs w:val="1"/>
                <w:color w:val="auto"/>
              </w:rPr>
              <w:t>Customers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6"/>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line="203" w:lineRule="exact"/>
              <w:rPr>
                <w:sz w:val="20"/>
                <w:szCs w:val="20"/>
                <w:color w:val="auto"/>
              </w:rPr>
            </w:pPr>
            <w:r>
              <w:rPr>
                <w:rFonts w:ascii="Arial" w:cs="Arial" w:eastAsia="Arial" w:hAnsi="Arial"/>
                <w:sz w:val="18"/>
                <w:szCs w:val="18"/>
                <w:color w:val="auto"/>
              </w:rPr>
              <w:t>Goodwill at January 28, 2012</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jc w:val="right"/>
              <w:ind w:right="57"/>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380" w:type="dxa"/>
            <w:vAlign w:val="bottom"/>
            <w:gridSpan w:val="2"/>
          </w:tcPr>
          <w:p>
            <w:pPr>
              <w:jc w:val="right"/>
              <w:ind w:right="88"/>
              <w:spacing w:after="0" w:line="203" w:lineRule="exact"/>
              <w:rPr>
                <w:sz w:val="20"/>
                <w:szCs w:val="20"/>
                <w:color w:val="auto"/>
              </w:rPr>
            </w:pPr>
            <w:r>
              <w:rPr>
                <w:rFonts w:ascii="Arial" w:cs="Arial" w:eastAsia="Arial" w:hAnsi="Arial"/>
                <w:sz w:val="18"/>
                <w:szCs w:val="18"/>
                <w:color w:val="auto"/>
                <w:w w:val="99"/>
              </w:rPr>
              <w:t>17</w:t>
            </w:r>
          </w:p>
        </w:tc>
        <w:tc>
          <w:tcPr>
            <w:tcW w:w="280" w:type="dxa"/>
            <w:vAlign w:val="bottom"/>
            <w:gridSpan w:val="2"/>
          </w:tcPr>
          <w:p>
            <w:pPr>
              <w:ind w:left="160"/>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gridSpan w:val="3"/>
          </w:tcPr>
          <w:p>
            <w:pPr>
              <w:jc w:val="right"/>
              <w:ind w:right="100"/>
              <w:spacing w:after="0" w:line="203" w:lineRule="exact"/>
              <w:rPr>
                <w:sz w:val="20"/>
                <w:szCs w:val="20"/>
                <w:color w:val="auto"/>
              </w:rPr>
            </w:pPr>
            <w:r>
              <w:rPr>
                <w:rFonts w:ascii="Arial" w:cs="Arial" w:eastAsia="Arial" w:hAnsi="Arial"/>
                <w:sz w:val="18"/>
                <w:szCs w:val="18"/>
                <w:color w:val="auto"/>
              </w:rPr>
              <w:t>127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7"/>
                <w:szCs w:val="17"/>
                <w:color w:val="auto"/>
              </w:rPr>
            </w:pPr>
          </w:p>
        </w:tc>
        <w:tc>
          <w:tcPr>
            <w:tcW w:w="5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3"/>
        </w:trPr>
        <w:tc>
          <w:tcPr>
            <w:tcW w:w="340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Foreign currency translation adjustment</w:t>
            </w:r>
          </w:p>
        </w:tc>
        <w:tc>
          <w:tcPr>
            <w:tcW w:w="48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50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30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380" w:type="dxa"/>
            <w:vAlign w:val="bottom"/>
            <w:gridSpan w:val="2"/>
            <w:shd w:val="clear" w:color="auto" w:fill="C0C0C0"/>
          </w:tcPr>
          <w:p>
            <w:pPr>
              <w:jc w:val="right"/>
              <w:ind w:right="88"/>
              <w:spacing w:after="0" w:line="202" w:lineRule="exact"/>
              <w:rPr>
                <w:sz w:val="20"/>
                <w:szCs w:val="20"/>
                <w:color w:val="auto"/>
              </w:rPr>
            </w:pPr>
            <w:r>
              <w:rPr>
                <w:rFonts w:ascii="Arial" w:cs="Arial" w:eastAsia="Arial" w:hAnsi="Arial"/>
                <w:sz w:val="18"/>
                <w:szCs w:val="18"/>
                <w:color w:val="auto"/>
              </w:rPr>
              <w:t>1</w:t>
            </w:r>
          </w:p>
        </w:tc>
        <w:tc>
          <w:tcPr>
            <w:tcW w:w="1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220" w:type="dxa"/>
            <w:vAlign w:val="bottom"/>
            <w:tcBorders>
              <w:left w:val="single" w:sz="8" w:color="C0C0C0"/>
            </w:tcBorders>
            <w:shd w:val="clear" w:color="auto" w:fill="C0C0C0"/>
          </w:tcPr>
          <w:p>
            <w:pPr>
              <w:spacing w:after="0"/>
              <w:rPr>
                <w:sz w:val="17"/>
                <w:szCs w:val="17"/>
                <w:color w:val="auto"/>
              </w:rPr>
            </w:pPr>
          </w:p>
        </w:tc>
        <w:tc>
          <w:tcPr>
            <w:tcW w:w="580" w:type="dxa"/>
            <w:vAlign w:val="bottom"/>
            <w:gridSpan w:val="4"/>
            <w:shd w:val="clear" w:color="auto" w:fill="C0C0C0"/>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left w:val="single" w:sz="8" w:color="C0C0C0"/>
            </w:tcBorders>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50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400" w:type="dxa"/>
            <w:vAlign w:val="bottom"/>
            <w:shd w:val="clear" w:color="auto" w:fill="C0C0C0"/>
          </w:tcPr>
          <w:p>
            <w:pPr>
              <w:spacing w:after="0" w:line="20" w:lineRule="exact"/>
              <w:rPr>
                <w:sz w:val="1"/>
                <w:szCs w:val="1"/>
                <w:color w:val="auto"/>
              </w:rPr>
            </w:pPr>
          </w:p>
        </w:tc>
        <w:tc>
          <w:tcPr>
            <w:tcW w:w="480" w:type="dxa"/>
            <w:vAlign w:val="bottom"/>
            <w:shd w:val="clear" w:color="auto" w:fill="C0C0C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500" w:type="dxa"/>
            <w:vAlign w:val="bottom"/>
            <w:shd w:val="clear" w:color="auto" w:fill="C0C0C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30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480" w:type="dxa"/>
            <w:vAlign w:val="bottom"/>
            <w:shd w:val="clear" w:color="auto" w:fill="C0C0C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0" w:type="dxa"/>
            <w:vAlign w:val="bottom"/>
          </w:tcPr>
          <w:p>
            <w:pPr>
              <w:ind w:left="20"/>
              <w:spacing w:after="0" w:line="196" w:lineRule="exact"/>
              <w:rPr>
                <w:sz w:val="20"/>
                <w:szCs w:val="20"/>
                <w:color w:val="auto"/>
              </w:rPr>
            </w:pPr>
            <w:r>
              <w:rPr>
                <w:rFonts w:ascii="Arial" w:cs="Arial" w:eastAsia="Arial" w:hAnsi="Arial"/>
                <w:sz w:val="18"/>
                <w:szCs w:val="18"/>
                <w:color w:val="auto"/>
              </w:rPr>
              <w:t>Goodwill at February 2, 2013</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spacing w:after="0"/>
              <w:rPr>
                <w:sz w:val="17"/>
                <w:szCs w:val="17"/>
                <w:color w:val="auto"/>
              </w:rPr>
            </w:pPr>
          </w:p>
        </w:tc>
        <w:tc>
          <w:tcPr>
            <w:tcW w:w="260" w:type="dxa"/>
            <w:vAlign w:val="bottom"/>
          </w:tcPr>
          <w:p>
            <w:pPr>
              <w:jc w:val="right"/>
              <w:ind w:right="57"/>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7"/>
                <w:szCs w:val="17"/>
                <w:color w:val="auto"/>
              </w:rPr>
            </w:pPr>
          </w:p>
        </w:tc>
        <w:tc>
          <w:tcPr>
            <w:tcW w:w="380" w:type="dxa"/>
            <w:vAlign w:val="bottom"/>
            <w:gridSpan w:val="2"/>
          </w:tcPr>
          <w:p>
            <w:pPr>
              <w:jc w:val="right"/>
              <w:ind w:right="88"/>
              <w:spacing w:after="0" w:line="196" w:lineRule="exact"/>
              <w:rPr>
                <w:sz w:val="20"/>
                <w:szCs w:val="20"/>
                <w:color w:val="auto"/>
              </w:rPr>
            </w:pPr>
            <w:r>
              <w:rPr>
                <w:rFonts w:ascii="Arial" w:cs="Arial" w:eastAsia="Arial" w:hAnsi="Arial"/>
                <w:sz w:val="18"/>
                <w:szCs w:val="18"/>
                <w:color w:val="auto"/>
                <w:w w:val="99"/>
              </w:rPr>
              <w:t>18</w:t>
            </w:r>
          </w:p>
        </w:tc>
        <w:tc>
          <w:tcPr>
            <w:tcW w:w="280" w:type="dxa"/>
            <w:vAlign w:val="bottom"/>
            <w:gridSpan w:val="2"/>
          </w:tcPr>
          <w:p>
            <w:pPr>
              <w:ind w:left="16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gridSpan w:val="3"/>
          </w:tcPr>
          <w:p>
            <w:pPr>
              <w:jc w:val="right"/>
              <w:ind w:right="100"/>
              <w:spacing w:after="0" w:line="196" w:lineRule="exact"/>
              <w:rPr>
                <w:sz w:val="20"/>
                <w:szCs w:val="20"/>
                <w:color w:val="auto"/>
              </w:rPr>
            </w:pPr>
            <w:r>
              <w:rPr>
                <w:rFonts w:ascii="Arial" w:cs="Arial" w:eastAsia="Arial" w:hAnsi="Arial"/>
                <w:sz w:val="18"/>
                <w:szCs w:val="18"/>
                <w:color w:val="auto"/>
              </w:rPr>
              <w:t>127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7"/>
                <w:szCs w:val="17"/>
                <w:color w:val="auto"/>
              </w:rPr>
            </w:pPr>
          </w:p>
        </w:tc>
        <w:tc>
          <w:tcPr>
            <w:tcW w:w="5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3"/>
        </w:trPr>
        <w:tc>
          <w:tcPr>
            <w:tcW w:w="340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Goodwill from acquisition</w:t>
            </w:r>
          </w:p>
        </w:tc>
        <w:tc>
          <w:tcPr>
            <w:tcW w:w="48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50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30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380" w:type="dxa"/>
            <w:vAlign w:val="bottom"/>
            <w:gridSpan w:val="2"/>
            <w:shd w:val="clear" w:color="auto" w:fill="C0C0C0"/>
          </w:tcPr>
          <w:p>
            <w:pPr>
              <w:jc w:val="right"/>
              <w:ind w:right="88"/>
              <w:spacing w:after="0" w:line="202" w:lineRule="exact"/>
              <w:rPr>
                <w:sz w:val="20"/>
                <w:szCs w:val="20"/>
                <w:color w:val="auto"/>
              </w:rPr>
            </w:pPr>
            <w:r>
              <w:rPr>
                <w:rFonts w:ascii="Arial" w:cs="Arial" w:eastAsia="Arial" w:hAnsi="Arial"/>
                <w:sz w:val="18"/>
                <w:szCs w:val="18"/>
                <w:color w:val="auto"/>
              </w:rPr>
              <w:t>3</w:t>
            </w:r>
          </w:p>
        </w:tc>
        <w:tc>
          <w:tcPr>
            <w:tcW w:w="1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640" w:type="dxa"/>
            <w:vAlign w:val="bottom"/>
            <w:tcBorders>
              <w:left w:val="single" w:sz="8" w:color="C0C0C0"/>
            </w:tcBorders>
            <w:gridSpan w:val="3"/>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15</w:t>
            </w:r>
          </w:p>
        </w:tc>
        <w:tc>
          <w:tcPr>
            <w:tcW w:w="8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220" w:type="dxa"/>
            <w:vAlign w:val="bottom"/>
            <w:tcBorders>
              <w:left w:val="single" w:sz="8" w:color="C0C0C0"/>
            </w:tcBorders>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50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3400" w:type="dxa"/>
            <w:vAlign w:val="bottom"/>
            <w:shd w:val="clear" w:color="auto" w:fill="C0C0C0"/>
          </w:tcPr>
          <w:p>
            <w:pPr>
              <w:spacing w:after="0" w:line="20" w:lineRule="exact"/>
              <w:rPr>
                <w:sz w:val="1"/>
                <w:szCs w:val="1"/>
                <w:color w:val="auto"/>
              </w:rPr>
            </w:pPr>
          </w:p>
        </w:tc>
        <w:tc>
          <w:tcPr>
            <w:tcW w:w="480" w:type="dxa"/>
            <w:vAlign w:val="bottom"/>
            <w:shd w:val="clear" w:color="auto" w:fill="C0C0C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500" w:type="dxa"/>
            <w:vAlign w:val="bottom"/>
            <w:shd w:val="clear" w:color="auto" w:fill="C0C0C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30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480" w:type="dxa"/>
            <w:vAlign w:val="bottom"/>
            <w:shd w:val="clear" w:color="auto" w:fill="C0C0C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0" w:type="dxa"/>
            <w:vAlign w:val="bottom"/>
          </w:tcPr>
          <w:p>
            <w:pPr>
              <w:ind w:left="20"/>
              <w:spacing w:after="0" w:line="196" w:lineRule="exact"/>
              <w:rPr>
                <w:sz w:val="20"/>
                <w:szCs w:val="20"/>
                <w:color w:val="auto"/>
              </w:rPr>
            </w:pPr>
            <w:r>
              <w:rPr>
                <w:rFonts w:ascii="Arial" w:cs="Arial" w:eastAsia="Arial" w:hAnsi="Arial"/>
                <w:sz w:val="18"/>
                <w:szCs w:val="18"/>
                <w:color w:val="auto"/>
              </w:rPr>
              <w:t>Goodwill at February 1, 2014</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spacing w:after="0"/>
              <w:rPr>
                <w:sz w:val="17"/>
                <w:szCs w:val="17"/>
                <w:color w:val="auto"/>
              </w:rPr>
            </w:pPr>
          </w:p>
        </w:tc>
        <w:tc>
          <w:tcPr>
            <w:tcW w:w="260" w:type="dxa"/>
            <w:vAlign w:val="bottom"/>
          </w:tcPr>
          <w:p>
            <w:pPr>
              <w:jc w:val="right"/>
              <w:ind w:right="57"/>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7"/>
                <w:szCs w:val="17"/>
                <w:color w:val="auto"/>
              </w:rPr>
            </w:pPr>
          </w:p>
        </w:tc>
        <w:tc>
          <w:tcPr>
            <w:tcW w:w="380" w:type="dxa"/>
            <w:vAlign w:val="bottom"/>
            <w:gridSpan w:val="2"/>
          </w:tcPr>
          <w:p>
            <w:pPr>
              <w:jc w:val="right"/>
              <w:ind w:right="88"/>
              <w:spacing w:after="0" w:line="196" w:lineRule="exact"/>
              <w:rPr>
                <w:sz w:val="20"/>
                <w:szCs w:val="20"/>
                <w:color w:val="auto"/>
              </w:rPr>
            </w:pPr>
            <w:r>
              <w:rPr>
                <w:rFonts w:ascii="Arial" w:cs="Arial" w:eastAsia="Arial" w:hAnsi="Arial"/>
                <w:sz w:val="18"/>
                <w:szCs w:val="18"/>
                <w:color w:val="auto"/>
                <w:w w:val="99"/>
              </w:rPr>
              <w:t>21</w:t>
            </w:r>
          </w:p>
        </w:tc>
        <w:tc>
          <w:tcPr>
            <w:tcW w:w="280" w:type="dxa"/>
            <w:vAlign w:val="bottom"/>
            <w:gridSpan w:val="2"/>
          </w:tcPr>
          <w:p>
            <w:pPr>
              <w:ind w:left="16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gridSpan w:val="3"/>
          </w:tcPr>
          <w:p>
            <w:pPr>
              <w:jc w:val="right"/>
              <w:ind w:right="100"/>
              <w:spacing w:after="0" w:line="196" w:lineRule="exact"/>
              <w:rPr>
                <w:sz w:val="20"/>
                <w:szCs w:val="20"/>
                <w:color w:val="auto"/>
              </w:rPr>
            </w:pPr>
            <w:r>
              <w:rPr>
                <w:rFonts w:ascii="Arial" w:cs="Arial" w:eastAsia="Arial" w:hAnsi="Arial"/>
                <w:sz w:val="18"/>
                <w:szCs w:val="18"/>
                <w:color w:val="auto"/>
              </w:rPr>
              <w:t>142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7"/>
                <w:szCs w:val="17"/>
                <w:color w:val="auto"/>
              </w:rPr>
            </w:pPr>
          </w:p>
        </w:tc>
        <w:tc>
          <w:tcPr>
            <w:tcW w:w="5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
        </w:trPr>
        <w:tc>
          <w:tcPr>
            <w:tcW w:w="34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10. Other Intangible Assets, net</w:t>
            </w: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34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400" w:type="dxa"/>
            <w:vAlign w:val="bottom"/>
          </w:tcPr>
          <w:p>
            <w:pPr>
              <w:spacing w:after="0"/>
              <w:rPr>
                <w:sz w:val="15"/>
                <w:szCs w:val="15"/>
                <w:color w:val="auto"/>
              </w:rPr>
            </w:pPr>
          </w:p>
        </w:tc>
        <w:tc>
          <w:tcPr>
            <w:tcW w:w="1640" w:type="dxa"/>
            <w:vAlign w:val="bottom"/>
            <w:tcBorders>
              <w:bottom w:val="single" w:sz="8" w:color="auto"/>
            </w:tcBorders>
            <w:gridSpan w:val="7"/>
          </w:tcPr>
          <w:p>
            <w:pPr>
              <w:jc w:val="center"/>
              <w:ind w:left="337"/>
              <w:spacing w:after="0"/>
              <w:rPr>
                <w:sz w:val="20"/>
                <w:szCs w:val="20"/>
                <w:color w:val="auto"/>
              </w:rPr>
            </w:pPr>
            <w:r>
              <w:rPr>
                <w:rFonts w:ascii="Arial" w:cs="Arial" w:eastAsia="Arial" w:hAnsi="Arial"/>
                <w:sz w:val="14"/>
                <w:szCs w:val="14"/>
                <w:b w:val="1"/>
                <w:bCs w:val="1"/>
                <w:color w:val="auto"/>
              </w:rPr>
              <w:t>February 1, 2014</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rPr>
              <w:t>Wtd. Avg.</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February 2, 2013</w:t>
            </w:r>
          </w:p>
        </w:tc>
        <w:tc>
          <w:tcPr>
            <w:tcW w:w="3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40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(in millions)</w:t>
            </w:r>
          </w:p>
        </w:tc>
        <w:tc>
          <w:tcPr>
            <w:tcW w:w="56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3"/>
                <w:szCs w:val="13"/>
                <w:color w:val="auto"/>
              </w:rPr>
            </w:pPr>
          </w:p>
        </w:tc>
        <w:tc>
          <w:tcPr>
            <w:tcW w:w="62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rPr>
              <w:t>Accum.</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w w:val="97"/>
              </w:rPr>
              <w:t>Net</w:t>
            </w:r>
          </w:p>
        </w:tc>
        <w:tc>
          <w:tcPr>
            <w:tcW w:w="160" w:type="dxa"/>
            <w:vAlign w:val="bottom"/>
          </w:tcPr>
          <w:p>
            <w:pPr>
              <w:spacing w:after="0"/>
              <w:rPr>
                <w:sz w:val="13"/>
                <w:szCs w:val="13"/>
                <w:color w:val="auto"/>
              </w:rPr>
            </w:pPr>
          </w:p>
        </w:tc>
        <w:tc>
          <w:tcPr>
            <w:tcW w:w="86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rPr>
              <w:t>Life in</w:t>
            </w:r>
          </w:p>
        </w:tc>
        <w:tc>
          <w:tcPr>
            <w:tcW w:w="220" w:type="dxa"/>
            <w:vAlign w:val="bottom"/>
          </w:tcPr>
          <w:p>
            <w:pPr>
              <w:spacing w:after="0"/>
              <w:rPr>
                <w:sz w:val="13"/>
                <w:szCs w:val="13"/>
                <w:color w:val="auto"/>
              </w:rPr>
            </w:pPr>
          </w:p>
        </w:tc>
        <w:tc>
          <w:tcPr>
            <w:tcW w:w="4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3"/>
                <w:szCs w:val="13"/>
                <w:color w:val="auto"/>
              </w:rPr>
            </w:pPr>
          </w:p>
        </w:tc>
        <w:tc>
          <w:tcPr>
            <w:tcW w:w="5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Accum.</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9"/>
        </w:trPr>
        <w:tc>
          <w:tcPr>
            <w:tcW w:w="3400" w:type="dxa"/>
            <w:vAlign w:val="bottom"/>
            <w:vMerge w:val="restart"/>
          </w:tcPr>
          <w:p>
            <w:pPr>
              <w:ind w:left="20"/>
              <w:spacing w:after="0"/>
              <w:rPr>
                <w:sz w:val="20"/>
                <w:szCs w:val="20"/>
                <w:color w:val="auto"/>
              </w:rPr>
            </w:pPr>
            <w:r>
              <w:rPr>
                <w:rFonts w:ascii="Arial" w:cs="Arial" w:eastAsia="Arial" w:hAnsi="Arial"/>
                <w:sz w:val="18"/>
                <w:szCs w:val="18"/>
                <w:color w:val="auto"/>
              </w:rPr>
              <w:t>Amortized intangible assets:</w:t>
            </w:r>
            <w:r>
              <w:rPr>
                <w:rFonts w:ascii="Arial" w:cs="Arial" w:eastAsia="Arial" w:hAnsi="Arial"/>
                <w:sz w:val="30"/>
                <w:szCs w:val="30"/>
                <w:color w:val="auto"/>
                <w:vertAlign w:val="superscript"/>
              </w:rPr>
              <w:t>(1)</w:t>
            </w:r>
          </w:p>
        </w:tc>
        <w:tc>
          <w:tcPr>
            <w:tcW w:w="5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6"/>
                <w:szCs w:val="16"/>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amort.</w:t>
            </w:r>
          </w:p>
        </w:tc>
        <w:tc>
          <w:tcPr>
            <w:tcW w:w="160" w:type="dxa"/>
            <w:vAlign w:val="bottom"/>
          </w:tcPr>
          <w:p>
            <w:pPr>
              <w:spacing w:after="0"/>
              <w:rPr>
                <w:sz w:val="16"/>
                <w:szCs w:val="16"/>
                <w:color w:val="auto"/>
              </w:rPr>
            </w:pPr>
          </w:p>
        </w:tc>
        <w:tc>
          <w:tcPr>
            <w:tcW w:w="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6"/>
                <w:szCs w:val="16"/>
                <w:color w:val="auto"/>
              </w:rPr>
            </w:pPr>
          </w:p>
        </w:tc>
        <w:tc>
          <w:tcPr>
            <w:tcW w:w="860" w:type="dxa"/>
            <w:vAlign w:val="bottom"/>
            <w:tcBorders>
              <w:bottom w:val="single" w:sz="8" w:color="auto"/>
            </w:tcBorders>
            <w:gridSpan w:val="3"/>
          </w:tcPr>
          <w:p>
            <w:pPr>
              <w:jc w:val="center"/>
              <w:spacing w:after="0" w:line="189" w:lineRule="exact"/>
              <w:rPr>
                <w:sz w:val="20"/>
                <w:szCs w:val="20"/>
                <w:color w:val="auto"/>
              </w:rPr>
            </w:pPr>
            <w:r>
              <w:rPr>
                <w:rFonts w:ascii="Arial" w:cs="Arial" w:eastAsia="Arial" w:hAnsi="Arial"/>
                <w:sz w:val="13"/>
                <w:szCs w:val="13"/>
                <w:b w:val="1"/>
                <w:bCs w:val="1"/>
                <w:color w:val="auto"/>
                <w:w w:val="98"/>
              </w:rPr>
              <w:t>Years</w:t>
            </w:r>
            <w:r>
              <w:rPr>
                <w:rFonts w:ascii="Arial" w:cs="Arial" w:eastAsia="Arial" w:hAnsi="Arial"/>
                <w:sz w:val="21"/>
                <w:szCs w:val="21"/>
                <w:b w:val="1"/>
                <w:bCs w:val="1"/>
                <w:color w:val="auto"/>
                <w:w w:val="98"/>
                <w:vertAlign w:val="superscript"/>
              </w:rPr>
              <w:t>(2)</w:t>
            </w:r>
          </w:p>
        </w:tc>
        <w:tc>
          <w:tcPr>
            <w:tcW w:w="220" w:type="dxa"/>
            <w:vAlign w:val="bottom"/>
          </w:tcPr>
          <w:p>
            <w:pPr>
              <w:spacing w:after="0"/>
              <w:rPr>
                <w:sz w:val="16"/>
                <w:szCs w:val="16"/>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6"/>
                <w:szCs w:val="16"/>
                <w:color w:val="auto"/>
              </w:rPr>
            </w:pPr>
          </w:p>
        </w:tc>
        <w:tc>
          <w:tcPr>
            <w:tcW w:w="5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amort.</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37"/>
        </w:trPr>
        <w:tc>
          <w:tcPr>
            <w:tcW w:w="340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0C0C0"/>
          </w:tcPr>
          <w:p>
            <w:pPr>
              <w:ind w:left="200"/>
              <w:spacing w:after="0" w:line="202" w:lineRule="exact"/>
              <w:rPr>
                <w:sz w:val="20"/>
                <w:szCs w:val="20"/>
                <w:color w:val="auto"/>
              </w:rPr>
            </w:pPr>
            <w:r>
              <w:rPr>
                <w:rFonts w:ascii="Arial" w:cs="Arial" w:eastAsia="Arial" w:hAnsi="Arial"/>
                <w:sz w:val="18"/>
                <w:szCs w:val="18"/>
                <w:color w:val="auto"/>
              </w:rPr>
              <w:t>Lease acquisition costs</w:t>
            </w:r>
          </w:p>
        </w:tc>
        <w:tc>
          <w:tcPr>
            <w:tcW w:w="560" w:type="dxa"/>
            <w:vAlign w:val="bottom"/>
            <w:gridSpan w:val="2"/>
            <w:shd w:val="clear" w:color="auto" w:fill="C0C0C0"/>
          </w:tcPr>
          <w:p>
            <w:pPr>
              <w:jc w:val="right"/>
              <w:ind w:right="60"/>
              <w:spacing w:after="0" w:line="202" w:lineRule="exact"/>
              <w:rPr>
                <w:sz w:val="20"/>
                <w:szCs w:val="20"/>
                <w:color w:val="auto"/>
              </w:rPr>
            </w:pPr>
            <w:r>
              <w:rPr>
                <w:rFonts w:ascii="Arial" w:cs="Arial" w:eastAsia="Arial" w:hAnsi="Arial"/>
                <w:sz w:val="18"/>
                <w:szCs w:val="18"/>
                <w:b w:val="1"/>
                <w:bCs w:val="1"/>
                <w:color w:val="auto"/>
              </w:rPr>
              <w:t>$ 155</w:t>
            </w:r>
          </w:p>
        </w:tc>
        <w:tc>
          <w:tcPr>
            <w:tcW w:w="780" w:type="dxa"/>
            <w:vAlign w:val="bottom"/>
            <w:gridSpan w:val="3"/>
            <w:shd w:val="clear" w:color="auto" w:fill="C0C0C0"/>
          </w:tcPr>
          <w:p>
            <w:pPr>
              <w:jc w:val="right"/>
              <w:ind w:right="60"/>
              <w:spacing w:after="0" w:line="202" w:lineRule="exact"/>
              <w:rPr>
                <w:sz w:val="20"/>
                <w:szCs w:val="20"/>
                <w:color w:val="auto"/>
              </w:rPr>
            </w:pPr>
            <w:r>
              <w:rPr>
                <w:rFonts w:ascii="Arial" w:cs="Arial" w:eastAsia="Arial" w:hAnsi="Arial"/>
                <w:sz w:val="18"/>
                <w:szCs w:val="18"/>
                <w:b w:val="1"/>
                <w:bCs w:val="1"/>
                <w:color w:val="auto"/>
              </w:rPr>
              <w:t>$ (137)</w:t>
            </w:r>
          </w:p>
        </w:tc>
        <w:tc>
          <w:tcPr>
            <w:tcW w:w="300" w:type="dxa"/>
            <w:vAlign w:val="bottom"/>
            <w:gridSpan w:val="2"/>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0C0C0"/>
          </w:tcPr>
          <w:p>
            <w:pPr>
              <w:jc w:val="right"/>
              <w:ind w:right="100"/>
              <w:spacing w:after="0" w:line="202" w:lineRule="exact"/>
              <w:rPr>
                <w:sz w:val="20"/>
                <w:szCs w:val="20"/>
                <w:color w:val="auto"/>
              </w:rPr>
            </w:pPr>
            <w:r>
              <w:rPr>
                <w:rFonts w:ascii="Arial" w:cs="Arial" w:eastAsia="Arial" w:hAnsi="Arial"/>
                <w:sz w:val="18"/>
                <w:szCs w:val="18"/>
                <w:b w:val="1"/>
                <w:bCs w:val="1"/>
                <w:color w:val="auto"/>
              </w:rPr>
              <w:t>18</w:t>
            </w:r>
          </w:p>
        </w:tc>
        <w:tc>
          <w:tcPr>
            <w:tcW w:w="1020" w:type="dxa"/>
            <w:vAlign w:val="bottom"/>
            <w:gridSpan w:val="4"/>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11.8</w:t>
            </w:r>
          </w:p>
        </w:tc>
        <w:tc>
          <w:tcPr>
            <w:tcW w:w="660" w:type="dxa"/>
            <w:vAlign w:val="bottom"/>
            <w:gridSpan w:val="4"/>
            <w:shd w:val="clear" w:color="auto" w:fill="C0C0C0"/>
          </w:tcPr>
          <w:p>
            <w:pPr>
              <w:jc w:val="right"/>
              <w:spacing w:after="0" w:line="202" w:lineRule="exact"/>
              <w:rPr>
                <w:sz w:val="20"/>
                <w:szCs w:val="20"/>
                <w:color w:val="auto"/>
              </w:rPr>
            </w:pPr>
            <w:r>
              <w:rPr>
                <w:rFonts w:ascii="Arial" w:cs="Arial" w:eastAsia="Arial" w:hAnsi="Arial"/>
                <w:sz w:val="18"/>
                <w:szCs w:val="18"/>
                <w:color w:val="auto"/>
              </w:rPr>
              <w:t>$ 158</w:t>
            </w:r>
          </w:p>
        </w:tc>
        <w:tc>
          <w:tcPr>
            <w:tcW w:w="800" w:type="dxa"/>
            <w:vAlign w:val="bottom"/>
            <w:tcBorders>
              <w:left w:val="single" w:sz="8" w:color="C0C0C0"/>
            </w:tcBorders>
            <w:gridSpan w:val="5"/>
            <w:shd w:val="clear" w:color="auto" w:fill="C0C0C0"/>
          </w:tcPr>
          <w:p>
            <w:pPr>
              <w:jc w:val="right"/>
              <w:ind w:right="20"/>
              <w:spacing w:after="0" w:line="202" w:lineRule="exact"/>
              <w:rPr>
                <w:sz w:val="20"/>
                <w:szCs w:val="20"/>
                <w:color w:val="auto"/>
              </w:rPr>
            </w:pPr>
            <w:r>
              <w:rPr>
                <w:rFonts w:ascii="Arial" w:cs="Arial" w:eastAsia="Arial" w:hAnsi="Arial"/>
                <w:sz w:val="18"/>
                <w:szCs w:val="18"/>
                <w:color w:val="auto"/>
              </w:rPr>
              <w:t>$ (137)</w:t>
            </w:r>
          </w:p>
        </w:tc>
        <w:tc>
          <w:tcPr>
            <w:tcW w:w="360" w:type="dxa"/>
            <w:vAlign w:val="bottom"/>
            <w:tcBorders>
              <w:left w:val="single" w:sz="8" w:color="C0C0C0"/>
            </w:tcBorders>
            <w:gridSpan w:val="2"/>
            <w:shd w:val="clear" w:color="auto" w:fill="C0C0C0"/>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21</w:t>
            </w:r>
          </w:p>
        </w:tc>
        <w:tc>
          <w:tcPr>
            <w:tcW w:w="140" w:type="dxa"/>
            <w:vAlign w:val="bottom"/>
            <w:tcBorders>
              <w:left w:val="single" w:sz="8" w:color="C0C0C0"/>
            </w:tcBorders>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200"/>
              <w:spacing w:after="0" w:line="202" w:lineRule="exact"/>
              <w:rPr>
                <w:sz w:val="20"/>
                <w:szCs w:val="20"/>
                <w:color w:val="auto"/>
              </w:rPr>
            </w:pPr>
            <w:r>
              <w:rPr>
                <w:rFonts w:ascii="Arial" w:cs="Arial" w:eastAsia="Arial" w:hAnsi="Arial"/>
                <w:sz w:val="18"/>
                <w:szCs w:val="18"/>
                <w:color w:val="auto"/>
              </w:rPr>
              <w:t>Trademarks</w:t>
            </w:r>
          </w:p>
        </w:tc>
        <w:tc>
          <w:tcPr>
            <w:tcW w:w="56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21</w:t>
            </w:r>
          </w:p>
        </w:tc>
        <w:tc>
          <w:tcPr>
            <w:tcW w:w="780" w:type="dxa"/>
            <w:vAlign w:val="bottom"/>
            <w:gridSpan w:val="3"/>
          </w:tcPr>
          <w:p>
            <w:pPr>
              <w:jc w:val="right"/>
              <w:ind w:right="60"/>
              <w:spacing w:after="0" w:line="202" w:lineRule="exact"/>
              <w:rPr>
                <w:sz w:val="20"/>
                <w:szCs w:val="20"/>
                <w:color w:val="auto"/>
              </w:rPr>
            </w:pPr>
            <w:r>
              <w:rPr>
                <w:rFonts w:ascii="Arial" w:cs="Arial" w:eastAsia="Arial" w:hAnsi="Arial"/>
                <w:sz w:val="18"/>
                <w:szCs w:val="18"/>
                <w:b w:val="1"/>
                <w:bCs w:val="1"/>
                <w:color w:val="auto"/>
              </w:rPr>
              <w:t>(11)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10</w:t>
            </w:r>
          </w:p>
        </w:tc>
        <w:tc>
          <w:tcPr>
            <w:tcW w:w="1020" w:type="dxa"/>
            <w:vAlign w:val="bottom"/>
            <w:gridSpan w:val="4"/>
          </w:tcPr>
          <w:p>
            <w:pPr>
              <w:jc w:val="right"/>
              <w:ind w:right="120"/>
              <w:spacing w:after="0" w:line="202" w:lineRule="exact"/>
              <w:rPr>
                <w:sz w:val="20"/>
                <w:szCs w:val="20"/>
                <w:color w:val="auto"/>
              </w:rPr>
            </w:pPr>
            <w:r>
              <w:rPr>
                <w:rFonts w:ascii="Arial" w:cs="Arial" w:eastAsia="Arial" w:hAnsi="Arial"/>
                <w:sz w:val="18"/>
                <w:szCs w:val="18"/>
                <w:color w:val="auto"/>
              </w:rPr>
              <w:t>19.7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w:t>
            </w:r>
          </w:p>
        </w:tc>
        <w:tc>
          <w:tcPr>
            <w:tcW w:w="800" w:type="dxa"/>
            <w:vAlign w:val="bottom"/>
            <w:gridSpan w:val="5"/>
          </w:tcPr>
          <w:p>
            <w:pPr>
              <w:jc w:val="right"/>
              <w:ind w:right="20"/>
              <w:spacing w:after="0" w:line="202" w:lineRule="exact"/>
              <w:rPr>
                <w:sz w:val="20"/>
                <w:szCs w:val="20"/>
                <w:color w:val="auto"/>
              </w:rPr>
            </w:pPr>
            <w:r>
              <w:rPr>
                <w:rFonts w:ascii="Arial" w:cs="Arial" w:eastAsia="Arial" w:hAnsi="Arial"/>
                <w:sz w:val="18"/>
                <w:szCs w:val="18"/>
                <w:color w:val="auto"/>
              </w:rPr>
              <w:t>(9)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0C0C0"/>
          </w:tcPr>
          <w:p>
            <w:pPr>
              <w:ind w:left="200"/>
              <w:spacing w:after="0" w:line="202" w:lineRule="exact"/>
              <w:rPr>
                <w:sz w:val="20"/>
                <w:szCs w:val="20"/>
                <w:color w:val="auto"/>
              </w:rPr>
            </w:pPr>
            <w:r>
              <w:rPr>
                <w:rFonts w:ascii="Arial" w:cs="Arial" w:eastAsia="Arial" w:hAnsi="Arial"/>
                <w:sz w:val="18"/>
                <w:szCs w:val="18"/>
                <w:color w:val="auto"/>
              </w:rPr>
              <w:t>Favorable leases</w:t>
            </w:r>
          </w:p>
        </w:tc>
        <w:tc>
          <w:tcPr>
            <w:tcW w:w="560" w:type="dxa"/>
            <w:vAlign w:val="bottom"/>
            <w:gridSpan w:val="2"/>
            <w:shd w:val="clear" w:color="auto" w:fill="C0C0C0"/>
          </w:tcPr>
          <w:p>
            <w:pPr>
              <w:jc w:val="right"/>
              <w:ind w:right="60"/>
              <w:spacing w:after="0" w:line="202" w:lineRule="exact"/>
              <w:rPr>
                <w:sz w:val="20"/>
                <w:szCs w:val="20"/>
                <w:color w:val="auto"/>
              </w:rPr>
            </w:pPr>
            <w:r>
              <w:rPr>
                <w:rFonts w:ascii="Arial" w:cs="Arial" w:eastAsia="Arial" w:hAnsi="Arial"/>
                <w:sz w:val="18"/>
                <w:szCs w:val="18"/>
                <w:b w:val="1"/>
                <w:bCs w:val="1"/>
                <w:color w:val="auto"/>
              </w:rPr>
              <w:t>8</w:t>
            </w:r>
          </w:p>
        </w:tc>
        <w:tc>
          <w:tcPr>
            <w:tcW w:w="780" w:type="dxa"/>
            <w:vAlign w:val="bottom"/>
            <w:gridSpan w:val="3"/>
            <w:shd w:val="clear" w:color="auto" w:fill="C0C0C0"/>
          </w:tcPr>
          <w:p>
            <w:pPr>
              <w:jc w:val="right"/>
              <w:ind w:right="60"/>
              <w:spacing w:after="0" w:line="202" w:lineRule="exact"/>
              <w:rPr>
                <w:sz w:val="20"/>
                <w:szCs w:val="20"/>
                <w:color w:val="auto"/>
              </w:rPr>
            </w:pPr>
            <w:r>
              <w:rPr>
                <w:rFonts w:ascii="Arial" w:cs="Arial" w:eastAsia="Arial" w:hAnsi="Arial"/>
                <w:sz w:val="18"/>
                <w:szCs w:val="18"/>
                <w:b w:val="1"/>
                <w:bCs w:val="1"/>
                <w:color w:val="auto"/>
              </w:rPr>
              <w:t>(3)</w:t>
            </w:r>
          </w:p>
        </w:tc>
        <w:tc>
          <w:tcPr>
            <w:tcW w:w="16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400" w:type="dxa"/>
            <w:vAlign w:val="bottom"/>
            <w:gridSpan w:val="2"/>
            <w:shd w:val="clear" w:color="auto" w:fill="C0C0C0"/>
          </w:tcPr>
          <w:p>
            <w:pPr>
              <w:jc w:val="right"/>
              <w:ind w:right="100"/>
              <w:spacing w:after="0" w:line="202" w:lineRule="exact"/>
              <w:rPr>
                <w:sz w:val="20"/>
                <w:szCs w:val="20"/>
                <w:color w:val="auto"/>
              </w:rPr>
            </w:pPr>
            <w:r>
              <w:rPr>
                <w:rFonts w:ascii="Arial" w:cs="Arial" w:eastAsia="Arial" w:hAnsi="Arial"/>
                <w:sz w:val="18"/>
                <w:szCs w:val="18"/>
                <w:b w:val="1"/>
                <w:bCs w:val="1"/>
                <w:color w:val="auto"/>
              </w:rPr>
              <w:t>5</w:t>
            </w:r>
          </w:p>
        </w:tc>
        <w:tc>
          <w:tcPr>
            <w:tcW w:w="1020" w:type="dxa"/>
            <w:vAlign w:val="bottom"/>
            <w:gridSpan w:val="4"/>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7.3</w:t>
            </w:r>
          </w:p>
        </w:tc>
        <w:tc>
          <w:tcPr>
            <w:tcW w:w="220" w:type="dxa"/>
            <w:vAlign w:val="bottom"/>
            <w:tcBorders>
              <w:right w:val="single" w:sz="8" w:color="C0C0C0"/>
            </w:tcBorders>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80" w:type="dxa"/>
            <w:vAlign w:val="bottom"/>
            <w:gridSpan w:val="2"/>
            <w:shd w:val="clear" w:color="auto" w:fill="C0C0C0"/>
          </w:tcPr>
          <w:p>
            <w:pPr>
              <w:jc w:val="right"/>
              <w:spacing w:after="0" w:line="202" w:lineRule="exact"/>
              <w:rPr>
                <w:sz w:val="20"/>
                <w:szCs w:val="20"/>
                <w:color w:val="auto"/>
              </w:rPr>
            </w:pPr>
            <w:r>
              <w:rPr>
                <w:rFonts w:ascii="Arial" w:cs="Arial" w:eastAsia="Arial" w:hAnsi="Arial"/>
                <w:sz w:val="18"/>
                <w:szCs w:val="18"/>
                <w:color w:val="auto"/>
              </w:rPr>
              <w:t>5</w:t>
            </w:r>
          </w:p>
        </w:tc>
        <w:tc>
          <w:tcPr>
            <w:tcW w:w="800" w:type="dxa"/>
            <w:vAlign w:val="bottom"/>
            <w:tcBorders>
              <w:left w:val="single" w:sz="8" w:color="C0C0C0"/>
            </w:tcBorders>
            <w:gridSpan w:val="5"/>
            <w:shd w:val="clear" w:color="auto" w:fill="C0C0C0"/>
          </w:tcPr>
          <w:p>
            <w:pPr>
              <w:jc w:val="right"/>
              <w:ind w:right="20"/>
              <w:spacing w:after="0" w:line="202" w:lineRule="exact"/>
              <w:rPr>
                <w:sz w:val="20"/>
                <w:szCs w:val="20"/>
                <w:color w:val="auto"/>
              </w:rPr>
            </w:pPr>
            <w:r>
              <w:rPr>
                <w:rFonts w:ascii="Arial" w:cs="Arial" w:eastAsia="Arial" w:hAnsi="Arial"/>
                <w:sz w:val="18"/>
                <w:szCs w:val="18"/>
                <w:color w:val="auto"/>
              </w:rPr>
              <w:t>(5)</w:t>
            </w:r>
          </w:p>
        </w:tc>
        <w:tc>
          <w:tcPr>
            <w:tcW w:w="220" w:type="dxa"/>
            <w:vAlign w:val="bottom"/>
            <w:tcBorders>
              <w:left w:val="single" w:sz="8" w:color="C0C0C0"/>
            </w:tcBorders>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500" w:type="dxa"/>
            <w:vAlign w:val="bottom"/>
            <w:gridSpan w:val="2"/>
            <w:shd w:val="clear" w:color="auto" w:fill="C0C0C0"/>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400" w:type="dxa"/>
            <w:vAlign w:val="bottom"/>
          </w:tcPr>
          <w:p>
            <w:pPr>
              <w:ind w:left="200"/>
              <w:spacing w:after="0" w:line="202" w:lineRule="exact"/>
              <w:rPr>
                <w:sz w:val="20"/>
                <w:szCs w:val="20"/>
                <w:color w:val="auto"/>
              </w:rPr>
            </w:pPr>
            <w:r>
              <w:rPr>
                <w:rFonts w:ascii="Arial" w:cs="Arial" w:eastAsia="Arial" w:hAnsi="Arial"/>
                <w:sz w:val="18"/>
                <w:szCs w:val="18"/>
                <w:color w:val="auto"/>
              </w:rPr>
              <w:t>Customer relationships</w:t>
            </w:r>
          </w:p>
        </w:tc>
        <w:tc>
          <w:tcPr>
            <w:tcW w:w="56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21</w:t>
            </w:r>
          </w:p>
        </w:tc>
        <w:tc>
          <w:tcPr>
            <w:tcW w:w="780" w:type="dxa"/>
            <w:vAlign w:val="bottom"/>
            <w:gridSpan w:val="3"/>
          </w:tcPr>
          <w:p>
            <w:pPr>
              <w:jc w:val="right"/>
              <w:ind w:right="60"/>
              <w:spacing w:after="0" w:line="202" w:lineRule="exact"/>
              <w:rPr>
                <w:sz w:val="20"/>
                <w:szCs w:val="20"/>
                <w:color w:val="auto"/>
              </w:rPr>
            </w:pPr>
            <w:r>
              <w:rPr>
                <w:rFonts w:ascii="Arial" w:cs="Arial" w:eastAsia="Arial" w:hAnsi="Arial"/>
                <w:sz w:val="18"/>
                <w:szCs w:val="18"/>
                <w:b w:val="1"/>
                <w:bCs w:val="1"/>
                <w:color w:val="auto"/>
              </w:rPr>
              <w:t>(21)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w:t>
            </w:r>
          </w:p>
        </w:tc>
        <w:tc>
          <w:tcPr>
            <w:tcW w:w="800" w:type="dxa"/>
            <w:vAlign w:val="bottom"/>
            <w:gridSpan w:val="5"/>
          </w:tcPr>
          <w:p>
            <w:pPr>
              <w:jc w:val="right"/>
              <w:ind w:right="20"/>
              <w:spacing w:after="0" w:line="202" w:lineRule="exact"/>
              <w:rPr>
                <w:sz w:val="20"/>
                <w:szCs w:val="20"/>
                <w:color w:val="auto"/>
              </w:rPr>
            </w:pPr>
            <w:r>
              <w:rPr>
                <w:rFonts w:ascii="Arial" w:cs="Arial" w:eastAsia="Arial" w:hAnsi="Arial"/>
                <w:sz w:val="18"/>
                <w:szCs w:val="18"/>
                <w:color w:val="auto"/>
              </w:rPr>
              <w:t>(18)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0" w:type="dxa"/>
            <w:vAlign w:val="bottom"/>
            <w:shd w:val="clear" w:color="auto" w:fill="C0C0C0"/>
          </w:tcPr>
          <w:p>
            <w:pPr>
              <w:spacing w:after="0"/>
              <w:rPr>
                <w:sz w:val="17"/>
                <w:szCs w:val="17"/>
                <w:color w:val="auto"/>
              </w:rPr>
            </w:pPr>
          </w:p>
        </w:tc>
        <w:tc>
          <w:tcPr>
            <w:tcW w:w="560" w:type="dxa"/>
            <w:vAlign w:val="bottom"/>
            <w:gridSpan w:val="2"/>
            <w:shd w:val="clear" w:color="auto" w:fill="C0C0C0"/>
          </w:tcPr>
          <w:p>
            <w:pPr>
              <w:jc w:val="right"/>
              <w:ind w:right="60"/>
              <w:spacing w:after="0" w:line="196" w:lineRule="exact"/>
              <w:rPr>
                <w:sz w:val="20"/>
                <w:szCs w:val="20"/>
                <w:color w:val="auto"/>
              </w:rPr>
            </w:pPr>
            <w:r>
              <w:rPr>
                <w:rFonts w:ascii="Arial" w:cs="Arial" w:eastAsia="Arial" w:hAnsi="Arial"/>
                <w:sz w:val="18"/>
                <w:szCs w:val="18"/>
                <w:b w:val="1"/>
                <w:bCs w:val="1"/>
                <w:color w:val="auto"/>
              </w:rPr>
              <w:t>$ 205</w:t>
            </w:r>
          </w:p>
        </w:tc>
        <w:tc>
          <w:tcPr>
            <w:tcW w:w="780" w:type="dxa"/>
            <w:vAlign w:val="bottom"/>
            <w:gridSpan w:val="3"/>
            <w:shd w:val="clear" w:color="auto" w:fill="C0C0C0"/>
          </w:tcPr>
          <w:p>
            <w:pPr>
              <w:jc w:val="right"/>
              <w:ind w:right="60"/>
              <w:spacing w:after="0" w:line="196" w:lineRule="exact"/>
              <w:rPr>
                <w:sz w:val="20"/>
                <w:szCs w:val="20"/>
                <w:color w:val="auto"/>
              </w:rPr>
            </w:pPr>
            <w:r>
              <w:rPr>
                <w:rFonts w:ascii="Arial" w:cs="Arial" w:eastAsia="Arial" w:hAnsi="Arial"/>
                <w:sz w:val="18"/>
                <w:szCs w:val="18"/>
                <w:b w:val="1"/>
                <w:bCs w:val="1"/>
                <w:color w:val="auto"/>
              </w:rPr>
              <w:t>$ (172)</w:t>
            </w:r>
          </w:p>
        </w:tc>
        <w:tc>
          <w:tcPr>
            <w:tcW w:w="300" w:type="dxa"/>
            <w:vAlign w:val="bottom"/>
            <w:gridSpan w:val="2"/>
            <w:shd w:val="clear" w:color="auto" w:fill="C0C0C0"/>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0C0C0"/>
          </w:tcPr>
          <w:p>
            <w:pPr>
              <w:jc w:val="right"/>
              <w:ind w:right="100"/>
              <w:spacing w:after="0" w:line="196" w:lineRule="exact"/>
              <w:rPr>
                <w:sz w:val="20"/>
                <w:szCs w:val="20"/>
                <w:color w:val="auto"/>
              </w:rPr>
            </w:pPr>
            <w:r>
              <w:rPr>
                <w:rFonts w:ascii="Arial" w:cs="Arial" w:eastAsia="Arial" w:hAnsi="Arial"/>
                <w:sz w:val="18"/>
                <w:szCs w:val="18"/>
                <w:b w:val="1"/>
                <w:bCs w:val="1"/>
                <w:color w:val="auto"/>
              </w:rPr>
              <w:t>33</w:t>
            </w:r>
          </w:p>
        </w:tc>
        <w:tc>
          <w:tcPr>
            <w:tcW w:w="1020" w:type="dxa"/>
            <w:vAlign w:val="bottom"/>
            <w:gridSpan w:val="4"/>
            <w:shd w:val="clear" w:color="auto" w:fill="C0C0C0"/>
          </w:tcPr>
          <w:p>
            <w:pPr>
              <w:jc w:val="right"/>
              <w:ind w:right="120"/>
              <w:spacing w:after="0" w:line="196" w:lineRule="exact"/>
              <w:rPr>
                <w:sz w:val="20"/>
                <w:szCs w:val="20"/>
                <w:color w:val="auto"/>
              </w:rPr>
            </w:pPr>
            <w:r>
              <w:rPr>
                <w:rFonts w:ascii="Arial" w:cs="Arial" w:eastAsia="Arial" w:hAnsi="Arial"/>
                <w:sz w:val="18"/>
                <w:szCs w:val="18"/>
                <w:color w:val="auto"/>
              </w:rPr>
              <w:t>13.3</w:t>
            </w:r>
          </w:p>
        </w:tc>
        <w:tc>
          <w:tcPr>
            <w:tcW w:w="660" w:type="dxa"/>
            <w:vAlign w:val="bottom"/>
            <w:gridSpan w:val="4"/>
            <w:shd w:val="clear" w:color="auto" w:fill="C0C0C0"/>
          </w:tcPr>
          <w:p>
            <w:pPr>
              <w:jc w:val="right"/>
              <w:spacing w:after="0" w:line="196" w:lineRule="exact"/>
              <w:rPr>
                <w:sz w:val="20"/>
                <w:szCs w:val="20"/>
                <w:color w:val="auto"/>
              </w:rPr>
            </w:pPr>
            <w:r>
              <w:rPr>
                <w:rFonts w:ascii="Arial" w:cs="Arial" w:eastAsia="Arial" w:hAnsi="Arial"/>
                <w:sz w:val="18"/>
                <w:szCs w:val="18"/>
                <w:color w:val="auto"/>
              </w:rPr>
              <w:t>$ 205</w:t>
            </w:r>
          </w:p>
        </w:tc>
        <w:tc>
          <w:tcPr>
            <w:tcW w:w="800" w:type="dxa"/>
            <w:vAlign w:val="bottom"/>
            <w:tcBorders>
              <w:left w:val="single" w:sz="8" w:color="C0C0C0"/>
            </w:tcBorders>
            <w:gridSpan w:val="5"/>
            <w:shd w:val="clear" w:color="auto" w:fill="C0C0C0"/>
          </w:tcPr>
          <w:p>
            <w:pPr>
              <w:jc w:val="right"/>
              <w:ind w:right="20"/>
              <w:spacing w:after="0" w:line="196" w:lineRule="exact"/>
              <w:rPr>
                <w:sz w:val="20"/>
                <w:szCs w:val="20"/>
                <w:color w:val="auto"/>
              </w:rPr>
            </w:pPr>
            <w:r>
              <w:rPr>
                <w:rFonts w:ascii="Arial" w:cs="Arial" w:eastAsia="Arial" w:hAnsi="Arial"/>
                <w:sz w:val="18"/>
                <w:szCs w:val="18"/>
                <w:color w:val="auto"/>
              </w:rPr>
              <w:t>$ (169)</w:t>
            </w:r>
          </w:p>
        </w:tc>
        <w:tc>
          <w:tcPr>
            <w:tcW w:w="360" w:type="dxa"/>
            <w:vAlign w:val="bottom"/>
            <w:tcBorders>
              <w:left w:val="single" w:sz="8" w:color="C0C0C0"/>
            </w:tcBorders>
            <w:gridSpan w:val="2"/>
            <w:shd w:val="clear" w:color="auto" w:fill="C0C0C0"/>
          </w:tcPr>
          <w:p>
            <w:pPr>
              <w:jc w:val="right"/>
              <w:spacing w:after="0" w:line="196" w:lineRule="exact"/>
              <w:rPr>
                <w:sz w:val="20"/>
                <w:szCs w:val="20"/>
                <w:color w:val="auto"/>
              </w:rPr>
            </w:pPr>
            <w:r>
              <w:rPr>
                <w:rFonts w:ascii="Arial" w:cs="Arial" w:eastAsia="Arial" w:hAnsi="Arial"/>
                <w:sz w:val="18"/>
                <w:szCs w:val="18"/>
                <w:color w:val="auto"/>
              </w:rPr>
              <w:t>$</w:t>
            </w:r>
          </w:p>
        </w:tc>
        <w:tc>
          <w:tcPr>
            <w:tcW w:w="36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color w:val="auto"/>
              </w:rPr>
              <w:t>36</w:t>
            </w:r>
          </w:p>
        </w:tc>
        <w:tc>
          <w:tcPr>
            <w:tcW w:w="140" w:type="dxa"/>
            <w:vAlign w:val="bottom"/>
            <w:tcBorders>
              <w:left w:val="single" w:sz="8" w:color="C0C0C0"/>
            </w:tcBorders>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0" w:type="dxa"/>
            <w:vAlign w:val="bottom"/>
            <w:tcBorders>
              <w:top w:val="single" w:sz="8" w:color="C0C0C0"/>
            </w:tcBorders>
          </w:tcPr>
          <w:p>
            <w:pPr>
              <w:ind w:left="20"/>
              <w:spacing w:after="0" w:line="196" w:lineRule="exact"/>
              <w:rPr>
                <w:sz w:val="20"/>
                <w:szCs w:val="20"/>
                <w:color w:val="auto"/>
              </w:rPr>
            </w:pPr>
            <w:r>
              <w:rPr>
                <w:rFonts w:ascii="Arial" w:cs="Arial" w:eastAsia="Arial" w:hAnsi="Arial"/>
                <w:sz w:val="18"/>
                <w:szCs w:val="18"/>
                <w:color w:val="auto"/>
              </w:rPr>
              <w:t>Indefinite life intangible assets:</w:t>
            </w:r>
          </w:p>
        </w:tc>
        <w:tc>
          <w:tcPr>
            <w:tcW w:w="480" w:type="dxa"/>
            <w:vAlign w:val="bottom"/>
            <w:tcBorders>
              <w:top w:val="single" w:sz="8" w:color="auto"/>
            </w:tcBorders>
          </w:tcPr>
          <w:p>
            <w:pPr>
              <w:spacing w:after="0"/>
              <w:rPr>
                <w:sz w:val="17"/>
                <w:szCs w:val="17"/>
                <w:color w:val="auto"/>
              </w:rPr>
            </w:pPr>
          </w:p>
        </w:tc>
        <w:tc>
          <w:tcPr>
            <w:tcW w:w="80" w:type="dxa"/>
            <w:vAlign w:val="bottom"/>
            <w:tcBorders>
              <w:top w:val="single" w:sz="8" w:color="C0C0C0"/>
            </w:tcBorders>
          </w:tcPr>
          <w:p>
            <w:pPr>
              <w:spacing w:after="0"/>
              <w:rPr>
                <w:sz w:val="17"/>
                <w:szCs w:val="17"/>
                <w:color w:val="auto"/>
              </w:rPr>
            </w:pPr>
          </w:p>
        </w:tc>
        <w:tc>
          <w:tcPr>
            <w:tcW w:w="160" w:type="dxa"/>
            <w:vAlign w:val="bottom"/>
            <w:tcBorders>
              <w:top w:val="single" w:sz="8" w:color="C0C0C0"/>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Borders>
              <w:top w:val="single" w:sz="8" w:color="C0C0C0"/>
            </w:tcBorders>
          </w:tcPr>
          <w:p>
            <w:pPr>
              <w:spacing w:after="0"/>
              <w:rPr>
                <w:sz w:val="17"/>
                <w:szCs w:val="17"/>
                <w:color w:val="auto"/>
              </w:rPr>
            </w:pPr>
          </w:p>
        </w:tc>
        <w:tc>
          <w:tcPr>
            <w:tcW w:w="160" w:type="dxa"/>
            <w:vAlign w:val="bottom"/>
            <w:tcBorders>
              <w:top w:val="single" w:sz="8" w:color="C0C0C0"/>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C0C0C0"/>
            </w:tcBorders>
          </w:tcPr>
          <w:p>
            <w:pPr>
              <w:spacing w:after="0"/>
              <w:rPr>
                <w:sz w:val="17"/>
                <w:szCs w:val="17"/>
                <w:color w:val="auto"/>
              </w:rPr>
            </w:pPr>
          </w:p>
        </w:tc>
        <w:tc>
          <w:tcPr>
            <w:tcW w:w="160" w:type="dxa"/>
            <w:vAlign w:val="bottom"/>
            <w:tcBorders>
              <w:top w:val="single" w:sz="8" w:color="C0C0C0"/>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Borders>
              <w:top w:val="single" w:sz="8" w:color="C0C0C0"/>
            </w:tcBorders>
          </w:tcPr>
          <w:p>
            <w:pPr>
              <w:spacing w:after="0"/>
              <w:rPr>
                <w:sz w:val="17"/>
                <w:szCs w:val="17"/>
                <w:color w:val="auto"/>
              </w:rPr>
            </w:pPr>
          </w:p>
        </w:tc>
        <w:tc>
          <w:tcPr>
            <w:tcW w:w="220" w:type="dxa"/>
            <w:vAlign w:val="bottom"/>
            <w:tcBorders>
              <w:top w:val="single" w:sz="8" w:color="C0C0C0"/>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C0C0C0"/>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C0C0C0"/>
            </w:tcBorders>
          </w:tcPr>
          <w:p>
            <w:pPr>
              <w:spacing w:after="0"/>
              <w:rPr>
                <w:sz w:val="17"/>
                <w:szCs w:val="17"/>
                <w:color w:val="auto"/>
              </w:rPr>
            </w:pPr>
          </w:p>
        </w:tc>
        <w:tc>
          <w:tcPr>
            <w:tcW w:w="220" w:type="dxa"/>
            <w:vAlign w:val="bottom"/>
            <w:tcBorders>
              <w:top w:val="single" w:sz="8" w:color="C0C0C0"/>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40" w:type="dxa"/>
            <w:vAlign w:val="bottom"/>
            <w:tcBorders>
              <w:top w:val="single" w:sz="8" w:color="C0C0C0"/>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0C0C0"/>
          </w:tcPr>
          <w:p>
            <w:pPr>
              <w:ind w:left="200"/>
              <w:spacing w:after="0" w:line="202" w:lineRule="exact"/>
              <w:rPr>
                <w:sz w:val="20"/>
                <w:szCs w:val="20"/>
                <w:color w:val="auto"/>
              </w:rPr>
            </w:pPr>
            <w:r>
              <w:rPr>
                <w:rFonts w:ascii="Arial" w:cs="Arial" w:eastAsia="Arial" w:hAnsi="Arial"/>
                <w:sz w:val="18"/>
                <w:szCs w:val="18"/>
                <w:color w:val="auto"/>
              </w:rPr>
              <w:t>Runners Point Group</w:t>
            </w:r>
          </w:p>
        </w:tc>
        <w:tc>
          <w:tcPr>
            <w:tcW w:w="48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50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400" w:type="dxa"/>
            <w:vAlign w:val="bottom"/>
            <w:gridSpan w:val="2"/>
            <w:shd w:val="clear" w:color="auto" w:fill="C0C0C0"/>
          </w:tcPr>
          <w:p>
            <w:pPr>
              <w:jc w:val="right"/>
              <w:ind w:right="100"/>
              <w:spacing w:after="0" w:line="202" w:lineRule="exact"/>
              <w:rPr>
                <w:sz w:val="20"/>
                <w:szCs w:val="20"/>
                <w:color w:val="auto"/>
              </w:rPr>
            </w:pPr>
            <w:r>
              <w:rPr>
                <w:rFonts w:ascii="Arial" w:cs="Arial" w:eastAsia="Arial" w:hAnsi="Arial"/>
                <w:sz w:val="18"/>
                <w:szCs w:val="18"/>
                <w:b w:val="1"/>
                <w:bCs w:val="1"/>
                <w:color w:val="auto"/>
              </w:rPr>
              <w:t>30</w:t>
            </w:r>
          </w:p>
        </w:tc>
        <w:tc>
          <w:tcPr>
            <w:tcW w:w="16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220" w:type="dxa"/>
            <w:vAlign w:val="bottom"/>
            <w:tcBorders>
              <w:right w:val="single" w:sz="8" w:color="C0C0C0"/>
            </w:tcBorders>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220" w:type="dxa"/>
            <w:vAlign w:val="bottom"/>
            <w:tcBorders>
              <w:left w:val="single" w:sz="8" w:color="C0C0C0"/>
            </w:tcBorders>
            <w:shd w:val="clear" w:color="auto" w:fill="C0C0C0"/>
          </w:tcPr>
          <w:p>
            <w:pPr>
              <w:spacing w:after="0"/>
              <w:rPr>
                <w:sz w:val="17"/>
                <w:szCs w:val="17"/>
                <w:color w:val="auto"/>
              </w:rPr>
            </w:pPr>
          </w:p>
        </w:tc>
        <w:tc>
          <w:tcPr>
            <w:tcW w:w="3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220" w:type="dxa"/>
            <w:vAlign w:val="bottom"/>
            <w:tcBorders>
              <w:left w:val="single" w:sz="8" w:color="C0C0C0"/>
            </w:tcBorders>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500" w:type="dxa"/>
            <w:vAlign w:val="bottom"/>
            <w:gridSpan w:val="2"/>
            <w:shd w:val="clear" w:color="auto" w:fill="C0C0C0"/>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00" w:type="dxa"/>
            <w:vAlign w:val="bottom"/>
          </w:tcPr>
          <w:p>
            <w:pPr>
              <w:ind w:left="200"/>
              <w:spacing w:after="0" w:line="243" w:lineRule="exact"/>
              <w:rPr>
                <w:sz w:val="20"/>
                <w:szCs w:val="20"/>
                <w:color w:val="auto"/>
              </w:rPr>
            </w:pPr>
            <w:r>
              <w:rPr>
                <w:rFonts w:ascii="Arial" w:cs="Arial" w:eastAsia="Arial" w:hAnsi="Arial"/>
                <w:sz w:val="17"/>
                <w:szCs w:val="17"/>
                <w:color w:val="auto"/>
              </w:rPr>
              <w:t>Other trademarks</w:t>
            </w:r>
            <w:r>
              <w:rPr>
                <w:rFonts w:ascii="Arial" w:cs="Arial" w:eastAsia="Arial" w:hAnsi="Arial"/>
                <w:sz w:val="28"/>
                <w:szCs w:val="28"/>
                <w:color w:val="auto"/>
                <w:vertAlign w:val="superscript"/>
              </w:rPr>
              <w:t>(3)</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50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4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30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b w:val="1"/>
                <w:bCs w:val="1"/>
                <w:color w:val="auto"/>
              </w:rPr>
              <w:t>34</w:t>
            </w:r>
          </w:p>
        </w:tc>
        <w:tc>
          <w:tcPr>
            <w:tcW w:w="1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220" w:type="dxa"/>
            <w:vAlign w:val="bottom"/>
            <w:tcBorders>
              <w:right w:val="single" w:sz="8" w:color="C0C0C0"/>
            </w:tcBorders>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220" w:type="dxa"/>
            <w:vAlign w:val="bottom"/>
            <w:tcBorders>
              <w:left w:val="single" w:sz="8" w:color="C0C0C0"/>
            </w:tcBorders>
            <w:shd w:val="clear" w:color="auto" w:fill="C0C0C0"/>
          </w:tcPr>
          <w:p>
            <w:pPr>
              <w:spacing w:after="0"/>
              <w:rPr>
                <w:sz w:val="17"/>
                <w:szCs w:val="17"/>
                <w:color w:val="auto"/>
              </w:rPr>
            </w:pPr>
          </w:p>
        </w:tc>
        <w:tc>
          <w:tcPr>
            <w:tcW w:w="3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220" w:type="dxa"/>
            <w:vAlign w:val="bottom"/>
            <w:tcBorders>
              <w:left w:val="single" w:sz="8" w:color="C0C0C0"/>
            </w:tcBorders>
            <w:shd w:val="clear" w:color="auto" w:fill="C0C0C0"/>
          </w:tcPr>
          <w:p>
            <w:pPr>
              <w:spacing w:after="0"/>
              <w:rPr>
                <w:sz w:val="17"/>
                <w:szCs w:val="17"/>
                <w:color w:val="auto"/>
              </w:rPr>
            </w:pPr>
          </w:p>
        </w:tc>
        <w:tc>
          <w:tcPr>
            <w:tcW w:w="14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color w:val="auto"/>
              </w:rPr>
              <w:t>4</w:t>
            </w:r>
          </w:p>
        </w:tc>
        <w:tc>
          <w:tcPr>
            <w:tcW w:w="140" w:type="dxa"/>
            <w:vAlign w:val="bottom"/>
            <w:tcBorders>
              <w:left w:val="single" w:sz="8" w:color="C0C0C0"/>
            </w:tcBorders>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0" w:type="dxa"/>
            <w:vAlign w:val="bottom"/>
            <w:shd w:val="clear" w:color="auto" w:fill="C0C0C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220" w:type="dxa"/>
            <w:vAlign w:val="bottom"/>
            <w:tcBorders>
              <w:right w:val="single" w:sz="8" w:color="auto"/>
            </w:tcBorders>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left w:val="single" w:sz="8" w:color="C0C0C0"/>
            </w:tcBorders>
            <w:shd w:val="clear" w:color="auto" w:fill="C0C0C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220" w:type="dxa"/>
            <w:vAlign w:val="bottom"/>
            <w:tcBorders>
              <w:left w:val="single" w:sz="8" w:color="C0C0C0"/>
            </w:tcBorders>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C0C0C0"/>
            </w:tcBorders>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0" w:type="dxa"/>
            <w:vAlign w:val="bottom"/>
          </w:tcPr>
          <w:p>
            <w:pPr>
              <w:ind w:left="20"/>
              <w:spacing w:after="0" w:line="196" w:lineRule="exact"/>
              <w:rPr>
                <w:sz w:val="20"/>
                <w:szCs w:val="20"/>
                <w:color w:val="auto"/>
              </w:rPr>
            </w:pPr>
            <w:r>
              <w:rPr>
                <w:rFonts w:ascii="Arial" w:cs="Arial" w:eastAsia="Arial" w:hAnsi="Arial"/>
                <w:sz w:val="18"/>
                <w:szCs w:val="18"/>
                <w:color w:val="auto"/>
              </w:rPr>
              <w:t>Other intangible assets, net</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-2555240</wp:posOffset>
            </wp:positionV>
            <wp:extent cx="5565775"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56577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-2289175</wp:posOffset>
            </wp:positionV>
            <wp:extent cx="5565775"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56577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-728345</wp:posOffset>
            </wp:positionV>
            <wp:extent cx="5565775"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56577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-170815</wp:posOffset>
            </wp:positionV>
            <wp:extent cx="5565775"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56577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-1963420</wp:posOffset>
            </wp:positionV>
            <wp:extent cx="556577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93" w:lineRule="exact"/>
        <w:rPr>
          <w:sz w:val="20"/>
          <w:szCs w:val="20"/>
          <w:color w:val="auto"/>
        </w:rPr>
      </w:pPr>
    </w:p>
    <w:p>
      <w:pPr>
        <w:ind w:left="300" w:hanging="272"/>
        <w:spacing w:after="0"/>
        <w:tabs>
          <w:tab w:leader="none" w:pos="3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the effect of foreign currency translation related primarily to the movements of the euro in relation to the U.S. dollar.</w:t>
      </w:r>
    </w:p>
    <w:p>
      <w:pPr>
        <w:spacing w:after="0" w:line="122" w:lineRule="exact"/>
        <w:rPr>
          <w:rFonts w:ascii="Arial" w:cs="Arial" w:eastAsia="Arial" w:hAnsi="Arial"/>
          <w:sz w:val="14"/>
          <w:szCs w:val="14"/>
          <w:color w:val="auto"/>
        </w:rPr>
      </w:pPr>
    </w:p>
    <w:p>
      <w:pPr>
        <w:ind w:left="300" w:hanging="272"/>
        <w:spacing w:after="0"/>
        <w:tabs>
          <w:tab w:leader="none" w:pos="3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weighted-average useful life disclosed excludes those assets that are fully amortized.</w:t>
      </w:r>
    </w:p>
    <w:p>
      <w:pPr>
        <w:spacing w:after="0" w:line="122" w:lineRule="exact"/>
        <w:rPr>
          <w:rFonts w:ascii="Arial" w:cs="Arial" w:eastAsia="Arial" w:hAnsi="Arial"/>
          <w:sz w:val="14"/>
          <w:szCs w:val="14"/>
          <w:color w:val="auto"/>
        </w:rPr>
      </w:pPr>
    </w:p>
    <w:p>
      <w:pPr>
        <w:ind w:left="300" w:hanging="272"/>
        <w:spacing w:after="0"/>
        <w:tabs>
          <w:tab w:leader="none" w:pos="3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accumulated impairment charge related to other trademarks is $24 million.</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96520</wp:posOffset>
            </wp:positionV>
            <wp:extent cx="6114415" cy="596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51" w:name="page52"/>
    <w:bookmarkEnd w:id="5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Other Intangible Assets, net – (continued)</w:t>
      </w:r>
    </w:p>
    <w:p>
      <w:pPr>
        <w:spacing w:after="0" w:line="139" w:lineRule="exact"/>
        <w:rPr>
          <w:sz w:val="20"/>
          <w:szCs w:val="20"/>
          <w:color w:val="auto"/>
        </w:rPr>
      </w:pPr>
    </w:p>
    <w:p>
      <w:pPr>
        <w:jc w:val="both"/>
        <w:ind w:left="60" w:right="519"/>
        <w:spacing w:after="0" w:line="254" w:lineRule="auto"/>
        <w:rPr>
          <w:sz w:val="20"/>
          <w:szCs w:val="20"/>
          <w:color w:val="auto"/>
        </w:rPr>
      </w:pPr>
      <w:r>
        <w:rPr>
          <w:rFonts w:ascii="Arial" w:cs="Arial" w:eastAsia="Arial" w:hAnsi="Arial"/>
          <w:sz w:val="18"/>
          <w:szCs w:val="18"/>
          <w:color w:val="auto"/>
        </w:rPr>
        <w:t>As of February 1, 2014, in connection with the allocation of the purchase price of the Runners Point Group acquisition, the Company recognized $30 million of indefinite life intangible assets for the Runners Point Group tradenames. Also as a result of the purchase price allocation, $5 million was recognized for favorable leases in 15 locations with rents below their fair value, which are being amortized over a weighted-average life of 6 years.</w:t>
      </w:r>
    </w:p>
    <w:p>
      <w:pPr>
        <w:spacing w:after="0" w:line="96" w:lineRule="exact"/>
        <w:rPr>
          <w:sz w:val="20"/>
          <w:szCs w:val="20"/>
          <w:color w:val="auto"/>
        </w:rPr>
      </w:pPr>
    </w:p>
    <w:p>
      <w:pPr>
        <w:jc w:val="both"/>
        <w:ind w:left="60" w:right="519"/>
        <w:spacing w:after="0" w:line="250" w:lineRule="auto"/>
        <w:rPr>
          <w:sz w:val="20"/>
          <w:szCs w:val="20"/>
          <w:color w:val="auto"/>
        </w:rPr>
      </w:pPr>
      <w:r>
        <w:rPr>
          <w:rFonts w:ascii="Arial" w:cs="Arial" w:eastAsia="Arial" w:hAnsi="Arial"/>
          <w:sz w:val="18"/>
          <w:szCs w:val="18"/>
          <w:color w:val="auto"/>
        </w:rPr>
        <w:t>Amortizing intangible assets primarily represent lease acquisition costs, which are amounts that are required to secure prime lease locations and other lease rights, primarily in Europe. During 2013, additions of $2 million were recorded primarily from new leases in Europe. Amortization expense for intangibles subject to amortization was $11 million, $14 million, and $16 million for 2013, 2012, and 2011, respectively. Estimated future amortization expense for finite lived intangibles for the next five years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-74295</wp:posOffset>
            </wp:positionV>
            <wp:extent cx="556577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6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96"/>
        </w:trPr>
        <w:tc>
          <w:tcPr>
            <w:tcW w:w="6780" w:type="dxa"/>
            <w:vAlign w:val="bottom"/>
            <w:shd w:val="clear" w:color="auto" w:fill="C0C0C0"/>
          </w:tcPr>
          <w:p>
            <w:pPr>
              <w:ind w:left="20"/>
              <w:spacing w:after="0" w:line="196" w:lineRule="exact"/>
              <w:rPr>
                <w:sz w:val="20"/>
                <w:szCs w:val="20"/>
                <w:color w:val="auto"/>
              </w:rPr>
            </w:pPr>
            <w:r>
              <w:rPr>
                <w:rFonts w:ascii="Arial" w:cs="Arial" w:eastAsia="Arial" w:hAnsi="Arial"/>
                <w:sz w:val="18"/>
                <w:szCs w:val="18"/>
                <w:color w:val="auto"/>
              </w:rPr>
              <w:t>2014</w:t>
            </w:r>
          </w:p>
        </w:tc>
        <w:tc>
          <w:tcPr>
            <w:tcW w:w="200" w:type="dxa"/>
            <w:vAlign w:val="bottom"/>
            <w:shd w:val="clear" w:color="auto" w:fill="C0C0C0"/>
          </w:tcPr>
          <w:p>
            <w:pPr>
              <w:spacing w:after="0"/>
              <w:rPr>
                <w:sz w:val="17"/>
                <w:szCs w:val="17"/>
                <w:color w:val="auto"/>
              </w:rPr>
            </w:pPr>
          </w:p>
        </w:tc>
        <w:tc>
          <w:tcPr>
            <w:tcW w:w="520" w:type="dxa"/>
            <w:vAlign w:val="bottom"/>
            <w:gridSpan w:val="2"/>
            <w:shd w:val="clear" w:color="auto" w:fill="C0C0C0"/>
          </w:tcPr>
          <w:p>
            <w:pPr>
              <w:jc w:val="right"/>
              <w:ind w:right="148"/>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560" w:type="dxa"/>
            <w:vAlign w:val="bottom"/>
            <w:shd w:val="clear" w:color="auto" w:fill="C0C0C0"/>
          </w:tcPr>
          <w:p>
            <w:pPr>
              <w:jc w:val="right"/>
              <w:ind w:right="71"/>
              <w:spacing w:after="0" w:line="196" w:lineRule="exact"/>
              <w:rPr>
                <w:sz w:val="20"/>
                <w:szCs w:val="20"/>
                <w:color w:val="auto"/>
              </w:rPr>
            </w:pPr>
            <w:r>
              <w:rPr>
                <w:rFonts w:ascii="Arial" w:cs="Arial" w:eastAsia="Arial" w:hAnsi="Arial"/>
                <w:sz w:val="18"/>
                <w:szCs w:val="18"/>
                <w:color w:val="auto"/>
              </w:rPr>
              <w:t>6</w:t>
            </w:r>
          </w:p>
        </w:tc>
        <w:tc>
          <w:tcPr>
            <w:tcW w:w="20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0"/>
              <w:spacing w:after="0" w:line="202" w:lineRule="exact"/>
              <w:rPr>
                <w:sz w:val="20"/>
                <w:szCs w:val="20"/>
                <w:color w:val="auto"/>
              </w:rPr>
            </w:pPr>
            <w:r>
              <w:rPr>
                <w:rFonts w:ascii="Arial" w:cs="Arial" w:eastAsia="Arial" w:hAnsi="Arial"/>
                <w:sz w:val="18"/>
                <w:szCs w:val="18"/>
                <w:color w:val="auto"/>
              </w:rPr>
              <w:t>2015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ind w:right="71"/>
              <w:spacing w:after="0" w:line="202" w:lineRule="exact"/>
              <w:rPr>
                <w:sz w:val="20"/>
                <w:szCs w:val="20"/>
                <w:color w:val="auto"/>
              </w:rPr>
            </w:pPr>
            <w:r>
              <w:rPr>
                <w:rFonts w:ascii="Arial" w:cs="Arial" w:eastAsia="Arial" w:hAnsi="Arial"/>
                <w:sz w:val="18"/>
                <w:szCs w:val="18"/>
                <w:color w:val="auto"/>
              </w:rPr>
              <w:t>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2016</w:t>
            </w:r>
          </w:p>
        </w:tc>
        <w:tc>
          <w:tcPr>
            <w:tcW w:w="20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560" w:type="dxa"/>
            <w:vAlign w:val="bottom"/>
            <w:shd w:val="clear" w:color="auto" w:fill="C0C0C0"/>
          </w:tcPr>
          <w:p>
            <w:pPr>
              <w:jc w:val="right"/>
              <w:ind w:right="71"/>
              <w:spacing w:after="0" w:line="202" w:lineRule="exact"/>
              <w:rPr>
                <w:sz w:val="20"/>
                <w:szCs w:val="20"/>
                <w:color w:val="auto"/>
              </w:rPr>
            </w:pPr>
            <w:r>
              <w:rPr>
                <w:rFonts w:ascii="Arial" w:cs="Arial" w:eastAsia="Arial" w:hAnsi="Arial"/>
                <w:sz w:val="18"/>
                <w:szCs w:val="18"/>
                <w:color w:val="auto"/>
              </w:rPr>
              <w:t>4</w:t>
            </w:r>
          </w:p>
        </w:tc>
        <w:tc>
          <w:tcPr>
            <w:tcW w:w="20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0"/>
              <w:spacing w:after="0" w:line="202" w:lineRule="exact"/>
              <w:rPr>
                <w:sz w:val="20"/>
                <w:szCs w:val="20"/>
                <w:color w:val="auto"/>
              </w:rPr>
            </w:pPr>
            <w:r>
              <w:rPr>
                <w:rFonts w:ascii="Arial" w:cs="Arial" w:eastAsia="Arial" w:hAnsi="Arial"/>
                <w:sz w:val="18"/>
                <w:szCs w:val="18"/>
                <w:color w:val="auto"/>
              </w:rPr>
              <w:t>2017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ind w:right="71"/>
              <w:spacing w:after="0" w:line="202" w:lineRule="exact"/>
              <w:rPr>
                <w:sz w:val="20"/>
                <w:szCs w:val="20"/>
                <w:color w:val="auto"/>
              </w:rPr>
            </w:pPr>
            <w:r>
              <w:rPr>
                <w:rFonts w:ascii="Arial" w:cs="Arial" w:eastAsia="Arial" w:hAnsi="Arial"/>
                <w:sz w:val="18"/>
                <w:szCs w:val="18"/>
                <w:color w:val="auto"/>
              </w:rPr>
              <w:t>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2018</w:t>
            </w:r>
          </w:p>
        </w:tc>
        <w:tc>
          <w:tcPr>
            <w:tcW w:w="20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560" w:type="dxa"/>
            <w:vAlign w:val="bottom"/>
            <w:shd w:val="clear" w:color="auto" w:fill="C0C0C0"/>
          </w:tcPr>
          <w:p>
            <w:pPr>
              <w:jc w:val="right"/>
              <w:ind w:right="71"/>
              <w:spacing w:after="0" w:line="202" w:lineRule="exact"/>
              <w:rPr>
                <w:sz w:val="20"/>
                <w:szCs w:val="20"/>
                <w:color w:val="auto"/>
              </w:rPr>
            </w:pPr>
            <w:r>
              <w:rPr>
                <w:rFonts w:ascii="Arial" w:cs="Arial" w:eastAsia="Arial" w:hAnsi="Arial"/>
                <w:sz w:val="18"/>
                <w:szCs w:val="18"/>
                <w:color w:val="auto"/>
              </w:rPr>
              <w:t>4</w:t>
            </w:r>
          </w:p>
        </w:tc>
        <w:tc>
          <w:tcPr>
            <w:tcW w:w="20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6780" w:type="dxa"/>
            <w:vAlign w:val="bottom"/>
          </w:tcPr>
          <w:p>
            <w:pPr>
              <w:ind w:left="60"/>
              <w:spacing w:after="0"/>
              <w:rPr>
                <w:sz w:val="20"/>
                <w:szCs w:val="20"/>
                <w:color w:val="auto"/>
              </w:rPr>
            </w:pPr>
            <w:r>
              <w:rPr>
                <w:rFonts w:ascii="Arial" w:cs="Arial" w:eastAsia="Arial" w:hAnsi="Arial"/>
                <w:sz w:val="18"/>
                <w:szCs w:val="18"/>
                <w:b w:val="1"/>
                <w:bCs w:val="1"/>
                <w:color w:val="auto"/>
              </w:rPr>
              <w:t>11. Other Assets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780" w:type="dxa"/>
            <w:vAlign w:val="bottom"/>
            <w:vMerge w:val="restart"/>
          </w:tcPr>
          <w:p>
            <w:pPr>
              <w:ind w:left="20"/>
              <w:spacing w:after="0"/>
              <w:rPr>
                <w:sz w:val="20"/>
                <w:szCs w:val="20"/>
                <w:color w:val="auto"/>
              </w:rPr>
            </w:pPr>
            <w:r>
              <w:rPr>
                <w:rFonts w:ascii="Arial" w:cs="Arial" w:eastAsia="Arial" w:hAnsi="Arial"/>
                <w:sz w:val="18"/>
                <w:szCs w:val="18"/>
                <w:color w:val="auto"/>
              </w:rPr>
              <w:t>Restricted cash</w:t>
            </w:r>
            <w:r>
              <w:rPr>
                <w:rFonts w:ascii="Arial" w:cs="Arial" w:eastAsia="Arial" w:hAnsi="Arial"/>
                <w:sz w:val="30"/>
                <w:szCs w:val="30"/>
                <w:color w:val="auto"/>
                <w:vertAlign w:val="superscript"/>
              </w:rPr>
              <w:t>(1)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42"/>
        </w:trPr>
        <w:tc>
          <w:tcPr>
            <w:tcW w:w="6780" w:type="dxa"/>
            <w:vAlign w:val="bottom"/>
            <w:vMerge w:val="continue"/>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25</w:t>
            </w:r>
          </w:p>
        </w:tc>
        <w:tc>
          <w:tcPr>
            <w:tcW w:w="5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678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Deferred tax costs</w:t>
            </w:r>
          </w:p>
        </w:tc>
        <w:tc>
          <w:tcPr>
            <w:tcW w:w="200" w:type="dxa"/>
            <w:vAlign w:val="bottom"/>
            <w:shd w:val="clear" w:color="auto" w:fill="C0C0C0"/>
          </w:tcPr>
          <w:p>
            <w:pPr>
              <w:spacing w:after="0"/>
              <w:rPr>
                <w:sz w:val="17"/>
                <w:szCs w:val="17"/>
                <w:color w:val="auto"/>
              </w:rPr>
            </w:pPr>
          </w:p>
        </w:tc>
        <w:tc>
          <w:tcPr>
            <w:tcW w:w="520" w:type="dxa"/>
            <w:vAlign w:val="bottom"/>
            <w:gridSpan w:val="2"/>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rPr>
              <w:t>7</w:t>
            </w: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8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6780" w:type="dxa"/>
            <w:vAlign w:val="bottom"/>
          </w:tcPr>
          <w:p>
            <w:pPr>
              <w:ind w:left="20"/>
              <w:spacing w:after="0" w:line="202" w:lineRule="exact"/>
              <w:rPr>
                <w:sz w:val="20"/>
                <w:szCs w:val="20"/>
                <w:color w:val="auto"/>
              </w:rPr>
            </w:pPr>
            <w:r>
              <w:rPr>
                <w:rFonts w:ascii="Arial" w:cs="Arial" w:eastAsia="Arial" w:hAnsi="Arial"/>
                <w:sz w:val="18"/>
                <w:szCs w:val="18"/>
                <w:color w:val="auto"/>
              </w:rPr>
              <w:t>Auction rate security</w:t>
            </w:r>
          </w:p>
        </w:tc>
        <w:tc>
          <w:tcPr>
            <w:tcW w:w="200" w:type="dxa"/>
            <w:vAlign w:val="bottom"/>
          </w:tcPr>
          <w:p>
            <w:pPr>
              <w:spacing w:after="0"/>
              <w:rPr>
                <w:sz w:val="17"/>
                <w:szCs w:val="17"/>
                <w:color w:val="auto"/>
              </w:rPr>
            </w:pP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6780" w:type="dxa"/>
            <w:vAlign w:val="bottom"/>
            <w:shd w:val="clear" w:color="auto" w:fill="C0C0C0"/>
          </w:tcPr>
          <w:p>
            <w:pPr>
              <w:ind w:left="20"/>
              <w:spacing w:after="0" w:line="243" w:lineRule="exact"/>
              <w:rPr>
                <w:sz w:val="20"/>
                <w:szCs w:val="20"/>
                <w:color w:val="auto"/>
              </w:rPr>
            </w:pPr>
            <w:r>
              <w:rPr>
                <w:rFonts w:ascii="Arial" w:cs="Arial" w:eastAsia="Arial" w:hAnsi="Arial"/>
                <w:sz w:val="17"/>
                <w:szCs w:val="17"/>
                <w:color w:val="auto"/>
              </w:rPr>
              <w:t>Funds deposited in insurance trust</w:t>
            </w:r>
            <w:r>
              <w:rPr>
                <w:rFonts w:ascii="Arial" w:cs="Arial" w:eastAsia="Arial" w:hAnsi="Arial"/>
                <w:sz w:val="28"/>
                <w:szCs w:val="28"/>
                <w:color w:val="auto"/>
                <w:vertAlign w:val="superscript"/>
              </w:rPr>
              <w:t>(2)</w:t>
            </w:r>
          </w:p>
        </w:tc>
        <w:tc>
          <w:tcPr>
            <w:tcW w:w="200" w:type="dxa"/>
            <w:vAlign w:val="bottom"/>
            <w:shd w:val="clear" w:color="auto" w:fill="C0C0C0"/>
          </w:tcPr>
          <w:p>
            <w:pPr>
              <w:spacing w:after="0"/>
              <w:rPr>
                <w:sz w:val="21"/>
                <w:szCs w:val="21"/>
                <w:color w:val="auto"/>
              </w:rPr>
            </w:pPr>
          </w:p>
        </w:tc>
        <w:tc>
          <w:tcPr>
            <w:tcW w:w="520" w:type="dxa"/>
            <w:vAlign w:val="bottom"/>
            <w:gridSpan w:val="2"/>
            <w:shd w:val="clear" w:color="auto" w:fill="C0C0C0"/>
          </w:tcPr>
          <w:p>
            <w:pPr>
              <w:jc w:val="right"/>
              <w:spacing w:after="0"/>
              <w:rPr>
                <w:sz w:val="20"/>
                <w:szCs w:val="20"/>
                <w:color w:val="auto"/>
              </w:rPr>
            </w:pPr>
            <w:r>
              <w:rPr>
                <w:rFonts w:ascii="Arial" w:cs="Arial" w:eastAsia="Arial" w:hAnsi="Arial"/>
                <w:sz w:val="18"/>
                <w:szCs w:val="18"/>
                <w:b w:val="1"/>
                <w:bCs w:val="1"/>
                <w:color w:val="auto"/>
              </w:rPr>
              <w:t>6</w:t>
            </w:r>
          </w:p>
        </w:tc>
        <w:tc>
          <w:tcPr>
            <w:tcW w:w="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6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6780" w:type="dxa"/>
            <w:vAlign w:val="bottom"/>
          </w:tcPr>
          <w:p>
            <w:pPr>
              <w:ind w:left="20"/>
              <w:spacing w:after="0" w:line="202" w:lineRule="exact"/>
              <w:rPr>
                <w:sz w:val="20"/>
                <w:szCs w:val="20"/>
                <w:color w:val="auto"/>
              </w:rPr>
            </w:pPr>
            <w:r>
              <w:rPr>
                <w:rFonts w:ascii="Arial" w:cs="Arial" w:eastAsia="Arial" w:hAnsi="Arial"/>
                <w:sz w:val="18"/>
                <w:szCs w:val="18"/>
                <w:color w:val="auto"/>
              </w:rPr>
              <w:t>Pension asset</w:t>
            </w:r>
          </w:p>
        </w:tc>
        <w:tc>
          <w:tcPr>
            <w:tcW w:w="200" w:type="dxa"/>
            <w:vAlign w:val="bottom"/>
          </w:tcPr>
          <w:p>
            <w:pPr>
              <w:spacing w:after="0"/>
              <w:rPr>
                <w:sz w:val="17"/>
                <w:szCs w:val="17"/>
                <w:color w:val="auto"/>
              </w:rPr>
            </w:pP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678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Income tax receivables</w:t>
            </w:r>
          </w:p>
        </w:tc>
        <w:tc>
          <w:tcPr>
            <w:tcW w:w="200" w:type="dxa"/>
            <w:vAlign w:val="bottom"/>
            <w:shd w:val="clear" w:color="auto" w:fill="C0C0C0"/>
          </w:tcPr>
          <w:p>
            <w:pPr>
              <w:spacing w:after="0"/>
              <w:rPr>
                <w:sz w:val="17"/>
                <w:szCs w:val="17"/>
                <w:color w:val="auto"/>
              </w:rPr>
            </w:pPr>
          </w:p>
        </w:tc>
        <w:tc>
          <w:tcPr>
            <w:tcW w:w="520" w:type="dxa"/>
            <w:vAlign w:val="bottom"/>
            <w:gridSpan w:val="2"/>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rPr>
              <w:t>4</w:t>
            </w: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8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6780" w:type="dxa"/>
            <w:vAlign w:val="bottom"/>
          </w:tcPr>
          <w:p>
            <w:pPr>
              <w:ind w:left="20"/>
              <w:spacing w:after="0" w:line="202" w:lineRule="exact"/>
              <w:rPr>
                <w:sz w:val="20"/>
                <w:szCs w:val="20"/>
                <w:color w:val="auto"/>
              </w:rPr>
            </w:pPr>
            <w:r>
              <w:rPr>
                <w:rFonts w:ascii="Arial" w:cs="Arial" w:eastAsia="Arial" w:hAnsi="Arial"/>
                <w:sz w:val="18"/>
                <w:szCs w:val="18"/>
                <w:color w:val="auto"/>
              </w:rPr>
              <w:t>Income tax asset</w:t>
            </w:r>
          </w:p>
        </w:tc>
        <w:tc>
          <w:tcPr>
            <w:tcW w:w="200" w:type="dxa"/>
            <w:vAlign w:val="bottom"/>
          </w:tcPr>
          <w:p>
            <w:pPr>
              <w:spacing w:after="0"/>
              <w:rPr>
                <w:sz w:val="17"/>
                <w:szCs w:val="17"/>
                <w:color w:val="auto"/>
              </w:rPr>
            </w:pP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678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Other</w:t>
            </w:r>
          </w:p>
        </w:tc>
        <w:tc>
          <w:tcPr>
            <w:tcW w:w="200" w:type="dxa"/>
            <w:vAlign w:val="bottom"/>
            <w:shd w:val="clear" w:color="auto" w:fill="C0C0C0"/>
          </w:tcPr>
          <w:p>
            <w:pPr>
              <w:spacing w:after="0"/>
              <w:rPr>
                <w:sz w:val="17"/>
                <w:szCs w:val="17"/>
                <w:color w:val="auto"/>
              </w:rPr>
            </w:pPr>
          </w:p>
        </w:tc>
        <w:tc>
          <w:tcPr>
            <w:tcW w:w="520" w:type="dxa"/>
            <w:vAlign w:val="bottom"/>
            <w:gridSpan w:val="2"/>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rPr>
              <w:t>22</w:t>
            </w: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8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78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80" w:type="dxa"/>
            <w:vAlign w:val="bottom"/>
          </w:tcPr>
          <w:p>
            <w:pPr>
              <w:spacing w:after="0"/>
              <w:rPr>
                <w:sz w:val="17"/>
                <w:szCs w:val="17"/>
                <w:color w:val="auto"/>
              </w:rPr>
            </w:pPr>
          </w:p>
        </w:tc>
        <w:tc>
          <w:tcPr>
            <w:tcW w:w="2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52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76</w:t>
            </w:r>
          </w:p>
        </w:tc>
        <w:tc>
          <w:tcPr>
            <w:tcW w:w="320" w:type="dxa"/>
            <w:vAlign w:val="bottom"/>
            <w:gridSpan w:val="2"/>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
        </w:trPr>
        <w:tc>
          <w:tcPr>
            <w:tcW w:w="6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-170815</wp:posOffset>
            </wp:positionV>
            <wp:extent cx="5565775"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56577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-1577340</wp:posOffset>
            </wp:positionV>
            <wp:extent cx="556577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93" w:lineRule="exact"/>
        <w:rPr>
          <w:sz w:val="20"/>
          <w:szCs w:val="20"/>
          <w:color w:val="auto"/>
        </w:rPr>
      </w:pPr>
    </w:p>
    <w:p>
      <w:pPr>
        <w:ind w:left="300" w:hanging="272"/>
        <w:spacing w:after="0"/>
        <w:tabs>
          <w:tab w:leader="none" w:pos="3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Restricted cash is comprised of amounts held in escrow in connection with various leasing arrangements in Europe.</w:t>
      </w:r>
    </w:p>
    <w:p>
      <w:pPr>
        <w:spacing w:after="0" w:line="122" w:lineRule="exact"/>
        <w:rPr>
          <w:rFonts w:ascii="Arial" w:cs="Arial" w:eastAsia="Arial" w:hAnsi="Arial"/>
          <w:sz w:val="14"/>
          <w:szCs w:val="14"/>
          <w:color w:val="auto"/>
        </w:rPr>
      </w:pPr>
    </w:p>
    <w:p>
      <w:pPr>
        <w:ind w:left="300" w:right="539" w:hanging="272"/>
        <w:spacing w:after="0" w:line="278" w:lineRule="auto"/>
        <w:tabs>
          <w:tab w:leader="none" w:pos="3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Company is required by its insurers to collateralize part of the self-insured workers’ compensation and liability claims. The Company has chosen to satisfy these collateral requirements by depositing funds in insurance trusts.</w:t>
      </w:r>
    </w:p>
    <w:p>
      <w:pPr>
        <w:spacing w:after="0" w:line="99" w:lineRule="exact"/>
        <w:rPr>
          <w:rFonts w:ascii="Arial" w:cs="Arial" w:eastAsia="Arial" w:hAnsi="Arial"/>
          <w:sz w:val="14"/>
          <w:szCs w:val="14"/>
          <w:color w:val="auto"/>
        </w:rPr>
      </w:pPr>
    </w:p>
    <w:p>
      <w:pPr>
        <w:ind w:left="420" w:hanging="352"/>
        <w:spacing w:after="0"/>
        <w:tabs>
          <w:tab w:leader="none" w:pos="420" w:val="left"/>
        </w:tabs>
        <w:numPr>
          <w:ilvl w:val="1"/>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Accrued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-56515</wp:posOffset>
            </wp:positionV>
            <wp:extent cx="556577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auto"/>
            </w:tcBorders>
          </w:tcPr>
          <w:p>
            <w:pPr>
              <w:spacing w:after="0"/>
              <w:rPr>
                <w:sz w:val="15"/>
                <w:szCs w:val="15"/>
                <w:color w:val="auto"/>
              </w:rPr>
            </w:pPr>
          </w:p>
        </w:tc>
      </w:tr>
      <w:tr>
        <w:trPr>
          <w:trHeight w:val="173"/>
        </w:trPr>
        <w:tc>
          <w:tcPr>
            <w:tcW w:w="6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(in millions)</w:t>
            </w:r>
          </w:p>
        </w:tc>
      </w:tr>
      <w:tr>
        <w:trPr>
          <w:trHeight w:val="225"/>
        </w:trPr>
        <w:tc>
          <w:tcPr>
            <w:tcW w:w="6780" w:type="dxa"/>
            <w:vAlign w:val="bottom"/>
          </w:tcPr>
          <w:p>
            <w:pPr>
              <w:ind w:left="20"/>
              <w:spacing w:after="0"/>
              <w:rPr>
                <w:sz w:val="20"/>
                <w:szCs w:val="20"/>
                <w:color w:val="auto"/>
              </w:rPr>
            </w:pPr>
            <w:r>
              <w:rPr>
                <w:rFonts w:ascii="Arial" w:cs="Arial" w:eastAsia="Arial" w:hAnsi="Arial"/>
                <w:sz w:val="18"/>
                <w:szCs w:val="18"/>
                <w:color w:val="auto"/>
              </w:rPr>
              <w:t>Taxes other than income taxes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56</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r>
      <w:tr>
        <w:trPr>
          <w:trHeight w:val="203"/>
        </w:trPr>
        <w:tc>
          <w:tcPr>
            <w:tcW w:w="678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Other payroll and payroll related costs, excluding taxes</w:t>
            </w:r>
          </w:p>
        </w:tc>
        <w:tc>
          <w:tcPr>
            <w:tcW w:w="2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b w:val="1"/>
                <w:bCs w:val="1"/>
                <w:color w:val="auto"/>
              </w:rPr>
              <w:t>54</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40"/>
              <w:spacing w:after="0" w:line="202" w:lineRule="exact"/>
              <w:rPr>
                <w:sz w:val="20"/>
                <w:szCs w:val="20"/>
                <w:color w:val="auto"/>
              </w:rPr>
            </w:pPr>
            <w:r>
              <w:rPr>
                <w:rFonts w:ascii="Arial" w:cs="Arial" w:eastAsia="Arial" w:hAnsi="Arial"/>
                <w:sz w:val="18"/>
                <w:szCs w:val="18"/>
                <w:color w:val="auto"/>
              </w:rPr>
              <w:t>60</w:t>
            </w:r>
          </w:p>
        </w:tc>
      </w:tr>
      <w:tr>
        <w:trPr>
          <w:trHeight w:val="203"/>
        </w:trPr>
        <w:tc>
          <w:tcPr>
            <w:tcW w:w="6780" w:type="dxa"/>
            <w:vAlign w:val="bottom"/>
          </w:tcPr>
          <w:p>
            <w:pPr>
              <w:ind w:left="20"/>
              <w:spacing w:after="0" w:line="202" w:lineRule="exact"/>
              <w:rPr>
                <w:sz w:val="20"/>
                <w:szCs w:val="20"/>
                <w:color w:val="auto"/>
              </w:rPr>
            </w:pPr>
            <w:r>
              <w:rPr>
                <w:rFonts w:ascii="Arial" w:cs="Arial" w:eastAsia="Arial" w:hAnsi="Arial"/>
                <w:sz w:val="18"/>
                <w:szCs w:val="18"/>
                <w:color w:val="auto"/>
              </w:rPr>
              <w:t>Current deferred tax liabilities</w:t>
            </w:r>
          </w:p>
        </w:tc>
        <w:tc>
          <w:tcPr>
            <w:tcW w:w="20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46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31</w:t>
            </w:r>
          </w:p>
        </w:tc>
      </w:tr>
      <w:tr>
        <w:trPr>
          <w:trHeight w:val="203"/>
        </w:trPr>
        <w:tc>
          <w:tcPr>
            <w:tcW w:w="678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Incentive bonuses</w:t>
            </w:r>
          </w:p>
        </w:tc>
        <w:tc>
          <w:tcPr>
            <w:tcW w:w="2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b w:val="1"/>
                <w:bCs w:val="1"/>
                <w:color w:val="auto"/>
              </w:rPr>
              <w:t>41</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40"/>
              <w:spacing w:after="0" w:line="202" w:lineRule="exact"/>
              <w:rPr>
                <w:sz w:val="20"/>
                <w:szCs w:val="20"/>
                <w:color w:val="auto"/>
              </w:rPr>
            </w:pPr>
            <w:r>
              <w:rPr>
                <w:rFonts w:ascii="Arial" w:cs="Arial" w:eastAsia="Arial" w:hAnsi="Arial"/>
                <w:sz w:val="18"/>
                <w:szCs w:val="18"/>
                <w:color w:val="auto"/>
              </w:rPr>
              <w:t>48</w:t>
            </w:r>
          </w:p>
        </w:tc>
      </w:tr>
      <w:tr>
        <w:trPr>
          <w:trHeight w:val="243"/>
        </w:trPr>
        <w:tc>
          <w:tcPr>
            <w:tcW w:w="6780" w:type="dxa"/>
            <w:vAlign w:val="bottom"/>
          </w:tcPr>
          <w:p>
            <w:pPr>
              <w:ind w:left="20"/>
              <w:spacing w:after="0" w:line="243" w:lineRule="exact"/>
              <w:rPr>
                <w:sz w:val="20"/>
                <w:szCs w:val="20"/>
                <w:color w:val="auto"/>
              </w:rPr>
            </w:pPr>
            <w:r>
              <w:rPr>
                <w:rFonts w:ascii="Arial" w:cs="Arial" w:eastAsia="Arial" w:hAnsi="Arial"/>
                <w:sz w:val="17"/>
                <w:szCs w:val="17"/>
                <w:color w:val="auto"/>
              </w:rPr>
              <w:t>Property and equipment</w:t>
            </w:r>
            <w:r>
              <w:rPr>
                <w:rFonts w:ascii="Arial" w:cs="Arial" w:eastAsia="Arial" w:hAnsi="Arial"/>
                <w:sz w:val="28"/>
                <w:szCs w:val="28"/>
                <w:color w:val="auto"/>
                <w:vertAlign w:val="superscript"/>
              </w:rPr>
              <w:t>(2)</w:t>
            </w:r>
          </w:p>
        </w:tc>
        <w:tc>
          <w:tcPr>
            <w:tcW w:w="20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39</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r>
      <w:tr>
        <w:trPr>
          <w:trHeight w:val="243"/>
        </w:trPr>
        <w:tc>
          <w:tcPr>
            <w:tcW w:w="6780" w:type="dxa"/>
            <w:vAlign w:val="bottom"/>
            <w:shd w:val="clear" w:color="auto" w:fill="C0C0C0"/>
          </w:tcPr>
          <w:p>
            <w:pPr>
              <w:ind w:left="20"/>
              <w:spacing w:after="0" w:line="243" w:lineRule="exact"/>
              <w:rPr>
                <w:sz w:val="20"/>
                <w:szCs w:val="20"/>
                <w:color w:val="auto"/>
              </w:rPr>
            </w:pPr>
            <w:r>
              <w:rPr>
                <w:rFonts w:ascii="Arial" w:cs="Arial" w:eastAsia="Arial" w:hAnsi="Arial"/>
                <w:sz w:val="17"/>
                <w:szCs w:val="17"/>
                <w:color w:val="auto"/>
              </w:rPr>
              <w:t>Customer deposits</w:t>
            </w:r>
            <w:r>
              <w:rPr>
                <w:rFonts w:ascii="Arial" w:cs="Arial" w:eastAsia="Arial" w:hAnsi="Arial"/>
                <w:sz w:val="28"/>
                <w:szCs w:val="28"/>
                <w:color w:val="auto"/>
                <w:vertAlign w:val="superscript"/>
              </w:rPr>
              <w:t>(1)</w:t>
            </w:r>
          </w:p>
        </w:tc>
        <w:tc>
          <w:tcPr>
            <w:tcW w:w="200" w:type="dxa"/>
            <w:vAlign w:val="bottom"/>
            <w:shd w:val="clear" w:color="auto" w:fill="C0C0C0"/>
          </w:tcPr>
          <w:p>
            <w:pPr>
              <w:spacing w:after="0"/>
              <w:rPr>
                <w:sz w:val="21"/>
                <w:szCs w:val="21"/>
                <w:color w:val="auto"/>
              </w:rPr>
            </w:pPr>
          </w:p>
        </w:tc>
        <w:tc>
          <w:tcPr>
            <w:tcW w:w="6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b w:val="1"/>
                <w:bCs w:val="1"/>
                <w:color w:val="auto"/>
              </w:rPr>
              <w:t>38</w:t>
            </w:r>
          </w:p>
        </w:tc>
        <w:tc>
          <w:tcPr>
            <w:tcW w:w="1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6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34</w:t>
            </w:r>
          </w:p>
        </w:tc>
      </w:tr>
      <w:tr>
        <w:trPr>
          <w:trHeight w:val="203"/>
        </w:trPr>
        <w:tc>
          <w:tcPr>
            <w:tcW w:w="678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87</w:t>
            </w:r>
          </w:p>
        </w:tc>
      </w:tr>
      <w:tr>
        <w:trPr>
          <w:trHeight w:val="20"/>
        </w:trPr>
        <w:tc>
          <w:tcPr>
            <w:tcW w:w="6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7"/>
        </w:trPr>
        <w:tc>
          <w:tcPr>
            <w:tcW w:w="6780" w:type="dxa"/>
            <w:vAlign w:val="bottom"/>
            <w:shd w:val="clear" w:color="auto" w:fill="C0C0C0"/>
          </w:tcPr>
          <w:p>
            <w:pPr>
              <w:spacing w:after="0"/>
              <w:rPr>
                <w:sz w:val="18"/>
                <w:szCs w:val="18"/>
                <w:color w:val="auto"/>
              </w:rPr>
            </w:pPr>
          </w:p>
        </w:tc>
        <w:tc>
          <w:tcPr>
            <w:tcW w:w="20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56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b w:val="1"/>
                <w:bCs w:val="1"/>
                <w:color w:val="auto"/>
              </w:rPr>
              <w:t>360</w:t>
            </w:r>
          </w:p>
        </w:tc>
        <w:tc>
          <w:tcPr>
            <w:tcW w:w="12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200" w:type="dxa"/>
            <w:vAlign w:val="bottom"/>
            <w:shd w:val="clear" w:color="auto" w:fill="C0C0C0"/>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0C0C0"/>
          </w:tcPr>
          <w:p>
            <w:pPr>
              <w:jc w:val="right"/>
              <w:ind w:right="140"/>
              <w:spacing w:after="0" w:line="196" w:lineRule="exact"/>
              <w:rPr>
                <w:sz w:val="20"/>
                <w:szCs w:val="20"/>
                <w:color w:val="auto"/>
              </w:rPr>
            </w:pPr>
            <w:r>
              <w:rPr>
                <w:rFonts w:ascii="Arial" w:cs="Arial" w:eastAsia="Arial" w:hAnsi="Arial"/>
                <w:sz w:val="18"/>
                <w:szCs w:val="18"/>
                <w:color w:val="auto"/>
              </w:rPr>
              <w:t>338</w:t>
            </w:r>
          </w:p>
        </w:tc>
      </w:tr>
      <w:tr>
        <w:trPr>
          <w:trHeight w:val="20"/>
        </w:trPr>
        <w:tc>
          <w:tcPr>
            <w:tcW w:w="6780" w:type="dxa"/>
            <w:vAlign w:val="bottom"/>
            <w:tcBorders>
              <w:top w:val="single" w:sz="8" w:color="C0C0C0"/>
            </w:tcBorders>
            <w:shd w:val="clear" w:color="auto" w:fill="C0C0C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C0C0"/>
            </w:tcBorders>
            <w:shd w:val="clear" w:color="auto" w:fill="C0C0C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565775" cy="342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565775" cy="34290"/>
                    </a:xfrm>
                    <a:prstGeom prst="rect">
                      <a:avLst/>
                    </a:prstGeom>
                    <a:noFill/>
                  </pic:spPr>
                </pic:pic>
              </a:graphicData>
            </a:graphic>
          </wp:anchor>
        </w:drawing>
      </w:r>
    </w:p>
    <w:p>
      <w:pPr>
        <w:spacing w:after="0" w:line="93" w:lineRule="exact"/>
        <w:rPr>
          <w:sz w:val="20"/>
          <w:szCs w:val="20"/>
          <w:color w:val="auto"/>
        </w:rPr>
      </w:pPr>
    </w:p>
    <w:p>
      <w:pPr>
        <w:ind w:left="300" w:right="519" w:hanging="272"/>
        <w:spacing w:after="0" w:line="278" w:lineRule="auto"/>
        <w:tabs>
          <w:tab w:leader="none" w:pos="3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Customer deposits include unredeemed gift cards and certificates, merchandise credits, and deferred revenue related to undelivered merchandise, including layaway sales.</w:t>
      </w:r>
    </w:p>
    <w:p>
      <w:pPr>
        <w:spacing w:after="0" w:line="86" w:lineRule="exact"/>
        <w:rPr>
          <w:rFonts w:ascii="Arial" w:cs="Arial" w:eastAsia="Arial" w:hAnsi="Arial"/>
          <w:sz w:val="14"/>
          <w:szCs w:val="14"/>
          <w:color w:val="auto"/>
        </w:rPr>
      </w:pPr>
    </w:p>
    <w:p>
      <w:pPr>
        <w:ind w:left="300" w:hanging="272"/>
        <w:spacing w:after="0"/>
        <w:tabs>
          <w:tab w:leader="none" w:pos="3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Accruals for property and equipment are properly excluded from the statements of cash flows for all years presented.</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96520</wp:posOffset>
            </wp:positionV>
            <wp:extent cx="6114415" cy="596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52" w:name="page53"/>
    <w:bookmarkEnd w:id="52"/>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Revolving Credit Facility</w:t>
      </w:r>
    </w:p>
    <w:p>
      <w:pPr>
        <w:spacing w:after="0" w:line="139"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On January 27, 2012, the Company entered into an amended and restated credit agreement (the “2011 Restated Credit Agreement”) with its banks. The 2011 Restated Credit Agreement provides for a $200 million asset based revolving credit facility maturing on January 27, 2017. In addition, during the term of the 2011 Restated Credit Agreement, the Company may make up to four requests for additional credit commitments in an aggregate amount not to exceed $200 million. Interest is based on the LIBOR rate in effect at the time of the borrowing plus a 1.25 to 1.50 percent margin depending on certain provisions as defined in the 2011 Restated Credit Agreement.</w:t>
      </w:r>
    </w:p>
    <w:p>
      <w:pPr>
        <w:spacing w:after="0" w:line="101"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The 2011 Restated Credit Agreement provides for a security interest in certain of the Company’s domestic assets, including certain inventory assets, but excluding intellectual property. The Company is not required to comply with any financial covenants as long as there are no outstanding borrowings. With regard to the payment of dividends and share repurchases, there are no restrictions if the Company is not borrowing and the payments are funded through cash on hand. If the Company is borrowing, Availability as of the end of each fiscal month during the subsequent projected six fiscal months following the payment must be at least 20 percent of the lesser of the Aggregate Commitments and the Borrowing Base (all terms as defined in the 2011 Restated Credit Agreement). The Company’s management does not currently expect to borrow under the facility in 2014, other than amounts used to support standby letters of credit.</w:t>
      </w:r>
    </w:p>
    <w:p>
      <w:pPr>
        <w:spacing w:after="0" w:line="98" w:lineRule="exact"/>
        <w:rPr>
          <w:sz w:val="20"/>
          <w:szCs w:val="20"/>
          <w:color w:val="auto"/>
        </w:rPr>
      </w:pPr>
    </w:p>
    <w:p>
      <w:pPr>
        <w:jc w:val="both"/>
        <w:ind w:left="60" w:right="539"/>
        <w:spacing w:after="0" w:line="262" w:lineRule="auto"/>
        <w:rPr>
          <w:sz w:val="20"/>
          <w:szCs w:val="20"/>
          <w:color w:val="auto"/>
        </w:rPr>
      </w:pPr>
      <w:r>
        <w:rPr>
          <w:rFonts w:ascii="Arial" w:cs="Arial" w:eastAsia="Arial" w:hAnsi="Arial"/>
          <w:sz w:val="18"/>
          <w:szCs w:val="18"/>
          <w:color w:val="auto"/>
        </w:rPr>
        <w:t>At February 1, 2014, the Company had unused domestic lines of credit of $199 million, while $1 million was committed to support standby letters of credit. The letters of credit are primarily used for insurance programs.</w:t>
      </w:r>
    </w:p>
    <w:p>
      <w:pPr>
        <w:spacing w:after="0" w:line="88" w:lineRule="exact"/>
        <w:rPr>
          <w:sz w:val="20"/>
          <w:szCs w:val="20"/>
          <w:color w:val="auto"/>
        </w:rPr>
      </w:pPr>
    </w:p>
    <w:p>
      <w:pPr>
        <w:jc w:val="both"/>
        <w:ind w:left="60" w:right="519"/>
        <w:spacing w:after="0" w:line="262" w:lineRule="auto"/>
        <w:rPr>
          <w:sz w:val="20"/>
          <w:szCs w:val="20"/>
          <w:color w:val="auto"/>
        </w:rPr>
      </w:pPr>
      <w:r>
        <w:rPr>
          <w:rFonts w:ascii="Arial" w:cs="Arial" w:eastAsia="Arial" w:hAnsi="Arial"/>
          <w:sz w:val="18"/>
          <w:szCs w:val="18"/>
          <w:color w:val="auto"/>
        </w:rPr>
        <w:t>Deferred financing fees are amortized over the life of the facility on a straight-line basis, which is comparable to the interest method. The unamortized balance at February 1, 2014 is $2 million.</w:t>
      </w:r>
    </w:p>
    <w:p>
      <w:pPr>
        <w:spacing w:after="0" w:line="88" w:lineRule="exact"/>
        <w:rPr>
          <w:sz w:val="20"/>
          <w:szCs w:val="20"/>
          <w:color w:val="auto"/>
        </w:rPr>
      </w:pPr>
    </w:p>
    <w:p>
      <w:pPr>
        <w:jc w:val="both"/>
        <w:ind w:left="60" w:right="519"/>
        <w:spacing w:after="0" w:line="256" w:lineRule="auto"/>
        <w:rPr>
          <w:sz w:val="20"/>
          <w:szCs w:val="20"/>
          <w:color w:val="auto"/>
        </w:rPr>
      </w:pPr>
      <w:r>
        <w:rPr>
          <w:rFonts w:ascii="Arial" w:cs="Arial" w:eastAsia="Arial" w:hAnsi="Arial"/>
          <w:sz w:val="18"/>
          <w:szCs w:val="18"/>
          <w:color w:val="auto"/>
        </w:rPr>
        <w:t>The quarterly facility fees paid on the unused portion was 0.25 percent for both 2013 and 2012. There were no short-term borrowings during 2013 or 2012. Interest expense, including facility fees, related to the revolving credit facility was $1 million for both 2013 and 2012, and $4 million for 2011.</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Long-Term Debt and Obligations Under Capital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-56515</wp:posOffset>
            </wp:positionV>
            <wp:extent cx="556577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auto"/>
            </w:tcBorders>
          </w:tcPr>
          <w:p>
            <w:pPr>
              <w:spacing w:after="0"/>
              <w:rPr>
                <w:sz w:val="15"/>
                <w:szCs w:val="15"/>
                <w:color w:val="auto"/>
              </w:rPr>
            </w:pPr>
          </w:p>
        </w:tc>
      </w:tr>
      <w:tr>
        <w:trPr>
          <w:trHeight w:val="173"/>
        </w:trPr>
        <w:tc>
          <w:tcPr>
            <w:tcW w:w="6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(in millions)</w:t>
            </w:r>
          </w:p>
        </w:tc>
      </w:tr>
      <w:tr>
        <w:trPr>
          <w:trHeight w:val="225"/>
        </w:trPr>
        <w:tc>
          <w:tcPr>
            <w:tcW w:w="6780" w:type="dxa"/>
            <w:vAlign w:val="bottom"/>
          </w:tcPr>
          <w:p>
            <w:pPr>
              <w:ind w:left="20"/>
              <w:spacing w:after="0"/>
              <w:rPr>
                <w:sz w:val="20"/>
                <w:szCs w:val="20"/>
                <w:color w:val="auto"/>
              </w:rPr>
            </w:pPr>
            <w:r>
              <w:rPr>
                <w:rFonts w:ascii="Arial" w:cs="Arial" w:eastAsia="Arial" w:hAnsi="Arial"/>
                <w:sz w:val="18"/>
                <w:szCs w:val="18"/>
                <w:color w:val="auto"/>
              </w:rPr>
              <w:t>8.5% debentures payable 2022</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118</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118</w:t>
            </w:r>
          </w:p>
        </w:tc>
      </w:tr>
      <w:tr>
        <w:trPr>
          <w:trHeight w:val="243"/>
        </w:trPr>
        <w:tc>
          <w:tcPr>
            <w:tcW w:w="6780" w:type="dxa"/>
            <w:vAlign w:val="bottom"/>
            <w:shd w:val="clear" w:color="auto" w:fill="C0C0C0"/>
          </w:tcPr>
          <w:p>
            <w:pPr>
              <w:ind w:left="20"/>
              <w:spacing w:after="0" w:line="243" w:lineRule="exact"/>
              <w:rPr>
                <w:sz w:val="20"/>
                <w:szCs w:val="20"/>
                <w:color w:val="auto"/>
              </w:rPr>
            </w:pPr>
            <w:r>
              <w:rPr>
                <w:rFonts w:ascii="Arial" w:cs="Arial" w:eastAsia="Arial" w:hAnsi="Arial"/>
                <w:sz w:val="17"/>
                <w:szCs w:val="17"/>
                <w:color w:val="auto"/>
              </w:rPr>
              <w:t>Unamortized gain related to interest rate swaps</w:t>
            </w:r>
            <w:r>
              <w:rPr>
                <w:rFonts w:ascii="Arial" w:cs="Arial" w:eastAsia="Arial" w:hAnsi="Arial"/>
                <w:sz w:val="28"/>
                <w:szCs w:val="28"/>
                <w:color w:val="auto"/>
                <w:vertAlign w:val="superscript"/>
              </w:rPr>
              <w:t>(1)</w:t>
            </w:r>
          </w:p>
        </w:tc>
        <w:tc>
          <w:tcPr>
            <w:tcW w:w="200" w:type="dxa"/>
            <w:vAlign w:val="bottom"/>
            <w:shd w:val="clear" w:color="auto" w:fill="C0C0C0"/>
          </w:tcPr>
          <w:p>
            <w:pPr>
              <w:spacing w:after="0"/>
              <w:rPr>
                <w:sz w:val="21"/>
                <w:szCs w:val="21"/>
                <w:color w:val="auto"/>
              </w:rPr>
            </w:pPr>
          </w:p>
        </w:tc>
        <w:tc>
          <w:tcPr>
            <w:tcW w:w="6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b w:val="1"/>
                <w:bCs w:val="1"/>
                <w:color w:val="auto"/>
              </w:rPr>
              <w:t>13</w:t>
            </w:r>
          </w:p>
        </w:tc>
        <w:tc>
          <w:tcPr>
            <w:tcW w:w="1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6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15</w:t>
            </w:r>
          </w:p>
        </w:tc>
      </w:tr>
      <w:tr>
        <w:trPr>
          <w:trHeight w:val="243"/>
        </w:trPr>
        <w:tc>
          <w:tcPr>
            <w:tcW w:w="6780" w:type="dxa"/>
            <w:vAlign w:val="bottom"/>
          </w:tcPr>
          <w:p>
            <w:pPr>
              <w:ind w:left="20"/>
              <w:spacing w:after="0" w:line="243" w:lineRule="exact"/>
              <w:rPr>
                <w:sz w:val="20"/>
                <w:szCs w:val="20"/>
                <w:color w:val="auto"/>
              </w:rPr>
            </w:pPr>
            <w:r>
              <w:rPr>
                <w:rFonts w:ascii="Arial" w:cs="Arial" w:eastAsia="Arial" w:hAnsi="Arial"/>
                <w:sz w:val="17"/>
                <w:szCs w:val="17"/>
                <w:color w:val="auto"/>
              </w:rPr>
              <w:t>Obligations under capital leases</w:t>
            </w:r>
            <w:r>
              <w:rPr>
                <w:rFonts w:ascii="Arial" w:cs="Arial" w:eastAsia="Arial" w:hAnsi="Arial"/>
                <w:sz w:val="28"/>
                <w:szCs w:val="28"/>
                <w:color w:val="auto"/>
                <w:vertAlign w:val="superscript"/>
              </w:rPr>
              <w:t>(2)</w:t>
            </w: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6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678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56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b w:val="1"/>
                <w:bCs w:val="1"/>
                <w:color w:val="auto"/>
              </w:rPr>
              <w:t>139</w:t>
            </w:r>
          </w:p>
        </w:tc>
        <w:tc>
          <w:tcPr>
            <w:tcW w:w="1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40"/>
              <w:spacing w:after="0" w:line="196" w:lineRule="exact"/>
              <w:rPr>
                <w:sz w:val="20"/>
                <w:szCs w:val="20"/>
                <w:color w:val="auto"/>
              </w:rPr>
            </w:pPr>
            <w:r>
              <w:rPr>
                <w:rFonts w:ascii="Arial" w:cs="Arial" w:eastAsia="Arial" w:hAnsi="Arial"/>
                <w:sz w:val="18"/>
                <w:szCs w:val="18"/>
                <w:color w:val="auto"/>
              </w:rPr>
              <w:t>133</w:t>
            </w:r>
          </w:p>
        </w:tc>
      </w:tr>
      <w:tr>
        <w:trPr>
          <w:trHeight w:val="203"/>
        </w:trPr>
        <w:tc>
          <w:tcPr>
            <w:tcW w:w="6780" w:type="dxa"/>
            <w:vAlign w:val="bottom"/>
          </w:tcPr>
          <w:p>
            <w:pPr>
              <w:ind w:left="20"/>
              <w:spacing w:after="0" w:line="202" w:lineRule="exact"/>
              <w:rPr>
                <w:sz w:val="20"/>
                <w:szCs w:val="20"/>
                <w:color w:val="auto"/>
              </w:rPr>
            </w:pPr>
            <w:r>
              <w:rPr>
                <w:rFonts w:ascii="Arial" w:cs="Arial" w:eastAsia="Arial" w:hAnsi="Arial"/>
                <w:sz w:val="18"/>
                <w:szCs w:val="18"/>
                <w:color w:val="auto"/>
              </w:rPr>
              <w:t>Less: current portion of obligations under capital leases</w:t>
            </w: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
        </w:trPr>
        <w:tc>
          <w:tcPr>
            <w:tcW w:w="6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7"/>
        </w:trPr>
        <w:tc>
          <w:tcPr>
            <w:tcW w:w="6780" w:type="dxa"/>
            <w:vAlign w:val="bottom"/>
            <w:shd w:val="clear" w:color="auto" w:fill="C0C0C0"/>
          </w:tcPr>
          <w:p>
            <w:pPr>
              <w:spacing w:after="0"/>
              <w:rPr>
                <w:sz w:val="18"/>
                <w:szCs w:val="18"/>
                <w:color w:val="auto"/>
              </w:rPr>
            </w:pPr>
          </w:p>
        </w:tc>
        <w:tc>
          <w:tcPr>
            <w:tcW w:w="20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56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b w:val="1"/>
                <w:bCs w:val="1"/>
                <w:color w:val="auto"/>
              </w:rPr>
              <w:t>136</w:t>
            </w:r>
          </w:p>
        </w:tc>
        <w:tc>
          <w:tcPr>
            <w:tcW w:w="12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200" w:type="dxa"/>
            <w:vAlign w:val="bottom"/>
            <w:shd w:val="clear" w:color="auto" w:fill="C0C0C0"/>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0C0C0"/>
          </w:tcPr>
          <w:p>
            <w:pPr>
              <w:jc w:val="right"/>
              <w:ind w:right="140"/>
              <w:spacing w:after="0" w:line="196" w:lineRule="exact"/>
              <w:rPr>
                <w:sz w:val="20"/>
                <w:szCs w:val="20"/>
                <w:color w:val="auto"/>
              </w:rPr>
            </w:pPr>
            <w:r>
              <w:rPr>
                <w:rFonts w:ascii="Arial" w:cs="Arial" w:eastAsia="Arial" w:hAnsi="Arial"/>
                <w:sz w:val="18"/>
                <w:szCs w:val="18"/>
                <w:color w:val="auto"/>
              </w:rPr>
              <w:t>133</w:t>
            </w:r>
          </w:p>
        </w:tc>
      </w:tr>
      <w:tr>
        <w:trPr>
          <w:trHeight w:val="20"/>
        </w:trPr>
        <w:tc>
          <w:tcPr>
            <w:tcW w:w="6780" w:type="dxa"/>
            <w:vAlign w:val="bottom"/>
            <w:tcBorders>
              <w:top w:val="single" w:sz="8" w:color="C0C0C0"/>
            </w:tcBorders>
            <w:shd w:val="clear" w:color="auto" w:fill="C0C0C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C0C0"/>
            </w:tcBorders>
            <w:shd w:val="clear" w:color="auto" w:fill="C0C0C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565775" cy="342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565775" cy="34290"/>
                    </a:xfrm>
                    <a:prstGeom prst="rect">
                      <a:avLst/>
                    </a:prstGeom>
                    <a:noFill/>
                  </pic:spPr>
                </pic:pic>
              </a:graphicData>
            </a:graphic>
          </wp:anchor>
        </w:drawing>
      </w:r>
    </w:p>
    <w:p>
      <w:pPr>
        <w:spacing w:after="0" w:line="93" w:lineRule="exact"/>
        <w:rPr>
          <w:sz w:val="20"/>
          <w:szCs w:val="20"/>
          <w:color w:val="auto"/>
        </w:rPr>
      </w:pPr>
    </w:p>
    <w:p>
      <w:pPr>
        <w:ind w:left="300" w:right="539" w:hanging="272"/>
        <w:spacing w:after="0" w:line="278" w:lineRule="auto"/>
        <w:tabs>
          <w:tab w:leader="none" w:pos="3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 2009, the Company terminated an interest rate swap at a gain. This gain is being amortized as part of interest expense over the remaining term of the debt using the effective-yield method.</w:t>
      </w:r>
    </w:p>
    <w:p>
      <w:pPr>
        <w:spacing w:after="0" w:line="86" w:lineRule="exact"/>
        <w:rPr>
          <w:rFonts w:ascii="Arial" w:cs="Arial" w:eastAsia="Arial" w:hAnsi="Arial"/>
          <w:sz w:val="14"/>
          <w:szCs w:val="14"/>
          <w:color w:val="auto"/>
        </w:rPr>
      </w:pPr>
    </w:p>
    <w:p>
      <w:pPr>
        <w:jc w:val="both"/>
        <w:ind w:left="300" w:right="519" w:hanging="272"/>
        <w:spacing w:after="0" w:line="270" w:lineRule="auto"/>
        <w:tabs>
          <w:tab w:leader="none" w:pos="3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 connection with the acquisition of the Runners Point Group in the second quarter of 2013, the Company recognized capital lease obligations. These were existing agreements primarily related to the financing of certain store fixtures. These obligations were calculated using an average interest rate of 3.72%.</w:t>
      </w:r>
    </w:p>
    <w:p>
      <w:pPr>
        <w:spacing w:after="0" w:line="86" w:lineRule="exact"/>
        <w:rPr>
          <w:sz w:val="20"/>
          <w:szCs w:val="20"/>
          <w:color w:val="auto"/>
        </w:rPr>
      </w:pPr>
    </w:p>
    <w:p>
      <w:pPr>
        <w:ind w:left="60" w:right="539"/>
        <w:spacing w:after="0" w:line="262" w:lineRule="auto"/>
        <w:rPr>
          <w:sz w:val="20"/>
          <w:szCs w:val="20"/>
          <w:color w:val="auto"/>
        </w:rPr>
      </w:pPr>
      <w:r>
        <w:rPr>
          <w:rFonts w:ascii="Arial" w:cs="Arial" w:eastAsia="Arial" w:hAnsi="Arial"/>
          <w:sz w:val="18"/>
          <w:szCs w:val="18"/>
          <w:color w:val="auto"/>
        </w:rPr>
        <w:t>Interest expense related to long-term debt and the amortization of the associated debt issuance costs, was $9 million for all years presented.</w:t>
      </w:r>
    </w:p>
    <w:p>
      <w:pPr>
        <w:spacing w:after="0" w:line="200" w:lineRule="exact"/>
        <w:rPr>
          <w:sz w:val="20"/>
          <w:szCs w:val="20"/>
          <w:color w:val="auto"/>
        </w:rPr>
      </w:pPr>
    </w:p>
    <w:p>
      <w:pPr>
        <w:spacing w:after="0" w:line="33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96520</wp:posOffset>
            </wp:positionV>
            <wp:extent cx="6114415" cy="596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53" w:name="page54"/>
    <w:bookmarkEnd w:id="5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800"/>
        <w:spacing w:after="0"/>
        <w:rPr>
          <w:sz w:val="20"/>
          <w:szCs w:val="20"/>
          <w:color w:val="auto"/>
        </w:rPr>
      </w:pPr>
      <w:r>
        <w:rPr>
          <w:rFonts w:ascii="Arial" w:cs="Arial" w:eastAsia="Arial" w:hAnsi="Arial"/>
          <w:sz w:val="22"/>
          <w:szCs w:val="22"/>
          <w:b w:val="1"/>
          <w:bCs w:val="1"/>
          <w:color w:val="auto"/>
        </w:rPr>
        <w:t>Foot Locker, Inc.</w:t>
      </w:r>
    </w:p>
    <w:p>
      <w:pPr>
        <w:jc w:val="center"/>
        <w:ind w:right="8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Long-Term Debt and Obligations Under Capital Leases – (continued)</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Maturities of long-term debt and minimum rent payments under capital leases in future periods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56577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Long-Term</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175"/>
        </w:trPr>
        <w:tc>
          <w:tcPr>
            <w:tcW w:w="4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Debt</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rPr>
              <w:t>Leases</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r>
      <w:tr>
        <w:trPr>
          <w:trHeight w:val="195"/>
        </w:trPr>
        <w:tc>
          <w:tcPr>
            <w:tcW w:w="4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3"/>
        </w:trPr>
        <w:tc>
          <w:tcPr>
            <w:tcW w:w="420" w:type="dxa"/>
            <w:vAlign w:val="bottom"/>
          </w:tcPr>
          <w:p>
            <w:pPr>
              <w:ind w:left="20"/>
              <w:spacing w:after="0" w:line="203" w:lineRule="exact"/>
              <w:rPr>
                <w:sz w:val="20"/>
                <w:szCs w:val="20"/>
                <w:color w:val="auto"/>
              </w:rPr>
            </w:pPr>
            <w:r>
              <w:rPr>
                <w:rFonts w:ascii="Arial" w:cs="Arial" w:eastAsia="Arial" w:hAnsi="Arial"/>
                <w:sz w:val="18"/>
                <w:szCs w:val="18"/>
                <w:color w:val="auto"/>
                <w:w w:val="94"/>
              </w:rPr>
              <w:t>2014</w:t>
            </w:r>
          </w:p>
        </w:tc>
        <w:tc>
          <w:tcPr>
            <w:tcW w:w="53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3</w:t>
            </w:r>
          </w:p>
        </w:tc>
        <w:tc>
          <w:tcPr>
            <w:tcW w:w="180" w:type="dxa"/>
            <w:vAlign w:val="bottom"/>
          </w:tcPr>
          <w:p>
            <w:pPr>
              <w:spacing w:after="0"/>
              <w:rPr>
                <w:sz w:val="17"/>
                <w:szCs w:val="17"/>
                <w:color w:val="auto"/>
              </w:rPr>
            </w:pPr>
          </w:p>
        </w:tc>
        <w:tc>
          <w:tcPr>
            <w:tcW w:w="360" w:type="dxa"/>
            <w:vAlign w:val="bottom"/>
            <w:gridSpan w:val="2"/>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3</w:t>
            </w:r>
          </w:p>
        </w:tc>
      </w:tr>
      <w:tr>
        <w:trPr>
          <w:trHeight w:val="203"/>
        </w:trPr>
        <w:tc>
          <w:tcPr>
            <w:tcW w:w="42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w w:val="94"/>
              </w:rPr>
              <w:t>2015</w:t>
            </w:r>
          </w:p>
        </w:tc>
        <w:tc>
          <w:tcPr>
            <w:tcW w:w="524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84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54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3</w:t>
            </w:r>
          </w:p>
        </w:tc>
        <w:tc>
          <w:tcPr>
            <w:tcW w:w="180" w:type="dxa"/>
            <w:vAlign w:val="bottom"/>
            <w:tcBorders>
              <w:left w:val="single" w:sz="8" w:color="C0C0C0"/>
            </w:tcBorders>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40"/>
              <w:spacing w:after="0" w:line="202" w:lineRule="exact"/>
              <w:rPr>
                <w:sz w:val="20"/>
                <w:szCs w:val="20"/>
                <w:color w:val="auto"/>
              </w:rPr>
            </w:pPr>
            <w:r>
              <w:rPr>
                <w:rFonts w:ascii="Arial" w:cs="Arial" w:eastAsia="Arial" w:hAnsi="Arial"/>
                <w:sz w:val="18"/>
                <w:szCs w:val="18"/>
                <w:color w:val="auto"/>
              </w:rPr>
              <w:t>3</w:t>
            </w:r>
          </w:p>
        </w:tc>
      </w:tr>
      <w:tr>
        <w:trPr>
          <w:trHeight w:val="203"/>
        </w:trPr>
        <w:tc>
          <w:tcPr>
            <w:tcW w:w="420" w:type="dxa"/>
            <w:vAlign w:val="bottom"/>
          </w:tcPr>
          <w:p>
            <w:pPr>
              <w:ind w:left="20"/>
              <w:spacing w:after="0" w:line="202" w:lineRule="exact"/>
              <w:rPr>
                <w:sz w:val="20"/>
                <w:szCs w:val="20"/>
                <w:color w:val="auto"/>
              </w:rPr>
            </w:pPr>
            <w:r>
              <w:rPr>
                <w:rFonts w:ascii="Arial" w:cs="Arial" w:eastAsia="Arial" w:hAnsi="Arial"/>
                <w:sz w:val="18"/>
                <w:szCs w:val="18"/>
                <w:color w:val="auto"/>
                <w:w w:val="94"/>
              </w:rPr>
              <w:t>2016</w:t>
            </w:r>
          </w:p>
        </w:tc>
        <w:tc>
          <w:tcPr>
            <w:tcW w:w="5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w:t>
            </w:r>
          </w:p>
        </w:tc>
      </w:tr>
      <w:tr>
        <w:trPr>
          <w:trHeight w:val="203"/>
        </w:trPr>
        <w:tc>
          <w:tcPr>
            <w:tcW w:w="42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w w:val="94"/>
              </w:rPr>
              <w:t>2017</w:t>
            </w:r>
          </w:p>
        </w:tc>
        <w:tc>
          <w:tcPr>
            <w:tcW w:w="524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84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720" w:type="dxa"/>
            <w:vAlign w:val="bottom"/>
            <w:gridSpan w:val="2"/>
            <w:shd w:val="clear" w:color="auto" w:fill="C0C0C0"/>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420" w:type="dxa"/>
            <w:vAlign w:val="bottom"/>
          </w:tcPr>
          <w:p>
            <w:pPr>
              <w:ind w:left="20"/>
              <w:spacing w:after="0" w:line="202" w:lineRule="exact"/>
              <w:rPr>
                <w:sz w:val="20"/>
                <w:szCs w:val="20"/>
                <w:color w:val="auto"/>
              </w:rPr>
            </w:pPr>
            <w:r>
              <w:rPr>
                <w:rFonts w:ascii="Arial" w:cs="Arial" w:eastAsia="Arial" w:hAnsi="Arial"/>
                <w:sz w:val="18"/>
                <w:szCs w:val="18"/>
                <w:color w:val="auto"/>
                <w:w w:val="94"/>
              </w:rPr>
              <w:t>2018</w:t>
            </w:r>
          </w:p>
        </w:tc>
        <w:tc>
          <w:tcPr>
            <w:tcW w:w="5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5660" w:type="dxa"/>
            <w:vAlign w:val="bottom"/>
            <w:gridSpan w:val="2"/>
            <w:shd w:val="clear" w:color="auto" w:fill="C0C0C0"/>
          </w:tcPr>
          <w:p>
            <w:pPr>
              <w:ind w:left="20"/>
              <w:spacing w:after="0" w:line="202" w:lineRule="exact"/>
              <w:rPr>
                <w:sz w:val="20"/>
                <w:szCs w:val="20"/>
                <w:color w:val="auto"/>
              </w:rPr>
            </w:pPr>
            <w:r>
              <w:rPr>
                <w:rFonts w:ascii="Arial" w:cs="Arial" w:eastAsia="Arial" w:hAnsi="Arial"/>
                <w:sz w:val="18"/>
                <w:szCs w:val="18"/>
                <w:color w:val="auto"/>
              </w:rPr>
              <w:t>Thereafter</w:t>
            </w:r>
          </w:p>
        </w:tc>
        <w:tc>
          <w:tcPr>
            <w:tcW w:w="120" w:type="dxa"/>
            <w:vAlign w:val="bottom"/>
            <w:shd w:val="clear" w:color="auto" w:fill="C0C0C0"/>
          </w:tcPr>
          <w:p>
            <w:pPr>
              <w:spacing w:after="0"/>
              <w:rPr>
                <w:sz w:val="17"/>
                <w:szCs w:val="17"/>
                <w:color w:val="auto"/>
              </w:rPr>
            </w:pPr>
          </w:p>
        </w:tc>
        <w:tc>
          <w:tcPr>
            <w:tcW w:w="72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118</w:t>
            </w:r>
          </w:p>
        </w:tc>
        <w:tc>
          <w:tcPr>
            <w:tcW w:w="1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720" w:type="dxa"/>
            <w:vAlign w:val="bottom"/>
            <w:gridSpan w:val="2"/>
            <w:shd w:val="clear" w:color="auto" w:fill="C0C0C0"/>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40"/>
              <w:spacing w:after="0" w:line="202" w:lineRule="exact"/>
              <w:rPr>
                <w:sz w:val="20"/>
                <w:szCs w:val="20"/>
                <w:color w:val="auto"/>
              </w:rPr>
            </w:pPr>
            <w:r>
              <w:rPr>
                <w:rFonts w:ascii="Arial" w:cs="Arial" w:eastAsia="Arial" w:hAnsi="Arial"/>
                <w:sz w:val="18"/>
                <w:szCs w:val="18"/>
                <w:color w:val="auto"/>
              </w:rPr>
              <w:t>118</w:t>
            </w:r>
          </w:p>
        </w:tc>
      </w:tr>
      <w:tr>
        <w:trPr>
          <w:trHeight w:val="20"/>
        </w:trPr>
        <w:tc>
          <w:tcPr>
            <w:tcW w:w="420" w:type="dxa"/>
            <w:vAlign w:val="bottom"/>
            <w:shd w:val="clear" w:color="auto" w:fill="C0C0C0"/>
          </w:tcPr>
          <w:p>
            <w:pPr>
              <w:spacing w:after="0" w:line="20" w:lineRule="exact"/>
              <w:rPr>
                <w:sz w:val="1"/>
                <w:szCs w:val="1"/>
                <w:color w:val="auto"/>
              </w:rPr>
            </w:pPr>
          </w:p>
        </w:tc>
        <w:tc>
          <w:tcPr>
            <w:tcW w:w="524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left w:val="single" w:sz="8" w:color="C0C0C0"/>
            </w:tcBorders>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180" w:type="dxa"/>
            <w:vAlign w:val="bottom"/>
          </w:tcPr>
          <w:p>
            <w:pPr>
              <w:spacing w:after="0"/>
              <w:rPr>
                <w:sz w:val="17"/>
                <w:szCs w:val="17"/>
                <w:color w:val="auto"/>
              </w:rPr>
            </w:pPr>
          </w:p>
        </w:tc>
        <w:tc>
          <w:tcPr>
            <w:tcW w:w="36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126</w:t>
            </w:r>
          </w:p>
        </w:tc>
      </w:tr>
      <w:tr>
        <w:trPr>
          <w:trHeight w:val="203"/>
        </w:trPr>
        <w:tc>
          <w:tcPr>
            <w:tcW w:w="5780" w:type="dxa"/>
            <w:vAlign w:val="bottom"/>
            <w:gridSpan w:val="3"/>
            <w:shd w:val="clear" w:color="auto" w:fill="C0C0C0"/>
          </w:tcPr>
          <w:p>
            <w:pPr>
              <w:ind w:left="20"/>
              <w:spacing w:after="0" w:line="202" w:lineRule="exact"/>
              <w:rPr>
                <w:sz w:val="20"/>
                <w:szCs w:val="20"/>
                <w:color w:val="auto"/>
              </w:rPr>
            </w:pPr>
            <w:r>
              <w:rPr>
                <w:rFonts w:ascii="Arial" w:cs="Arial" w:eastAsia="Arial" w:hAnsi="Arial"/>
                <w:sz w:val="18"/>
                <w:szCs w:val="18"/>
                <w:color w:val="auto"/>
              </w:rPr>
              <w:t>Less: Imputed interest</w:t>
            </w:r>
          </w:p>
        </w:tc>
        <w:tc>
          <w:tcPr>
            <w:tcW w:w="84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720" w:type="dxa"/>
            <w:vAlign w:val="bottom"/>
            <w:gridSpan w:val="2"/>
            <w:shd w:val="clear" w:color="auto" w:fill="C0C0C0"/>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420" w:type="dxa"/>
            <w:vAlign w:val="bottom"/>
          </w:tcPr>
          <w:p>
            <w:pPr>
              <w:spacing w:after="0"/>
              <w:rPr>
                <w:sz w:val="17"/>
                <w:szCs w:val="17"/>
                <w:color w:val="auto"/>
              </w:rPr>
            </w:pPr>
          </w:p>
        </w:tc>
        <w:tc>
          <w:tcPr>
            <w:tcW w:w="5240" w:type="dxa"/>
            <w:vAlign w:val="bottom"/>
          </w:tcPr>
          <w:p>
            <w:pPr>
              <w:spacing w:after="0" w:line="202" w:lineRule="exact"/>
              <w:rPr>
                <w:sz w:val="20"/>
                <w:szCs w:val="20"/>
                <w:color w:val="auto"/>
              </w:rPr>
            </w:pPr>
            <w:r>
              <w:rPr>
                <w:rFonts w:ascii="Arial" w:cs="Arial" w:eastAsia="Arial" w:hAnsi="Arial"/>
                <w:sz w:val="18"/>
                <w:szCs w:val="18"/>
                <w:color w:val="auto"/>
              </w:rPr>
              <w:t>Current portion</w:t>
            </w: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w:t>
            </w:r>
          </w:p>
        </w:tc>
      </w:tr>
      <w:tr>
        <w:trPr>
          <w:trHeight w:val="20"/>
        </w:trPr>
        <w:tc>
          <w:tcPr>
            <w:tcW w:w="4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7"/>
        </w:trPr>
        <w:tc>
          <w:tcPr>
            <w:tcW w:w="420" w:type="dxa"/>
            <w:vAlign w:val="bottom"/>
            <w:shd w:val="clear" w:color="auto" w:fill="C0C0C0"/>
          </w:tcPr>
          <w:p>
            <w:pPr>
              <w:spacing w:after="0"/>
              <w:rPr>
                <w:sz w:val="20"/>
                <w:szCs w:val="20"/>
                <w:color w:val="auto"/>
              </w:rPr>
            </w:pPr>
          </w:p>
        </w:tc>
        <w:tc>
          <w:tcPr>
            <w:tcW w:w="5240" w:type="dxa"/>
            <w:vAlign w:val="bottom"/>
            <w:shd w:val="clear" w:color="auto" w:fill="C0C0C0"/>
          </w:tcPr>
          <w:p>
            <w:pPr>
              <w:spacing w:after="0"/>
              <w:rPr>
                <w:sz w:val="20"/>
                <w:szCs w:val="20"/>
                <w:color w:val="auto"/>
              </w:rPr>
            </w:pPr>
          </w:p>
        </w:tc>
        <w:tc>
          <w:tcPr>
            <w:tcW w:w="12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color w:val="auto"/>
              </w:rPr>
              <w:t>118</w:t>
            </w:r>
          </w:p>
        </w:tc>
        <w:tc>
          <w:tcPr>
            <w:tcW w:w="12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16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color w:val="auto"/>
              </w:rPr>
              <w:t>5</w:t>
            </w:r>
          </w:p>
        </w:tc>
        <w:tc>
          <w:tcPr>
            <w:tcW w:w="180" w:type="dxa"/>
            <w:vAlign w:val="bottom"/>
            <w:tcBorders>
              <w:left w:val="single" w:sz="8" w:color="C0C0C0"/>
            </w:tcBorders>
            <w:shd w:val="clear" w:color="auto" w:fill="C0C0C0"/>
          </w:tcPr>
          <w:p>
            <w:pPr>
              <w:spacing w:after="0"/>
              <w:rPr>
                <w:sz w:val="20"/>
                <w:szCs w:val="20"/>
                <w:color w:val="auto"/>
              </w:rPr>
            </w:pPr>
          </w:p>
        </w:tc>
        <w:tc>
          <w:tcPr>
            <w:tcW w:w="360" w:type="dxa"/>
            <w:vAlign w:val="bottom"/>
            <w:gridSpan w:val="2"/>
            <w:shd w:val="clear" w:color="auto" w:fill="C0C0C0"/>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0C0C0"/>
          </w:tcPr>
          <w:p>
            <w:pPr>
              <w:jc w:val="right"/>
              <w:ind w:right="140"/>
              <w:spacing w:after="0" w:line="196" w:lineRule="exact"/>
              <w:rPr>
                <w:sz w:val="20"/>
                <w:szCs w:val="20"/>
                <w:color w:val="auto"/>
              </w:rPr>
            </w:pPr>
            <w:r>
              <w:rPr>
                <w:rFonts w:ascii="Arial" w:cs="Arial" w:eastAsia="Arial" w:hAnsi="Arial"/>
                <w:sz w:val="18"/>
                <w:szCs w:val="18"/>
                <w:color w:val="auto"/>
              </w:rPr>
              <w:t>123</w:t>
            </w:r>
          </w:p>
        </w:tc>
      </w:tr>
      <w:tr>
        <w:trPr>
          <w:trHeight w:val="358"/>
        </w:trPr>
        <w:tc>
          <w:tcPr>
            <w:tcW w:w="420" w:type="dxa"/>
            <w:vAlign w:val="bottom"/>
            <w:tcBorders>
              <w:top w:val="single" w:sz="8" w:color="C0C0C0"/>
            </w:tcBorders>
          </w:tcPr>
          <w:p>
            <w:pPr>
              <w:ind w:left="60"/>
              <w:spacing w:after="0"/>
              <w:rPr>
                <w:sz w:val="20"/>
                <w:szCs w:val="20"/>
                <w:color w:val="auto"/>
              </w:rPr>
            </w:pPr>
            <w:r>
              <w:rPr>
                <w:rFonts w:ascii="Arial" w:cs="Arial" w:eastAsia="Arial" w:hAnsi="Arial"/>
                <w:sz w:val="18"/>
                <w:szCs w:val="18"/>
                <w:b w:val="1"/>
                <w:bCs w:val="1"/>
                <w:color w:val="auto"/>
              </w:rPr>
              <w:t>15.</w:t>
            </w:r>
          </w:p>
        </w:tc>
        <w:tc>
          <w:tcPr>
            <w:tcW w:w="5240" w:type="dxa"/>
            <w:vAlign w:val="bottom"/>
            <w:tcBorders>
              <w:top w:val="single" w:sz="8" w:color="C0C0C0"/>
            </w:tcBorders>
          </w:tcPr>
          <w:p>
            <w:pPr>
              <w:spacing w:after="0"/>
              <w:rPr>
                <w:sz w:val="20"/>
                <w:szCs w:val="20"/>
                <w:color w:val="auto"/>
              </w:rPr>
            </w:pPr>
            <w:r>
              <w:rPr>
                <w:rFonts w:ascii="Arial" w:cs="Arial" w:eastAsia="Arial" w:hAnsi="Arial"/>
                <w:sz w:val="18"/>
                <w:szCs w:val="18"/>
                <w:b w:val="1"/>
                <w:bCs w:val="1"/>
                <w:color w:val="auto"/>
              </w:rPr>
              <w:t>Other Liabilities</w:t>
            </w: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Borders>
              <w:top w:val="single" w:sz="8" w:color="C0C0C0"/>
            </w:tcBorders>
          </w:tcPr>
          <w:p>
            <w:pPr>
              <w:spacing w:after="0"/>
              <w:rPr>
                <w:sz w:val="24"/>
                <w:szCs w:val="24"/>
                <w:color w:val="auto"/>
              </w:rPr>
            </w:pPr>
          </w:p>
        </w:tc>
        <w:tc>
          <w:tcPr>
            <w:tcW w:w="160" w:type="dxa"/>
            <w:vAlign w:val="bottom"/>
            <w:tcBorders>
              <w:top w:val="single" w:sz="8" w:color="C0C0C0"/>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80" w:type="dxa"/>
            <w:vAlign w:val="bottom"/>
            <w:tcBorders>
              <w:top w:val="single" w:sz="8" w:color="C0C0C0"/>
            </w:tcBorders>
          </w:tcPr>
          <w:p>
            <w:pPr>
              <w:spacing w:after="0"/>
              <w:rPr>
                <w:sz w:val="24"/>
                <w:szCs w:val="24"/>
                <w:color w:val="auto"/>
              </w:rPr>
            </w:pPr>
          </w:p>
        </w:tc>
        <w:tc>
          <w:tcPr>
            <w:tcW w:w="160" w:type="dxa"/>
            <w:vAlign w:val="bottom"/>
            <w:tcBorders>
              <w:top w:val="single" w:sz="8" w:color="C0C0C0"/>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40" w:type="dxa"/>
            <w:vAlign w:val="bottom"/>
            <w:tcBorders>
              <w:top w:val="single" w:sz="8" w:color="C0C0C0"/>
            </w:tcBorders>
          </w:tcPr>
          <w:p>
            <w:pPr>
              <w:spacing w:after="0"/>
              <w:rPr>
                <w:sz w:val="24"/>
                <w:szCs w:val="24"/>
                <w:color w:val="auto"/>
              </w:rPr>
            </w:pPr>
          </w:p>
        </w:tc>
      </w:tr>
      <w:tr>
        <w:trPr>
          <w:trHeight w:val="176"/>
        </w:trPr>
        <w:tc>
          <w:tcPr>
            <w:tcW w:w="4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auto"/>
            </w:tcBorders>
          </w:tcPr>
          <w:p>
            <w:pPr>
              <w:spacing w:after="0"/>
              <w:rPr>
                <w:sz w:val="15"/>
                <w:szCs w:val="15"/>
                <w:color w:val="auto"/>
              </w:rPr>
            </w:pPr>
          </w:p>
        </w:tc>
      </w:tr>
      <w:tr>
        <w:trPr>
          <w:trHeight w:val="173"/>
        </w:trPr>
        <w:tc>
          <w:tcPr>
            <w:tcW w:w="4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(in millions)</w:t>
            </w:r>
          </w:p>
        </w:tc>
      </w:tr>
      <w:tr>
        <w:trPr>
          <w:trHeight w:val="225"/>
        </w:trPr>
        <w:tc>
          <w:tcPr>
            <w:tcW w:w="5780" w:type="dxa"/>
            <w:vAlign w:val="bottom"/>
            <w:gridSpan w:val="3"/>
          </w:tcPr>
          <w:p>
            <w:pPr>
              <w:ind w:left="20"/>
              <w:spacing w:after="0"/>
              <w:rPr>
                <w:sz w:val="20"/>
                <w:szCs w:val="20"/>
                <w:color w:val="auto"/>
              </w:rPr>
            </w:pPr>
            <w:r>
              <w:rPr>
                <w:rFonts w:ascii="Arial" w:cs="Arial" w:eastAsia="Arial" w:hAnsi="Arial"/>
                <w:sz w:val="18"/>
                <w:szCs w:val="18"/>
                <w:color w:val="auto"/>
              </w:rPr>
              <w:t>Straight-line rent liability</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116</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r>
      <w:tr>
        <w:trPr>
          <w:trHeight w:val="203"/>
        </w:trPr>
        <w:tc>
          <w:tcPr>
            <w:tcW w:w="5780" w:type="dxa"/>
            <w:vAlign w:val="bottom"/>
            <w:gridSpan w:val="3"/>
            <w:shd w:val="clear" w:color="auto" w:fill="C0C0C0"/>
          </w:tcPr>
          <w:p>
            <w:pPr>
              <w:ind w:left="20"/>
              <w:spacing w:after="0" w:line="202" w:lineRule="exact"/>
              <w:rPr>
                <w:sz w:val="20"/>
                <w:szCs w:val="20"/>
                <w:color w:val="auto"/>
              </w:rPr>
            </w:pPr>
            <w:r>
              <w:rPr>
                <w:rFonts w:ascii="Arial" w:cs="Arial" w:eastAsia="Arial" w:hAnsi="Arial"/>
                <w:sz w:val="18"/>
                <w:szCs w:val="18"/>
                <w:color w:val="auto"/>
              </w:rPr>
              <w:t>Income taxes</w:t>
            </w:r>
          </w:p>
        </w:tc>
        <w:tc>
          <w:tcPr>
            <w:tcW w:w="7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72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b w:val="1"/>
                <w:bCs w:val="1"/>
                <w:color w:val="auto"/>
              </w:rPr>
              <w:t>27</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40"/>
              <w:spacing w:after="0" w:line="202" w:lineRule="exact"/>
              <w:rPr>
                <w:sz w:val="20"/>
                <w:szCs w:val="20"/>
                <w:color w:val="auto"/>
              </w:rPr>
            </w:pPr>
            <w:r>
              <w:rPr>
                <w:rFonts w:ascii="Arial" w:cs="Arial" w:eastAsia="Arial" w:hAnsi="Arial"/>
                <w:sz w:val="18"/>
                <w:szCs w:val="18"/>
                <w:color w:val="auto"/>
              </w:rPr>
              <w:t>21</w:t>
            </w:r>
          </w:p>
        </w:tc>
      </w:tr>
      <w:tr>
        <w:trPr>
          <w:trHeight w:val="203"/>
        </w:trPr>
        <w:tc>
          <w:tcPr>
            <w:tcW w:w="57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Pension benefits</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25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37</w:t>
            </w:r>
          </w:p>
        </w:tc>
      </w:tr>
      <w:tr>
        <w:trPr>
          <w:trHeight w:val="203"/>
        </w:trPr>
        <w:tc>
          <w:tcPr>
            <w:tcW w:w="5780" w:type="dxa"/>
            <w:vAlign w:val="bottom"/>
            <w:gridSpan w:val="3"/>
            <w:shd w:val="clear" w:color="auto" w:fill="C0C0C0"/>
          </w:tcPr>
          <w:p>
            <w:pPr>
              <w:ind w:left="20"/>
              <w:spacing w:after="0" w:line="202" w:lineRule="exact"/>
              <w:rPr>
                <w:sz w:val="20"/>
                <w:szCs w:val="20"/>
                <w:color w:val="auto"/>
              </w:rPr>
            </w:pPr>
            <w:r>
              <w:rPr>
                <w:rFonts w:ascii="Arial" w:cs="Arial" w:eastAsia="Arial" w:hAnsi="Arial"/>
                <w:sz w:val="18"/>
                <w:szCs w:val="18"/>
                <w:color w:val="auto"/>
              </w:rPr>
              <w:t>Deferred taxes</w:t>
            </w:r>
          </w:p>
        </w:tc>
        <w:tc>
          <w:tcPr>
            <w:tcW w:w="7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72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b w:val="1"/>
                <w:bCs w:val="1"/>
                <w:color w:val="auto"/>
              </w:rPr>
              <w:t>18</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40"/>
              <w:spacing w:after="0" w:line="202" w:lineRule="exact"/>
              <w:rPr>
                <w:sz w:val="20"/>
                <w:szCs w:val="20"/>
                <w:color w:val="auto"/>
              </w:rPr>
            </w:pPr>
            <w:r>
              <w:rPr>
                <w:rFonts w:ascii="Arial" w:cs="Arial" w:eastAsia="Arial" w:hAnsi="Arial"/>
                <w:sz w:val="18"/>
                <w:szCs w:val="18"/>
                <w:color w:val="auto"/>
              </w:rPr>
              <w:t>5</w:t>
            </w:r>
          </w:p>
        </w:tc>
      </w:tr>
      <w:tr>
        <w:trPr>
          <w:trHeight w:val="203"/>
        </w:trPr>
        <w:tc>
          <w:tcPr>
            <w:tcW w:w="57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Postretirement benefits</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14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w:t>
            </w:r>
          </w:p>
        </w:tc>
      </w:tr>
      <w:tr>
        <w:trPr>
          <w:trHeight w:val="203"/>
        </w:trPr>
        <w:tc>
          <w:tcPr>
            <w:tcW w:w="5780" w:type="dxa"/>
            <w:vAlign w:val="bottom"/>
            <w:gridSpan w:val="3"/>
            <w:shd w:val="clear" w:color="auto" w:fill="C0C0C0"/>
          </w:tcPr>
          <w:p>
            <w:pPr>
              <w:ind w:left="20"/>
              <w:spacing w:after="0" w:line="202" w:lineRule="exact"/>
              <w:rPr>
                <w:sz w:val="20"/>
                <w:szCs w:val="20"/>
                <w:color w:val="auto"/>
              </w:rPr>
            </w:pPr>
            <w:r>
              <w:rPr>
                <w:rFonts w:ascii="Arial" w:cs="Arial" w:eastAsia="Arial" w:hAnsi="Arial"/>
                <w:sz w:val="18"/>
                <w:szCs w:val="18"/>
                <w:color w:val="auto"/>
              </w:rPr>
              <w:t>Workers’ compensation and general liability reserves</w:t>
            </w:r>
          </w:p>
        </w:tc>
        <w:tc>
          <w:tcPr>
            <w:tcW w:w="7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72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b w:val="1"/>
                <w:bCs w:val="1"/>
                <w:color w:val="auto"/>
              </w:rPr>
              <w:t>9</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40"/>
              <w:spacing w:after="0" w:line="202" w:lineRule="exact"/>
              <w:rPr>
                <w:sz w:val="20"/>
                <w:szCs w:val="20"/>
                <w:color w:val="auto"/>
              </w:rPr>
            </w:pPr>
            <w:r>
              <w:rPr>
                <w:rFonts w:ascii="Arial" w:cs="Arial" w:eastAsia="Arial" w:hAnsi="Arial"/>
                <w:sz w:val="18"/>
                <w:szCs w:val="18"/>
                <w:color w:val="auto"/>
              </w:rPr>
              <w:t>10</w:t>
            </w:r>
          </w:p>
        </w:tc>
      </w:tr>
      <w:tr>
        <w:trPr>
          <w:trHeight w:val="203"/>
        </w:trPr>
        <w:tc>
          <w:tcPr>
            <w:tcW w:w="57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Other</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25</w:t>
            </w:r>
          </w:p>
        </w:tc>
      </w:tr>
      <w:tr>
        <w:trPr>
          <w:trHeight w:val="20"/>
        </w:trPr>
        <w:tc>
          <w:tcPr>
            <w:tcW w:w="4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7"/>
        </w:trPr>
        <w:tc>
          <w:tcPr>
            <w:tcW w:w="420" w:type="dxa"/>
            <w:vAlign w:val="bottom"/>
            <w:shd w:val="clear" w:color="auto" w:fill="C0C0C0"/>
          </w:tcPr>
          <w:p>
            <w:pPr>
              <w:spacing w:after="0"/>
              <w:rPr>
                <w:sz w:val="18"/>
                <w:szCs w:val="18"/>
                <w:color w:val="auto"/>
              </w:rPr>
            </w:pPr>
          </w:p>
        </w:tc>
        <w:tc>
          <w:tcPr>
            <w:tcW w:w="52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7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16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b w:val="1"/>
                <w:bCs w:val="1"/>
                <w:color w:val="auto"/>
              </w:rPr>
              <w:t>229</w:t>
            </w:r>
          </w:p>
        </w:tc>
        <w:tc>
          <w:tcPr>
            <w:tcW w:w="180" w:type="dxa"/>
            <w:vAlign w:val="bottom"/>
            <w:tcBorders>
              <w:left w:val="single" w:sz="8" w:color="C0C0C0"/>
            </w:tcBorders>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200" w:type="dxa"/>
            <w:vAlign w:val="bottom"/>
            <w:shd w:val="clear" w:color="auto" w:fill="C0C0C0"/>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0C0C0"/>
          </w:tcPr>
          <w:p>
            <w:pPr>
              <w:jc w:val="right"/>
              <w:ind w:right="140"/>
              <w:spacing w:after="0" w:line="196" w:lineRule="exact"/>
              <w:rPr>
                <w:sz w:val="20"/>
                <w:szCs w:val="20"/>
                <w:color w:val="auto"/>
              </w:rPr>
            </w:pPr>
            <w:r>
              <w:rPr>
                <w:rFonts w:ascii="Arial" w:cs="Arial" w:eastAsia="Arial" w:hAnsi="Arial"/>
                <w:sz w:val="18"/>
                <w:szCs w:val="18"/>
                <w:color w:val="auto"/>
              </w:rPr>
              <w:t>221</w:t>
            </w:r>
          </w:p>
        </w:tc>
      </w:tr>
      <w:tr>
        <w:trPr>
          <w:trHeight w:val="20"/>
        </w:trPr>
        <w:tc>
          <w:tcPr>
            <w:tcW w:w="420" w:type="dxa"/>
            <w:vAlign w:val="bottom"/>
            <w:tcBorders>
              <w:top w:val="single" w:sz="8" w:color="C0C0C0"/>
            </w:tcBorders>
            <w:shd w:val="clear" w:color="auto" w:fill="C0C0C0"/>
          </w:tcPr>
          <w:p>
            <w:pPr>
              <w:spacing w:after="0" w:line="20" w:lineRule="exact"/>
              <w:rPr>
                <w:sz w:val="1"/>
                <w:szCs w:val="1"/>
                <w:color w:val="auto"/>
              </w:rPr>
            </w:pPr>
          </w:p>
        </w:tc>
        <w:tc>
          <w:tcPr>
            <w:tcW w:w="5240" w:type="dxa"/>
            <w:vAlign w:val="bottom"/>
            <w:tcBorders>
              <w:top w:val="single" w:sz="8" w:color="C0C0C0"/>
            </w:tcBorders>
            <w:shd w:val="clear" w:color="auto" w:fill="C0C0C0"/>
          </w:tcPr>
          <w:p>
            <w:pPr>
              <w:spacing w:after="0" w:line="20" w:lineRule="exact"/>
              <w:rPr>
                <w:sz w:val="1"/>
                <w:szCs w:val="1"/>
                <w:color w:val="auto"/>
              </w:rPr>
            </w:pPr>
          </w:p>
        </w:tc>
        <w:tc>
          <w:tcPr>
            <w:tcW w:w="120" w:type="dxa"/>
            <w:vAlign w:val="bottom"/>
            <w:tcBorders>
              <w:top w:val="single" w:sz="8" w:color="C0C0C0"/>
            </w:tcBorders>
            <w:shd w:val="clear" w:color="auto" w:fill="C0C0C0"/>
          </w:tcPr>
          <w:p>
            <w:pPr>
              <w:spacing w:after="0" w:line="20" w:lineRule="exact"/>
              <w:rPr>
                <w:sz w:val="1"/>
                <w:szCs w:val="1"/>
                <w:color w:val="auto"/>
              </w:rPr>
            </w:pPr>
          </w:p>
        </w:tc>
        <w:tc>
          <w:tcPr>
            <w:tcW w:w="720" w:type="dxa"/>
            <w:vAlign w:val="bottom"/>
            <w:tcBorders>
              <w:top w:val="single" w:sz="8" w:color="C0C0C0"/>
            </w:tcBorders>
            <w:shd w:val="clear" w:color="auto" w:fill="C0C0C0"/>
          </w:tcPr>
          <w:p>
            <w:pPr>
              <w:spacing w:after="0" w:line="20" w:lineRule="exact"/>
              <w:rPr>
                <w:sz w:val="1"/>
                <w:szCs w:val="1"/>
                <w:color w:val="auto"/>
              </w:rPr>
            </w:pPr>
          </w:p>
        </w:tc>
        <w:tc>
          <w:tcPr>
            <w:tcW w:w="12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0C0C0"/>
              <w:left w:val="single" w:sz="8" w:color="auto"/>
            </w:tcBorders>
            <w:shd w:val="clear" w:color="auto" w:fill="C0C0C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C0C0"/>
            </w:tcBorders>
            <w:shd w:val="clear" w:color="auto" w:fill="C0C0C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-2117725</wp:posOffset>
            </wp:positionV>
            <wp:extent cx="5565775" cy="137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56577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-1585595</wp:posOffset>
            </wp:positionV>
            <wp:extent cx="5565775" cy="342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565775"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565775" cy="342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565775"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-1397000</wp:posOffset>
            </wp:positionV>
            <wp:extent cx="556577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1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Leases</w:t>
      </w:r>
    </w:p>
    <w:p>
      <w:pPr>
        <w:spacing w:after="0" w:line="139" w:lineRule="exact"/>
        <w:rPr>
          <w:sz w:val="20"/>
          <w:szCs w:val="20"/>
          <w:color w:val="auto"/>
        </w:rPr>
      </w:pPr>
    </w:p>
    <w:p>
      <w:pPr>
        <w:jc w:val="both"/>
        <w:ind w:left="60" w:right="820"/>
        <w:spacing w:after="0" w:line="250" w:lineRule="auto"/>
        <w:rPr>
          <w:sz w:val="20"/>
          <w:szCs w:val="20"/>
          <w:color w:val="auto"/>
        </w:rPr>
      </w:pPr>
      <w:r>
        <w:rPr>
          <w:rFonts w:ascii="Arial" w:cs="Arial" w:eastAsia="Arial" w:hAnsi="Arial"/>
          <w:sz w:val="18"/>
          <w:szCs w:val="18"/>
          <w:color w:val="auto"/>
        </w:rPr>
        <w:t>The Company is obligated under operating leases for almost all of its store properties. Some of the store leases contain renewal options with varying terms and conditions. Management expects that in the normal course of business, expiring leases will generally be renewed or, upon making a decision to relocate, replaced by leases on other premises. Operating lease periods generally range from 5 to 10 years. Certain leases provide for additional rent payments based on a percentage of store sales. Most of the Company’s leases require the payment of certain executory costs such as insurance, maintenance, and other costs in addition to the future minimum lease payments. These costs, including the amortization of lease rights, totaled $128 million in both 2013 and 2012, and $130 million in 2011. Included in the amounts below, are non-store expenses that totaled $16 million in both 2013 and 2012, and $17 million in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-73660</wp:posOffset>
            </wp:positionV>
            <wp:extent cx="556577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8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auto"/>
            </w:tcBorders>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42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580</w:t>
            </w:r>
          </w:p>
        </w:tc>
        <w:tc>
          <w:tcPr>
            <w:tcW w:w="160" w:type="dxa"/>
            <w:vAlign w:val="bottom"/>
          </w:tcPr>
          <w:p>
            <w:pPr>
              <w:spacing w:after="0"/>
              <w:rPr>
                <w:sz w:val="16"/>
                <w:szCs w:val="16"/>
                <w:color w:val="auto"/>
              </w:rPr>
            </w:pPr>
          </w:p>
        </w:tc>
        <w:tc>
          <w:tcPr>
            <w:tcW w:w="1040" w:type="dxa"/>
            <w:vAlign w:val="bottom"/>
            <w:gridSpan w:val="4"/>
          </w:tcPr>
          <w:p>
            <w:pPr>
              <w:ind w:left="8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4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Minimum rent</w:t>
            </w:r>
          </w:p>
        </w:tc>
        <w:tc>
          <w:tcPr>
            <w:tcW w:w="2420" w:type="dxa"/>
            <w:vAlign w:val="bottom"/>
            <w:gridSpan w:val="2"/>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3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537</w:t>
            </w:r>
          </w:p>
        </w:tc>
        <w:tc>
          <w:tcPr>
            <w:tcW w:w="160" w:type="dxa"/>
            <w:vAlign w:val="bottom"/>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525</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gridSpan w:val="2"/>
            <w:shd w:val="clear" w:color="auto" w:fill="C0C0C0"/>
          </w:tcPr>
          <w:p>
            <w:pPr>
              <w:ind w:left="20"/>
              <w:spacing w:after="0" w:line="202" w:lineRule="exact"/>
              <w:rPr>
                <w:sz w:val="20"/>
                <w:szCs w:val="20"/>
                <w:color w:val="auto"/>
              </w:rPr>
            </w:pPr>
            <w:r>
              <w:rPr>
                <w:rFonts w:ascii="Arial" w:cs="Arial" w:eastAsia="Arial" w:hAnsi="Arial"/>
                <w:sz w:val="18"/>
                <w:szCs w:val="18"/>
                <w:color w:val="auto"/>
              </w:rPr>
              <w:t>Contingent rent based on sales</w:t>
            </w:r>
          </w:p>
        </w:tc>
        <w:tc>
          <w:tcPr>
            <w:tcW w:w="222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60" w:type="dxa"/>
            <w:vAlign w:val="bottom"/>
            <w:gridSpan w:val="2"/>
            <w:shd w:val="clear" w:color="auto" w:fill="C0C0C0"/>
          </w:tcPr>
          <w:p>
            <w:pPr>
              <w:jc w:val="right"/>
              <w:ind w:right="200"/>
              <w:spacing w:after="0" w:line="202" w:lineRule="exact"/>
              <w:rPr>
                <w:sz w:val="20"/>
                <w:szCs w:val="20"/>
                <w:color w:val="auto"/>
              </w:rPr>
            </w:pPr>
            <w:r>
              <w:rPr>
                <w:rFonts w:ascii="Arial" w:cs="Arial" w:eastAsia="Arial" w:hAnsi="Arial"/>
                <w:sz w:val="18"/>
                <w:szCs w:val="18"/>
                <w:b w:val="1"/>
                <w:bCs w:val="1"/>
                <w:color w:val="auto"/>
              </w:rPr>
              <w:t>22</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220"/>
              <w:spacing w:after="0" w:line="202" w:lineRule="exact"/>
              <w:rPr>
                <w:sz w:val="20"/>
                <w:szCs w:val="20"/>
                <w:color w:val="auto"/>
              </w:rPr>
            </w:pPr>
            <w:r>
              <w:rPr>
                <w:rFonts w:ascii="Arial" w:cs="Arial" w:eastAsia="Arial" w:hAnsi="Arial"/>
                <w:sz w:val="18"/>
                <w:szCs w:val="18"/>
                <w:color w:val="auto"/>
              </w:rPr>
              <w:t>24</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240"/>
              <w:spacing w:after="0" w:line="202" w:lineRule="exact"/>
              <w:rPr>
                <w:sz w:val="20"/>
                <w:szCs w:val="20"/>
                <w:color w:val="auto"/>
              </w:rPr>
            </w:pPr>
            <w:r>
              <w:rPr>
                <w:rFonts w:ascii="Arial" w:cs="Arial" w:eastAsia="Arial" w:hAnsi="Arial"/>
                <w:sz w:val="18"/>
                <w:szCs w:val="18"/>
                <w:color w:val="auto"/>
              </w:rPr>
              <w:t>20</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Sublease income</w:t>
            </w:r>
          </w:p>
        </w:tc>
        <w:tc>
          <w:tcPr>
            <w:tcW w:w="2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shd w:val="clear" w:color="auto" w:fill="C0C0C0"/>
          </w:tcPr>
          <w:p>
            <w:pPr>
              <w:spacing w:after="0"/>
              <w:rPr>
                <w:sz w:val="17"/>
                <w:szCs w:val="17"/>
                <w:color w:val="auto"/>
              </w:rPr>
            </w:pPr>
          </w:p>
        </w:tc>
        <w:tc>
          <w:tcPr>
            <w:tcW w:w="2740" w:type="dxa"/>
            <w:vAlign w:val="bottom"/>
            <w:shd w:val="clear" w:color="auto" w:fill="C0C0C0"/>
          </w:tcPr>
          <w:p>
            <w:pPr>
              <w:spacing w:after="0"/>
              <w:rPr>
                <w:sz w:val="17"/>
                <w:szCs w:val="17"/>
                <w:color w:val="auto"/>
              </w:rPr>
            </w:pPr>
          </w:p>
        </w:tc>
        <w:tc>
          <w:tcPr>
            <w:tcW w:w="2220" w:type="dxa"/>
            <w:vAlign w:val="bottom"/>
            <w:shd w:val="clear" w:color="auto" w:fill="C0C0C0"/>
          </w:tcPr>
          <w:p>
            <w:pPr>
              <w:spacing w:after="0"/>
              <w:rPr>
                <w:sz w:val="17"/>
                <w:szCs w:val="17"/>
                <w:color w:val="auto"/>
              </w:rPr>
            </w:pPr>
          </w:p>
        </w:tc>
        <w:tc>
          <w:tcPr>
            <w:tcW w:w="200" w:type="dxa"/>
            <w:vAlign w:val="bottom"/>
            <w:shd w:val="clear" w:color="auto" w:fill="C0C0C0"/>
          </w:tcPr>
          <w:p>
            <w:pPr>
              <w:jc w:val="right"/>
              <w:ind w:right="10"/>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b w:val="1"/>
                <w:bCs w:val="1"/>
                <w:color w:val="auto"/>
              </w:rPr>
              <w:t>600</w:t>
            </w:r>
          </w:p>
        </w:tc>
        <w:tc>
          <w:tcPr>
            <w:tcW w:w="2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0C0C0"/>
          </w:tcPr>
          <w:p>
            <w:pPr>
              <w:jc w:val="right"/>
              <w:ind w:right="220"/>
              <w:spacing w:after="0" w:line="196" w:lineRule="exact"/>
              <w:rPr>
                <w:sz w:val="20"/>
                <w:szCs w:val="20"/>
                <w:color w:val="auto"/>
              </w:rPr>
            </w:pPr>
            <w:r>
              <w:rPr>
                <w:rFonts w:ascii="Arial" w:cs="Arial" w:eastAsia="Arial" w:hAnsi="Arial"/>
                <w:sz w:val="18"/>
                <w:szCs w:val="18"/>
                <w:color w:val="auto"/>
              </w:rPr>
              <w:t>560</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0C0C0"/>
          </w:tcPr>
          <w:p>
            <w:pPr>
              <w:jc w:val="right"/>
              <w:ind w:right="240"/>
              <w:spacing w:after="0" w:line="196" w:lineRule="exact"/>
              <w:rPr>
                <w:sz w:val="20"/>
                <w:szCs w:val="20"/>
                <w:color w:val="auto"/>
              </w:rPr>
            </w:pPr>
            <w:r>
              <w:rPr>
                <w:rFonts w:ascii="Arial" w:cs="Arial" w:eastAsia="Arial" w:hAnsi="Arial"/>
                <w:sz w:val="18"/>
                <w:szCs w:val="18"/>
                <w:color w:val="auto"/>
              </w:rPr>
              <w:t>544</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0"/>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20" w:type="dxa"/>
            <w:vAlign w:val="bottom"/>
          </w:tcPr>
          <w:p>
            <w:pPr>
              <w:jc w:val="right"/>
              <w:ind w:right="910"/>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2740" w:type="dxa"/>
            <w:vAlign w:val="bottom"/>
            <w:tcBorders>
              <w:bottom w:val="single" w:sz="8" w:color="9A9A9A"/>
            </w:tcBorders>
          </w:tcPr>
          <w:p>
            <w:pPr>
              <w:spacing w:after="0"/>
              <w:rPr>
                <w:sz w:val="14"/>
                <w:szCs w:val="14"/>
                <w:color w:val="auto"/>
              </w:rPr>
            </w:pPr>
          </w:p>
        </w:tc>
        <w:tc>
          <w:tcPr>
            <w:tcW w:w="222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2740" w:type="dxa"/>
            <w:vAlign w:val="bottom"/>
            <w:tcBorders>
              <w:bottom w:val="single" w:sz="8" w:color="EEEEEE"/>
            </w:tcBorders>
          </w:tcPr>
          <w:p>
            <w:pPr>
              <w:spacing w:after="0" w:line="20" w:lineRule="exact"/>
              <w:rPr>
                <w:sz w:val="1"/>
                <w:szCs w:val="1"/>
                <w:color w:val="auto"/>
              </w:rPr>
            </w:pPr>
          </w:p>
        </w:tc>
        <w:tc>
          <w:tcPr>
            <w:tcW w:w="222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6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802" w:right="1139" w:bottom="1440" w:gutter="0" w:footer="0" w:header="0"/>
        </w:sectPr>
      </w:pPr>
    </w:p>
    <w:bookmarkStart w:id="54" w:name="page55"/>
    <w:bookmarkEnd w:id="5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800"/>
        <w:spacing w:after="0"/>
        <w:rPr>
          <w:sz w:val="20"/>
          <w:szCs w:val="20"/>
          <w:color w:val="auto"/>
        </w:rPr>
      </w:pPr>
      <w:r>
        <w:rPr>
          <w:rFonts w:ascii="Arial" w:cs="Arial" w:eastAsia="Arial" w:hAnsi="Arial"/>
          <w:sz w:val="22"/>
          <w:szCs w:val="22"/>
          <w:b w:val="1"/>
          <w:bCs w:val="1"/>
          <w:color w:val="auto"/>
        </w:rPr>
        <w:t>Foot Locker, Inc.</w:t>
      </w:r>
    </w:p>
    <w:p>
      <w:pPr>
        <w:jc w:val="center"/>
        <w:ind w:right="8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Leases – (continued)</w:t>
      </w:r>
    </w:p>
    <w:p>
      <w:pPr>
        <w:spacing w:after="0" w:line="139" w:lineRule="exact"/>
        <w:rPr>
          <w:sz w:val="20"/>
          <w:szCs w:val="20"/>
          <w:color w:val="auto"/>
        </w:rPr>
      </w:pPr>
    </w:p>
    <w:p>
      <w:pPr>
        <w:ind w:left="60" w:right="820"/>
        <w:spacing w:after="0" w:line="251" w:lineRule="auto"/>
        <w:rPr>
          <w:sz w:val="20"/>
          <w:szCs w:val="20"/>
          <w:color w:val="auto"/>
        </w:rPr>
      </w:pPr>
      <w:r>
        <w:rPr>
          <w:rFonts w:ascii="Arial" w:cs="Arial" w:eastAsia="Arial" w:hAnsi="Arial"/>
          <w:sz w:val="18"/>
          <w:szCs w:val="18"/>
          <w:color w:val="auto"/>
        </w:rPr>
        <w:t>Future minimum lease payments under non-cancelable operating leases, net of future non-cancelable operating sublease payments,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-76200</wp:posOffset>
            </wp:positionV>
            <wp:extent cx="556577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5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96"/>
        </w:trPr>
        <w:tc>
          <w:tcPr>
            <w:tcW w:w="5760" w:type="dxa"/>
            <w:vAlign w:val="bottom"/>
            <w:shd w:val="clear" w:color="auto" w:fill="C0C0C0"/>
          </w:tcPr>
          <w:p>
            <w:pPr>
              <w:ind w:left="20"/>
              <w:spacing w:after="0" w:line="196" w:lineRule="exact"/>
              <w:rPr>
                <w:sz w:val="20"/>
                <w:szCs w:val="20"/>
                <w:color w:val="auto"/>
              </w:rPr>
            </w:pPr>
            <w:r>
              <w:rPr>
                <w:rFonts w:ascii="Arial" w:cs="Arial" w:eastAsia="Arial" w:hAnsi="Arial"/>
                <w:sz w:val="18"/>
                <w:szCs w:val="18"/>
                <w:color w:val="auto"/>
              </w:rPr>
              <w:t>2014</w:t>
            </w:r>
          </w:p>
        </w:tc>
        <w:tc>
          <w:tcPr>
            <w:tcW w:w="20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jc w:val="right"/>
              <w:ind w:right="14"/>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0C0C0"/>
          </w:tcPr>
          <w:p>
            <w:pPr>
              <w:jc w:val="right"/>
              <w:ind w:right="100"/>
              <w:spacing w:after="0" w:line="196" w:lineRule="exact"/>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2015</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03"/>
        </w:trPr>
        <w:tc>
          <w:tcPr>
            <w:tcW w:w="57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2016</w:t>
            </w:r>
          </w:p>
        </w:tc>
        <w:tc>
          <w:tcPr>
            <w:tcW w:w="20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3"/>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2017</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03"/>
        </w:trPr>
        <w:tc>
          <w:tcPr>
            <w:tcW w:w="57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2018</w:t>
            </w:r>
          </w:p>
        </w:tc>
        <w:tc>
          <w:tcPr>
            <w:tcW w:w="20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3"/>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60" w:type="dxa"/>
            <w:vAlign w:val="bottom"/>
            <w:shd w:val="clear" w:color="auto" w:fill="C0C0C0"/>
          </w:tcPr>
          <w:p>
            <w:pPr>
              <w:ind w:left="20"/>
              <w:spacing w:after="0" w:line="196" w:lineRule="exact"/>
              <w:rPr>
                <w:sz w:val="20"/>
                <w:szCs w:val="20"/>
                <w:color w:val="auto"/>
              </w:rPr>
            </w:pPr>
            <w:r>
              <w:rPr>
                <w:rFonts w:ascii="Arial" w:cs="Arial" w:eastAsia="Arial" w:hAnsi="Arial"/>
                <w:sz w:val="18"/>
                <w:szCs w:val="18"/>
                <w:color w:val="auto"/>
              </w:rPr>
              <w:t>Total operating lease commitments</w:t>
            </w:r>
          </w:p>
        </w:tc>
        <w:tc>
          <w:tcPr>
            <w:tcW w:w="200" w:type="dxa"/>
            <w:vAlign w:val="bottom"/>
            <w:shd w:val="clear" w:color="auto" w:fill="C0C0C0"/>
          </w:tcPr>
          <w:p>
            <w:pPr>
              <w:spacing w:after="0"/>
              <w:rPr>
                <w:sz w:val="20"/>
                <w:szCs w:val="20"/>
                <w:color w:val="auto"/>
              </w:rPr>
            </w:pPr>
          </w:p>
        </w:tc>
        <w:tc>
          <w:tcPr>
            <w:tcW w:w="48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48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200" w:type="dxa"/>
            <w:vAlign w:val="bottom"/>
            <w:shd w:val="clear" w:color="auto" w:fill="C0C0C0"/>
          </w:tcPr>
          <w:p>
            <w:pPr>
              <w:jc w:val="right"/>
              <w:ind w:right="14"/>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0C0C0"/>
          </w:tcPr>
          <w:p>
            <w:pPr>
              <w:jc w:val="right"/>
              <w:ind w:right="100"/>
              <w:spacing w:after="0" w:line="196" w:lineRule="exact"/>
              <w:rPr>
                <w:sz w:val="20"/>
                <w:szCs w:val="20"/>
                <w:color w:val="auto"/>
              </w:rPr>
            </w:pPr>
            <w:r>
              <w:rPr>
                <w:rFonts w:ascii="Arial" w:cs="Arial" w:eastAsia="Arial" w:hAnsi="Arial"/>
                <w:sz w:val="18"/>
                <w:szCs w:val="18"/>
                <w:color w:val="auto"/>
              </w:rPr>
              <w:t>3,308</w:t>
            </w:r>
          </w:p>
        </w:tc>
        <w:tc>
          <w:tcPr>
            <w:tcW w:w="0" w:type="dxa"/>
            <w:vAlign w:val="bottom"/>
          </w:tcPr>
          <w:p>
            <w:pPr>
              <w:spacing w:after="0"/>
              <w:rPr>
                <w:sz w:val="1"/>
                <w:szCs w:val="1"/>
                <w:color w:val="auto"/>
              </w:rPr>
            </w:pPr>
          </w:p>
        </w:tc>
      </w:tr>
      <w:tr>
        <w:trPr>
          <w:trHeight w:val="358"/>
        </w:trPr>
        <w:tc>
          <w:tcPr>
            <w:tcW w:w="5760" w:type="dxa"/>
            <w:vAlign w:val="bottom"/>
            <w:tcBorders>
              <w:top w:val="single" w:sz="8" w:color="C0C0C0"/>
            </w:tcBorders>
          </w:tcPr>
          <w:p>
            <w:pPr>
              <w:ind w:left="60"/>
              <w:spacing w:after="0"/>
              <w:rPr>
                <w:sz w:val="20"/>
                <w:szCs w:val="20"/>
                <w:color w:val="auto"/>
              </w:rPr>
            </w:pPr>
            <w:r>
              <w:rPr>
                <w:rFonts w:ascii="Arial" w:cs="Arial" w:eastAsia="Arial" w:hAnsi="Arial"/>
                <w:sz w:val="18"/>
                <w:szCs w:val="18"/>
                <w:b w:val="1"/>
                <w:bCs w:val="1"/>
                <w:color w:val="auto"/>
              </w:rPr>
              <w:t>17. Accumulated Other Comprehensive Loss</w:t>
            </w:r>
          </w:p>
        </w:tc>
        <w:tc>
          <w:tcPr>
            <w:tcW w:w="200" w:type="dxa"/>
            <w:vAlign w:val="bottom"/>
            <w:tcBorders>
              <w:top w:val="single" w:sz="8" w:color="C0C0C0"/>
            </w:tcBorders>
          </w:tcPr>
          <w:p>
            <w:pPr>
              <w:spacing w:after="0"/>
              <w:rPr>
                <w:sz w:val="24"/>
                <w:szCs w:val="24"/>
                <w:color w:val="auto"/>
              </w:rPr>
            </w:pPr>
          </w:p>
        </w:tc>
        <w:tc>
          <w:tcPr>
            <w:tcW w:w="480" w:type="dxa"/>
            <w:vAlign w:val="bottom"/>
            <w:tcBorders>
              <w:top w:val="single" w:sz="8" w:color="C0C0C0"/>
            </w:tcBorders>
          </w:tcPr>
          <w:p>
            <w:pPr>
              <w:spacing w:after="0"/>
              <w:rPr>
                <w:sz w:val="24"/>
                <w:szCs w:val="24"/>
                <w:color w:val="auto"/>
              </w:rPr>
            </w:pPr>
          </w:p>
        </w:tc>
        <w:tc>
          <w:tcPr>
            <w:tcW w:w="180" w:type="dxa"/>
            <w:vAlign w:val="bottom"/>
            <w:tcBorders>
              <w:top w:val="single" w:sz="8" w:color="C0C0C0"/>
            </w:tcBorders>
          </w:tcPr>
          <w:p>
            <w:pPr>
              <w:spacing w:after="0"/>
              <w:rPr>
                <w:sz w:val="24"/>
                <w:szCs w:val="24"/>
                <w:color w:val="auto"/>
              </w:rPr>
            </w:pPr>
          </w:p>
        </w:tc>
        <w:tc>
          <w:tcPr>
            <w:tcW w:w="160" w:type="dxa"/>
            <w:vAlign w:val="bottom"/>
            <w:tcBorders>
              <w:top w:val="single" w:sz="8" w:color="C0C0C0"/>
            </w:tcBorders>
          </w:tcPr>
          <w:p>
            <w:pPr>
              <w:spacing w:after="0"/>
              <w:rPr>
                <w:sz w:val="24"/>
                <w:szCs w:val="24"/>
                <w:color w:val="auto"/>
              </w:rPr>
            </w:pPr>
          </w:p>
        </w:tc>
        <w:tc>
          <w:tcPr>
            <w:tcW w:w="200" w:type="dxa"/>
            <w:vAlign w:val="bottom"/>
            <w:tcBorders>
              <w:top w:val="single" w:sz="8" w:color="C0C0C0"/>
            </w:tcBorders>
          </w:tcPr>
          <w:p>
            <w:pPr>
              <w:spacing w:after="0"/>
              <w:rPr>
                <w:sz w:val="24"/>
                <w:szCs w:val="24"/>
                <w:color w:val="auto"/>
              </w:rPr>
            </w:pPr>
          </w:p>
        </w:tc>
        <w:tc>
          <w:tcPr>
            <w:tcW w:w="480" w:type="dxa"/>
            <w:vAlign w:val="bottom"/>
            <w:tcBorders>
              <w:top w:val="single" w:sz="8" w:color="C0C0C0"/>
            </w:tcBorders>
          </w:tcPr>
          <w:p>
            <w:pPr>
              <w:spacing w:after="0"/>
              <w:rPr>
                <w:sz w:val="24"/>
                <w:szCs w:val="24"/>
                <w:color w:val="auto"/>
              </w:rPr>
            </w:pPr>
          </w:p>
        </w:tc>
        <w:tc>
          <w:tcPr>
            <w:tcW w:w="200" w:type="dxa"/>
            <w:vAlign w:val="bottom"/>
            <w:tcBorders>
              <w:top w:val="single" w:sz="8" w:color="C0C0C0"/>
            </w:tcBorders>
          </w:tcPr>
          <w:p>
            <w:pPr>
              <w:spacing w:after="0"/>
              <w:rPr>
                <w:sz w:val="24"/>
                <w:szCs w:val="24"/>
                <w:color w:val="auto"/>
              </w:rPr>
            </w:pPr>
          </w:p>
        </w:tc>
        <w:tc>
          <w:tcPr>
            <w:tcW w:w="160" w:type="dxa"/>
            <w:vAlign w:val="bottom"/>
            <w:tcBorders>
              <w:top w:val="single" w:sz="8" w:color="C0C0C0"/>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C0C0C0"/>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20" w:type="dxa"/>
            <w:vAlign w:val="bottom"/>
            <w:gridSpan w:val="4"/>
          </w:tcPr>
          <w:p>
            <w:pPr>
              <w:ind w:left="60"/>
              <w:spacing w:after="0"/>
              <w:rPr>
                <w:sz w:val="20"/>
                <w:szCs w:val="20"/>
                <w:color w:val="auto"/>
              </w:rPr>
            </w:pPr>
            <w:r>
              <w:rPr>
                <w:rFonts w:ascii="Arial" w:cs="Arial" w:eastAsia="Arial" w:hAnsi="Arial"/>
                <w:sz w:val="18"/>
                <w:szCs w:val="18"/>
                <w:color w:val="auto"/>
              </w:rPr>
              <w:t>Accumulated other comprehensive loss, net of tax, is comprised of the following:</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7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760" w:type="dxa"/>
            <w:vAlign w:val="bottom"/>
          </w:tcPr>
          <w:p>
            <w:pPr>
              <w:spacing w:after="0"/>
              <w:rPr>
                <w:sz w:val="16"/>
                <w:szCs w:val="16"/>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57</w:t>
            </w:r>
          </w:p>
        </w:tc>
        <w:tc>
          <w:tcPr>
            <w:tcW w:w="160" w:type="dxa"/>
            <w:vAlign w:val="bottom"/>
          </w:tcPr>
          <w:p>
            <w:pPr>
              <w:spacing w:after="0"/>
              <w:rPr>
                <w:sz w:val="16"/>
                <w:szCs w:val="16"/>
                <w:color w:val="auto"/>
              </w:rPr>
            </w:pPr>
          </w:p>
        </w:tc>
        <w:tc>
          <w:tcPr>
            <w:tcW w:w="1040" w:type="dxa"/>
            <w:vAlign w:val="bottom"/>
            <w:gridSpan w:val="4"/>
          </w:tcPr>
          <w:p>
            <w:pPr>
              <w:ind w:left="8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3" w:lineRule="exact"/>
              <w:rPr>
                <w:sz w:val="20"/>
                <w:szCs w:val="20"/>
                <w:color w:val="auto"/>
              </w:rPr>
            </w:pPr>
            <w:r>
              <w:rPr>
                <w:rFonts w:ascii="Arial" w:cs="Arial" w:eastAsia="Arial" w:hAnsi="Arial"/>
                <w:sz w:val="18"/>
                <w:szCs w:val="18"/>
                <w:color w:val="auto"/>
              </w:rPr>
              <w:t>Foreign currency translation adjustments</w:t>
            </w:r>
          </w:p>
        </w:tc>
        <w:tc>
          <w:tcPr>
            <w:tcW w:w="20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360" w:type="dxa"/>
            <w:vAlign w:val="bottom"/>
            <w:gridSpan w:val="2"/>
          </w:tcPr>
          <w:p>
            <w:pPr>
              <w:jc w:val="right"/>
              <w:ind w:right="8"/>
              <w:spacing w:after="0" w:line="203"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82</w:t>
            </w:r>
          </w:p>
        </w:tc>
        <w:tc>
          <w:tcPr>
            <w:tcW w:w="160" w:type="dxa"/>
            <w:vAlign w:val="bottom"/>
          </w:tcPr>
          <w:p>
            <w:pPr>
              <w:spacing w:after="0"/>
              <w:rPr>
                <w:sz w:val="17"/>
                <w:szCs w:val="17"/>
                <w:color w:val="auto"/>
              </w:rPr>
            </w:pPr>
          </w:p>
        </w:tc>
        <w:tc>
          <w:tcPr>
            <w:tcW w:w="200" w:type="dxa"/>
            <w:vAlign w:val="bottom"/>
          </w:tcPr>
          <w:p>
            <w:pPr>
              <w:jc w:val="right"/>
              <w:ind w:right="14"/>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63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Cash flow hedges</w:t>
            </w:r>
          </w:p>
        </w:tc>
        <w:tc>
          <w:tcPr>
            <w:tcW w:w="200" w:type="dxa"/>
            <w:vAlign w:val="bottom"/>
            <w:shd w:val="clear" w:color="auto" w:fill="C0C0C0"/>
          </w:tcPr>
          <w:p>
            <w:pPr>
              <w:spacing w:after="0"/>
              <w:rPr>
                <w:sz w:val="17"/>
                <w:szCs w:val="17"/>
                <w:color w:val="auto"/>
              </w:rPr>
            </w:pPr>
          </w:p>
        </w:tc>
        <w:tc>
          <w:tcPr>
            <w:tcW w:w="66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b w:val="1"/>
                <w:bCs w:val="1"/>
                <w:color w:val="auto"/>
              </w:rPr>
              <w:t>(2)</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200"/>
              <w:spacing w:after="0" w:line="202" w:lineRule="exact"/>
              <w:rPr>
                <w:sz w:val="20"/>
                <w:szCs w:val="20"/>
                <w:color w:val="auto"/>
              </w:rPr>
            </w:pPr>
            <w:r>
              <w:rPr>
                <w:rFonts w:ascii="Arial" w:cs="Arial" w:eastAsia="Arial" w:hAnsi="Arial"/>
                <w:sz w:val="18"/>
                <w:szCs w:val="18"/>
                <w:color w:val="auto"/>
              </w:rPr>
              <w:t>3</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40" w:type="dxa"/>
            <w:vAlign w:val="bottom"/>
            <w:gridSpan w:val="2"/>
            <w:shd w:val="clear" w:color="auto" w:fill="C0C0C0"/>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Unrecognized pension cost and postretirement benefit</w:t>
            </w:r>
          </w:p>
        </w:tc>
        <w:tc>
          <w:tcPr>
            <w:tcW w:w="200" w:type="dxa"/>
            <w:vAlign w:val="bottom"/>
          </w:tcPr>
          <w:p>
            <w:pPr>
              <w:spacing w:after="0"/>
              <w:rPr>
                <w:sz w:val="17"/>
                <w:szCs w:val="17"/>
                <w:color w:val="auto"/>
              </w:rPr>
            </w:pP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(240)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(255)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(264)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Unrealized loss on available-for-sale security</w:t>
            </w:r>
          </w:p>
        </w:tc>
        <w:tc>
          <w:tcPr>
            <w:tcW w:w="200" w:type="dxa"/>
            <w:vAlign w:val="bottom"/>
            <w:shd w:val="clear" w:color="auto" w:fill="C0C0C0"/>
          </w:tcPr>
          <w:p>
            <w:pPr>
              <w:spacing w:after="0"/>
              <w:rPr>
                <w:sz w:val="17"/>
                <w:szCs w:val="17"/>
                <w:color w:val="auto"/>
              </w:rPr>
            </w:pPr>
          </w:p>
        </w:tc>
        <w:tc>
          <w:tcPr>
            <w:tcW w:w="66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b w:val="1"/>
                <w:bCs w:val="1"/>
                <w:color w:val="auto"/>
              </w:rPr>
              <w:t>(1)</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140"/>
              <w:spacing w:after="0" w:line="202" w:lineRule="exact"/>
              <w:rPr>
                <w:sz w:val="20"/>
                <w:szCs w:val="20"/>
                <w:color w:val="auto"/>
              </w:rPr>
            </w:pPr>
            <w:r>
              <w:rPr>
                <w:rFonts w:ascii="Arial" w:cs="Arial" w:eastAsia="Arial" w:hAnsi="Arial"/>
                <w:sz w:val="18"/>
                <w:szCs w:val="18"/>
                <w:color w:val="auto"/>
              </w:rPr>
              <w:t>(1)</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40" w:type="dxa"/>
            <w:vAlign w:val="bottom"/>
            <w:gridSpan w:val="2"/>
            <w:shd w:val="clear" w:color="auto" w:fill="C0C0C0"/>
          </w:tcPr>
          <w:p>
            <w:pPr>
              <w:jc w:val="right"/>
              <w:ind w:right="40"/>
              <w:spacing w:after="0" w:line="202" w:lineRule="exact"/>
              <w:rPr>
                <w:sz w:val="20"/>
                <w:szCs w:val="20"/>
                <w:color w:val="auto"/>
              </w:rPr>
            </w:pPr>
            <w:r>
              <w:rPr>
                <w:rFonts w:ascii="Arial" w:cs="Arial" w:eastAsia="Arial" w:hAnsi="Arial"/>
                <w:sz w:val="18"/>
                <w:szCs w:val="18"/>
                <w:color w:val="auto"/>
              </w:rPr>
              <w:t>(2)</w:t>
            </w:r>
          </w:p>
        </w:tc>
        <w:tc>
          <w:tcPr>
            <w:tcW w:w="1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w w:val="79"/>
              </w:rPr>
              <w:t>$</w:t>
            </w:r>
          </w:p>
        </w:tc>
        <w:tc>
          <w:tcPr>
            <w:tcW w:w="66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color w:val="auto"/>
              </w:rPr>
              <w:t>(186)</w:t>
            </w:r>
          </w:p>
        </w:tc>
        <w:tc>
          <w:tcPr>
            <w:tcW w:w="360" w:type="dxa"/>
            <w:vAlign w:val="bottom"/>
            <w:gridSpan w:val="2"/>
          </w:tcPr>
          <w:p>
            <w:pPr>
              <w:jc w:val="right"/>
              <w:ind w:right="8"/>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(171)</w:t>
            </w:r>
          </w:p>
        </w:tc>
        <w:tc>
          <w:tcPr>
            <w:tcW w:w="160" w:type="dxa"/>
            <w:vAlign w:val="bottom"/>
          </w:tcPr>
          <w:p>
            <w:pPr>
              <w:spacing w:after="0"/>
              <w:rPr>
                <w:sz w:val="17"/>
                <w:szCs w:val="17"/>
                <w:color w:val="auto"/>
              </w:rPr>
            </w:pPr>
          </w:p>
        </w:tc>
        <w:tc>
          <w:tcPr>
            <w:tcW w:w="200" w:type="dxa"/>
            <w:vAlign w:val="bottom"/>
          </w:tcPr>
          <w:p>
            <w:pPr>
              <w:jc w:val="right"/>
              <w:ind w:right="14"/>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(204)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-1405890</wp:posOffset>
            </wp:positionV>
            <wp:extent cx="5565775" cy="342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565775"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-170815</wp:posOffset>
            </wp:positionV>
            <wp:extent cx="5565775" cy="171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56577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-1011555</wp:posOffset>
            </wp:positionV>
            <wp:extent cx="556577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changes in accumulated other comprehensive loss for the period ended February 1, 2014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56577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34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Foreign</w:t>
            </w:r>
          </w:p>
        </w:tc>
        <w:tc>
          <w:tcPr>
            <w:tcW w:w="160" w:type="dxa"/>
            <w:vAlign w:val="bottom"/>
          </w:tcPr>
          <w:p>
            <w:pPr>
              <w:spacing w:after="0"/>
              <w:rPr>
                <w:sz w:val="14"/>
                <w:szCs w:val="14"/>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Cash flow</w:t>
            </w:r>
          </w:p>
        </w:tc>
        <w:tc>
          <w:tcPr>
            <w:tcW w:w="16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Items related to</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162"/>
        </w:trPr>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currency</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hedges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pension and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loss on</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2"/>
        </w:trPr>
        <w:tc>
          <w:tcPr>
            <w:tcW w:w="342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rPr>
              <w:t>translation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7"/>
          </w:tcPr>
          <w:p>
            <w:pPr>
              <w:jc w:val="right"/>
              <w:ind w:right="20"/>
              <w:spacing w:after="0"/>
              <w:rPr>
                <w:sz w:val="20"/>
                <w:szCs w:val="20"/>
                <w:color w:val="auto"/>
              </w:rPr>
            </w:pPr>
            <w:r>
              <w:rPr>
                <w:rFonts w:ascii="Arial" w:cs="Arial" w:eastAsia="Arial" w:hAnsi="Arial"/>
                <w:sz w:val="14"/>
                <w:szCs w:val="14"/>
                <w:b w:val="1"/>
                <w:bCs w:val="1"/>
                <w:color w:val="auto"/>
              </w:rPr>
              <w:t>postretirement   available-for-</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5"/>
        </w:trPr>
        <w:tc>
          <w:tcPr>
            <w:tcW w:w="3420" w:type="dxa"/>
            <w:vAlign w:val="bottom"/>
          </w:tcPr>
          <w:p>
            <w:pPr>
              <w:spacing w:after="0"/>
              <w:rPr>
                <w:sz w:val="15"/>
                <w:szCs w:val="15"/>
                <w:color w:val="auto"/>
              </w:rPr>
            </w:pPr>
          </w:p>
        </w:tc>
        <w:tc>
          <w:tcPr>
            <w:tcW w:w="8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adjustments</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benefits</w:t>
            </w:r>
          </w:p>
        </w:tc>
        <w:tc>
          <w:tcPr>
            <w:tcW w:w="160" w:type="dxa"/>
            <w:vAlign w:val="bottom"/>
          </w:tcPr>
          <w:p>
            <w:pPr>
              <w:spacing w:after="0"/>
              <w:rPr>
                <w:sz w:val="15"/>
                <w:szCs w:val="15"/>
                <w:color w:val="auto"/>
              </w:rPr>
            </w:pP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sale security</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r>
      <w:tr>
        <w:trPr>
          <w:trHeight w:val="196"/>
        </w:trPr>
        <w:tc>
          <w:tcPr>
            <w:tcW w:w="3420" w:type="dxa"/>
            <w:vAlign w:val="bottom"/>
            <w:shd w:val="clear" w:color="auto" w:fill="C0C0C0"/>
          </w:tcPr>
          <w:p>
            <w:pPr>
              <w:ind w:left="20"/>
              <w:spacing w:after="0" w:line="196" w:lineRule="exact"/>
              <w:rPr>
                <w:sz w:val="20"/>
                <w:szCs w:val="20"/>
                <w:color w:val="auto"/>
              </w:rPr>
            </w:pPr>
            <w:r>
              <w:rPr>
                <w:rFonts w:ascii="Arial" w:cs="Arial" w:eastAsia="Arial" w:hAnsi="Arial"/>
                <w:sz w:val="18"/>
                <w:szCs w:val="18"/>
                <w:color w:val="auto"/>
              </w:rPr>
              <w:t>Balance as of February 2, 2013</w:t>
            </w:r>
          </w:p>
        </w:tc>
        <w:tc>
          <w:tcPr>
            <w:tcW w:w="12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color w:val="auto"/>
              </w:rPr>
              <w:t>82</w:t>
            </w:r>
          </w:p>
        </w:tc>
        <w:tc>
          <w:tcPr>
            <w:tcW w:w="24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4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color w:val="auto"/>
              </w:rPr>
              <w:t>3</w:t>
            </w:r>
          </w:p>
        </w:tc>
        <w:tc>
          <w:tcPr>
            <w:tcW w:w="3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20" w:type="dxa"/>
            <w:vAlign w:val="bottom"/>
            <w:shd w:val="clear" w:color="auto" w:fill="C0C0C0"/>
          </w:tcPr>
          <w:p>
            <w:pPr>
              <w:ind w:left="2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0C0C0"/>
          </w:tcPr>
          <w:p>
            <w:pPr>
              <w:jc w:val="right"/>
              <w:ind w:right="200"/>
              <w:spacing w:after="0" w:line="196" w:lineRule="exact"/>
              <w:rPr>
                <w:sz w:val="20"/>
                <w:szCs w:val="20"/>
                <w:color w:val="auto"/>
              </w:rPr>
            </w:pPr>
            <w:r>
              <w:rPr>
                <w:rFonts w:ascii="Arial" w:cs="Arial" w:eastAsia="Arial" w:hAnsi="Arial"/>
                <w:sz w:val="18"/>
                <w:szCs w:val="18"/>
                <w:color w:val="auto"/>
              </w:rPr>
              <w:t>(255)</w:t>
            </w:r>
          </w:p>
        </w:tc>
        <w:tc>
          <w:tcPr>
            <w:tcW w:w="260" w:type="dxa"/>
            <w:vAlign w:val="bottom"/>
            <w:gridSpan w:val="2"/>
            <w:shd w:val="clear" w:color="auto" w:fill="C0C0C0"/>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0C0C0"/>
          </w:tcPr>
          <w:p>
            <w:pPr>
              <w:jc w:val="right"/>
              <w:ind w:right="280"/>
              <w:spacing w:after="0" w:line="196" w:lineRule="exact"/>
              <w:rPr>
                <w:sz w:val="20"/>
                <w:szCs w:val="20"/>
                <w:color w:val="auto"/>
              </w:rPr>
            </w:pPr>
            <w:r>
              <w:rPr>
                <w:rFonts w:ascii="Arial" w:cs="Arial" w:eastAsia="Arial" w:hAnsi="Arial"/>
                <w:sz w:val="18"/>
                <w:szCs w:val="18"/>
                <w:color w:val="auto"/>
              </w:rPr>
              <w:t>(1)</w:t>
            </w:r>
          </w:p>
        </w:tc>
        <w:tc>
          <w:tcPr>
            <w:tcW w:w="360" w:type="dxa"/>
            <w:vAlign w:val="bottom"/>
            <w:gridSpan w:val="2"/>
            <w:shd w:val="clear" w:color="auto" w:fill="C0C0C0"/>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0C0C0"/>
          </w:tcPr>
          <w:p>
            <w:pPr>
              <w:jc w:val="right"/>
              <w:ind w:right="160"/>
              <w:spacing w:after="0" w:line="196" w:lineRule="exact"/>
              <w:rPr>
                <w:sz w:val="20"/>
                <w:szCs w:val="20"/>
                <w:color w:val="auto"/>
              </w:rPr>
            </w:pPr>
            <w:r>
              <w:rPr>
                <w:rFonts w:ascii="Arial" w:cs="Arial" w:eastAsia="Arial" w:hAnsi="Arial"/>
                <w:sz w:val="18"/>
                <w:szCs w:val="18"/>
                <w:color w:val="auto"/>
              </w:rPr>
              <w:t>(171)</w:t>
            </w:r>
          </w:p>
        </w:tc>
      </w:tr>
      <w:tr>
        <w:trPr>
          <w:trHeight w:val="20"/>
        </w:trPr>
        <w:tc>
          <w:tcPr>
            <w:tcW w:w="342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r>
      <w:tr>
        <w:trPr>
          <w:trHeight w:val="195"/>
        </w:trPr>
        <w:tc>
          <w:tcPr>
            <w:tcW w:w="3420" w:type="dxa"/>
            <w:vAlign w:val="bottom"/>
          </w:tcPr>
          <w:p>
            <w:pPr>
              <w:ind w:left="20"/>
              <w:spacing w:after="0" w:line="195" w:lineRule="exact"/>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16"/>
                <w:szCs w:val="16"/>
                <w:color w:val="auto"/>
              </w:rPr>
            </w:pPr>
          </w:p>
        </w:tc>
        <w:tc>
          <w:tcPr>
            <w:tcW w:w="740" w:type="dxa"/>
            <w:vAlign w:val="bottom"/>
            <w:gridSpan w:val="2"/>
          </w:tcPr>
          <w:p>
            <w:pPr>
              <w:jc w:val="right"/>
              <w:ind w:right="180"/>
              <w:spacing w:after="0" w:line="195" w:lineRule="exact"/>
              <w:rPr>
                <w:sz w:val="20"/>
                <w:szCs w:val="20"/>
                <w:color w:val="auto"/>
              </w:rPr>
            </w:pPr>
            <w:r>
              <w:rPr>
                <w:rFonts w:ascii="Arial" w:cs="Arial" w:eastAsia="Arial" w:hAnsi="Arial"/>
                <w:sz w:val="18"/>
                <w:szCs w:val="18"/>
                <w:color w:val="auto"/>
              </w:rPr>
              <w:t>(25)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240"/>
              <w:spacing w:after="0" w:line="195" w:lineRule="exact"/>
              <w:rPr>
                <w:sz w:val="20"/>
                <w:szCs w:val="20"/>
                <w:color w:val="auto"/>
              </w:rPr>
            </w:pPr>
            <w:r>
              <w:rPr>
                <w:rFonts w:ascii="Arial" w:cs="Arial" w:eastAsia="Arial" w:hAnsi="Arial"/>
                <w:sz w:val="18"/>
                <w:szCs w:val="18"/>
                <w:color w:val="auto"/>
              </w:rPr>
              <w:t>(5)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260"/>
              <w:spacing w:after="0" w:line="195" w:lineRule="exact"/>
              <w:rPr>
                <w:sz w:val="20"/>
                <w:szCs w:val="20"/>
                <w:color w:val="auto"/>
              </w:rPr>
            </w:pPr>
            <w:r>
              <w:rPr>
                <w:rFonts w:ascii="Arial" w:cs="Arial" w:eastAsia="Arial" w:hAnsi="Arial"/>
                <w:sz w:val="18"/>
                <w:szCs w:val="18"/>
                <w:color w:val="auto"/>
              </w:rPr>
              <w:t>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340"/>
              <w:spacing w:after="0" w:line="195"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jc w:val="right"/>
              <w:ind w:right="160"/>
              <w:spacing w:after="0" w:line="195" w:lineRule="exact"/>
              <w:rPr>
                <w:sz w:val="20"/>
                <w:szCs w:val="20"/>
                <w:color w:val="auto"/>
              </w:rPr>
            </w:pPr>
            <w:r>
              <w:rPr>
                <w:rFonts w:ascii="Arial" w:cs="Arial" w:eastAsia="Arial" w:hAnsi="Arial"/>
                <w:sz w:val="18"/>
                <w:szCs w:val="18"/>
                <w:color w:val="auto"/>
              </w:rPr>
              <w:t>(24)</w:t>
            </w:r>
          </w:p>
        </w:tc>
      </w:tr>
      <w:tr>
        <w:trPr>
          <w:trHeight w:val="203"/>
        </w:trPr>
        <w:tc>
          <w:tcPr>
            <w:tcW w:w="3420" w:type="dxa"/>
            <w:vAlign w:val="bottom"/>
          </w:tcPr>
          <w:p>
            <w:pPr>
              <w:ind w:left="200"/>
              <w:spacing w:after="0" w:line="203" w:lineRule="exact"/>
              <w:rPr>
                <w:sz w:val="20"/>
                <w:szCs w:val="20"/>
                <w:color w:val="auto"/>
              </w:rPr>
            </w:pPr>
            <w:r>
              <w:rPr>
                <w:rFonts w:ascii="Arial" w:cs="Arial" w:eastAsia="Arial" w:hAnsi="Arial"/>
                <w:sz w:val="18"/>
                <w:szCs w:val="18"/>
                <w:color w:val="auto"/>
              </w:rPr>
              <w:t>before reclassification</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2"/>
        </w:trPr>
        <w:tc>
          <w:tcPr>
            <w:tcW w:w="3420" w:type="dxa"/>
            <w:vAlign w:val="bottom"/>
            <w:shd w:val="clear" w:color="auto" w:fill="C0C0C0"/>
          </w:tcPr>
          <w:p>
            <w:pPr>
              <w:ind w:left="20"/>
              <w:spacing w:after="0" w:line="201" w:lineRule="exact"/>
              <w:rPr>
                <w:sz w:val="20"/>
                <w:szCs w:val="20"/>
                <w:color w:val="auto"/>
              </w:rPr>
            </w:pPr>
            <w:r>
              <w:rPr>
                <w:rFonts w:ascii="Arial" w:cs="Arial" w:eastAsia="Arial" w:hAnsi="Arial"/>
                <w:sz w:val="18"/>
                <w:szCs w:val="18"/>
                <w:color w:val="auto"/>
              </w:rPr>
              <w:t>Amounts reclassified from accumulated</w:t>
            </w:r>
          </w:p>
        </w:tc>
        <w:tc>
          <w:tcPr>
            <w:tcW w:w="120" w:type="dxa"/>
            <w:vAlign w:val="bottom"/>
            <w:shd w:val="clear" w:color="auto" w:fill="C0C0C0"/>
          </w:tcPr>
          <w:p>
            <w:pPr>
              <w:spacing w:after="0"/>
              <w:rPr>
                <w:sz w:val="17"/>
                <w:szCs w:val="17"/>
                <w:color w:val="auto"/>
              </w:rPr>
            </w:pPr>
          </w:p>
        </w:tc>
        <w:tc>
          <w:tcPr>
            <w:tcW w:w="740" w:type="dxa"/>
            <w:vAlign w:val="bottom"/>
            <w:gridSpan w:val="2"/>
            <w:shd w:val="clear" w:color="auto" w:fill="C0C0C0"/>
          </w:tcPr>
          <w:p>
            <w:pPr>
              <w:jc w:val="right"/>
              <w:ind w:right="240"/>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720" w:type="dxa"/>
            <w:vAlign w:val="bottom"/>
            <w:gridSpan w:val="2"/>
            <w:shd w:val="clear" w:color="auto" w:fill="C0C0C0"/>
          </w:tcPr>
          <w:p>
            <w:pPr>
              <w:jc w:val="right"/>
              <w:ind w:right="300"/>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980" w:type="dxa"/>
            <w:vAlign w:val="bottom"/>
            <w:gridSpan w:val="2"/>
            <w:shd w:val="clear" w:color="auto" w:fill="C0C0C0"/>
          </w:tcPr>
          <w:p>
            <w:pPr>
              <w:jc w:val="right"/>
              <w:ind w:right="260"/>
              <w:spacing w:after="0" w:line="201" w:lineRule="exact"/>
              <w:rPr>
                <w:sz w:val="20"/>
                <w:szCs w:val="20"/>
                <w:color w:val="auto"/>
              </w:rPr>
            </w:pPr>
            <w:r>
              <w:rPr>
                <w:rFonts w:ascii="Arial" w:cs="Arial" w:eastAsia="Arial" w:hAnsi="Arial"/>
                <w:sz w:val="18"/>
                <w:szCs w:val="18"/>
                <w:color w:val="auto"/>
              </w:rPr>
              <w:t>9</w:t>
            </w:r>
          </w:p>
        </w:tc>
        <w:tc>
          <w:tcPr>
            <w:tcW w:w="16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840" w:type="dxa"/>
            <w:vAlign w:val="bottom"/>
            <w:gridSpan w:val="2"/>
            <w:shd w:val="clear" w:color="auto" w:fill="C0C0C0"/>
          </w:tcPr>
          <w:p>
            <w:pPr>
              <w:jc w:val="right"/>
              <w:ind w:right="340"/>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220"/>
              <w:spacing w:after="0" w:line="201" w:lineRule="exact"/>
              <w:rPr>
                <w:sz w:val="20"/>
                <w:szCs w:val="20"/>
                <w:color w:val="auto"/>
              </w:rPr>
            </w:pPr>
            <w:r>
              <w:rPr>
                <w:rFonts w:ascii="Arial" w:cs="Arial" w:eastAsia="Arial" w:hAnsi="Arial"/>
                <w:sz w:val="18"/>
                <w:szCs w:val="18"/>
                <w:color w:val="auto"/>
              </w:rPr>
              <w:t>9</w:t>
            </w:r>
          </w:p>
        </w:tc>
      </w:tr>
      <w:tr>
        <w:trPr>
          <w:trHeight w:val="203"/>
        </w:trPr>
        <w:tc>
          <w:tcPr>
            <w:tcW w:w="3420" w:type="dxa"/>
            <w:vAlign w:val="bottom"/>
            <w:tcBorders>
              <w:bottom w:val="single" w:sz="8" w:color="C0C0C0"/>
            </w:tcBorders>
            <w:shd w:val="clear" w:color="auto" w:fill="C0C0C0"/>
          </w:tcPr>
          <w:p>
            <w:pPr>
              <w:ind w:left="200"/>
              <w:spacing w:after="0" w:line="203" w:lineRule="exact"/>
              <w:rPr>
                <w:sz w:val="20"/>
                <w:szCs w:val="20"/>
                <w:color w:val="auto"/>
              </w:rPr>
            </w:pPr>
            <w:r>
              <w:rPr>
                <w:rFonts w:ascii="Arial" w:cs="Arial" w:eastAsia="Arial" w:hAnsi="Arial"/>
                <w:sz w:val="18"/>
                <w:szCs w:val="18"/>
                <w:color w:val="auto"/>
              </w:rPr>
              <w:t>other comprehensive income</w:t>
            </w:r>
          </w:p>
        </w:tc>
        <w:tc>
          <w:tcPr>
            <w:tcW w:w="120" w:type="dxa"/>
            <w:vAlign w:val="bottom"/>
            <w:tcBorders>
              <w:bottom w:val="single" w:sz="8" w:color="auto"/>
            </w:tcBorders>
            <w:shd w:val="clear" w:color="auto" w:fill="C0C0C0"/>
          </w:tcPr>
          <w:p>
            <w:pPr>
              <w:spacing w:after="0"/>
              <w:rPr>
                <w:sz w:val="17"/>
                <w:szCs w:val="17"/>
                <w:color w:val="auto"/>
              </w:rPr>
            </w:pPr>
          </w:p>
        </w:tc>
        <w:tc>
          <w:tcPr>
            <w:tcW w:w="500" w:type="dxa"/>
            <w:vAlign w:val="bottom"/>
            <w:tcBorders>
              <w:bottom w:val="single" w:sz="8" w:color="auto"/>
            </w:tcBorders>
            <w:shd w:val="clear" w:color="auto" w:fill="C0C0C0"/>
          </w:tcPr>
          <w:p>
            <w:pPr>
              <w:spacing w:after="0"/>
              <w:rPr>
                <w:sz w:val="17"/>
                <w:szCs w:val="17"/>
                <w:color w:val="auto"/>
              </w:rPr>
            </w:pPr>
          </w:p>
        </w:tc>
        <w:tc>
          <w:tcPr>
            <w:tcW w:w="240" w:type="dxa"/>
            <w:vAlign w:val="bottom"/>
            <w:tcBorders>
              <w:bottom w:val="single" w:sz="8" w:color="C0C0C0"/>
            </w:tcBorders>
            <w:shd w:val="clear" w:color="auto" w:fill="C0C0C0"/>
          </w:tcPr>
          <w:p>
            <w:pPr>
              <w:spacing w:after="0"/>
              <w:rPr>
                <w:sz w:val="17"/>
                <w:szCs w:val="17"/>
                <w:color w:val="auto"/>
              </w:rPr>
            </w:pPr>
          </w:p>
        </w:tc>
        <w:tc>
          <w:tcPr>
            <w:tcW w:w="160" w:type="dxa"/>
            <w:vAlign w:val="bottom"/>
            <w:tcBorders>
              <w:bottom w:val="single" w:sz="8" w:color="C0C0C0"/>
            </w:tcBorders>
            <w:shd w:val="clear" w:color="auto" w:fill="C0C0C0"/>
          </w:tcPr>
          <w:p>
            <w:pPr>
              <w:spacing w:after="0"/>
              <w:rPr>
                <w:sz w:val="17"/>
                <w:szCs w:val="17"/>
                <w:color w:val="auto"/>
              </w:rPr>
            </w:pPr>
          </w:p>
        </w:tc>
        <w:tc>
          <w:tcPr>
            <w:tcW w:w="140" w:type="dxa"/>
            <w:vAlign w:val="bottom"/>
            <w:tcBorders>
              <w:bottom w:val="single" w:sz="8" w:color="auto"/>
            </w:tcBorders>
            <w:shd w:val="clear" w:color="auto" w:fill="C0C0C0"/>
          </w:tcPr>
          <w:p>
            <w:pPr>
              <w:spacing w:after="0"/>
              <w:rPr>
                <w:sz w:val="17"/>
                <w:szCs w:val="17"/>
                <w:color w:val="auto"/>
              </w:rPr>
            </w:pPr>
          </w:p>
        </w:tc>
        <w:tc>
          <w:tcPr>
            <w:tcW w:w="420" w:type="dxa"/>
            <w:vAlign w:val="bottom"/>
            <w:tcBorders>
              <w:bottom w:val="single" w:sz="8" w:color="auto"/>
            </w:tcBorders>
            <w:shd w:val="clear" w:color="auto" w:fill="C0C0C0"/>
          </w:tcPr>
          <w:p>
            <w:pPr>
              <w:spacing w:after="0"/>
              <w:rPr>
                <w:sz w:val="17"/>
                <w:szCs w:val="17"/>
                <w:color w:val="auto"/>
              </w:rPr>
            </w:pPr>
          </w:p>
        </w:tc>
        <w:tc>
          <w:tcPr>
            <w:tcW w:w="300" w:type="dxa"/>
            <w:vAlign w:val="bottom"/>
            <w:tcBorders>
              <w:bottom w:val="single" w:sz="8" w:color="C0C0C0"/>
            </w:tcBorders>
            <w:shd w:val="clear" w:color="auto" w:fill="C0C0C0"/>
          </w:tcPr>
          <w:p>
            <w:pPr>
              <w:spacing w:after="0"/>
              <w:rPr>
                <w:sz w:val="17"/>
                <w:szCs w:val="17"/>
                <w:color w:val="auto"/>
              </w:rPr>
            </w:pPr>
          </w:p>
        </w:tc>
        <w:tc>
          <w:tcPr>
            <w:tcW w:w="160" w:type="dxa"/>
            <w:vAlign w:val="bottom"/>
            <w:tcBorders>
              <w:bottom w:val="single" w:sz="8" w:color="C0C0C0"/>
            </w:tcBorders>
            <w:shd w:val="clear" w:color="auto" w:fill="C0C0C0"/>
          </w:tcPr>
          <w:p>
            <w:pPr>
              <w:spacing w:after="0"/>
              <w:rPr>
                <w:sz w:val="17"/>
                <w:szCs w:val="17"/>
                <w:color w:val="auto"/>
              </w:rPr>
            </w:pPr>
          </w:p>
        </w:tc>
        <w:tc>
          <w:tcPr>
            <w:tcW w:w="120" w:type="dxa"/>
            <w:vAlign w:val="bottom"/>
            <w:tcBorders>
              <w:bottom w:val="single" w:sz="8" w:color="auto"/>
            </w:tcBorders>
            <w:shd w:val="clear" w:color="auto" w:fill="C0C0C0"/>
          </w:tcPr>
          <w:p>
            <w:pPr>
              <w:spacing w:after="0"/>
              <w:rPr>
                <w:sz w:val="17"/>
                <w:szCs w:val="17"/>
                <w:color w:val="auto"/>
              </w:rPr>
            </w:pPr>
          </w:p>
        </w:tc>
        <w:tc>
          <w:tcPr>
            <w:tcW w:w="720" w:type="dxa"/>
            <w:vAlign w:val="bottom"/>
            <w:tcBorders>
              <w:bottom w:val="single" w:sz="8" w:color="auto"/>
            </w:tcBorders>
            <w:shd w:val="clear" w:color="auto" w:fill="C0C0C0"/>
          </w:tcPr>
          <w:p>
            <w:pPr>
              <w:spacing w:after="0"/>
              <w:rPr>
                <w:sz w:val="17"/>
                <w:szCs w:val="17"/>
                <w:color w:val="auto"/>
              </w:rPr>
            </w:pPr>
          </w:p>
        </w:tc>
        <w:tc>
          <w:tcPr>
            <w:tcW w:w="260" w:type="dxa"/>
            <w:vAlign w:val="bottom"/>
            <w:tcBorders>
              <w:bottom w:val="single" w:sz="8" w:color="C0C0C0"/>
            </w:tcBorders>
            <w:shd w:val="clear" w:color="auto" w:fill="C0C0C0"/>
          </w:tcPr>
          <w:p>
            <w:pPr>
              <w:spacing w:after="0"/>
              <w:rPr>
                <w:sz w:val="17"/>
                <w:szCs w:val="17"/>
                <w:color w:val="auto"/>
              </w:rPr>
            </w:pPr>
          </w:p>
        </w:tc>
        <w:tc>
          <w:tcPr>
            <w:tcW w:w="160" w:type="dxa"/>
            <w:vAlign w:val="bottom"/>
            <w:tcBorders>
              <w:bottom w:val="single" w:sz="8" w:color="C0C0C0"/>
            </w:tcBorders>
            <w:shd w:val="clear" w:color="auto" w:fill="C0C0C0"/>
          </w:tcPr>
          <w:p>
            <w:pPr>
              <w:spacing w:after="0"/>
              <w:rPr>
                <w:sz w:val="17"/>
                <w:szCs w:val="17"/>
                <w:color w:val="auto"/>
              </w:rPr>
            </w:pPr>
          </w:p>
        </w:tc>
        <w:tc>
          <w:tcPr>
            <w:tcW w:w="100" w:type="dxa"/>
            <w:vAlign w:val="bottom"/>
            <w:tcBorders>
              <w:bottom w:val="single" w:sz="8" w:color="auto"/>
            </w:tcBorders>
            <w:shd w:val="clear" w:color="auto" w:fill="C0C0C0"/>
          </w:tcPr>
          <w:p>
            <w:pPr>
              <w:spacing w:after="0"/>
              <w:rPr>
                <w:sz w:val="17"/>
                <w:szCs w:val="17"/>
                <w:color w:val="auto"/>
              </w:rPr>
            </w:pPr>
          </w:p>
        </w:tc>
        <w:tc>
          <w:tcPr>
            <w:tcW w:w="500" w:type="dxa"/>
            <w:vAlign w:val="bottom"/>
            <w:tcBorders>
              <w:bottom w:val="single" w:sz="8" w:color="auto"/>
            </w:tcBorders>
            <w:shd w:val="clear" w:color="auto" w:fill="C0C0C0"/>
          </w:tcPr>
          <w:p>
            <w:pPr>
              <w:spacing w:after="0"/>
              <w:rPr>
                <w:sz w:val="17"/>
                <w:szCs w:val="17"/>
                <w:color w:val="auto"/>
              </w:rPr>
            </w:pPr>
          </w:p>
        </w:tc>
        <w:tc>
          <w:tcPr>
            <w:tcW w:w="340" w:type="dxa"/>
            <w:vAlign w:val="bottom"/>
            <w:tcBorders>
              <w:bottom w:val="single" w:sz="8" w:color="C0C0C0"/>
            </w:tcBorders>
            <w:shd w:val="clear" w:color="auto" w:fill="C0C0C0"/>
          </w:tcPr>
          <w:p>
            <w:pPr>
              <w:spacing w:after="0"/>
              <w:rPr>
                <w:sz w:val="17"/>
                <w:szCs w:val="17"/>
                <w:color w:val="auto"/>
              </w:rPr>
            </w:pPr>
          </w:p>
        </w:tc>
        <w:tc>
          <w:tcPr>
            <w:tcW w:w="160" w:type="dxa"/>
            <w:vAlign w:val="bottom"/>
            <w:tcBorders>
              <w:bottom w:val="single" w:sz="8" w:color="C0C0C0"/>
            </w:tcBorders>
            <w:shd w:val="clear" w:color="auto" w:fill="C0C0C0"/>
          </w:tcPr>
          <w:p>
            <w:pPr>
              <w:spacing w:after="0"/>
              <w:rPr>
                <w:sz w:val="17"/>
                <w:szCs w:val="17"/>
                <w:color w:val="auto"/>
              </w:rPr>
            </w:pPr>
          </w:p>
        </w:tc>
        <w:tc>
          <w:tcPr>
            <w:tcW w:w="200" w:type="dxa"/>
            <w:vAlign w:val="bottom"/>
            <w:tcBorders>
              <w:bottom w:val="single" w:sz="8" w:color="auto"/>
            </w:tcBorders>
            <w:shd w:val="clear" w:color="auto" w:fill="C0C0C0"/>
          </w:tcPr>
          <w:p>
            <w:pPr>
              <w:spacing w:after="0"/>
              <w:rPr>
                <w:sz w:val="17"/>
                <w:szCs w:val="17"/>
                <w:color w:val="auto"/>
              </w:rPr>
            </w:pPr>
          </w:p>
        </w:tc>
        <w:tc>
          <w:tcPr>
            <w:tcW w:w="540" w:type="dxa"/>
            <w:vAlign w:val="bottom"/>
            <w:tcBorders>
              <w:bottom w:val="single" w:sz="8" w:color="auto"/>
            </w:tcBorders>
            <w:shd w:val="clear" w:color="auto" w:fill="C0C0C0"/>
          </w:tcPr>
          <w:p>
            <w:pPr>
              <w:spacing w:after="0"/>
              <w:rPr>
                <w:sz w:val="17"/>
                <w:szCs w:val="17"/>
                <w:color w:val="auto"/>
              </w:rPr>
            </w:pPr>
          </w:p>
        </w:tc>
        <w:tc>
          <w:tcPr>
            <w:tcW w:w="220" w:type="dxa"/>
            <w:vAlign w:val="bottom"/>
            <w:tcBorders>
              <w:bottom w:val="single" w:sz="8" w:color="C0C0C0"/>
            </w:tcBorders>
            <w:shd w:val="clear" w:color="auto" w:fill="C0C0C0"/>
          </w:tcPr>
          <w:p>
            <w:pPr>
              <w:spacing w:after="0"/>
              <w:rPr>
                <w:sz w:val="17"/>
                <w:szCs w:val="17"/>
                <w:color w:val="auto"/>
              </w:rPr>
            </w:pPr>
          </w:p>
        </w:tc>
      </w:tr>
      <w:tr>
        <w:trPr>
          <w:trHeight w:val="196"/>
        </w:trPr>
        <w:tc>
          <w:tcPr>
            <w:tcW w:w="3420" w:type="dxa"/>
            <w:vAlign w:val="bottom"/>
          </w:tcPr>
          <w:p>
            <w:pPr>
              <w:ind w:left="20"/>
              <w:spacing w:after="0" w:line="196" w:lineRule="exact"/>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17"/>
                <w:szCs w:val="17"/>
                <w:color w:val="auto"/>
              </w:rPr>
            </w:pPr>
          </w:p>
        </w:tc>
        <w:tc>
          <w:tcPr>
            <w:tcW w:w="7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(25)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15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(15)</w:t>
            </w:r>
          </w:p>
        </w:tc>
      </w:tr>
      <w:tr>
        <w:trPr>
          <w:trHeight w:val="20"/>
        </w:trPr>
        <w:tc>
          <w:tcPr>
            <w:tcW w:w="3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7"/>
        </w:trPr>
        <w:tc>
          <w:tcPr>
            <w:tcW w:w="3420" w:type="dxa"/>
            <w:vAlign w:val="bottom"/>
            <w:shd w:val="clear" w:color="auto" w:fill="C0C0C0"/>
          </w:tcPr>
          <w:p>
            <w:pPr>
              <w:ind w:left="20"/>
              <w:spacing w:after="0" w:line="196" w:lineRule="exact"/>
              <w:rPr>
                <w:sz w:val="20"/>
                <w:szCs w:val="20"/>
                <w:color w:val="auto"/>
              </w:rPr>
            </w:pPr>
            <w:r>
              <w:rPr>
                <w:rFonts w:ascii="Arial" w:cs="Arial" w:eastAsia="Arial" w:hAnsi="Arial"/>
                <w:sz w:val="18"/>
                <w:szCs w:val="18"/>
                <w:color w:val="auto"/>
              </w:rPr>
              <w:t>Balance as of February 1, 2014</w:t>
            </w:r>
          </w:p>
        </w:tc>
        <w:tc>
          <w:tcPr>
            <w:tcW w:w="12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color w:val="auto"/>
              </w:rPr>
              <w:t>57</w:t>
            </w:r>
          </w:p>
        </w:tc>
        <w:tc>
          <w:tcPr>
            <w:tcW w:w="24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14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0C0C0"/>
          </w:tcPr>
          <w:p>
            <w:pPr>
              <w:jc w:val="right"/>
              <w:ind w:right="240"/>
              <w:spacing w:after="0" w:line="196" w:lineRule="exact"/>
              <w:rPr>
                <w:sz w:val="20"/>
                <w:szCs w:val="20"/>
                <w:color w:val="auto"/>
              </w:rPr>
            </w:pPr>
            <w:r>
              <w:rPr>
                <w:rFonts w:ascii="Arial" w:cs="Arial" w:eastAsia="Arial" w:hAnsi="Arial"/>
                <w:sz w:val="18"/>
                <w:szCs w:val="18"/>
                <w:color w:val="auto"/>
              </w:rPr>
              <w:t>(2)</w:t>
            </w:r>
          </w:p>
        </w:tc>
        <w:tc>
          <w:tcPr>
            <w:tcW w:w="280" w:type="dxa"/>
            <w:vAlign w:val="bottom"/>
            <w:gridSpan w:val="2"/>
            <w:shd w:val="clear" w:color="auto" w:fill="C0C0C0"/>
          </w:tcPr>
          <w:p>
            <w:pPr>
              <w:ind w:left="18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0C0C0"/>
          </w:tcPr>
          <w:p>
            <w:pPr>
              <w:jc w:val="right"/>
              <w:ind w:right="200"/>
              <w:spacing w:after="0" w:line="196" w:lineRule="exact"/>
              <w:rPr>
                <w:sz w:val="20"/>
                <w:szCs w:val="20"/>
                <w:color w:val="auto"/>
              </w:rPr>
            </w:pPr>
            <w:r>
              <w:rPr>
                <w:rFonts w:ascii="Arial" w:cs="Arial" w:eastAsia="Arial" w:hAnsi="Arial"/>
                <w:sz w:val="18"/>
                <w:szCs w:val="18"/>
                <w:color w:val="auto"/>
              </w:rPr>
              <w:t>(240)</w:t>
            </w:r>
          </w:p>
        </w:tc>
        <w:tc>
          <w:tcPr>
            <w:tcW w:w="260" w:type="dxa"/>
            <w:vAlign w:val="bottom"/>
            <w:gridSpan w:val="2"/>
            <w:shd w:val="clear" w:color="auto" w:fill="C0C0C0"/>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0C0C0"/>
          </w:tcPr>
          <w:p>
            <w:pPr>
              <w:jc w:val="right"/>
              <w:ind w:right="280"/>
              <w:spacing w:after="0" w:line="196" w:lineRule="exact"/>
              <w:rPr>
                <w:sz w:val="20"/>
                <w:szCs w:val="20"/>
                <w:color w:val="auto"/>
              </w:rPr>
            </w:pPr>
            <w:r>
              <w:rPr>
                <w:rFonts w:ascii="Arial" w:cs="Arial" w:eastAsia="Arial" w:hAnsi="Arial"/>
                <w:sz w:val="18"/>
                <w:szCs w:val="18"/>
                <w:color w:val="auto"/>
              </w:rPr>
              <w:t>(1)</w:t>
            </w:r>
          </w:p>
        </w:tc>
        <w:tc>
          <w:tcPr>
            <w:tcW w:w="360" w:type="dxa"/>
            <w:vAlign w:val="bottom"/>
            <w:gridSpan w:val="2"/>
            <w:shd w:val="clear" w:color="auto" w:fill="C0C0C0"/>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0C0C0"/>
          </w:tcPr>
          <w:p>
            <w:pPr>
              <w:jc w:val="right"/>
              <w:ind w:right="160"/>
              <w:spacing w:after="0" w:line="196" w:lineRule="exact"/>
              <w:rPr>
                <w:sz w:val="20"/>
                <w:szCs w:val="20"/>
                <w:color w:val="auto"/>
              </w:rPr>
            </w:pPr>
            <w:r>
              <w:rPr>
                <w:rFonts w:ascii="Arial" w:cs="Arial" w:eastAsia="Arial" w:hAnsi="Arial"/>
                <w:sz w:val="18"/>
                <w:szCs w:val="18"/>
                <w:color w:val="auto"/>
              </w:rPr>
              <w:t>(186)</w:t>
            </w:r>
          </w:p>
        </w:tc>
      </w:tr>
      <w:tr>
        <w:trPr>
          <w:trHeight w:val="20"/>
        </w:trPr>
        <w:tc>
          <w:tcPr>
            <w:tcW w:w="3420" w:type="dxa"/>
            <w:vAlign w:val="bottom"/>
            <w:tcBorders>
              <w:top w:val="single" w:sz="8" w:color="C0C0C0"/>
            </w:tcBorders>
            <w:shd w:val="clear" w:color="auto" w:fill="C0C0C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C0C0"/>
            </w:tcBorders>
            <w:shd w:val="clear" w:color="auto" w:fill="C0C0C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-831215</wp:posOffset>
            </wp:positionV>
            <wp:extent cx="5565775" cy="2660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565775" cy="2660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-307975</wp:posOffset>
            </wp:positionV>
            <wp:extent cx="5565775" cy="146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56577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565775" cy="342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565775" cy="34290"/>
                    </a:xfrm>
                    <a:prstGeom prst="rect">
                      <a:avLst/>
                    </a:prstGeom>
                    <a:noFill/>
                  </pic:spPr>
                </pic:pic>
              </a:graphicData>
            </a:graphic>
          </wp:anchor>
        </w:drawing>
      </w:r>
    </w:p>
    <w:p>
      <w:pPr>
        <w:spacing w:after="0" w:line="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Reclassifications from accumulated other comprehensive loss for the period ended February 1, 2014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56577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8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9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(in millions)</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560" w:type="dxa"/>
            <w:vAlign w:val="bottom"/>
            <w:gridSpan w:val="2"/>
            <w:shd w:val="clear" w:color="auto" w:fill="C0C0C0"/>
          </w:tcPr>
          <w:p>
            <w:pPr>
              <w:ind w:left="20"/>
              <w:spacing w:after="0" w:line="196" w:lineRule="exact"/>
              <w:rPr>
                <w:sz w:val="20"/>
                <w:szCs w:val="20"/>
                <w:color w:val="auto"/>
              </w:rPr>
            </w:pPr>
            <w:r>
              <w:rPr>
                <w:rFonts w:ascii="Arial" w:cs="Arial" w:eastAsia="Arial" w:hAnsi="Arial"/>
                <w:sz w:val="18"/>
                <w:szCs w:val="18"/>
                <w:color w:val="auto"/>
              </w:rPr>
              <w:t>Amortization of actuarial (gain) loss:</w:t>
            </w:r>
          </w:p>
        </w:tc>
        <w:tc>
          <w:tcPr>
            <w:tcW w:w="326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380" w:type="dxa"/>
            <w:vAlign w:val="bottom"/>
            <w:shd w:val="clear" w:color="auto" w:fill="C0C0C0"/>
          </w:tcPr>
          <w:p>
            <w:pPr>
              <w:spacing w:after="0"/>
              <w:rPr>
                <w:sz w:val="17"/>
                <w:szCs w:val="17"/>
                <w:color w:val="auto"/>
              </w:rPr>
            </w:pPr>
          </w:p>
        </w:tc>
        <w:tc>
          <w:tcPr>
            <w:tcW w:w="320" w:type="dxa"/>
            <w:vAlign w:val="bottom"/>
            <w:shd w:val="clear" w:color="auto" w:fill="C0C0C0"/>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Pension benefits – amortization of actuarial loss</w:t>
            </w:r>
          </w:p>
        </w:tc>
        <w:tc>
          <w:tcPr>
            <w:tcW w:w="3520" w:type="dxa"/>
            <w:vAlign w:val="bottom"/>
            <w:gridSpan w:val="2"/>
          </w:tcPr>
          <w:p>
            <w:pPr>
              <w:jc w:val="right"/>
              <w:ind w:right="88"/>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320"/>
              <w:spacing w:after="0" w:line="202" w:lineRule="exact"/>
              <w:rPr>
                <w:sz w:val="20"/>
                <w:szCs w:val="20"/>
                <w:color w:val="auto"/>
              </w:rPr>
            </w:pPr>
            <w:r>
              <w:rPr>
                <w:rFonts w:ascii="Arial" w:cs="Arial" w:eastAsia="Arial" w:hAnsi="Arial"/>
                <w:sz w:val="18"/>
                <w:szCs w:val="18"/>
                <w:b w:val="1"/>
                <w:bCs w:val="1"/>
                <w:color w:val="auto"/>
              </w:rPr>
              <w:t>17</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gridSpan w:val="2"/>
            <w:shd w:val="clear" w:color="auto" w:fill="C0C0C0"/>
          </w:tcPr>
          <w:p>
            <w:pPr>
              <w:ind w:left="200"/>
              <w:spacing w:after="0" w:line="202" w:lineRule="exact"/>
              <w:rPr>
                <w:sz w:val="20"/>
                <w:szCs w:val="20"/>
                <w:color w:val="auto"/>
              </w:rPr>
            </w:pPr>
            <w:r>
              <w:rPr>
                <w:rFonts w:ascii="Arial" w:cs="Arial" w:eastAsia="Arial" w:hAnsi="Arial"/>
                <w:sz w:val="18"/>
                <w:szCs w:val="18"/>
                <w:color w:val="auto"/>
                <w:w w:val="99"/>
              </w:rPr>
              <w:t>Postretirement benefits – amortization of actuarial gain</w:t>
            </w:r>
          </w:p>
        </w:tc>
        <w:tc>
          <w:tcPr>
            <w:tcW w:w="326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700" w:type="dxa"/>
            <w:vAlign w:val="bottom"/>
            <w:gridSpan w:val="2"/>
            <w:shd w:val="clear" w:color="auto" w:fill="C0C0C0"/>
          </w:tcPr>
          <w:p>
            <w:pPr>
              <w:jc w:val="right"/>
              <w:ind w:right="260"/>
              <w:spacing w:after="0" w:line="202" w:lineRule="exact"/>
              <w:rPr>
                <w:sz w:val="20"/>
                <w:szCs w:val="20"/>
                <w:color w:val="auto"/>
              </w:rPr>
            </w:pPr>
            <w:r>
              <w:rPr>
                <w:rFonts w:ascii="Arial" w:cs="Arial" w:eastAsia="Arial" w:hAnsi="Arial"/>
                <w:sz w:val="18"/>
                <w:szCs w:val="18"/>
                <w:b w:val="1"/>
                <w:bCs w:val="1"/>
                <w:color w:val="auto"/>
              </w:rPr>
              <w:t>(3)</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60" w:type="dxa"/>
            <w:vAlign w:val="bottom"/>
            <w:tcBorders>
              <w:top w:val="single" w:sz="8" w:color="C0C0C0"/>
            </w:tcBorders>
            <w:gridSpan w:val="2"/>
          </w:tcPr>
          <w:p>
            <w:pPr>
              <w:ind w:left="20"/>
              <w:spacing w:after="0" w:line="196" w:lineRule="exact"/>
              <w:rPr>
                <w:sz w:val="20"/>
                <w:szCs w:val="20"/>
                <w:color w:val="auto"/>
              </w:rPr>
            </w:pPr>
            <w:r>
              <w:rPr>
                <w:rFonts w:ascii="Arial" w:cs="Arial" w:eastAsia="Arial" w:hAnsi="Arial"/>
                <w:sz w:val="18"/>
                <w:szCs w:val="18"/>
                <w:color w:val="auto"/>
              </w:rPr>
              <w:t>Net periodic benefit cost (see Note 21)</w:t>
            </w:r>
          </w:p>
        </w:tc>
        <w:tc>
          <w:tcPr>
            <w:tcW w:w="3260" w:type="dxa"/>
            <w:vAlign w:val="bottom"/>
            <w:tcBorders>
              <w:top w:val="single" w:sz="8" w:color="C0C0C0"/>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14</w:t>
            </w:r>
          </w:p>
        </w:tc>
        <w:tc>
          <w:tcPr>
            <w:tcW w:w="320" w:type="dxa"/>
            <w:vAlign w:val="bottom"/>
            <w:tcBorders>
              <w:top w:val="single" w:sz="8" w:color="C0C0C0"/>
            </w:tcBorders>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Borders>
              <w:bottom w:val="single" w:sz="8" w:color="C0C0C0"/>
            </w:tcBorders>
            <w:gridSpan w:val="2"/>
            <w:shd w:val="clear" w:color="auto" w:fill="C0C0C0"/>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3260" w:type="dxa"/>
            <w:vAlign w:val="bottom"/>
            <w:tcBorders>
              <w:bottom w:val="single" w:sz="8" w:color="C0C0C0"/>
            </w:tcBorders>
            <w:shd w:val="clear" w:color="auto" w:fill="C0C0C0"/>
          </w:tcPr>
          <w:p>
            <w:pPr>
              <w:spacing w:after="0"/>
              <w:rPr>
                <w:sz w:val="17"/>
                <w:szCs w:val="17"/>
                <w:color w:val="auto"/>
              </w:rPr>
            </w:pPr>
          </w:p>
        </w:tc>
        <w:tc>
          <w:tcPr>
            <w:tcW w:w="260" w:type="dxa"/>
            <w:vAlign w:val="bottom"/>
            <w:tcBorders>
              <w:bottom w:val="single" w:sz="8" w:color="auto"/>
            </w:tcBorders>
            <w:shd w:val="clear" w:color="auto" w:fill="C0C0C0"/>
          </w:tcPr>
          <w:p>
            <w:pPr>
              <w:spacing w:after="0"/>
              <w:rPr>
                <w:sz w:val="17"/>
                <w:szCs w:val="17"/>
                <w:color w:val="auto"/>
              </w:rPr>
            </w:pPr>
          </w:p>
        </w:tc>
        <w:tc>
          <w:tcPr>
            <w:tcW w:w="380" w:type="dxa"/>
            <w:vAlign w:val="bottom"/>
            <w:tcBorders>
              <w:bottom w:val="single" w:sz="8" w:color="auto"/>
            </w:tcBorders>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rPr>
              <w:t>5</w:t>
            </w:r>
          </w:p>
        </w:tc>
        <w:tc>
          <w:tcPr>
            <w:tcW w:w="320" w:type="dxa"/>
            <w:vAlign w:val="bottom"/>
            <w:tcBorders>
              <w:bottom w:val="single" w:sz="8" w:color="C0C0C0"/>
            </w:tcBorders>
            <w:shd w:val="clear" w:color="auto" w:fill="C0C0C0"/>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Net of tax</w:t>
            </w:r>
          </w:p>
        </w:tc>
        <w:tc>
          <w:tcPr>
            <w:tcW w:w="3520" w:type="dxa"/>
            <w:vAlign w:val="bottom"/>
            <w:gridSpan w:val="2"/>
          </w:tcPr>
          <w:p>
            <w:pPr>
              <w:jc w:val="right"/>
              <w:ind w:right="88"/>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320"/>
              <w:spacing w:after="0" w:line="196" w:lineRule="exact"/>
              <w:rPr>
                <w:sz w:val="20"/>
                <w:szCs w:val="20"/>
                <w:color w:val="auto"/>
              </w:rPr>
            </w:pPr>
            <w:r>
              <w:rPr>
                <w:rFonts w:ascii="Arial" w:cs="Arial" w:eastAsia="Arial" w:hAnsi="Arial"/>
                <w:sz w:val="18"/>
                <w:szCs w:val="18"/>
                <w:b w:val="1"/>
                <w:bCs w:val="1"/>
                <w:color w:val="auto"/>
              </w:rPr>
              <w:t>9</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260" w:type="dxa"/>
            <w:vAlign w:val="bottom"/>
            <w:vMerge w:val="restart"/>
          </w:tcPr>
          <w:p>
            <w:pPr>
              <w:jc w:val="right"/>
              <w:ind w:right="2970"/>
              <w:spacing w:after="0"/>
              <w:rPr>
                <w:sz w:val="20"/>
                <w:szCs w:val="20"/>
                <w:color w:val="auto"/>
              </w:rPr>
            </w:pPr>
            <w:r>
              <w:rPr>
                <w:rFonts w:ascii="Arial" w:cs="Arial" w:eastAsia="Arial" w:hAnsi="Arial"/>
                <w:sz w:val="18"/>
                <w:szCs w:val="18"/>
                <w:color w:val="auto"/>
                <w:w w:val="89"/>
              </w:rPr>
              <w:t>53</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8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3760" w:type="dxa"/>
            <w:vAlign w:val="bottom"/>
            <w:tcBorders>
              <w:bottom w:val="single" w:sz="8" w:color="9A9A9A"/>
            </w:tcBorders>
          </w:tcPr>
          <w:p>
            <w:pPr>
              <w:spacing w:after="0"/>
              <w:rPr>
                <w:sz w:val="14"/>
                <w:szCs w:val="14"/>
                <w:color w:val="auto"/>
              </w:rPr>
            </w:pPr>
          </w:p>
        </w:tc>
        <w:tc>
          <w:tcPr>
            <w:tcW w:w="326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3760" w:type="dxa"/>
            <w:vAlign w:val="bottom"/>
            <w:tcBorders>
              <w:bottom w:val="single" w:sz="8" w:color="EEEEEE"/>
            </w:tcBorders>
          </w:tcPr>
          <w:p>
            <w:pPr>
              <w:spacing w:after="0" w:line="20" w:lineRule="exact"/>
              <w:rPr>
                <w:sz w:val="1"/>
                <w:szCs w:val="1"/>
                <w:color w:val="auto"/>
              </w:rPr>
            </w:pPr>
          </w:p>
        </w:tc>
        <w:tc>
          <w:tcPr>
            <w:tcW w:w="32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6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-1062990</wp:posOffset>
            </wp:positionV>
            <wp:extent cx="5565775"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56577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-796925</wp:posOffset>
            </wp:positionV>
            <wp:extent cx="5565775" cy="1714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565775" cy="17145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802" w:right="1139" w:bottom="1440" w:gutter="0" w:footer="0" w:header="0"/>
        </w:sectPr>
      </w:pPr>
    </w:p>
    <w:bookmarkStart w:id="55" w:name="page56"/>
    <w:bookmarkEnd w:id="5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800"/>
        <w:spacing w:after="0"/>
        <w:rPr>
          <w:sz w:val="20"/>
          <w:szCs w:val="20"/>
          <w:color w:val="auto"/>
        </w:rPr>
      </w:pPr>
      <w:r>
        <w:rPr>
          <w:rFonts w:ascii="Arial" w:cs="Arial" w:eastAsia="Arial" w:hAnsi="Arial"/>
          <w:sz w:val="22"/>
          <w:szCs w:val="22"/>
          <w:b w:val="1"/>
          <w:bCs w:val="1"/>
          <w:color w:val="auto"/>
        </w:rPr>
        <w:t>Foot Locker, Inc.</w:t>
      </w:r>
    </w:p>
    <w:p>
      <w:pPr>
        <w:jc w:val="center"/>
        <w:ind w:right="8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Income Taxes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Following are the domestic and international components of pre-tax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56577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57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760" w:type="dxa"/>
            <w:vAlign w:val="bottom"/>
          </w:tcPr>
          <w:p>
            <w:pPr>
              <w:spacing w:after="0"/>
              <w:rPr>
                <w:sz w:val="16"/>
                <w:szCs w:val="16"/>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558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3" w:lineRule="exact"/>
              <w:rPr>
                <w:sz w:val="20"/>
                <w:szCs w:val="20"/>
                <w:color w:val="auto"/>
              </w:rPr>
            </w:pPr>
            <w:r>
              <w:rPr>
                <w:rFonts w:ascii="Arial" w:cs="Arial" w:eastAsia="Arial" w:hAnsi="Arial"/>
                <w:sz w:val="18"/>
                <w:szCs w:val="18"/>
                <w:color w:val="auto"/>
              </w:rPr>
              <w:t>Domestic</w:t>
            </w:r>
          </w:p>
        </w:tc>
        <w:tc>
          <w:tcPr>
            <w:tcW w:w="20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508</w:t>
            </w:r>
          </w:p>
        </w:tc>
        <w:tc>
          <w:tcPr>
            <w:tcW w:w="160" w:type="dxa"/>
            <w:vAlign w:val="bottom"/>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3"/>
        </w:trPr>
        <w:tc>
          <w:tcPr>
            <w:tcW w:w="57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International</w:t>
            </w:r>
          </w:p>
        </w:tc>
        <w:tc>
          <w:tcPr>
            <w:tcW w:w="200" w:type="dxa"/>
            <w:vAlign w:val="bottom"/>
            <w:shd w:val="clear" w:color="auto" w:fill="C0C0C0"/>
          </w:tcPr>
          <w:p>
            <w:pPr>
              <w:spacing w:after="0"/>
              <w:rPr>
                <w:sz w:val="17"/>
                <w:szCs w:val="17"/>
                <w:color w:val="auto"/>
              </w:rPr>
            </w:pPr>
          </w:p>
        </w:tc>
        <w:tc>
          <w:tcPr>
            <w:tcW w:w="54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rPr>
              <w:t>105</w:t>
            </w:r>
          </w:p>
        </w:tc>
        <w:tc>
          <w:tcPr>
            <w:tcW w:w="120" w:type="dxa"/>
            <w:vAlign w:val="bottom"/>
            <w:tcBorders>
              <w:left w:val="single" w:sz="8" w:color="C0C0C0"/>
            </w:tcBorders>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99</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40"/>
              <w:spacing w:after="0" w:line="202"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57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left w:val="single" w:sz="8" w:color="C0C0C0"/>
            </w:tcBorders>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tcPr>
          <w:p>
            <w:pPr>
              <w:ind w:left="20"/>
              <w:spacing w:after="0" w:line="196" w:lineRule="exact"/>
              <w:rPr>
                <w:sz w:val="20"/>
                <w:szCs w:val="20"/>
                <w:color w:val="auto"/>
              </w:rPr>
            </w:pPr>
            <w:r>
              <w:rPr>
                <w:rFonts w:ascii="Arial" w:cs="Arial" w:eastAsia="Arial" w:hAnsi="Arial"/>
                <w:sz w:val="18"/>
                <w:szCs w:val="18"/>
                <w:color w:val="auto"/>
              </w:rPr>
              <w:t>Total pre-tax income</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w w:val="79"/>
              </w:rPr>
              <w:t>$</w:t>
            </w:r>
          </w:p>
        </w:tc>
        <w:tc>
          <w:tcPr>
            <w:tcW w:w="5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663</w:t>
            </w:r>
          </w:p>
        </w:tc>
        <w:tc>
          <w:tcPr>
            <w:tcW w:w="120" w:type="dxa"/>
            <w:vAlign w:val="bottom"/>
          </w:tcPr>
          <w:p>
            <w:pPr>
              <w:spacing w:after="0"/>
              <w:rPr>
                <w:sz w:val="17"/>
                <w:szCs w:val="17"/>
                <w:color w:val="auto"/>
              </w:rPr>
            </w:pP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607</w:t>
            </w:r>
          </w:p>
        </w:tc>
        <w:tc>
          <w:tcPr>
            <w:tcW w:w="16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
        </w:trPr>
        <w:tc>
          <w:tcPr>
            <w:tcW w:w="5760" w:type="dxa"/>
            <w:vAlign w:val="bottom"/>
            <w:vMerge w:val="restart"/>
          </w:tcPr>
          <w:p>
            <w:pPr>
              <w:ind w:left="60"/>
              <w:spacing w:after="0"/>
              <w:rPr>
                <w:sz w:val="20"/>
                <w:szCs w:val="20"/>
                <w:color w:val="auto"/>
              </w:rPr>
            </w:pPr>
            <w:r>
              <w:rPr>
                <w:rFonts w:ascii="Arial" w:cs="Arial" w:eastAsia="Arial" w:hAnsi="Arial"/>
                <w:sz w:val="18"/>
                <w:szCs w:val="18"/>
                <w:color w:val="auto"/>
              </w:rPr>
              <w:t>The income tax provision consists of the following:</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57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7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7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Current:</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center"/>
              <w:ind w:right="18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7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0C0C0"/>
          </w:tcPr>
          <w:p>
            <w:pPr>
              <w:ind w:left="200"/>
              <w:spacing w:after="0" w:line="202" w:lineRule="exact"/>
              <w:rPr>
                <w:sz w:val="20"/>
                <w:szCs w:val="20"/>
                <w:color w:val="auto"/>
              </w:rPr>
            </w:pPr>
            <w:r>
              <w:rPr>
                <w:rFonts w:ascii="Arial" w:cs="Arial" w:eastAsia="Arial" w:hAnsi="Arial"/>
                <w:sz w:val="18"/>
                <w:szCs w:val="18"/>
                <w:color w:val="auto"/>
              </w:rPr>
              <w:t>Federal</w:t>
            </w:r>
          </w:p>
        </w:tc>
        <w:tc>
          <w:tcPr>
            <w:tcW w:w="20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b w:val="1"/>
                <w:bCs w:val="1"/>
                <w:color w:val="auto"/>
                <w:w w:val="79"/>
              </w:rPr>
              <w:t>$</w:t>
            </w:r>
          </w:p>
        </w:tc>
        <w:tc>
          <w:tcPr>
            <w:tcW w:w="54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rPr>
              <w:t>164</w:t>
            </w:r>
          </w:p>
        </w:tc>
        <w:tc>
          <w:tcPr>
            <w:tcW w:w="120" w:type="dxa"/>
            <w:vAlign w:val="bottom"/>
            <w:tcBorders>
              <w:left w:val="single" w:sz="8" w:color="C0C0C0"/>
            </w:tcBorders>
            <w:shd w:val="clear" w:color="auto" w:fill="C0C0C0"/>
          </w:tcPr>
          <w:p>
            <w:pPr>
              <w:spacing w:after="0"/>
              <w:rPr>
                <w:sz w:val="17"/>
                <w:szCs w:val="17"/>
                <w:color w:val="auto"/>
              </w:rPr>
            </w:pPr>
          </w:p>
        </w:tc>
        <w:tc>
          <w:tcPr>
            <w:tcW w:w="280" w:type="dxa"/>
            <w:vAlign w:val="bottom"/>
            <w:gridSpan w:val="2"/>
            <w:shd w:val="clear" w:color="auto" w:fill="C0C0C0"/>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152</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0C0C0"/>
          </w:tcPr>
          <w:p>
            <w:pPr>
              <w:jc w:val="right"/>
              <w:ind w:right="140"/>
              <w:spacing w:after="0" w:line="20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3"/>
        </w:trPr>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State and local</w:t>
            </w:r>
          </w:p>
        </w:tc>
        <w:tc>
          <w:tcPr>
            <w:tcW w:w="20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5760" w:type="dxa"/>
            <w:vAlign w:val="bottom"/>
            <w:shd w:val="clear" w:color="auto" w:fill="C0C0C0"/>
          </w:tcPr>
          <w:p>
            <w:pPr>
              <w:ind w:left="200"/>
              <w:spacing w:after="0" w:line="202" w:lineRule="exact"/>
              <w:rPr>
                <w:sz w:val="20"/>
                <w:szCs w:val="20"/>
                <w:color w:val="auto"/>
              </w:rPr>
            </w:pPr>
            <w:r>
              <w:rPr>
                <w:rFonts w:ascii="Arial" w:cs="Arial" w:eastAsia="Arial" w:hAnsi="Arial"/>
                <w:sz w:val="18"/>
                <w:szCs w:val="18"/>
                <w:color w:val="auto"/>
              </w:rPr>
              <w:t>International</w:t>
            </w:r>
          </w:p>
        </w:tc>
        <w:tc>
          <w:tcPr>
            <w:tcW w:w="200" w:type="dxa"/>
            <w:vAlign w:val="bottom"/>
            <w:shd w:val="clear" w:color="auto" w:fill="C0C0C0"/>
          </w:tcPr>
          <w:p>
            <w:pPr>
              <w:spacing w:after="0"/>
              <w:rPr>
                <w:sz w:val="17"/>
                <w:szCs w:val="17"/>
                <w:color w:val="auto"/>
              </w:rPr>
            </w:pPr>
          </w:p>
        </w:tc>
        <w:tc>
          <w:tcPr>
            <w:tcW w:w="660" w:type="dxa"/>
            <w:vAlign w:val="bottom"/>
            <w:gridSpan w:val="2"/>
            <w:shd w:val="clear" w:color="auto" w:fill="C0C0C0"/>
          </w:tcPr>
          <w:p>
            <w:pPr>
              <w:jc w:val="right"/>
              <w:ind w:right="100"/>
              <w:spacing w:after="0" w:line="202" w:lineRule="exact"/>
              <w:rPr>
                <w:sz w:val="20"/>
                <w:szCs w:val="20"/>
                <w:color w:val="auto"/>
              </w:rPr>
            </w:pPr>
            <w:r>
              <w:rPr>
                <w:rFonts w:ascii="Arial" w:cs="Arial" w:eastAsia="Arial" w:hAnsi="Arial"/>
                <w:sz w:val="18"/>
                <w:szCs w:val="18"/>
                <w:b w:val="1"/>
                <w:bCs w:val="1"/>
                <w:color w:val="auto"/>
              </w:rPr>
              <w:t>25</w:t>
            </w:r>
          </w:p>
        </w:tc>
        <w:tc>
          <w:tcPr>
            <w:tcW w:w="1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16</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4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7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left w:val="single" w:sz="8" w:color="C0C0C0"/>
            </w:tcBorders>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tcPr>
          <w:p>
            <w:pPr>
              <w:ind w:left="200"/>
              <w:spacing w:after="0" w:line="196" w:lineRule="exact"/>
              <w:rPr>
                <w:sz w:val="20"/>
                <w:szCs w:val="20"/>
                <w:color w:val="auto"/>
              </w:rPr>
            </w:pPr>
            <w:r>
              <w:rPr>
                <w:rFonts w:ascii="Arial" w:cs="Arial" w:eastAsia="Arial" w:hAnsi="Arial"/>
                <w:sz w:val="18"/>
                <w:szCs w:val="18"/>
                <w:color w:val="auto"/>
              </w:rPr>
              <w:t>Total current tax provision</w:t>
            </w:r>
          </w:p>
        </w:tc>
        <w:tc>
          <w:tcPr>
            <w:tcW w:w="20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215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190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96"/>
        </w:trPr>
        <w:tc>
          <w:tcPr>
            <w:tcW w:w="5760" w:type="dxa"/>
            <w:vAlign w:val="bottom"/>
            <w:shd w:val="clear" w:color="auto" w:fill="C0C0C0"/>
          </w:tcPr>
          <w:p>
            <w:pPr>
              <w:ind w:left="20"/>
              <w:spacing w:after="0" w:line="196" w:lineRule="exact"/>
              <w:rPr>
                <w:sz w:val="20"/>
                <w:szCs w:val="20"/>
                <w:color w:val="auto"/>
              </w:rPr>
            </w:pPr>
            <w:r>
              <w:rPr>
                <w:rFonts w:ascii="Arial" w:cs="Arial" w:eastAsia="Arial" w:hAnsi="Arial"/>
                <w:sz w:val="18"/>
                <w:szCs w:val="18"/>
                <w:b w:val="1"/>
                <w:bCs w:val="1"/>
                <w:color w:val="auto"/>
              </w:rPr>
              <w:t>Deferred:</w:t>
            </w:r>
          </w:p>
        </w:tc>
        <w:tc>
          <w:tcPr>
            <w:tcW w:w="200" w:type="dxa"/>
            <w:vAlign w:val="bottom"/>
            <w:tcBorders>
              <w:top w:val="single" w:sz="8" w:color="auto"/>
            </w:tcBorders>
            <w:shd w:val="clear" w:color="auto" w:fill="C0C0C0"/>
          </w:tcPr>
          <w:p>
            <w:pPr>
              <w:spacing w:after="0"/>
              <w:rPr>
                <w:sz w:val="17"/>
                <w:szCs w:val="17"/>
                <w:color w:val="auto"/>
              </w:rPr>
            </w:pPr>
          </w:p>
        </w:tc>
        <w:tc>
          <w:tcPr>
            <w:tcW w:w="540" w:type="dxa"/>
            <w:vAlign w:val="bottom"/>
            <w:tcBorders>
              <w:top w:val="single" w:sz="8" w:color="auto"/>
            </w:tcBorders>
            <w:shd w:val="clear" w:color="auto" w:fill="C0C0C0"/>
          </w:tcPr>
          <w:p>
            <w:pPr>
              <w:spacing w:after="0"/>
              <w:rPr>
                <w:sz w:val="17"/>
                <w:szCs w:val="17"/>
                <w:color w:val="auto"/>
              </w:rPr>
            </w:pPr>
          </w:p>
        </w:tc>
        <w:tc>
          <w:tcPr>
            <w:tcW w:w="120" w:type="dxa"/>
            <w:vAlign w:val="bottom"/>
            <w:tcBorders>
              <w:left w:val="single" w:sz="8" w:color="C0C0C0"/>
            </w:tcBorders>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20" w:type="dxa"/>
            <w:vAlign w:val="bottom"/>
            <w:tcBorders>
              <w:top w:val="single" w:sz="8" w:color="auto"/>
            </w:tcBorders>
            <w:shd w:val="clear" w:color="auto" w:fill="C0C0C0"/>
          </w:tcPr>
          <w:p>
            <w:pPr>
              <w:spacing w:after="0"/>
              <w:rPr>
                <w:sz w:val="17"/>
                <w:szCs w:val="17"/>
                <w:color w:val="auto"/>
              </w:rPr>
            </w:pPr>
          </w:p>
        </w:tc>
        <w:tc>
          <w:tcPr>
            <w:tcW w:w="640" w:type="dxa"/>
            <w:vAlign w:val="bottom"/>
            <w:tcBorders>
              <w:top w:val="single" w:sz="8" w:color="auto"/>
            </w:tcBorders>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tcBorders>
              <w:top w:val="single" w:sz="8" w:color="auto"/>
            </w:tcBorders>
            <w:shd w:val="clear" w:color="auto" w:fill="C0C0C0"/>
          </w:tcPr>
          <w:p>
            <w:pPr>
              <w:spacing w:after="0"/>
              <w:rPr>
                <w:sz w:val="17"/>
                <w:szCs w:val="17"/>
                <w:color w:val="auto"/>
              </w:rPr>
            </w:pPr>
          </w:p>
        </w:tc>
        <w:tc>
          <w:tcPr>
            <w:tcW w:w="620" w:type="dxa"/>
            <w:vAlign w:val="bottom"/>
            <w:tcBorders>
              <w:top w:val="single" w:sz="8" w:color="auto"/>
            </w:tcBorders>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Federal</w:t>
            </w:r>
          </w:p>
        </w:tc>
        <w:tc>
          <w:tcPr>
            <w:tcW w:w="20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5760" w:type="dxa"/>
            <w:vAlign w:val="bottom"/>
            <w:shd w:val="clear" w:color="auto" w:fill="C0C0C0"/>
          </w:tcPr>
          <w:p>
            <w:pPr>
              <w:ind w:left="200"/>
              <w:spacing w:after="0" w:line="202" w:lineRule="exact"/>
              <w:rPr>
                <w:sz w:val="20"/>
                <w:szCs w:val="20"/>
                <w:color w:val="auto"/>
              </w:rPr>
            </w:pPr>
            <w:r>
              <w:rPr>
                <w:rFonts w:ascii="Arial" w:cs="Arial" w:eastAsia="Arial" w:hAnsi="Arial"/>
                <w:sz w:val="18"/>
                <w:szCs w:val="18"/>
                <w:color w:val="auto"/>
              </w:rPr>
              <w:t>State and local</w:t>
            </w:r>
          </w:p>
        </w:tc>
        <w:tc>
          <w:tcPr>
            <w:tcW w:w="200" w:type="dxa"/>
            <w:vAlign w:val="bottom"/>
            <w:shd w:val="clear" w:color="auto" w:fill="C0C0C0"/>
          </w:tcPr>
          <w:p>
            <w:pPr>
              <w:spacing w:after="0"/>
              <w:rPr>
                <w:sz w:val="17"/>
                <w:szCs w:val="17"/>
                <w:color w:val="auto"/>
              </w:rPr>
            </w:pPr>
          </w:p>
        </w:tc>
        <w:tc>
          <w:tcPr>
            <w:tcW w:w="660" w:type="dxa"/>
            <w:vAlign w:val="bottom"/>
            <w:gridSpan w:val="2"/>
            <w:shd w:val="clear" w:color="auto" w:fill="C0C0C0"/>
          </w:tcPr>
          <w:p>
            <w:pPr>
              <w:jc w:val="right"/>
              <w:ind w:right="100"/>
              <w:spacing w:after="0" w:line="202" w:lineRule="exact"/>
              <w:rPr>
                <w:sz w:val="20"/>
                <w:szCs w:val="20"/>
                <w:color w:val="auto"/>
              </w:rPr>
            </w:pPr>
            <w:r>
              <w:rPr>
                <w:rFonts w:ascii="Arial" w:cs="Arial" w:eastAsia="Arial" w:hAnsi="Arial"/>
                <w:sz w:val="18"/>
                <w:szCs w:val="18"/>
                <w:b w:val="1"/>
                <w:bCs w:val="1"/>
                <w:color w:val="auto"/>
              </w:rPr>
              <w:t>5</w:t>
            </w:r>
          </w:p>
        </w:tc>
        <w:tc>
          <w:tcPr>
            <w:tcW w:w="1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5</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4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shd w:val="clear" w:color="auto" w:fill="C0C0C0"/>
          </w:tcPr>
          <w:p>
            <w:pPr>
              <w:ind w:left="20"/>
              <w:spacing w:after="0" w:line="196" w:lineRule="exact"/>
              <w:rPr>
                <w:sz w:val="20"/>
                <w:szCs w:val="20"/>
                <w:color w:val="auto"/>
              </w:rPr>
            </w:pPr>
            <w:r>
              <w:rPr>
                <w:rFonts w:ascii="Arial" w:cs="Arial" w:eastAsia="Arial" w:hAnsi="Arial"/>
                <w:sz w:val="18"/>
                <w:szCs w:val="18"/>
                <w:color w:val="auto"/>
              </w:rPr>
              <w:t>Total deferred tax provision</w:t>
            </w:r>
          </w:p>
        </w:tc>
        <w:tc>
          <w:tcPr>
            <w:tcW w:w="200" w:type="dxa"/>
            <w:vAlign w:val="bottom"/>
            <w:shd w:val="clear" w:color="auto" w:fill="C0C0C0"/>
          </w:tcPr>
          <w:p>
            <w:pPr>
              <w:spacing w:after="0"/>
              <w:rPr>
                <w:sz w:val="17"/>
                <w:szCs w:val="17"/>
                <w:color w:val="auto"/>
              </w:rPr>
            </w:pPr>
          </w:p>
        </w:tc>
        <w:tc>
          <w:tcPr>
            <w:tcW w:w="660" w:type="dxa"/>
            <w:vAlign w:val="bottom"/>
            <w:gridSpan w:val="2"/>
            <w:shd w:val="clear" w:color="auto" w:fill="C0C0C0"/>
          </w:tcPr>
          <w:p>
            <w:pPr>
              <w:jc w:val="right"/>
              <w:ind w:right="100"/>
              <w:spacing w:after="0" w:line="196" w:lineRule="exact"/>
              <w:rPr>
                <w:sz w:val="20"/>
                <w:szCs w:val="20"/>
                <w:color w:val="auto"/>
              </w:rPr>
            </w:pPr>
            <w:r>
              <w:rPr>
                <w:rFonts w:ascii="Arial" w:cs="Arial" w:eastAsia="Arial" w:hAnsi="Arial"/>
                <w:sz w:val="18"/>
                <w:szCs w:val="18"/>
                <w:b w:val="1"/>
                <w:bCs w:val="1"/>
                <w:color w:val="auto"/>
              </w:rPr>
              <w:t>19</w:t>
            </w:r>
          </w:p>
        </w:tc>
        <w:tc>
          <w:tcPr>
            <w:tcW w:w="1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20"/>
              <w:spacing w:after="0" w:line="196" w:lineRule="exact"/>
              <w:rPr>
                <w:sz w:val="20"/>
                <w:szCs w:val="20"/>
                <w:color w:val="auto"/>
              </w:rPr>
            </w:pPr>
            <w:r>
              <w:rPr>
                <w:rFonts w:ascii="Arial" w:cs="Arial" w:eastAsia="Arial" w:hAnsi="Arial"/>
                <w:sz w:val="18"/>
                <w:szCs w:val="18"/>
                <w:color w:val="auto"/>
              </w:rPr>
              <w:t>20</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4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7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left w:val="single" w:sz="8" w:color="C0C0C0"/>
            </w:tcBorders>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tcPr>
          <w:p>
            <w:pPr>
              <w:ind w:left="20"/>
              <w:spacing w:after="0" w:line="196" w:lineRule="exact"/>
              <w:rPr>
                <w:sz w:val="20"/>
                <w:szCs w:val="20"/>
                <w:color w:val="auto"/>
              </w:rPr>
            </w:pPr>
            <w:r>
              <w:rPr>
                <w:rFonts w:ascii="Arial" w:cs="Arial" w:eastAsia="Arial" w:hAnsi="Arial"/>
                <w:sz w:val="18"/>
                <w:szCs w:val="18"/>
                <w:color w:val="auto"/>
              </w:rPr>
              <w:t>Total income tax provision</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w w:val="79"/>
              </w:rPr>
              <w:t>$</w:t>
            </w:r>
          </w:p>
        </w:tc>
        <w:tc>
          <w:tcPr>
            <w:tcW w:w="5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234</w:t>
            </w:r>
          </w:p>
        </w:tc>
        <w:tc>
          <w:tcPr>
            <w:tcW w:w="120" w:type="dxa"/>
            <w:vAlign w:val="bottom"/>
          </w:tcPr>
          <w:p>
            <w:pPr>
              <w:spacing w:after="0"/>
              <w:rPr>
                <w:sz w:val="17"/>
                <w:szCs w:val="17"/>
                <w:color w:val="auto"/>
              </w:rPr>
            </w:pP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210</w:t>
            </w:r>
          </w:p>
        </w:tc>
        <w:tc>
          <w:tcPr>
            <w:tcW w:w="16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-2108835</wp:posOffset>
            </wp:positionV>
            <wp:extent cx="5565775" cy="1714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56577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-968375</wp:posOffset>
            </wp:positionV>
            <wp:extent cx="5565775" cy="146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56577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-170815</wp:posOffset>
            </wp:positionV>
            <wp:extent cx="5565775" cy="1714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56577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-1809115</wp:posOffset>
            </wp:positionV>
            <wp:extent cx="556577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87" w:lineRule="exact"/>
        <w:rPr>
          <w:sz w:val="20"/>
          <w:szCs w:val="20"/>
          <w:color w:val="auto"/>
        </w:rPr>
      </w:pPr>
    </w:p>
    <w:p>
      <w:pPr>
        <w:jc w:val="both"/>
        <w:ind w:left="60" w:right="820"/>
        <w:spacing w:after="0" w:line="252" w:lineRule="auto"/>
        <w:rPr>
          <w:sz w:val="20"/>
          <w:szCs w:val="20"/>
          <w:color w:val="auto"/>
        </w:rPr>
      </w:pPr>
      <w:r>
        <w:rPr>
          <w:rFonts w:ascii="Arial" w:cs="Arial" w:eastAsia="Arial" w:hAnsi="Arial"/>
          <w:sz w:val="18"/>
          <w:szCs w:val="18"/>
          <w:color w:val="auto"/>
        </w:rPr>
        <w:t>Provision has been made in the accompanying Consolidated Statements of Operations for additional income taxes applicable to dividends received or expected to be received from international subsidiaries. The amount of unremitted earnings of international subsidiaries for which no such tax is provided and which is considered to be permanently reinvested in the subsidiaries totaled $890 million and $835 million at February 1, 2014 and February 2, 2013, respectively. The determination of the amount of the deferred tax liability related to permanently reinvested earnings is not practicable.</w:t>
      </w:r>
    </w:p>
    <w:p>
      <w:pPr>
        <w:spacing w:after="0" w:line="101" w:lineRule="exact"/>
        <w:rPr>
          <w:sz w:val="20"/>
          <w:szCs w:val="20"/>
          <w:color w:val="auto"/>
        </w:rPr>
      </w:pPr>
    </w:p>
    <w:p>
      <w:pPr>
        <w:jc w:val="both"/>
        <w:ind w:left="60" w:right="820"/>
        <w:spacing w:after="0" w:line="251" w:lineRule="auto"/>
        <w:rPr>
          <w:sz w:val="20"/>
          <w:szCs w:val="20"/>
          <w:color w:val="auto"/>
        </w:rPr>
      </w:pPr>
      <w:r>
        <w:rPr>
          <w:rFonts w:ascii="Arial" w:cs="Arial" w:eastAsia="Arial" w:hAnsi="Arial"/>
          <w:sz w:val="18"/>
          <w:szCs w:val="18"/>
          <w:color w:val="auto"/>
        </w:rPr>
        <w:t>A reconciliation of the significant differences between the federal statutory income tax rate and the effective income tax rate on pre-tax income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-76200</wp:posOffset>
            </wp:positionV>
            <wp:extent cx="555688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5568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8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5"/>
                <w:szCs w:val="15"/>
                <w:color w:val="auto"/>
              </w:rPr>
            </w:pPr>
          </w:p>
        </w:tc>
        <w:tc>
          <w:tcPr>
            <w:tcW w:w="8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5"/>
                <w:szCs w:val="15"/>
                <w:color w:val="auto"/>
              </w:rPr>
            </w:pPr>
          </w:p>
        </w:tc>
        <w:tc>
          <w:tcPr>
            <w:tcW w:w="9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2011</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60" w:type="dxa"/>
            <w:vAlign w:val="bottom"/>
            <w:gridSpan w:val="2"/>
            <w:shd w:val="clear" w:color="auto" w:fill="C0C0C0"/>
          </w:tcPr>
          <w:p>
            <w:pPr>
              <w:ind w:left="20"/>
              <w:spacing w:after="0" w:line="196" w:lineRule="exact"/>
              <w:rPr>
                <w:sz w:val="20"/>
                <w:szCs w:val="20"/>
                <w:color w:val="auto"/>
              </w:rPr>
            </w:pPr>
            <w:r>
              <w:rPr>
                <w:rFonts w:ascii="Arial" w:cs="Arial" w:eastAsia="Arial" w:hAnsi="Arial"/>
                <w:sz w:val="18"/>
                <w:szCs w:val="18"/>
                <w:color w:val="auto"/>
              </w:rPr>
              <w:t>Federal statutory income tax rate</w:t>
            </w:r>
          </w:p>
        </w:tc>
        <w:tc>
          <w:tcPr>
            <w:tcW w:w="2160" w:type="dxa"/>
            <w:vAlign w:val="bottom"/>
            <w:gridSpan w:val="3"/>
            <w:shd w:val="clear" w:color="auto" w:fill="C0C0C0"/>
          </w:tcPr>
          <w:p>
            <w:pPr>
              <w:jc w:val="right"/>
              <w:ind w:right="160"/>
              <w:spacing w:after="0" w:line="196" w:lineRule="exact"/>
              <w:rPr>
                <w:sz w:val="20"/>
                <w:szCs w:val="20"/>
                <w:color w:val="auto"/>
              </w:rPr>
            </w:pPr>
            <w:r>
              <w:rPr>
                <w:rFonts w:ascii="Arial" w:cs="Arial" w:eastAsia="Arial" w:hAnsi="Arial"/>
                <w:sz w:val="18"/>
                <w:szCs w:val="18"/>
                <w:b w:val="1"/>
                <w:bCs w:val="1"/>
                <w:color w:val="auto"/>
              </w:rPr>
              <w:t>35.0%</w:t>
            </w:r>
          </w:p>
        </w:tc>
        <w:tc>
          <w:tcPr>
            <w:tcW w:w="1020" w:type="dxa"/>
            <w:vAlign w:val="bottom"/>
            <w:gridSpan w:val="3"/>
            <w:shd w:val="clear" w:color="auto" w:fill="C0C0C0"/>
          </w:tcPr>
          <w:p>
            <w:pPr>
              <w:jc w:val="right"/>
              <w:ind w:right="140"/>
              <w:spacing w:after="0" w:line="196" w:lineRule="exact"/>
              <w:rPr>
                <w:sz w:val="20"/>
                <w:szCs w:val="20"/>
                <w:color w:val="auto"/>
              </w:rPr>
            </w:pPr>
            <w:r>
              <w:rPr>
                <w:rFonts w:ascii="Arial" w:cs="Arial" w:eastAsia="Arial" w:hAnsi="Arial"/>
                <w:sz w:val="18"/>
                <w:szCs w:val="18"/>
                <w:color w:val="auto"/>
              </w:rPr>
              <w:t>35.0%</w:t>
            </w:r>
          </w:p>
        </w:tc>
        <w:tc>
          <w:tcPr>
            <w:tcW w:w="1140" w:type="dxa"/>
            <w:vAlign w:val="bottom"/>
            <w:gridSpan w:val="3"/>
            <w:shd w:val="clear" w:color="auto" w:fill="C0C0C0"/>
          </w:tcPr>
          <w:p>
            <w:pPr>
              <w:jc w:val="right"/>
              <w:ind w:right="200"/>
              <w:spacing w:after="0" w:line="196" w:lineRule="exact"/>
              <w:rPr>
                <w:sz w:val="20"/>
                <w:szCs w:val="20"/>
                <w:color w:val="auto"/>
              </w:rPr>
            </w:pPr>
            <w:r>
              <w:rPr>
                <w:rFonts w:ascii="Arial" w:cs="Arial" w:eastAsia="Arial" w:hAnsi="Arial"/>
                <w:sz w:val="18"/>
                <w:szCs w:val="18"/>
                <w:color w:val="auto"/>
              </w:rPr>
              <w:t>35.0%</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State and local income taxes, net of federal tax benefit</w:t>
            </w:r>
          </w:p>
        </w:tc>
        <w:tc>
          <w:tcPr>
            <w:tcW w:w="2160" w:type="dxa"/>
            <w:vAlign w:val="bottom"/>
            <w:gridSpan w:val="3"/>
          </w:tcPr>
          <w:p>
            <w:pPr>
              <w:jc w:val="right"/>
              <w:ind w:right="320"/>
              <w:spacing w:after="0" w:line="202" w:lineRule="exact"/>
              <w:rPr>
                <w:sz w:val="20"/>
                <w:szCs w:val="20"/>
                <w:color w:val="auto"/>
              </w:rPr>
            </w:pPr>
            <w:r>
              <w:rPr>
                <w:rFonts w:ascii="Arial" w:cs="Arial" w:eastAsia="Arial" w:hAnsi="Arial"/>
                <w:sz w:val="18"/>
                <w:szCs w:val="18"/>
                <w:b w:val="1"/>
                <w:bCs w:val="1"/>
                <w:color w:val="auto"/>
              </w:rPr>
              <w:t>3.5</w:t>
            </w:r>
          </w:p>
        </w:tc>
        <w:tc>
          <w:tcPr>
            <w:tcW w:w="102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3.2</w:t>
            </w:r>
          </w:p>
        </w:tc>
        <w:tc>
          <w:tcPr>
            <w:tcW w:w="114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3.1</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shd w:val="clear" w:color="auto" w:fill="C0C0C0"/>
          </w:tcPr>
          <w:p>
            <w:pPr>
              <w:ind w:left="20"/>
              <w:spacing w:after="0" w:line="202" w:lineRule="exact"/>
              <w:rPr>
                <w:sz w:val="20"/>
                <w:szCs w:val="20"/>
                <w:color w:val="auto"/>
              </w:rPr>
            </w:pPr>
            <w:r>
              <w:rPr>
                <w:rFonts w:ascii="Arial" w:cs="Arial" w:eastAsia="Arial" w:hAnsi="Arial"/>
                <w:sz w:val="18"/>
                <w:szCs w:val="18"/>
                <w:color w:val="auto"/>
              </w:rPr>
              <w:t>International income taxed at varying rates</w:t>
            </w:r>
          </w:p>
        </w:tc>
        <w:tc>
          <w:tcPr>
            <w:tcW w:w="2160" w:type="dxa"/>
            <w:vAlign w:val="bottom"/>
            <w:gridSpan w:val="3"/>
            <w:shd w:val="clear" w:color="auto" w:fill="C0C0C0"/>
          </w:tcPr>
          <w:p>
            <w:pPr>
              <w:jc w:val="right"/>
              <w:ind w:right="260"/>
              <w:spacing w:after="0" w:line="202" w:lineRule="exact"/>
              <w:rPr>
                <w:sz w:val="20"/>
                <w:szCs w:val="20"/>
                <w:color w:val="auto"/>
              </w:rPr>
            </w:pPr>
            <w:r>
              <w:rPr>
                <w:rFonts w:ascii="Arial" w:cs="Arial" w:eastAsia="Arial" w:hAnsi="Arial"/>
                <w:sz w:val="18"/>
                <w:szCs w:val="18"/>
                <w:b w:val="1"/>
                <w:bCs w:val="1"/>
                <w:color w:val="auto"/>
              </w:rPr>
              <w:t>(1.6)</w:t>
            </w:r>
          </w:p>
        </w:tc>
        <w:tc>
          <w:tcPr>
            <w:tcW w:w="1020" w:type="dxa"/>
            <w:vAlign w:val="bottom"/>
            <w:gridSpan w:val="3"/>
            <w:shd w:val="clear" w:color="auto" w:fill="C0C0C0"/>
          </w:tcPr>
          <w:p>
            <w:pPr>
              <w:jc w:val="right"/>
              <w:ind w:right="240"/>
              <w:spacing w:after="0" w:line="202" w:lineRule="exact"/>
              <w:rPr>
                <w:sz w:val="20"/>
                <w:szCs w:val="20"/>
                <w:color w:val="auto"/>
              </w:rPr>
            </w:pPr>
            <w:r>
              <w:rPr>
                <w:rFonts w:ascii="Arial" w:cs="Arial" w:eastAsia="Arial" w:hAnsi="Arial"/>
                <w:sz w:val="18"/>
                <w:szCs w:val="18"/>
                <w:color w:val="auto"/>
              </w:rPr>
              <w:t>(0.4)</w:t>
            </w:r>
          </w:p>
        </w:tc>
        <w:tc>
          <w:tcPr>
            <w:tcW w:w="1140" w:type="dxa"/>
            <w:vAlign w:val="bottom"/>
            <w:gridSpan w:val="3"/>
            <w:shd w:val="clear" w:color="auto" w:fill="C0C0C0"/>
          </w:tcPr>
          <w:p>
            <w:pPr>
              <w:jc w:val="right"/>
              <w:ind w:right="300"/>
              <w:spacing w:after="0" w:line="202" w:lineRule="exact"/>
              <w:rPr>
                <w:sz w:val="20"/>
                <w:szCs w:val="20"/>
                <w:color w:val="auto"/>
              </w:rPr>
            </w:pPr>
            <w:r>
              <w:rPr>
                <w:rFonts w:ascii="Arial" w:cs="Arial" w:eastAsia="Arial" w:hAnsi="Arial"/>
                <w:sz w:val="18"/>
                <w:szCs w:val="18"/>
                <w:color w:val="auto"/>
              </w:rPr>
              <w:t>(0.3)</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Foreign tax credits</w:t>
            </w:r>
          </w:p>
        </w:tc>
        <w:tc>
          <w:tcPr>
            <w:tcW w:w="2160" w:type="dxa"/>
            <w:vAlign w:val="bottom"/>
            <w:gridSpan w:val="3"/>
          </w:tcPr>
          <w:p>
            <w:pPr>
              <w:jc w:val="right"/>
              <w:ind w:right="260"/>
              <w:spacing w:after="0" w:line="202" w:lineRule="exact"/>
              <w:rPr>
                <w:sz w:val="20"/>
                <w:szCs w:val="20"/>
                <w:color w:val="auto"/>
              </w:rPr>
            </w:pPr>
            <w:r>
              <w:rPr>
                <w:rFonts w:ascii="Arial" w:cs="Arial" w:eastAsia="Arial" w:hAnsi="Arial"/>
                <w:sz w:val="18"/>
                <w:szCs w:val="18"/>
                <w:b w:val="1"/>
                <w:bCs w:val="1"/>
                <w:color w:val="auto"/>
              </w:rPr>
              <w:t>(2.5)</w:t>
            </w:r>
          </w:p>
        </w:tc>
        <w:tc>
          <w:tcPr>
            <w:tcW w:w="10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(1.8)</w:t>
            </w:r>
          </w:p>
        </w:tc>
        <w:tc>
          <w:tcPr>
            <w:tcW w:w="114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(1.3)</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shd w:val="clear" w:color="auto" w:fill="C0C0C0"/>
          </w:tcPr>
          <w:p>
            <w:pPr>
              <w:ind w:left="20"/>
              <w:spacing w:after="0" w:line="202" w:lineRule="exact"/>
              <w:rPr>
                <w:sz w:val="20"/>
                <w:szCs w:val="20"/>
                <w:color w:val="auto"/>
              </w:rPr>
            </w:pPr>
            <w:r>
              <w:rPr>
                <w:rFonts w:ascii="Arial" w:cs="Arial" w:eastAsia="Arial" w:hAnsi="Arial"/>
                <w:sz w:val="18"/>
                <w:szCs w:val="18"/>
                <w:color w:val="auto"/>
              </w:rPr>
              <w:t>Domestic/foreign tax settlements</w:t>
            </w:r>
          </w:p>
        </w:tc>
        <w:tc>
          <w:tcPr>
            <w:tcW w:w="2160" w:type="dxa"/>
            <w:vAlign w:val="bottom"/>
            <w:gridSpan w:val="3"/>
            <w:shd w:val="clear" w:color="auto" w:fill="C0C0C0"/>
          </w:tcPr>
          <w:p>
            <w:pPr>
              <w:jc w:val="right"/>
              <w:ind w:right="260"/>
              <w:spacing w:after="0" w:line="202" w:lineRule="exact"/>
              <w:rPr>
                <w:sz w:val="20"/>
                <w:szCs w:val="20"/>
                <w:color w:val="auto"/>
              </w:rPr>
            </w:pPr>
            <w:r>
              <w:rPr>
                <w:rFonts w:ascii="Arial" w:cs="Arial" w:eastAsia="Arial" w:hAnsi="Arial"/>
                <w:sz w:val="18"/>
                <w:szCs w:val="18"/>
                <w:b w:val="1"/>
                <w:bCs w:val="1"/>
                <w:color w:val="auto"/>
              </w:rPr>
              <w:t>(1.1)</w:t>
            </w:r>
          </w:p>
        </w:tc>
        <w:tc>
          <w:tcPr>
            <w:tcW w:w="1020" w:type="dxa"/>
            <w:vAlign w:val="bottom"/>
            <w:gridSpan w:val="3"/>
            <w:shd w:val="clear" w:color="auto" w:fill="C0C0C0"/>
          </w:tcPr>
          <w:p>
            <w:pPr>
              <w:jc w:val="right"/>
              <w:ind w:right="240"/>
              <w:spacing w:after="0" w:line="202" w:lineRule="exact"/>
              <w:rPr>
                <w:sz w:val="20"/>
                <w:szCs w:val="20"/>
                <w:color w:val="auto"/>
              </w:rPr>
            </w:pPr>
            <w:r>
              <w:rPr>
                <w:rFonts w:ascii="Arial" w:cs="Arial" w:eastAsia="Arial" w:hAnsi="Arial"/>
                <w:sz w:val="18"/>
                <w:szCs w:val="18"/>
                <w:color w:val="auto"/>
              </w:rPr>
              <w:t>(2.2)</w:t>
            </w:r>
          </w:p>
        </w:tc>
        <w:tc>
          <w:tcPr>
            <w:tcW w:w="1140" w:type="dxa"/>
            <w:vAlign w:val="bottom"/>
            <w:gridSpan w:val="3"/>
            <w:shd w:val="clear" w:color="auto" w:fill="C0C0C0"/>
          </w:tcPr>
          <w:p>
            <w:pPr>
              <w:jc w:val="right"/>
              <w:ind w:right="360"/>
              <w:spacing w:after="0" w:line="202" w:lineRule="exact"/>
              <w:rPr>
                <w:sz w:val="20"/>
                <w:szCs w:val="20"/>
                <w:color w:val="auto"/>
              </w:rPr>
            </w:pPr>
            <w:r>
              <w:rPr>
                <w:rFonts w:ascii="Arial" w:cs="Arial" w:eastAsia="Arial" w:hAnsi="Arial"/>
                <w:sz w:val="18"/>
                <w:szCs w:val="18"/>
                <w:color w:val="auto"/>
              </w:rPr>
              <w:t>0.3</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Federal tax credits</w:t>
            </w:r>
          </w:p>
        </w:tc>
        <w:tc>
          <w:tcPr>
            <w:tcW w:w="2160" w:type="dxa"/>
            <w:vAlign w:val="bottom"/>
            <w:gridSpan w:val="3"/>
          </w:tcPr>
          <w:p>
            <w:pPr>
              <w:jc w:val="right"/>
              <w:ind w:right="260"/>
              <w:spacing w:after="0" w:line="202" w:lineRule="exact"/>
              <w:rPr>
                <w:sz w:val="20"/>
                <w:szCs w:val="20"/>
                <w:color w:val="auto"/>
              </w:rPr>
            </w:pPr>
            <w:r>
              <w:rPr>
                <w:rFonts w:ascii="Arial" w:cs="Arial" w:eastAsia="Arial" w:hAnsi="Arial"/>
                <w:sz w:val="18"/>
                <w:szCs w:val="18"/>
                <w:b w:val="1"/>
                <w:bCs w:val="1"/>
                <w:color w:val="auto"/>
              </w:rPr>
              <w:t>(0.2)</w:t>
            </w:r>
          </w:p>
        </w:tc>
        <w:tc>
          <w:tcPr>
            <w:tcW w:w="10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(0.2)</w:t>
            </w:r>
          </w:p>
        </w:tc>
        <w:tc>
          <w:tcPr>
            <w:tcW w:w="114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(0.6)</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shd w:val="clear" w:color="auto" w:fill="C0C0C0"/>
          </w:tcPr>
          <w:p>
            <w:pPr>
              <w:ind w:left="20"/>
              <w:spacing w:after="0" w:line="202" w:lineRule="exact"/>
              <w:rPr>
                <w:sz w:val="20"/>
                <w:szCs w:val="20"/>
                <w:color w:val="auto"/>
              </w:rPr>
            </w:pPr>
            <w:r>
              <w:rPr>
                <w:rFonts w:ascii="Arial" w:cs="Arial" w:eastAsia="Arial" w:hAnsi="Arial"/>
                <w:sz w:val="18"/>
                <w:szCs w:val="18"/>
                <w:color w:val="auto"/>
              </w:rPr>
              <w:t>Other, net</w:t>
            </w:r>
          </w:p>
        </w:tc>
        <w:tc>
          <w:tcPr>
            <w:tcW w:w="1280" w:type="dxa"/>
            <w:vAlign w:val="bottom"/>
            <w:shd w:val="clear" w:color="auto" w:fill="C0C0C0"/>
          </w:tcPr>
          <w:p>
            <w:pPr>
              <w:spacing w:after="0"/>
              <w:rPr>
                <w:sz w:val="17"/>
                <w:szCs w:val="17"/>
                <w:color w:val="auto"/>
              </w:rPr>
            </w:pPr>
          </w:p>
        </w:tc>
        <w:tc>
          <w:tcPr>
            <w:tcW w:w="880" w:type="dxa"/>
            <w:vAlign w:val="bottom"/>
            <w:gridSpan w:val="2"/>
            <w:shd w:val="clear" w:color="auto" w:fill="C0C0C0"/>
          </w:tcPr>
          <w:p>
            <w:pPr>
              <w:jc w:val="right"/>
              <w:ind w:right="320"/>
              <w:spacing w:after="0" w:line="202" w:lineRule="exact"/>
              <w:rPr>
                <w:sz w:val="20"/>
                <w:szCs w:val="20"/>
                <w:color w:val="auto"/>
              </w:rPr>
            </w:pPr>
            <w:r>
              <w:rPr>
                <w:rFonts w:ascii="Arial" w:cs="Arial" w:eastAsia="Arial" w:hAnsi="Arial"/>
                <w:sz w:val="18"/>
                <w:szCs w:val="18"/>
                <w:b w:val="1"/>
                <w:bCs w:val="1"/>
                <w:color w:val="auto"/>
              </w:rPr>
              <w:t>2.2</w:t>
            </w:r>
          </w:p>
        </w:tc>
        <w:tc>
          <w:tcPr>
            <w:tcW w:w="1020" w:type="dxa"/>
            <w:vAlign w:val="bottom"/>
            <w:gridSpan w:val="3"/>
            <w:shd w:val="clear" w:color="auto" w:fill="C0C0C0"/>
          </w:tcPr>
          <w:p>
            <w:pPr>
              <w:jc w:val="right"/>
              <w:ind w:right="300"/>
              <w:spacing w:after="0" w:line="202" w:lineRule="exact"/>
              <w:rPr>
                <w:sz w:val="20"/>
                <w:szCs w:val="20"/>
                <w:color w:val="auto"/>
              </w:rPr>
            </w:pPr>
            <w:r>
              <w:rPr>
                <w:rFonts w:ascii="Arial" w:cs="Arial" w:eastAsia="Arial" w:hAnsi="Arial"/>
                <w:sz w:val="18"/>
                <w:szCs w:val="18"/>
                <w:color w:val="auto"/>
              </w:rPr>
              <w:t>1.0</w:t>
            </w:r>
          </w:p>
        </w:tc>
        <w:tc>
          <w:tcPr>
            <w:tcW w:w="1140" w:type="dxa"/>
            <w:vAlign w:val="bottom"/>
            <w:gridSpan w:val="3"/>
            <w:shd w:val="clear" w:color="auto" w:fill="C0C0C0"/>
          </w:tcPr>
          <w:p>
            <w:pPr>
              <w:jc w:val="right"/>
              <w:ind w:right="300"/>
              <w:spacing w:after="0" w:line="202" w:lineRule="exact"/>
              <w:rPr>
                <w:sz w:val="20"/>
                <w:szCs w:val="20"/>
                <w:color w:val="auto"/>
              </w:rPr>
            </w:pPr>
            <w:r>
              <w:rPr>
                <w:rFonts w:ascii="Arial" w:cs="Arial" w:eastAsia="Arial" w:hAnsi="Arial"/>
                <w:sz w:val="18"/>
                <w:szCs w:val="18"/>
                <w:color w:val="auto"/>
              </w:rPr>
              <w:t>(0.2)</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shd w:val="clear" w:color="auto" w:fill="C0C0C0"/>
          </w:tcPr>
          <w:p>
            <w:pPr>
              <w:spacing w:after="0" w:line="20" w:lineRule="exact"/>
              <w:rPr>
                <w:sz w:val="1"/>
                <w:szCs w:val="1"/>
                <w:color w:val="auto"/>
              </w:rPr>
            </w:pPr>
          </w:p>
        </w:tc>
        <w:tc>
          <w:tcPr>
            <w:tcW w:w="3660" w:type="dxa"/>
            <w:vAlign w:val="bottom"/>
            <w:shd w:val="clear" w:color="auto" w:fill="C0C0C0"/>
          </w:tcPr>
          <w:p>
            <w:pPr>
              <w:spacing w:after="0" w:line="20" w:lineRule="exact"/>
              <w:rPr>
                <w:sz w:val="1"/>
                <w:szCs w:val="1"/>
                <w:color w:val="auto"/>
              </w:rPr>
            </w:pPr>
          </w:p>
        </w:tc>
        <w:tc>
          <w:tcPr>
            <w:tcW w:w="1280" w:type="dxa"/>
            <w:vAlign w:val="bottom"/>
            <w:shd w:val="clear" w:color="auto" w:fill="C0C0C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shd w:val="clear" w:color="auto" w:fill="C0C0C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Effective income tax rate</w:t>
            </w:r>
          </w:p>
        </w:tc>
        <w:tc>
          <w:tcPr>
            <w:tcW w:w="1280" w:type="dxa"/>
            <w:vAlign w:val="bottom"/>
          </w:tcPr>
          <w:p>
            <w:pPr>
              <w:spacing w:after="0"/>
              <w:rPr>
                <w:sz w:val="17"/>
                <w:szCs w:val="17"/>
                <w:color w:val="auto"/>
              </w:rPr>
            </w:pPr>
          </w:p>
        </w:tc>
        <w:tc>
          <w:tcPr>
            <w:tcW w:w="880" w:type="dxa"/>
            <w:vAlign w:val="bottom"/>
            <w:gridSpan w:val="2"/>
          </w:tcPr>
          <w:p>
            <w:pPr>
              <w:jc w:val="right"/>
              <w:ind w:right="160"/>
              <w:spacing w:after="0" w:line="196" w:lineRule="exact"/>
              <w:rPr>
                <w:sz w:val="20"/>
                <w:szCs w:val="20"/>
                <w:color w:val="auto"/>
              </w:rPr>
            </w:pPr>
            <w:r>
              <w:rPr>
                <w:rFonts w:ascii="Arial" w:cs="Arial" w:eastAsia="Arial" w:hAnsi="Arial"/>
                <w:sz w:val="18"/>
                <w:szCs w:val="18"/>
                <w:b w:val="1"/>
                <w:bCs w:val="1"/>
                <w:color w:val="auto"/>
              </w:rPr>
              <w:t>35.3%</w:t>
            </w:r>
          </w:p>
        </w:tc>
        <w:tc>
          <w:tcPr>
            <w:tcW w:w="1020" w:type="dxa"/>
            <w:vAlign w:val="bottom"/>
            <w:gridSpan w:val="3"/>
          </w:tcPr>
          <w:p>
            <w:pPr>
              <w:jc w:val="right"/>
              <w:ind w:right="140"/>
              <w:spacing w:after="0" w:line="196" w:lineRule="exact"/>
              <w:rPr>
                <w:sz w:val="20"/>
                <w:szCs w:val="20"/>
                <w:color w:val="auto"/>
              </w:rPr>
            </w:pPr>
            <w:r>
              <w:rPr>
                <w:rFonts w:ascii="Arial" w:cs="Arial" w:eastAsia="Arial" w:hAnsi="Arial"/>
                <w:sz w:val="18"/>
                <w:szCs w:val="18"/>
                <w:color w:val="auto"/>
              </w:rPr>
              <w:t>34.6%</w:t>
            </w:r>
          </w:p>
        </w:tc>
        <w:tc>
          <w:tcPr>
            <w:tcW w:w="1140" w:type="dxa"/>
            <w:vAlign w:val="bottom"/>
            <w:gridSpan w:val="3"/>
          </w:tcPr>
          <w:p>
            <w:pPr>
              <w:jc w:val="right"/>
              <w:ind w:right="200"/>
              <w:spacing w:after="0" w:line="196" w:lineRule="exact"/>
              <w:rPr>
                <w:sz w:val="20"/>
                <w:szCs w:val="20"/>
                <w:color w:val="auto"/>
              </w:rPr>
            </w:pPr>
            <w:r>
              <w:rPr>
                <w:rFonts w:ascii="Arial" w:cs="Arial" w:eastAsia="Arial" w:hAnsi="Arial"/>
                <w:sz w:val="18"/>
                <w:szCs w:val="18"/>
                <w:color w:val="auto"/>
              </w:rPr>
              <w:t>36.0%</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80" w:type="dxa"/>
            <w:vAlign w:val="bottom"/>
            <w:vMerge w:val="restart"/>
          </w:tcPr>
          <w:p>
            <w:pPr>
              <w:jc w:val="right"/>
              <w:ind w:right="890"/>
              <w:spacing w:after="0"/>
              <w:rPr>
                <w:sz w:val="20"/>
                <w:szCs w:val="20"/>
                <w:color w:val="auto"/>
              </w:rPr>
            </w:pPr>
            <w:r>
              <w:rPr>
                <w:rFonts w:ascii="Arial" w:cs="Arial" w:eastAsia="Arial" w:hAnsi="Arial"/>
                <w:sz w:val="18"/>
                <w:szCs w:val="18"/>
                <w:color w:val="auto"/>
              </w:rPr>
              <w:t>54</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8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3660" w:type="dxa"/>
            <w:vAlign w:val="bottom"/>
            <w:tcBorders>
              <w:bottom w:val="single" w:sz="8" w:color="9A9A9A"/>
            </w:tcBorders>
          </w:tcPr>
          <w:p>
            <w:pPr>
              <w:spacing w:after="0"/>
              <w:rPr>
                <w:sz w:val="14"/>
                <w:szCs w:val="14"/>
                <w:color w:val="auto"/>
              </w:rPr>
            </w:pPr>
          </w:p>
        </w:tc>
        <w:tc>
          <w:tcPr>
            <w:tcW w:w="128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3660" w:type="dxa"/>
            <w:vAlign w:val="bottom"/>
            <w:tcBorders>
              <w:bottom w:val="single" w:sz="8" w:color="EEEEEE"/>
            </w:tcBorders>
          </w:tcPr>
          <w:p>
            <w:pPr>
              <w:spacing w:after="0" w:line="20" w:lineRule="exact"/>
              <w:rPr>
                <w:sz w:val="1"/>
                <w:szCs w:val="1"/>
                <w:color w:val="auto"/>
              </w:rPr>
            </w:pPr>
          </w:p>
        </w:tc>
        <w:tc>
          <w:tcPr>
            <w:tcW w:w="128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6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-805180</wp:posOffset>
            </wp:positionV>
            <wp:extent cx="5565775" cy="1714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565775" cy="17145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802" w:right="1139" w:bottom="1440" w:gutter="0" w:footer="0" w:header="0"/>
        </w:sectPr>
      </w:pPr>
    </w:p>
    <w:bookmarkStart w:id="56" w:name="page57"/>
    <w:bookmarkEnd w:id="56"/>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Income Taxes – (continued)</w:t>
      </w:r>
    </w:p>
    <w:p>
      <w:pPr>
        <w:spacing w:after="0" w:line="139" w:lineRule="exact"/>
        <w:rPr>
          <w:sz w:val="20"/>
          <w:szCs w:val="20"/>
          <w:color w:val="auto"/>
        </w:rPr>
      </w:pPr>
    </w:p>
    <w:p>
      <w:pPr>
        <w:jc w:val="both"/>
        <w:ind w:left="60" w:right="519"/>
        <w:spacing w:after="0" w:line="250" w:lineRule="auto"/>
        <w:rPr>
          <w:sz w:val="20"/>
          <w:szCs w:val="20"/>
          <w:color w:val="auto"/>
        </w:rPr>
      </w:pPr>
      <w:r>
        <w:rPr>
          <w:rFonts w:ascii="Arial" w:cs="Arial" w:eastAsia="Arial" w:hAnsi="Arial"/>
          <w:sz w:val="18"/>
          <w:szCs w:val="18"/>
          <w:color w:val="auto"/>
        </w:rPr>
        <w:t>Deferred income taxes are provided for the effects of temporary differences between the amounts of assets and liabilities recognized for financial reporting purposes and the amounts recognized for income tax purposes. Items that give rise to significant portions of the Company’s deferred tax assets and deferred tax liabilities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-74930</wp:posOffset>
            </wp:positionV>
            <wp:extent cx="556577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6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7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200" w:type="dxa"/>
            <w:vAlign w:val="bottom"/>
          </w:tcPr>
          <w:p>
            <w:pPr>
              <w:spacing w:after="0"/>
              <w:rPr>
                <w:sz w:val="17"/>
                <w:szCs w:val="17"/>
                <w:color w:val="auto"/>
              </w:rPr>
            </w:pPr>
          </w:p>
        </w:tc>
        <w:tc>
          <w:tcPr>
            <w:tcW w:w="18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01"/>
        </w:trPr>
        <w:tc>
          <w:tcPr>
            <w:tcW w:w="67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0C0C0"/>
          </w:tcPr>
          <w:p>
            <w:pPr>
              <w:ind w:left="200"/>
              <w:spacing w:after="0" w:line="202" w:lineRule="exact"/>
              <w:rPr>
                <w:sz w:val="20"/>
                <w:szCs w:val="20"/>
                <w:color w:val="auto"/>
              </w:rPr>
            </w:pPr>
            <w:r>
              <w:rPr>
                <w:rFonts w:ascii="Arial" w:cs="Arial" w:eastAsia="Arial" w:hAnsi="Arial"/>
                <w:sz w:val="18"/>
                <w:szCs w:val="18"/>
                <w:color w:val="auto"/>
              </w:rPr>
              <w:t>Tax loss/credit carryforwards and capital loss</w:t>
            </w:r>
          </w:p>
        </w:tc>
        <w:tc>
          <w:tcPr>
            <w:tcW w:w="20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w w:val="99"/>
              </w:rPr>
              <w:t>$</w:t>
            </w:r>
          </w:p>
        </w:tc>
        <w:tc>
          <w:tcPr>
            <w:tcW w:w="46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rPr>
              <w:t>12</w:t>
            </w:r>
          </w:p>
        </w:tc>
        <w:tc>
          <w:tcPr>
            <w:tcW w:w="220" w:type="dxa"/>
            <w:vAlign w:val="bottom"/>
            <w:shd w:val="clear" w:color="auto" w:fill="C0C0C0"/>
          </w:tcPr>
          <w:p>
            <w:pPr>
              <w:spacing w:after="0"/>
              <w:rPr>
                <w:sz w:val="17"/>
                <w:szCs w:val="17"/>
                <w:color w:val="auto"/>
              </w:rPr>
            </w:pPr>
          </w:p>
        </w:tc>
        <w:tc>
          <w:tcPr>
            <w:tcW w:w="360" w:type="dxa"/>
            <w:vAlign w:val="bottom"/>
            <w:gridSpan w:val="2"/>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0C0C0"/>
          </w:tcPr>
          <w:p>
            <w:pPr>
              <w:jc w:val="right"/>
              <w:ind w:right="24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6780" w:type="dxa"/>
            <w:vAlign w:val="bottom"/>
          </w:tcPr>
          <w:p>
            <w:pPr>
              <w:ind w:left="200"/>
              <w:spacing w:after="0" w:line="202" w:lineRule="exact"/>
              <w:rPr>
                <w:sz w:val="20"/>
                <w:szCs w:val="20"/>
                <w:color w:val="auto"/>
              </w:rPr>
            </w:pPr>
            <w:r>
              <w:rPr>
                <w:rFonts w:ascii="Arial" w:cs="Arial" w:eastAsia="Arial" w:hAnsi="Arial"/>
                <w:sz w:val="18"/>
                <w:szCs w:val="18"/>
                <w:color w:val="auto"/>
              </w:rPr>
              <w:t>Employee benefits</w:t>
            </w:r>
          </w:p>
        </w:tc>
        <w:tc>
          <w:tcPr>
            <w:tcW w:w="2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3"/>
        </w:trPr>
        <w:tc>
          <w:tcPr>
            <w:tcW w:w="6780" w:type="dxa"/>
            <w:vAlign w:val="bottom"/>
            <w:shd w:val="clear" w:color="auto" w:fill="C0C0C0"/>
          </w:tcPr>
          <w:p>
            <w:pPr>
              <w:ind w:left="200"/>
              <w:spacing w:after="0" w:line="202" w:lineRule="exact"/>
              <w:rPr>
                <w:sz w:val="20"/>
                <w:szCs w:val="20"/>
                <w:color w:val="auto"/>
              </w:rPr>
            </w:pPr>
            <w:r>
              <w:rPr>
                <w:rFonts w:ascii="Arial" w:cs="Arial" w:eastAsia="Arial" w:hAnsi="Arial"/>
                <w:sz w:val="18"/>
                <w:szCs w:val="18"/>
                <w:color w:val="auto"/>
              </w:rPr>
              <w:t>Property and equipment</w:t>
            </w:r>
          </w:p>
        </w:tc>
        <w:tc>
          <w:tcPr>
            <w:tcW w:w="200" w:type="dxa"/>
            <w:vAlign w:val="bottom"/>
            <w:shd w:val="clear" w:color="auto" w:fill="C0C0C0"/>
          </w:tcPr>
          <w:p>
            <w:pPr>
              <w:spacing w:after="0"/>
              <w:rPr>
                <w:sz w:val="17"/>
                <w:szCs w:val="17"/>
                <w:color w:val="auto"/>
              </w:rPr>
            </w:pPr>
          </w:p>
        </w:tc>
        <w:tc>
          <w:tcPr>
            <w:tcW w:w="46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rPr>
              <w:t>147</w:t>
            </w: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240"/>
              <w:spacing w:after="0" w:line="202" w:lineRule="exact"/>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3"/>
        </w:trPr>
        <w:tc>
          <w:tcPr>
            <w:tcW w:w="6780" w:type="dxa"/>
            <w:vAlign w:val="bottom"/>
          </w:tcPr>
          <w:p>
            <w:pPr>
              <w:ind w:left="200"/>
              <w:spacing w:after="0" w:line="202" w:lineRule="exact"/>
              <w:rPr>
                <w:sz w:val="20"/>
                <w:szCs w:val="20"/>
                <w:color w:val="auto"/>
              </w:rPr>
            </w:pPr>
            <w:r>
              <w:rPr>
                <w:rFonts w:ascii="Arial" w:cs="Arial" w:eastAsia="Arial" w:hAnsi="Arial"/>
                <w:sz w:val="18"/>
                <w:szCs w:val="18"/>
                <w:color w:val="auto"/>
              </w:rPr>
              <w:t>Straight-line rent</w:t>
            </w:r>
          </w:p>
        </w:tc>
        <w:tc>
          <w:tcPr>
            <w:tcW w:w="2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6780" w:type="dxa"/>
            <w:vAlign w:val="bottom"/>
            <w:shd w:val="clear" w:color="auto" w:fill="C0C0C0"/>
          </w:tcPr>
          <w:p>
            <w:pPr>
              <w:ind w:left="200"/>
              <w:spacing w:after="0" w:line="202" w:lineRule="exact"/>
              <w:rPr>
                <w:sz w:val="20"/>
                <w:szCs w:val="20"/>
                <w:color w:val="auto"/>
              </w:rPr>
            </w:pPr>
            <w:r>
              <w:rPr>
                <w:rFonts w:ascii="Arial" w:cs="Arial" w:eastAsia="Arial" w:hAnsi="Arial"/>
                <w:sz w:val="18"/>
                <w:szCs w:val="18"/>
                <w:color w:val="auto"/>
              </w:rPr>
              <w:t>Goodwill and other intangible assets</w:t>
            </w:r>
          </w:p>
        </w:tc>
        <w:tc>
          <w:tcPr>
            <w:tcW w:w="200" w:type="dxa"/>
            <w:vAlign w:val="bottom"/>
            <w:shd w:val="clear" w:color="auto" w:fill="C0C0C0"/>
          </w:tcPr>
          <w:p>
            <w:pPr>
              <w:spacing w:after="0"/>
              <w:rPr>
                <w:sz w:val="17"/>
                <w:szCs w:val="17"/>
                <w:color w:val="auto"/>
              </w:rPr>
            </w:pPr>
          </w:p>
        </w:tc>
        <w:tc>
          <w:tcPr>
            <w:tcW w:w="46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rPr>
              <w:t>6</w:t>
            </w: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24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678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shd w:val="clear" w:color="auto" w:fill="C0C0C0"/>
          </w:tcPr>
          <w:p>
            <w:pPr>
              <w:ind w:left="20"/>
              <w:spacing w:after="0" w:line="196" w:lineRule="exact"/>
              <w:rPr>
                <w:sz w:val="20"/>
                <w:szCs w:val="20"/>
                <w:color w:val="auto"/>
              </w:rPr>
            </w:pPr>
            <w:r>
              <w:rPr>
                <w:rFonts w:ascii="Arial" w:cs="Arial" w:eastAsia="Arial" w:hAnsi="Arial"/>
                <w:sz w:val="18"/>
                <w:szCs w:val="18"/>
                <w:color w:val="auto"/>
              </w:rPr>
              <w:t>Total deferred tax assets</w:t>
            </w:r>
          </w:p>
        </w:tc>
        <w:tc>
          <w:tcPr>
            <w:tcW w:w="200" w:type="dxa"/>
            <w:vAlign w:val="bottom"/>
            <w:shd w:val="clear" w:color="auto" w:fill="C0C0C0"/>
          </w:tcPr>
          <w:p>
            <w:pPr>
              <w:spacing w:after="0"/>
              <w:rPr>
                <w:sz w:val="17"/>
                <w:szCs w:val="17"/>
                <w:color w:val="auto"/>
              </w:rPr>
            </w:pPr>
          </w:p>
        </w:tc>
        <w:tc>
          <w:tcPr>
            <w:tcW w:w="46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b w:val="1"/>
                <w:bCs w:val="1"/>
                <w:color w:val="auto"/>
              </w:rPr>
              <w:t>283</w:t>
            </w: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240"/>
              <w:spacing w:after="0" w:line="196" w:lineRule="exact"/>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03"/>
        </w:trPr>
        <w:tc>
          <w:tcPr>
            <w:tcW w:w="6780" w:type="dxa"/>
            <w:vAlign w:val="bottom"/>
          </w:tcPr>
          <w:p>
            <w:pPr>
              <w:ind w:left="200"/>
              <w:spacing w:after="0" w:line="202" w:lineRule="exact"/>
              <w:rPr>
                <w:sz w:val="20"/>
                <w:szCs w:val="20"/>
                <w:color w:val="auto"/>
              </w:rPr>
            </w:pPr>
            <w:r>
              <w:rPr>
                <w:rFonts w:ascii="Arial" w:cs="Arial" w:eastAsia="Arial" w:hAnsi="Arial"/>
                <w:sz w:val="18"/>
                <w:szCs w:val="18"/>
                <w:color w:val="auto"/>
              </w:rPr>
              <w:t>Valuation allowance</w:t>
            </w:r>
          </w:p>
        </w:tc>
        <w:tc>
          <w:tcPr>
            <w:tcW w:w="200" w:type="dxa"/>
            <w:vAlign w:val="bottom"/>
          </w:tcPr>
          <w:p>
            <w:pPr>
              <w:spacing w:after="0"/>
              <w:rPr>
                <w:sz w:val="17"/>
                <w:szCs w:val="17"/>
                <w:color w:val="auto"/>
              </w:rPr>
            </w:pPr>
          </w:p>
        </w:tc>
        <w:tc>
          <w:tcPr>
            <w:tcW w:w="68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6780" w:type="dxa"/>
            <w:vAlign w:val="bottom"/>
            <w:tcBorders>
              <w:bottom w:val="single" w:sz="8" w:color="C0C0C0"/>
            </w:tcBorders>
            <w:shd w:val="clear" w:color="auto" w:fill="C0C0C0"/>
          </w:tcPr>
          <w:p>
            <w:pPr>
              <w:ind w:left="380"/>
              <w:spacing w:after="0" w:line="196" w:lineRule="exact"/>
              <w:rPr>
                <w:sz w:val="20"/>
                <w:szCs w:val="20"/>
                <w:color w:val="auto"/>
              </w:rPr>
            </w:pPr>
            <w:r>
              <w:rPr>
                <w:rFonts w:ascii="Arial" w:cs="Arial" w:eastAsia="Arial" w:hAnsi="Arial"/>
                <w:sz w:val="18"/>
                <w:szCs w:val="18"/>
                <w:color w:val="auto"/>
              </w:rPr>
              <w:t>Total deferred tax assets, net</w:t>
            </w:r>
          </w:p>
        </w:tc>
        <w:tc>
          <w:tcPr>
            <w:tcW w:w="200" w:type="dxa"/>
            <w:vAlign w:val="bottom"/>
            <w:tcBorders>
              <w:top w:val="single" w:sz="8" w:color="auto"/>
              <w:bottom w:val="single" w:sz="8" w:color="auto"/>
            </w:tcBorders>
            <w:shd w:val="clear" w:color="auto" w:fill="C0C0C0"/>
          </w:tcPr>
          <w:p>
            <w:pPr>
              <w:spacing w:after="0"/>
              <w:rPr>
                <w:sz w:val="17"/>
                <w:szCs w:val="17"/>
                <w:color w:val="auto"/>
              </w:rPr>
            </w:pPr>
          </w:p>
        </w:tc>
        <w:tc>
          <w:tcPr>
            <w:tcW w:w="460" w:type="dxa"/>
            <w:vAlign w:val="bottom"/>
            <w:tcBorders>
              <w:top w:val="single" w:sz="8" w:color="auto"/>
              <w:bottom w:val="single" w:sz="8" w:color="auto"/>
            </w:tcBorders>
            <w:shd w:val="clear" w:color="auto" w:fill="C0C0C0"/>
          </w:tcPr>
          <w:p>
            <w:pPr>
              <w:jc w:val="right"/>
              <w:spacing w:after="0" w:line="196" w:lineRule="exact"/>
              <w:rPr>
                <w:sz w:val="20"/>
                <w:szCs w:val="20"/>
                <w:color w:val="auto"/>
              </w:rPr>
            </w:pPr>
            <w:r>
              <w:rPr>
                <w:rFonts w:ascii="Arial" w:cs="Arial" w:eastAsia="Arial" w:hAnsi="Arial"/>
                <w:sz w:val="18"/>
                <w:szCs w:val="18"/>
                <w:b w:val="1"/>
                <w:bCs w:val="1"/>
                <w:color w:val="auto"/>
              </w:rPr>
              <w:t>277</w:t>
            </w:r>
          </w:p>
        </w:tc>
        <w:tc>
          <w:tcPr>
            <w:tcW w:w="220" w:type="dxa"/>
            <w:vAlign w:val="bottom"/>
            <w:tcBorders>
              <w:bottom w:val="single" w:sz="8" w:color="C0C0C0"/>
            </w:tcBorders>
            <w:shd w:val="clear" w:color="auto" w:fill="C0C0C0"/>
          </w:tcPr>
          <w:p>
            <w:pPr>
              <w:spacing w:after="0"/>
              <w:rPr>
                <w:sz w:val="17"/>
                <w:szCs w:val="17"/>
                <w:color w:val="auto"/>
              </w:rPr>
            </w:pPr>
          </w:p>
        </w:tc>
        <w:tc>
          <w:tcPr>
            <w:tcW w:w="160" w:type="dxa"/>
            <w:vAlign w:val="bottom"/>
            <w:tcBorders>
              <w:bottom w:val="single" w:sz="8" w:color="C0C0C0"/>
            </w:tcBorders>
            <w:shd w:val="clear" w:color="auto" w:fill="C0C0C0"/>
          </w:tcPr>
          <w:p>
            <w:pPr>
              <w:spacing w:after="0"/>
              <w:rPr>
                <w:sz w:val="17"/>
                <w:szCs w:val="17"/>
                <w:color w:val="auto"/>
              </w:rPr>
            </w:pPr>
          </w:p>
        </w:tc>
        <w:tc>
          <w:tcPr>
            <w:tcW w:w="200" w:type="dxa"/>
            <w:vAlign w:val="bottom"/>
            <w:tcBorders>
              <w:top w:val="single" w:sz="8" w:color="auto"/>
              <w:bottom w:val="single" w:sz="8" w:color="auto"/>
            </w:tcBorders>
            <w:shd w:val="clear" w:color="auto" w:fill="C0C0C0"/>
          </w:tcPr>
          <w:p>
            <w:pPr>
              <w:spacing w:after="0"/>
              <w:rPr>
                <w:sz w:val="17"/>
                <w:szCs w:val="17"/>
                <w:color w:val="auto"/>
              </w:rPr>
            </w:pPr>
          </w:p>
        </w:tc>
        <w:tc>
          <w:tcPr>
            <w:tcW w:w="520" w:type="dxa"/>
            <w:vAlign w:val="bottom"/>
            <w:tcBorders>
              <w:top w:val="single" w:sz="8" w:color="auto"/>
              <w:bottom w:val="single" w:sz="8" w:color="auto"/>
            </w:tcBorders>
            <w:shd w:val="clear" w:color="auto" w:fill="C0C0C0"/>
          </w:tcPr>
          <w:p>
            <w:pPr>
              <w:jc w:val="right"/>
              <w:spacing w:after="0" w:line="196" w:lineRule="exact"/>
              <w:rPr>
                <w:sz w:val="20"/>
                <w:szCs w:val="20"/>
                <w:color w:val="auto"/>
              </w:rPr>
            </w:pPr>
            <w:r>
              <w:rPr>
                <w:rFonts w:ascii="Arial" w:cs="Arial" w:eastAsia="Arial" w:hAnsi="Arial"/>
                <w:sz w:val="18"/>
                <w:szCs w:val="18"/>
                <w:color w:val="auto"/>
              </w:rPr>
              <w:t>316</w:t>
            </w:r>
          </w:p>
        </w:tc>
        <w:tc>
          <w:tcPr>
            <w:tcW w:w="240" w:type="dxa"/>
            <w:vAlign w:val="bottom"/>
            <w:tcBorders>
              <w:bottom w:val="single" w:sz="8" w:color="C0C0C0"/>
            </w:tcBorders>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Deferred tax liabilities:</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0C0C0"/>
          </w:tcPr>
          <w:p>
            <w:pPr>
              <w:ind w:left="200"/>
              <w:spacing w:after="0" w:line="202" w:lineRule="exact"/>
              <w:rPr>
                <w:sz w:val="20"/>
                <w:szCs w:val="20"/>
                <w:color w:val="auto"/>
              </w:rPr>
            </w:pPr>
            <w:r>
              <w:rPr>
                <w:rFonts w:ascii="Arial" w:cs="Arial" w:eastAsia="Arial" w:hAnsi="Arial"/>
                <w:sz w:val="18"/>
                <w:szCs w:val="18"/>
                <w:color w:val="auto"/>
              </w:rPr>
              <w:t>Merchandise inventories</w:t>
            </w:r>
          </w:p>
        </w:tc>
        <w:tc>
          <w:tcPr>
            <w:tcW w:w="200" w:type="dxa"/>
            <w:vAlign w:val="bottom"/>
            <w:shd w:val="clear" w:color="auto" w:fill="C0C0C0"/>
          </w:tcPr>
          <w:p>
            <w:pPr>
              <w:spacing w:after="0"/>
              <w:rPr>
                <w:sz w:val="17"/>
                <w:szCs w:val="17"/>
                <w:color w:val="auto"/>
              </w:rPr>
            </w:pPr>
          </w:p>
        </w:tc>
        <w:tc>
          <w:tcPr>
            <w:tcW w:w="46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rPr>
              <w:t>85</w:t>
            </w: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240"/>
              <w:spacing w:after="0" w:line="20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3"/>
        </w:trPr>
        <w:tc>
          <w:tcPr>
            <w:tcW w:w="678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Borders>
              <w:bottom w:val="single" w:sz="8" w:color="C0C0C0"/>
            </w:tcBorders>
            <w:shd w:val="clear" w:color="auto" w:fill="C0C0C0"/>
          </w:tcPr>
          <w:p>
            <w:pPr>
              <w:ind w:left="20"/>
              <w:spacing w:after="0" w:line="196" w:lineRule="exact"/>
              <w:rPr>
                <w:sz w:val="20"/>
                <w:szCs w:val="20"/>
                <w:color w:val="auto"/>
              </w:rPr>
            </w:pPr>
            <w:r>
              <w:rPr>
                <w:rFonts w:ascii="Arial" w:cs="Arial" w:eastAsia="Arial" w:hAnsi="Arial"/>
                <w:sz w:val="18"/>
                <w:szCs w:val="18"/>
                <w:color w:val="auto"/>
              </w:rPr>
              <w:t>Total deferred tax liabilities</w:t>
            </w:r>
          </w:p>
        </w:tc>
        <w:tc>
          <w:tcPr>
            <w:tcW w:w="200" w:type="dxa"/>
            <w:vAlign w:val="bottom"/>
            <w:tcBorders>
              <w:bottom w:val="single" w:sz="8" w:color="auto"/>
            </w:tcBorders>
            <w:shd w:val="clear" w:color="auto" w:fill="C0C0C0"/>
          </w:tcPr>
          <w:p>
            <w:pPr>
              <w:spacing w:after="0"/>
              <w:rPr>
                <w:sz w:val="17"/>
                <w:szCs w:val="17"/>
                <w:color w:val="auto"/>
              </w:rPr>
            </w:pPr>
          </w:p>
        </w:tc>
        <w:tc>
          <w:tcPr>
            <w:tcW w:w="460" w:type="dxa"/>
            <w:vAlign w:val="bottom"/>
            <w:tcBorders>
              <w:bottom w:val="single" w:sz="8" w:color="auto"/>
            </w:tcBorders>
            <w:shd w:val="clear" w:color="auto" w:fill="C0C0C0"/>
          </w:tcPr>
          <w:p>
            <w:pPr>
              <w:jc w:val="right"/>
              <w:spacing w:after="0" w:line="196" w:lineRule="exact"/>
              <w:rPr>
                <w:sz w:val="20"/>
                <w:szCs w:val="20"/>
                <w:color w:val="auto"/>
              </w:rPr>
            </w:pPr>
            <w:r>
              <w:rPr>
                <w:rFonts w:ascii="Arial" w:cs="Arial" w:eastAsia="Arial" w:hAnsi="Arial"/>
                <w:sz w:val="18"/>
                <w:szCs w:val="18"/>
                <w:b w:val="1"/>
                <w:bCs w:val="1"/>
                <w:color w:val="auto"/>
              </w:rPr>
              <w:t>96</w:t>
            </w:r>
          </w:p>
        </w:tc>
        <w:tc>
          <w:tcPr>
            <w:tcW w:w="220" w:type="dxa"/>
            <w:vAlign w:val="bottom"/>
            <w:tcBorders>
              <w:bottom w:val="single" w:sz="8" w:color="C0C0C0"/>
            </w:tcBorders>
            <w:shd w:val="clear" w:color="auto" w:fill="C0C0C0"/>
          </w:tcPr>
          <w:p>
            <w:pPr>
              <w:spacing w:after="0"/>
              <w:rPr>
                <w:sz w:val="17"/>
                <w:szCs w:val="17"/>
                <w:color w:val="auto"/>
              </w:rPr>
            </w:pPr>
          </w:p>
        </w:tc>
        <w:tc>
          <w:tcPr>
            <w:tcW w:w="160" w:type="dxa"/>
            <w:vAlign w:val="bottom"/>
            <w:tcBorders>
              <w:bottom w:val="single" w:sz="8" w:color="C0C0C0"/>
            </w:tcBorders>
            <w:shd w:val="clear" w:color="auto" w:fill="C0C0C0"/>
          </w:tcPr>
          <w:p>
            <w:pPr>
              <w:spacing w:after="0"/>
              <w:rPr>
                <w:sz w:val="17"/>
                <w:szCs w:val="17"/>
                <w:color w:val="auto"/>
              </w:rPr>
            </w:pPr>
          </w:p>
        </w:tc>
        <w:tc>
          <w:tcPr>
            <w:tcW w:w="200" w:type="dxa"/>
            <w:vAlign w:val="bottom"/>
            <w:tcBorders>
              <w:bottom w:val="single" w:sz="8" w:color="auto"/>
            </w:tcBorders>
            <w:shd w:val="clear" w:color="auto" w:fill="C0C0C0"/>
          </w:tcPr>
          <w:p>
            <w:pPr>
              <w:spacing w:after="0"/>
              <w:rPr>
                <w:sz w:val="17"/>
                <w:szCs w:val="17"/>
                <w:color w:val="auto"/>
              </w:rPr>
            </w:pPr>
          </w:p>
        </w:tc>
        <w:tc>
          <w:tcPr>
            <w:tcW w:w="520" w:type="dxa"/>
            <w:vAlign w:val="bottom"/>
            <w:tcBorders>
              <w:bottom w:val="single" w:sz="8" w:color="auto"/>
            </w:tcBorders>
            <w:shd w:val="clear" w:color="auto" w:fill="C0C0C0"/>
          </w:tcPr>
          <w:p>
            <w:pPr>
              <w:jc w:val="right"/>
              <w:spacing w:after="0" w:line="196" w:lineRule="exact"/>
              <w:rPr>
                <w:sz w:val="20"/>
                <w:szCs w:val="20"/>
                <w:color w:val="auto"/>
              </w:rPr>
            </w:pPr>
            <w:r>
              <w:rPr>
                <w:rFonts w:ascii="Arial" w:cs="Arial" w:eastAsia="Arial" w:hAnsi="Arial"/>
                <w:sz w:val="18"/>
                <w:szCs w:val="18"/>
                <w:color w:val="auto"/>
              </w:rPr>
              <w:t>91</w:t>
            </w:r>
          </w:p>
        </w:tc>
        <w:tc>
          <w:tcPr>
            <w:tcW w:w="240" w:type="dxa"/>
            <w:vAlign w:val="bottom"/>
            <w:tcBorders>
              <w:bottom w:val="single" w:sz="8" w:color="C0C0C0"/>
            </w:tcBorders>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Pr>
          <w:p>
            <w:pPr>
              <w:ind w:left="20"/>
              <w:spacing w:after="0" w:line="196" w:lineRule="exact"/>
              <w:rPr>
                <w:sz w:val="20"/>
                <w:szCs w:val="20"/>
                <w:color w:val="auto"/>
              </w:rPr>
            </w:pPr>
            <w:r>
              <w:rPr>
                <w:rFonts w:ascii="Arial" w:cs="Arial" w:eastAsia="Arial" w:hAnsi="Arial"/>
                <w:sz w:val="18"/>
                <w:szCs w:val="18"/>
                <w:color w:val="auto"/>
              </w:rPr>
              <w:t>Net deferred tax asset</w:t>
            </w:r>
          </w:p>
        </w:tc>
        <w:tc>
          <w:tcPr>
            <w:tcW w:w="2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181</w:t>
            </w:r>
          </w:p>
        </w:tc>
        <w:tc>
          <w:tcPr>
            <w:tcW w:w="220" w:type="dxa"/>
            <w:vAlign w:val="bottom"/>
          </w:tcPr>
          <w:p>
            <w:pPr>
              <w:spacing w:after="0"/>
              <w:rPr>
                <w:sz w:val="17"/>
                <w:szCs w:val="17"/>
                <w:color w:val="auto"/>
              </w:rPr>
            </w:pPr>
          </w:p>
        </w:tc>
        <w:tc>
          <w:tcPr>
            <w:tcW w:w="36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
        </w:trPr>
        <w:tc>
          <w:tcPr>
            <w:tcW w:w="6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780" w:type="dxa"/>
            <w:vAlign w:val="bottom"/>
            <w:shd w:val="clear" w:color="auto" w:fill="C0C0C0"/>
          </w:tcPr>
          <w:p>
            <w:pPr>
              <w:ind w:left="20"/>
              <w:spacing w:after="0" w:line="196" w:lineRule="exact"/>
              <w:rPr>
                <w:sz w:val="20"/>
                <w:szCs w:val="20"/>
                <w:color w:val="auto"/>
              </w:rPr>
            </w:pPr>
            <w:r>
              <w:rPr>
                <w:rFonts w:ascii="Arial" w:cs="Arial" w:eastAsia="Arial" w:hAnsi="Arial"/>
                <w:sz w:val="18"/>
                <w:szCs w:val="18"/>
                <w:b w:val="1"/>
                <w:bCs w:val="1"/>
                <w:color w:val="auto"/>
              </w:rPr>
              <w:t>Balance Sheet caption reported in:</w:t>
            </w:r>
          </w:p>
        </w:tc>
        <w:tc>
          <w:tcPr>
            <w:tcW w:w="200" w:type="dxa"/>
            <w:vAlign w:val="bottom"/>
            <w:shd w:val="clear" w:color="auto" w:fill="C0C0C0"/>
          </w:tcPr>
          <w:p>
            <w:pPr>
              <w:spacing w:after="0"/>
              <w:rPr>
                <w:sz w:val="17"/>
                <w:szCs w:val="17"/>
                <w:color w:val="auto"/>
              </w:rPr>
            </w:pPr>
          </w:p>
        </w:tc>
        <w:tc>
          <w:tcPr>
            <w:tcW w:w="46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52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00"/>
              <w:spacing w:after="0" w:line="202" w:lineRule="exact"/>
              <w:rPr>
                <w:sz w:val="20"/>
                <w:szCs w:val="20"/>
                <w:color w:val="auto"/>
              </w:rPr>
            </w:pPr>
            <w:r>
              <w:rPr>
                <w:rFonts w:ascii="Arial" w:cs="Arial" w:eastAsia="Arial" w:hAnsi="Arial"/>
                <w:sz w:val="18"/>
                <w:szCs w:val="18"/>
                <w:color w:val="auto"/>
              </w:rPr>
              <w:t>Deferred taxes</w:t>
            </w:r>
          </w:p>
        </w:tc>
        <w:tc>
          <w:tcPr>
            <w:tcW w:w="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9"/>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241</w:t>
            </w:r>
          </w:p>
        </w:tc>
        <w:tc>
          <w:tcPr>
            <w:tcW w:w="220" w:type="dxa"/>
            <w:vAlign w:val="bottom"/>
          </w:tcPr>
          <w:p>
            <w:pPr>
              <w:spacing w:after="0"/>
              <w:rPr>
                <w:sz w:val="17"/>
                <w:szCs w:val="17"/>
                <w:color w:val="auto"/>
              </w:rPr>
            </w:pPr>
          </w:p>
        </w:tc>
        <w:tc>
          <w:tcPr>
            <w:tcW w:w="3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3"/>
        </w:trPr>
        <w:tc>
          <w:tcPr>
            <w:tcW w:w="6780" w:type="dxa"/>
            <w:vAlign w:val="bottom"/>
            <w:shd w:val="clear" w:color="auto" w:fill="C0C0C0"/>
          </w:tcPr>
          <w:p>
            <w:pPr>
              <w:ind w:left="200"/>
              <w:spacing w:after="0" w:line="202" w:lineRule="exact"/>
              <w:rPr>
                <w:sz w:val="20"/>
                <w:szCs w:val="20"/>
                <w:color w:val="auto"/>
              </w:rPr>
            </w:pPr>
            <w:r>
              <w:rPr>
                <w:rFonts w:ascii="Arial" w:cs="Arial" w:eastAsia="Arial" w:hAnsi="Arial"/>
                <w:sz w:val="18"/>
                <w:szCs w:val="18"/>
                <w:color w:val="auto"/>
              </w:rPr>
              <w:t>Other current assets</w:t>
            </w:r>
          </w:p>
        </w:tc>
        <w:tc>
          <w:tcPr>
            <w:tcW w:w="200" w:type="dxa"/>
            <w:vAlign w:val="bottom"/>
            <w:shd w:val="clear" w:color="auto" w:fill="C0C0C0"/>
          </w:tcPr>
          <w:p>
            <w:pPr>
              <w:spacing w:after="0"/>
              <w:rPr>
                <w:sz w:val="17"/>
                <w:szCs w:val="17"/>
                <w:color w:val="auto"/>
              </w:rPr>
            </w:pPr>
          </w:p>
        </w:tc>
        <w:tc>
          <w:tcPr>
            <w:tcW w:w="46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rPr>
              <w:t>4</w:t>
            </w: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24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6780" w:type="dxa"/>
            <w:vAlign w:val="bottom"/>
          </w:tcPr>
          <w:p>
            <w:pPr>
              <w:ind w:left="200"/>
              <w:spacing w:after="0" w:line="202" w:lineRule="exact"/>
              <w:rPr>
                <w:sz w:val="20"/>
                <w:szCs w:val="20"/>
                <w:color w:val="auto"/>
              </w:rPr>
            </w:pPr>
            <w:r>
              <w:rPr>
                <w:rFonts w:ascii="Arial" w:cs="Arial" w:eastAsia="Arial" w:hAnsi="Arial"/>
                <w:sz w:val="18"/>
                <w:szCs w:val="18"/>
                <w:color w:val="auto"/>
              </w:rPr>
              <w:t>Accrued and other current liabilities</w:t>
            </w:r>
          </w:p>
        </w:tc>
        <w:tc>
          <w:tcPr>
            <w:tcW w:w="200" w:type="dxa"/>
            <w:vAlign w:val="bottom"/>
          </w:tcPr>
          <w:p>
            <w:pPr>
              <w:spacing w:after="0"/>
              <w:rPr>
                <w:sz w:val="17"/>
                <w:szCs w:val="17"/>
                <w:color w:val="auto"/>
              </w:rPr>
            </w:pPr>
          </w:p>
        </w:tc>
        <w:tc>
          <w:tcPr>
            <w:tcW w:w="68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(46)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3"/>
        </w:trPr>
        <w:tc>
          <w:tcPr>
            <w:tcW w:w="6780" w:type="dxa"/>
            <w:vAlign w:val="bottom"/>
            <w:shd w:val="clear" w:color="auto" w:fill="C0C0C0"/>
          </w:tcPr>
          <w:p>
            <w:pPr>
              <w:ind w:left="200"/>
              <w:spacing w:after="0" w:line="202" w:lineRule="exact"/>
              <w:rPr>
                <w:sz w:val="20"/>
                <w:szCs w:val="20"/>
                <w:color w:val="auto"/>
              </w:rPr>
            </w:pPr>
            <w:r>
              <w:rPr>
                <w:rFonts w:ascii="Arial" w:cs="Arial" w:eastAsia="Arial" w:hAnsi="Arial"/>
                <w:sz w:val="18"/>
                <w:szCs w:val="18"/>
                <w:color w:val="auto"/>
              </w:rPr>
              <w:t>Other liabilities</w:t>
            </w:r>
          </w:p>
        </w:tc>
        <w:tc>
          <w:tcPr>
            <w:tcW w:w="2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160"/>
              <w:spacing w:after="0" w:line="202" w:lineRule="exact"/>
              <w:rPr>
                <w:sz w:val="20"/>
                <w:szCs w:val="20"/>
                <w:color w:val="auto"/>
              </w:rPr>
            </w:pPr>
            <w:r>
              <w:rPr>
                <w:rFonts w:ascii="Arial" w:cs="Arial" w:eastAsia="Arial" w:hAnsi="Arial"/>
                <w:sz w:val="18"/>
                <w:szCs w:val="18"/>
                <w:b w:val="1"/>
                <w:bCs w:val="1"/>
                <w:color w:val="auto"/>
              </w:rPr>
              <w:t>(18)</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8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6780" w:type="dxa"/>
            <w:vAlign w:val="bottom"/>
            <w:tcBorders>
              <w:top w:val="single" w:sz="8" w:color="C0C0C0"/>
            </w:tcBorders>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4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181</w:t>
            </w:r>
          </w:p>
        </w:tc>
        <w:tc>
          <w:tcPr>
            <w:tcW w:w="220" w:type="dxa"/>
            <w:vAlign w:val="bottom"/>
            <w:tcBorders>
              <w:top w:val="single" w:sz="8" w:color="C0C0C0"/>
            </w:tcBorders>
          </w:tcPr>
          <w:p>
            <w:pPr>
              <w:spacing w:after="0"/>
              <w:rPr>
                <w:sz w:val="17"/>
                <w:szCs w:val="17"/>
                <w:color w:val="auto"/>
              </w:rPr>
            </w:pPr>
          </w:p>
        </w:tc>
        <w:tc>
          <w:tcPr>
            <w:tcW w:w="160" w:type="dxa"/>
            <w:vAlign w:val="bottom"/>
            <w:tcBorders>
              <w:top w:val="single" w:sz="8" w:color="C0C0C0"/>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225</w:t>
            </w:r>
          </w:p>
        </w:tc>
        <w:tc>
          <w:tcPr>
            <w:tcW w:w="240" w:type="dxa"/>
            <w:vAlign w:val="bottom"/>
            <w:tcBorders>
              <w:top w:val="single" w:sz="8" w:color="C0C0C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-1517015</wp:posOffset>
            </wp:positionV>
            <wp:extent cx="5565775"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56577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-985520</wp:posOffset>
            </wp:positionV>
            <wp:extent cx="5565775" cy="1714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56577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-170815</wp:posOffset>
            </wp:positionV>
            <wp:extent cx="5565775" cy="1714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565775" cy="171450"/>
                    </a:xfrm>
                    <a:prstGeom prst="rect">
                      <a:avLst/>
                    </a:prstGeom>
                    <a:noFill/>
                  </pic:spPr>
                </pic:pic>
              </a:graphicData>
            </a:graphic>
          </wp:anchor>
        </w:drawing>
      </w:r>
    </w:p>
    <w:p>
      <w:pPr>
        <w:spacing w:after="0" w:line="87" w:lineRule="exact"/>
        <w:rPr>
          <w:sz w:val="20"/>
          <w:szCs w:val="20"/>
          <w:color w:val="auto"/>
        </w:rPr>
      </w:pPr>
    </w:p>
    <w:p>
      <w:pPr>
        <w:jc w:val="both"/>
        <w:ind w:left="60" w:right="519"/>
        <w:spacing w:after="0" w:line="253" w:lineRule="auto"/>
        <w:rPr>
          <w:sz w:val="20"/>
          <w:szCs w:val="20"/>
          <w:color w:val="auto"/>
        </w:rPr>
      </w:pPr>
      <w:r>
        <w:rPr>
          <w:rFonts w:ascii="Arial" w:cs="Arial" w:eastAsia="Arial" w:hAnsi="Arial"/>
          <w:sz w:val="18"/>
          <w:szCs w:val="18"/>
          <w:color w:val="auto"/>
        </w:rPr>
        <w:t>The Company operates in multiple taxing jurisdictions and is subject to audit. Audits can involve complex issues that may require an extended period of time to resolve. A taxing authority may challenge positions that the Company has adopted in its income tax filings. Accordingly, the Company may apply different tax treatments for transactions in filing its income tax returns than for income tax financial reporting. The Company regularly assesses its tax positions for such transactions and records reserves for those differences.</w:t>
      </w:r>
    </w:p>
    <w:p>
      <w:pPr>
        <w:spacing w:after="0" w:line="97"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The Company’s U.S. Federal income tax filings have been examined by the Internal Revenue Service through 2012. The Company is participating in the IRS’s Compliance Assurance Process (“CAP”) for 2013, which is expected to conclude during 2014. The Company has started the CAP for 2014. Due to the recent utilization of net operating loss carryforwards, the Company is subject to state and local tax examinations effectively including years from 1996 to the present. To date, no adjustments have been proposed in any audits that will have a material effect on the Company’s financial position or results of operations.</w:t>
      </w:r>
    </w:p>
    <w:p>
      <w:pPr>
        <w:spacing w:after="0" w:line="101" w:lineRule="exact"/>
        <w:rPr>
          <w:sz w:val="20"/>
          <w:szCs w:val="20"/>
          <w:color w:val="auto"/>
        </w:rPr>
      </w:pPr>
    </w:p>
    <w:p>
      <w:pPr>
        <w:jc w:val="both"/>
        <w:ind w:left="60" w:right="519"/>
        <w:spacing w:after="0" w:line="253" w:lineRule="auto"/>
        <w:rPr>
          <w:sz w:val="20"/>
          <w:szCs w:val="20"/>
          <w:color w:val="auto"/>
        </w:rPr>
      </w:pPr>
      <w:r>
        <w:rPr>
          <w:rFonts w:ascii="Arial" w:cs="Arial" w:eastAsia="Arial" w:hAnsi="Arial"/>
          <w:sz w:val="18"/>
          <w:szCs w:val="18"/>
          <w:color w:val="auto"/>
        </w:rPr>
        <w:t>As of February 1, 2014, the Company has a valuation allowance of $6 million to reduce its deferred tax assets to an amount that is more likely than not to be realized. A valuation allowance of $3 million relates to the deferred tax assets arising from a capital loss associated with the 2008 impairment of the Northern Group note receivable. The Company does not anticipate realizing capital gains to utilize this loss. In connection with the acquisition of Runners Point Group, the Company provided a full valuation allowance of $2 million against the</w:t>
      </w:r>
    </w:p>
    <w:p>
      <w:pPr>
        <w:spacing w:after="0" w:line="200" w:lineRule="exact"/>
        <w:rPr>
          <w:sz w:val="20"/>
          <w:szCs w:val="20"/>
          <w:color w:val="auto"/>
        </w:rPr>
      </w:pPr>
    </w:p>
    <w:p>
      <w:pPr>
        <w:spacing w:after="0" w:line="35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96520</wp:posOffset>
            </wp:positionV>
            <wp:extent cx="6114415" cy="596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57" w:name="page58"/>
    <w:bookmarkEnd w:id="5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Income Taxes – (continued)</w:t>
      </w:r>
    </w:p>
    <w:p>
      <w:pPr>
        <w:spacing w:after="0" w:line="139" w:lineRule="exact"/>
        <w:rPr>
          <w:sz w:val="20"/>
          <w:szCs w:val="20"/>
          <w:color w:val="auto"/>
        </w:rPr>
      </w:pPr>
    </w:p>
    <w:p>
      <w:pPr>
        <w:jc w:val="both"/>
        <w:ind w:left="60" w:right="539"/>
        <w:spacing w:after="0" w:line="252" w:lineRule="auto"/>
        <w:rPr>
          <w:sz w:val="20"/>
          <w:szCs w:val="20"/>
          <w:color w:val="auto"/>
        </w:rPr>
      </w:pPr>
      <w:r>
        <w:rPr>
          <w:rFonts w:ascii="Arial" w:cs="Arial" w:eastAsia="Arial" w:hAnsi="Arial"/>
          <w:sz w:val="18"/>
          <w:szCs w:val="18"/>
          <w:color w:val="auto"/>
        </w:rPr>
        <w:t>historical loss incurred by its branches in the Netherlands and Austria. Under German tax rules, these losses are not deductible against the entity’s German profits. Based on the history of losses and the absence of prudent and feasible business plans for generating future taxable income in the Netherlands and Austria, the Company believes it is more likely than not that the benefit of these historical loss carryforwards will not be realized. Additionally, the Company recorded an unrealized loss related to its investment in an auction rate security. This loss, if and when recognized for tax purposes, would be a capital loss. The Company has not identified any reliable sources of future capital gain that would be generated to absorb this potential loss. In recognition of this risk, the Company has a valuation allowance of $1 million for any loss that would be recognized upon disposition of this security.</w:t>
      </w:r>
    </w:p>
    <w:p>
      <w:pPr>
        <w:spacing w:after="0" w:line="98" w:lineRule="exact"/>
        <w:rPr>
          <w:sz w:val="20"/>
          <w:szCs w:val="20"/>
          <w:color w:val="auto"/>
        </w:rPr>
      </w:pPr>
    </w:p>
    <w:p>
      <w:pPr>
        <w:jc w:val="both"/>
        <w:ind w:left="60" w:right="519"/>
        <w:spacing w:after="0" w:line="253" w:lineRule="auto"/>
        <w:rPr>
          <w:sz w:val="20"/>
          <w:szCs w:val="20"/>
          <w:color w:val="auto"/>
        </w:rPr>
      </w:pPr>
      <w:r>
        <w:rPr>
          <w:rFonts w:ascii="Arial" w:cs="Arial" w:eastAsia="Arial" w:hAnsi="Arial"/>
          <w:sz w:val="18"/>
          <w:szCs w:val="18"/>
          <w:color w:val="auto"/>
        </w:rPr>
        <w:t>Based upon the level of historical taxable income and projections for future taxable income, which are based upon the Company’s strategic long-range plans, over the periods in which the temporary differences are anticipated to reverse, management believes it is more likely than not that the Company will realize the benefits of these deductible differences, net of the valuation allowances at February 1, 2014. However, the amount of the deferred tax asset considered realizable could be adjusted in the future if estimates of taxable income are revised.</w:t>
      </w:r>
    </w:p>
    <w:p>
      <w:pPr>
        <w:spacing w:after="0" w:line="97"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At February 1, 2014, the Company has state operating loss carryforwards with a potential tax benefit of $3 million that expire between 2014 and 2033. The Company will have, when realized, a capital loss with a potential benefit of $3 million arising from a note receivable. This loss will carryforward for 5 years after realization. The Company has U.S. state credits of $1 million that expire in 2023. The Company has Canadian provincial credit carryforwards of $1 million expiring between 2016 and 2017. The Company has international operating loss carryforwards with a potential tax benefit of $4 million, a portion of which will expire between 2014 and 2033 and a portion of which will never expire.</w:t>
      </w:r>
    </w:p>
    <w:p>
      <w:pPr>
        <w:spacing w:after="0" w:line="101"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At February 1, 2014 and February 2, 2013, the Company had $48 million and $54 million, respectively of gross unrecognized tax benefits, and $46 million and $52 million, respectively, of net unrecognized tax benefits that would, if recognized, affect the Company’s annual effective tax rate. The Company has classified certain income tax liabilities as current or noncurrent based on management’s estimate of when these liabilities will be settled. Interest expense and penalties related to unrecognized tax benefits are classified as income tax expense. The Company recognized $1 million of interest income, in 2013 and 2012, and $1 million of interest expense in 2011. The total amount of accrued interest and penalties was $2 million, $3 million, and $4 million in 2013, 2012, and 2011, respectively.</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activity related to unrecognized 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56577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6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5"/>
        </w:trPr>
        <w:tc>
          <w:tcPr>
            <w:tcW w:w="624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56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54</w:t>
            </w:r>
          </w:p>
        </w:tc>
        <w:tc>
          <w:tcPr>
            <w:tcW w:w="1020" w:type="dxa"/>
            <w:vAlign w:val="bottom"/>
            <w:gridSpan w:val="5"/>
          </w:tcPr>
          <w:p>
            <w:pPr>
              <w:ind w:left="16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40" w:type="dxa"/>
            <w:vAlign w:val="bottom"/>
          </w:tcPr>
          <w:p>
            <w:pPr>
              <w:ind w:left="20"/>
              <w:spacing w:after="0" w:line="203" w:lineRule="exact"/>
              <w:rPr>
                <w:sz w:val="20"/>
                <w:szCs w:val="20"/>
                <w:color w:val="auto"/>
              </w:rPr>
            </w:pPr>
            <w:r>
              <w:rPr>
                <w:rFonts w:ascii="Arial" w:cs="Arial" w:eastAsia="Arial" w:hAnsi="Arial"/>
                <w:sz w:val="18"/>
                <w:szCs w:val="18"/>
                <w:color w:val="auto"/>
              </w:rPr>
              <w:t>Unrecognized tax benefits at beginning of year</w:t>
            </w:r>
          </w:p>
        </w:tc>
        <w:tc>
          <w:tcPr>
            <w:tcW w:w="160" w:type="dxa"/>
            <w:vAlign w:val="bottom"/>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300" w:type="dxa"/>
            <w:vAlign w:val="bottom"/>
            <w:gridSpan w:val="2"/>
          </w:tcPr>
          <w:p>
            <w:pPr>
              <w:ind w:left="160"/>
              <w:spacing w:after="0" w:line="203"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65</w:t>
            </w:r>
          </w:p>
        </w:tc>
        <w:tc>
          <w:tcPr>
            <w:tcW w:w="16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3"/>
        </w:trPr>
        <w:tc>
          <w:tcPr>
            <w:tcW w:w="624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Foreign currency translation adjustments</w:t>
            </w:r>
          </w:p>
        </w:tc>
        <w:tc>
          <w:tcPr>
            <w:tcW w:w="160" w:type="dxa"/>
            <w:vAlign w:val="bottom"/>
            <w:shd w:val="clear" w:color="auto" w:fill="C0C0C0"/>
          </w:tcPr>
          <w:p>
            <w:pPr>
              <w:spacing w:after="0"/>
              <w:rPr>
                <w:sz w:val="17"/>
                <w:szCs w:val="17"/>
                <w:color w:val="auto"/>
              </w:rPr>
            </w:pPr>
          </w:p>
        </w:tc>
        <w:tc>
          <w:tcPr>
            <w:tcW w:w="560" w:type="dxa"/>
            <w:vAlign w:val="bottom"/>
            <w:gridSpan w:val="2"/>
            <w:shd w:val="clear" w:color="auto" w:fill="C0C0C0"/>
          </w:tcPr>
          <w:p>
            <w:pPr>
              <w:jc w:val="right"/>
              <w:ind w:right="180"/>
              <w:spacing w:after="0" w:line="202" w:lineRule="exact"/>
              <w:rPr>
                <w:sz w:val="20"/>
                <w:szCs w:val="20"/>
                <w:color w:val="auto"/>
              </w:rPr>
            </w:pPr>
            <w:r>
              <w:rPr>
                <w:rFonts w:ascii="Arial" w:cs="Arial" w:eastAsia="Arial" w:hAnsi="Arial"/>
                <w:sz w:val="18"/>
                <w:szCs w:val="18"/>
                <w:b w:val="1"/>
                <w:bCs w:val="1"/>
                <w:color w:val="auto"/>
              </w:rPr>
              <w:t>(4)</w:t>
            </w:r>
          </w:p>
        </w:tc>
        <w:tc>
          <w:tcPr>
            <w:tcW w:w="16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560" w:type="dxa"/>
            <w:vAlign w:val="bottom"/>
            <w:gridSpan w:val="2"/>
            <w:shd w:val="clear" w:color="auto" w:fill="C0C0C0"/>
          </w:tcPr>
          <w:p>
            <w:pPr>
              <w:jc w:val="right"/>
              <w:ind w:right="180"/>
              <w:spacing w:after="0" w:line="202" w:lineRule="exact"/>
              <w:rPr>
                <w:sz w:val="20"/>
                <w:szCs w:val="20"/>
                <w:color w:val="auto"/>
              </w:rPr>
            </w:pPr>
            <w:r>
              <w:rPr>
                <w:rFonts w:ascii="Arial" w:cs="Arial" w:eastAsia="Arial" w:hAnsi="Arial"/>
                <w:sz w:val="18"/>
                <w:szCs w:val="18"/>
                <w:color w:val="auto"/>
              </w:rPr>
              <w:t>1</w:t>
            </w:r>
          </w:p>
        </w:tc>
        <w:tc>
          <w:tcPr>
            <w:tcW w:w="16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620" w:type="dxa"/>
            <w:vAlign w:val="bottom"/>
            <w:gridSpan w:val="2"/>
            <w:shd w:val="clear" w:color="auto" w:fill="C0C0C0"/>
          </w:tcPr>
          <w:p>
            <w:pPr>
              <w:jc w:val="right"/>
              <w:ind w:right="22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6240" w:type="dxa"/>
            <w:vAlign w:val="bottom"/>
          </w:tcPr>
          <w:p>
            <w:pPr>
              <w:ind w:left="20"/>
              <w:spacing w:after="0" w:line="202" w:lineRule="exact"/>
              <w:rPr>
                <w:sz w:val="20"/>
                <w:szCs w:val="20"/>
                <w:color w:val="auto"/>
              </w:rPr>
            </w:pPr>
            <w:r>
              <w:rPr>
                <w:rFonts w:ascii="Arial" w:cs="Arial" w:eastAsia="Arial" w:hAnsi="Arial"/>
                <w:sz w:val="18"/>
                <w:szCs w:val="18"/>
                <w:color w:val="auto"/>
              </w:rPr>
              <w:t>Increases related to current year tax positions</w:t>
            </w:r>
          </w:p>
        </w:tc>
        <w:tc>
          <w:tcPr>
            <w:tcW w:w="160" w:type="dxa"/>
            <w:vAlign w:val="bottom"/>
          </w:tcPr>
          <w:p>
            <w:pPr>
              <w:spacing w:after="0"/>
              <w:rPr>
                <w:sz w:val="17"/>
                <w:szCs w:val="17"/>
                <w:color w:val="auto"/>
              </w:rPr>
            </w:pPr>
          </w:p>
        </w:tc>
        <w:tc>
          <w:tcPr>
            <w:tcW w:w="56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624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Increases related to prior period tax positions</w:t>
            </w:r>
          </w:p>
        </w:tc>
        <w:tc>
          <w:tcPr>
            <w:tcW w:w="160" w:type="dxa"/>
            <w:vAlign w:val="bottom"/>
            <w:shd w:val="clear" w:color="auto" w:fill="C0C0C0"/>
          </w:tcPr>
          <w:p>
            <w:pPr>
              <w:spacing w:after="0"/>
              <w:rPr>
                <w:sz w:val="17"/>
                <w:szCs w:val="17"/>
                <w:color w:val="auto"/>
              </w:rPr>
            </w:pPr>
          </w:p>
        </w:tc>
        <w:tc>
          <w:tcPr>
            <w:tcW w:w="560" w:type="dxa"/>
            <w:vAlign w:val="bottom"/>
            <w:gridSpan w:val="2"/>
            <w:shd w:val="clear" w:color="auto" w:fill="C0C0C0"/>
          </w:tcPr>
          <w:p>
            <w:pPr>
              <w:jc w:val="right"/>
              <w:ind w:right="240"/>
              <w:spacing w:after="0" w:line="202" w:lineRule="exact"/>
              <w:rPr>
                <w:sz w:val="20"/>
                <w:szCs w:val="20"/>
                <w:color w:val="auto"/>
              </w:rPr>
            </w:pPr>
            <w:r>
              <w:rPr>
                <w:rFonts w:ascii="Arial" w:cs="Arial" w:eastAsia="Arial" w:hAnsi="Arial"/>
                <w:sz w:val="18"/>
                <w:szCs w:val="18"/>
                <w:b w:val="1"/>
                <w:bCs w:val="1"/>
                <w:color w:val="auto"/>
              </w:rPr>
              <w:t>4</w:t>
            </w:r>
          </w:p>
        </w:tc>
        <w:tc>
          <w:tcPr>
            <w:tcW w:w="16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560" w:type="dxa"/>
            <w:vAlign w:val="bottom"/>
            <w:gridSpan w:val="2"/>
            <w:shd w:val="clear" w:color="auto" w:fill="C0C0C0"/>
          </w:tcPr>
          <w:p>
            <w:pPr>
              <w:jc w:val="right"/>
              <w:ind w:right="180"/>
              <w:spacing w:after="0" w:line="202" w:lineRule="exact"/>
              <w:rPr>
                <w:sz w:val="20"/>
                <w:szCs w:val="20"/>
                <w:color w:val="auto"/>
              </w:rPr>
            </w:pPr>
            <w:r>
              <w:rPr>
                <w:rFonts w:ascii="Arial" w:cs="Arial" w:eastAsia="Arial" w:hAnsi="Arial"/>
                <w:sz w:val="18"/>
                <w:szCs w:val="18"/>
                <w:color w:val="auto"/>
              </w:rPr>
              <w:t>3</w:t>
            </w:r>
          </w:p>
        </w:tc>
        <w:tc>
          <w:tcPr>
            <w:tcW w:w="16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620" w:type="dxa"/>
            <w:vAlign w:val="bottom"/>
            <w:gridSpan w:val="2"/>
            <w:shd w:val="clear" w:color="auto" w:fill="C0C0C0"/>
          </w:tcPr>
          <w:p>
            <w:pPr>
              <w:jc w:val="right"/>
              <w:ind w:right="28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6240" w:type="dxa"/>
            <w:vAlign w:val="bottom"/>
          </w:tcPr>
          <w:p>
            <w:pPr>
              <w:ind w:left="20"/>
              <w:spacing w:after="0" w:line="202" w:lineRule="exact"/>
              <w:rPr>
                <w:sz w:val="20"/>
                <w:szCs w:val="20"/>
                <w:color w:val="auto"/>
              </w:rPr>
            </w:pPr>
            <w:r>
              <w:rPr>
                <w:rFonts w:ascii="Arial" w:cs="Arial" w:eastAsia="Arial" w:hAnsi="Arial"/>
                <w:sz w:val="18"/>
                <w:szCs w:val="18"/>
                <w:color w:val="auto"/>
              </w:rPr>
              <w:t>Decreases related to prior period tax positions</w:t>
            </w:r>
          </w:p>
        </w:tc>
        <w:tc>
          <w:tcPr>
            <w:tcW w:w="160" w:type="dxa"/>
            <w:vAlign w:val="bottom"/>
          </w:tcPr>
          <w:p>
            <w:pPr>
              <w:spacing w:after="0"/>
              <w:rPr>
                <w:sz w:val="17"/>
                <w:szCs w:val="17"/>
                <w:color w:val="auto"/>
              </w:rPr>
            </w:pPr>
          </w:p>
        </w:tc>
        <w:tc>
          <w:tcPr>
            <w:tcW w:w="56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24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Settlements</w:t>
            </w:r>
          </w:p>
        </w:tc>
        <w:tc>
          <w:tcPr>
            <w:tcW w:w="160" w:type="dxa"/>
            <w:vAlign w:val="bottom"/>
            <w:shd w:val="clear" w:color="auto" w:fill="C0C0C0"/>
          </w:tcPr>
          <w:p>
            <w:pPr>
              <w:spacing w:after="0"/>
              <w:rPr>
                <w:sz w:val="17"/>
                <w:szCs w:val="17"/>
                <w:color w:val="auto"/>
              </w:rPr>
            </w:pPr>
          </w:p>
        </w:tc>
        <w:tc>
          <w:tcPr>
            <w:tcW w:w="560" w:type="dxa"/>
            <w:vAlign w:val="bottom"/>
            <w:gridSpan w:val="2"/>
            <w:shd w:val="clear" w:color="auto" w:fill="C0C0C0"/>
          </w:tcPr>
          <w:p>
            <w:pPr>
              <w:jc w:val="right"/>
              <w:ind w:right="180"/>
              <w:spacing w:after="0" w:line="202" w:lineRule="exact"/>
              <w:rPr>
                <w:sz w:val="20"/>
                <w:szCs w:val="20"/>
                <w:color w:val="auto"/>
              </w:rPr>
            </w:pPr>
            <w:r>
              <w:rPr>
                <w:rFonts w:ascii="Arial" w:cs="Arial" w:eastAsia="Arial" w:hAnsi="Arial"/>
                <w:sz w:val="18"/>
                <w:szCs w:val="18"/>
                <w:b w:val="1"/>
                <w:bCs w:val="1"/>
                <w:color w:val="auto"/>
              </w:rPr>
              <w:t>(7)</w:t>
            </w:r>
          </w:p>
        </w:tc>
        <w:tc>
          <w:tcPr>
            <w:tcW w:w="16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56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(15)</w:t>
            </w:r>
          </w:p>
        </w:tc>
        <w:tc>
          <w:tcPr>
            <w:tcW w:w="16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620" w:type="dxa"/>
            <w:vAlign w:val="bottom"/>
            <w:gridSpan w:val="2"/>
            <w:shd w:val="clear" w:color="auto" w:fill="C0C0C0"/>
          </w:tcPr>
          <w:p>
            <w:pPr>
              <w:jc w:val="right"/>
              <w:ind w:right="22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6240" w:type="dxa"/>
            <w:vAlign w:val="bottom"/>
          </w:tcPr>
          <w:p>
            <w:pPr>
              <w:ind w:left="20"/>
              <w:spacing w:after="0" w:line="202" w:lineRule="exact"/>
              <w:rPr>
                <w:sz w:val="20"/>
                <w:szCs w:val="20"/>
                <w:color w:val="auto"/>
              </w:rPr>
            </w:pPr>
            <w:r>
              <w:rPr>
                <w:rFonts w:ascii="Arial" w:cs="Arial" w:eastAsia="Arial" w:hAnsi="Arial"/>
                <w:sz w:val="18"/>
                <w:szCs w:val="18"/>
                <w:color w:val="auto"/>
              </w:rPr>
              <w:t>Lapse of statute of limitations</w:t>
            </w:r>
          </w:p>
        </w:tc>
        <w:tc>
          <w:tcPr>
            <w:tcW w:w="160" w:type="dxa"/>
            <w:vAlign w:val="bottom"/>
          </w:tcPr>
          <w:p>
            <w:pPr>
              <w:spacing w:after="0"/>
              <w:rPr>
                <w:sz w:val="17"/>
                <w:szCs w:val="17"/>
                <w:color w:val="auto"/>
              </w:rPr>
            </w:pPr>
          </w:p>
        </w:tc>
        <w:tc>
          <w:tcPr>
            <w:tcW w:w="56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40" w:type="dxa"/>
            <w:vAlign w:val="bottom"/>
            <w:shd w:val="clear" w:color="auto" w:fill="C0C0C0"/>
          </w:tcPr>
          <w:p>
            <w:pPr>
              <w:ind w:left="20"/>
              <w:spacing w:after="0" w:line="196" w:lineRule="exact"/>
              <w:rPr>
                <w:sz w:val="20"/>
                <w:szCs w:val="20"/>
                <w:color w:val="auto"/>
              </w:rPr>
            </w:pPr>
            <w:r>
              <w:rPr>
                <w:rFonts w:ascii="Arial" w:cs="Arial" w:eastAsia="Arial" w:hAnsi="Arial"/>
                <w:sz w:val="18"/>
                <w:szCs w:val="18"/>
                <w:color w:val="auto"/>
              </w:rPr>
              <w:t>Unrecognized tax benefits at end of year</w:t>
            </w:r>
          </w:p>
        </w:tc>
        <w:tc>
          <w:tcPr>
            <w:tcW w:w="16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560" w:type="dxa"/>
            <w:vAlign w:val="bottom"/>
            <w:gridSpan w:val="2"/>
            <w:shd w:val="clear" w:color="auto" w:fill="C0C0C0"/>
          </w:tcPr>
          <w:p>
            <w:pPr>
              <w:jc w:val="right"/>
              <w:ind w:right="240"/>
              <w:spacing w:after="0" w:line="196" w:lineRule="exact"/>
              <w:rPr>
                <w:sz w:val="20"/>
                <w:szCs w:val="20"/>
                <w:color w:val="auto"/>
              </w:rPr>
            </w:pPr>
            <w:r>
              <w:rPr>
                <w:rFonts w:ascii="Arial" w:cs="Arial" w:eastAsia="Arial" w:hAnsi="Arial"/>
                <w:sz w:val="18"/>
                <w:szCs w:val="18"/>
                <w:b w:val="1"/>
                <w:bCs w:val="1"/>
                <w:color w:val="auto"/>
              </w:rPr>
              <w:t>48</w:t>
            </w:r>
          </w:p>
        </w:tc>
        <w:tc>
          <w:tcPr>
            <w:tcW w:w="300" w:type="dxa"/>
            <w:vAlign w:val="bottom"/>
            <w:gridSpan w:val="2"/>
            <w:shd w:val="clear" w:color="auto" w:fill="C0C0C0"/>
          </w:tcPr>
          <w:p>
            <w:pPr>
              <w:ind w:left="160"/>
              <w:spacing w:after="0" w:line="196"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0C0C0"/>
          </w:tcPr>
          <w:p>
            <w:pPr>
              <w:jc w:val="right"/>
              <w:ind w:right="180"/>
              <w:spacing w:after="0" w:line="196" w:lineRule="exact"/>
              <w:rPr>
                <w:sz w:val="20"/>
                <w:szCs w:val="20"/>
                <w:color w:val="auto"/>
              </w:rPr>
            </w:pPr>
            <w:r>
              <w:rPr>
                <w:rFonts w:ascii="Arial" w:cs="Arial" w:eastAsia="Arial" w:hAnsi="Arial"/>
                <w:sz w:val="18"/>
                <w:szCs w:val="18"/>
                <w:color w:val="auto"/>
              </w:rPr>
              <w:t>54</w:t>
            </w:r>
          </w:p>
        </w:tc>
        <w:tc>
          <w:tcPr>
            <w:tcW w:w="160" w:type="dxa"/>
            <w:vAlign w:val="bottom"/>
            <w:shd w:val="clear" w:color="auto" w:fill="C0C0C0"/>
          </w:tcPr>
          <w:p>
            <w:pPr>
              <w:spacing w:after="0"/>
              <w:rPr>
                <w:sz w:val="18"/>
                <w:szCs w:val="18"/>
                <w:color w:val="auto"/>
              </w:rPr>
            </w:pPr>
          </w:p>
        </w:tc>
        <w:tc>
          <w:tcPr>
            <w:tcW w:w="18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0C0C0"/>
          </w:tcPr>
          <w:p>
            <w:pPr>
              <w:jc w:val="right"/>
              <w:ind w:right="28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624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0C0C0"/>
            </w:tcBorders>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565775" cy="342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565775" cy="34290"/>
                    </a:xfrm>
                    <a:prstGeom prst="rect">
                      <a:avLst/>
                    </a:prstGeom>
                    <a:noFill/>
                  </pic:spPr>
                </pic:pic>
              </a:graphicData>
            </a:graphic>
          </wp:anchor>
        </w:drawing>
      </w:r>
    </w:p>
    <w:p>
      <w:pPr>
        <w:spacing w:after="0" w:line="87" w:lineRule="exact"/>
        <w:rPr>
          <w:sz w:val="20"/>
          <w:szCs w:val="20"/>
          <w:color w:val="auto"/>
        </w:rPr>
      </w:pPr>
    </w:p>
    <w:p>
      <w:pPr>
        <w:jc w:val="both"/>
        <w:ind w:left="60" w:right="519"/>
        <w:spacing w:after="0" w:line="256" w:lineRule="auto"/>
        <w:rPr>
          <w:sz w:val="20"/>
          <w:szCs w:val="20"/>
          <w:color w:val="auto"/>
        </w:rPr>
      </w:pPr>
      <w:r>
        <w:rPr>
          <w:rFonts w:ascii="Arial" w:cs="Arial" w:eastAsia="Arial" w:hAnsi="Arial"/>
          <w:sz w:val="18"/>
          <w:szCs w:val="18"/>
          <w:color w:val="auto"/>
        </w:rPr>
        <w:t>It is reasonably possible that the liability associated with the Company’s unrecognized tax benefits will increase or decrease within the next twelve months. These changes may be the result of foreign currency fluctuations, ongoing audits or the expiration of statutes of limitations.</w:t>
      </w:r>
    </w:p>
    <w:p>
      <w:pPr>
        <w:spacing w:after="0" w:line="200" w:lineRule="exact"/>
        <w:rPr>
          <w:sz w:val="20"/>
          <w:szCs w:val="20"/>
          <w:color w:val="auto"/>
        </w:rPr>
      </w:pPr>
    </w:p>
    <w:p>
      <w:pPr>
        <w:spacing w:after="0" w:line="35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96520</wp:posOffset>
            </wp:positionV>
            <wp:extent cx="6114415" cy="596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Foot Locker, Inc.</w:t>
      </w:r>
    </w:p>
    <w:p>
      <w:pPr>
        <w:jc w:val="center"/>
        <w:ind w:right="5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18. Income Taxes – (continued)</w:t>
      </w:r>
    </w:p>
    <w:p>
      <w:pPr>
        <w:spacing w:after="0" w:line="139"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Settlements could increase earnings in an amount ranging from $0 to $5 million based on current estimates. Audit outcomes and the timing of audit settlements are subject to significant uncertainty. Although management believes that adequate provision has been made for such issues, the ultimate resolution could have an adverse effect on the earnings of the Company. Conversely, if these issues are resolved favorably in the future, the related provision would be reduced, generating a positive effect on earnings. Due to the uncertainty of amounts and in accordance with its accounting policies, the Company has not recorded any potential impact of these settlements.</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19. Financial Instruments and Risk Management</w:t>
      </w:r>
    </w:p>
    <w:p>
      <w:pPr>
        <w:spacing w:after="0" w:line="139"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 xml:space="preserve">The Company operates internationally and utilizes certain derivative financial instruments to mitigate its foreign currency exposures, primarily related to third-party and intercompany forecasted transactions. As a result of the use of derivative instruments, the Company is exposed to the risk that counterparties will fail to meet their contractual obligations. To mitigate this counterparty credit risk, the Company has a practice of entering into contracts only with major financial institutions selected based upon their credit ratings and other financial factors. The Company monitors the creditworthiness of counterparties throughout the duration of the derivative instrument. Additional information is contained within Note 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Derivative Holdings Designated as Hedges</w:t>
      </w:r>
    </w:p>
    <w:p>
      <w:pPr>
        <w:spacing w:after="0" w:line="135"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For a derivative to qualify as a hedge at inception and throughout the hedged period, the Company formally documents the nature of the hedged items and the relationships between the hedging instruments and the hedged items, as well as its risk-management objectives, strategies for undertaking the various hedge transactions, and the methods of assessing hedge effectiveness and ineffectiveness. In addition, for hedges of forecasted transactions, the significant characteristics and expected terms of a forecasted transaction must be specifically identified, and it must be probable that each forecasted transaction would occur. If it were deemed probable that the forecasted transaction would not occur, the gain or loss on the derivative instrument would be recognized in earnings immediately. No such gains or losses were recognized in earnings for any of the periods presented. Derivative financial instruments qualifying for hedge accounting must maintain a specified level of effectiveness between the hedging instrument and the item being hedged, both at inception and throughout the hedged period, which management evaluates periodically.</w:t>
      </w:r>
    </w:p>
    <w:p>
      <w:pPr>
        <w:spacing w:after="0" w:line="104"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The primary currencies to which the Company is exposed are the euro, British pound, Canadian dollar, and Australian dollar. For option and foreign exchange forward contracts designated as cash flow hedges of the purchase of inventory, the effective portion of gains and losses is deferred as a component of Accumulated Other Comprehensive Loss (“AOCL”) and is recognized as a component of cost of sales when the related inventory is sold. The amount reclassified to cost of sales related to such contracts was not significant for any of the periods presented. The effective portion of gains or losses associated with other forward contracts is deferred as a component of AOCL until the underlying transaction is reported in earnings. The ineffective portion of gains and losses related to cash flow hedges recorded to earnings was also not significant for any of the periods presented. When using a forward contract as a hedging instrument, the Company excludes the time value of the contract from the assessment of effectiveness. For all years presented, the Company had not hedged forecasted transactions for more than the next twelve months, and the Company expects all derivative-related amounts reported in AOCL to be reclassified to earnings within twelve months. During 2013, the net change in the fair value of the foreign exchange derivative financial instruments designated as cash flow hedges of the purchase of inventory resulted in a loss of $5 million and therefore increased AOCL. At February 1, 2014 there was a $2 million loss included in AOCL.</w:t>
      </w:r>
    </w:p>
    <w:p>
      <w:pPr>
        <w:spacing w:after="0" w:line="103" w:lineRule="exact"/>
        <w:rPr>
          <w:sz w:val="20"/>
          <w:szCs w:val="20"/>
          <w:color w:val="auto"/>
        </w:rPr>
      </w:pPr>
    </w:p>
    <w:p>
      <w:pPr>
        <w:jc w:val="both"/>
        <w:ind w:left="40" w:right="519"/>
        <w:spacing w:after="0" w:line="262" w:lineRule="auto"/>
        <w:rPr>
          <w:sz w:val="20"/>
          <w:szCs w:val="20"/>
          <w:color w:val="auto"/>
        </w:rPr>
      </w:pPr>
      <w:r>
        <w:rPr>
          <w:rFonts w:ascii="Arial" w:cs="Arial" w:eastAsia="Arial" w:hAnsi="Arial"/>
          <w:sz w:val="18"/>
          <w:szCs w:val="18"/>
          <w:color w:val="auto"/>
        </w:rPr>
        <w:t>The notional value of the contracts outstanding at February 1, 2014 was $70 million and these contracts extend through January 2015.</w:t>
      </w:r>
    </w:p>
    <w:p>
      <w:pPr>
        <w:spacing w:after="0" w:line="200" w:lineRule="exact"/>
        <w:rPr>
          <w:sz w:val="20"/>
          <w:szCs w:val="20"/>
          <w:color w:val="auto"/>
        </w:rPr>
      </w:pPr>
    </w:p>
    <w:p>
      <w:pPr>
        <w:spacing w:after="0" w:line="33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96520</wp:posOffset>
            </wp:positionV>
            <wp:extent cx="6114415" cy="596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59" w:name="page60"/>
    <w:bookmarkEnd w:id="59"/>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right="4639" w:firstLine="8"/>
        <w:spacing w:after="0" w:line="388" w:lineRule="auto"/>
        <w:tabs>
          <w:tab w:leader="none" w:pos="41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Instruments and Risk Management – (continued) </w:t>
      </w:r>
      <w:r>
        <w:rPr>
          <w:rFonts w:ascii="Arial" w:cs="Arial" w:eastAsia="Arial" w:hAnsi="Arial"/>
          <w:sz w:val="18"/>
          <w:szCs w:val="18"/>
          <w:i w:val="1"/>
          <w:iCs w:val="1"/>
          <w:color w:val="auto"/>
        </w:rPr>
        <w:t>Derivative Holdings Designated as Non-Hedges</w:t>
      </w:r>
    </w:p>
    <w:p>
      <w:pPr>
        <w:spacing w:after="0" w:line="1" w:lineRule="exact"/>
        <w:rPr>
          <w:sz w:val="20"/>
          <w:szCs w:val="20"/>
          <w:color w:val="auto"/>
        </w:rPr>
      </w:pPr>
    </w:p>
    <w:p>
      <w:pPr>
        <w:jc w:val="both"/>
        <w:ind w:left="60" w:right="519"/>
        <w:spacing w:after="0" w:line="254" w:lineRule="auto"/>
        <w:rPr>
          <w:sz w:val="20"/>
          <w:szCs w:val="20"/>
          <w:color w:val="auto"/>
        </w:rPr>
      </w:pPr>
      <w:r>
        <w:rPr>
          <w:rFonts w:ascii="Arial" w:cs="Arial" w:eastAsia="Arial" w:hAnsi="Arial"/>
          <w:sz w:val="18"/>
          <w:szCs w:val="18"/>
          <w:color w:val="auto"/>
        </w:rPr>
        <w:t>The Company enters into foreign exchange forward contracts to hedge foreign-currency denominated merchandise purchases and intercompany transactions that are not designated as hedges. The net change in fair value was $1 million for 2013 and was not significant in any of the other periods presented. The notional value of the contracts outstanding at February 1, 2014 was $42 million and these contracts extend through June 2014.</w:t>
      </w:r>
    </w:p>
    <w:p>
      <w:pPr>
        <w:spacing w:after="0" w:line="96" w:lineRule="exact"/>
        <w:rPr>
          <w:sz w:val="20"/>
          <w:szCs w:val="20"/>
          <w:color w:val="auto"/>
        </w:rPr>
      </w:pPr>
    </w:p>
    <w:p>
      <w:pPr>
        <w:jc w:val="both"/>
        <w:ind w:left="60" w:right="519"/>
        <w:spacing w:after="0" w:line="254" w:lineRule="auto"/>
        <w:rPr>
          <w:sz w:val="20"/>
          <w:szCs w:val="20"/>
          <w:color w:val="auto"/>
        </w:rPr>
      </w:pPr>
      <w:r>
        <w:rPr>
          <w:rFonts w:ascii="Arial" w:cs="Arial" w:eastAsia="Arial" w:hAnsi="Arial"/>
          <w:sz w:val="18"/>
          <w:szCs w:val="18"/>
          <w:color w:val="auto"/>
        </w:rPr>
        <w:t>Additionally, the Company enters into diesel fuel forward contracts to mitigate a portion of the Company’s freight expense due to the variability caused by fuel surcharges imposed by our third-party freight carriers. Changes in the fair value of these contracts are recorded in earnings immediately. The effect was not significant for any of the periods presented. The notional value of the contracts outstanding at February 1, 2014 was not significant.</w:t>
      </w:r>
    </w:p>
    <w:p>
      <w:pPr>
        <w:spacing w:after="0" w:line="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Fair Value of Derivative Contracts</w:t>
      </w:r>
    </w:p>
    <w:p>
      <w:pPr>
        <w:spacing w:after="0" w:line="135" w:lineRule="exact"/>
        <w:rPr>
          <w:sz w:val="20"/>
          <w:szCs w:val="20"/>
          <w:color w:val="auto"/>
        </w:rPr>
      </w:pPr>
    </w:p>
    <w:p>
      <w:pPr>
        <w:jc w:val="both"/>
        <w:ind w:left="60" w:right="539"/>
        <w:spacing w:after="0" w:line="251" w:lineRule="auto"/>
        <w:rPr>
          <w:sz w:val="20"/>
          <w:szCs w:val="20"/>
          <w:color w:val="auto"/>
        </w:rPr>
      </w:pPr>
      <w:r>
        <w:rPr>
          <w:rFonts w:ascii="Arial" w:cs="Arial" w:eastAsia="Arial" w:hAnsi="Arial"/>
          <w:sz w:val="18"/>
          <w:szCs w:val="18"/>
          <w:color w:val="auto"/>
        </w:rPr>
        <w:t>The following represents the fair value of the Company’s derivative contracts. Many of the Company’s agreements allow for a netting arrangement. The following is presented on a gross basis, by type of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-76200</wp:posOffset>
            </wp:positionV>
            <wp:extent cx="556577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50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Sheet Caption</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2012</w:t>
            </w:r>
          </w:p>
        </w:tc>
      </w:tr>
      <w:tr>
        <w:trPr>
          <w:trHeight w:val="196"/>
        </w:trPr>
        <w:tc>
          <w:tcPr>
            <w:tcW w:w="5000" w:type="dxa"/>
            <w:vAlign w:val="bottom"/>
            <w:shd w:val="clear" w:color="auto" w:fill="C0C0C0"/>
          </w:tcPr>
          <w:p>
            <w:pPr>
              <w:ind w:left="20"/>
              <w:spacing w:after="0" w:line="196" w:lineRule="exact"/>
              <w:rPr>
                <w:sz w:val="20"/>
                <w:szCs w:val="20"/>
                <w:color w:val="auto"/>
              </w:rPr>
            </w:pPr>
            <w:r>
              <w:rPr>
                <w:rFonts w:ascii="Arial" w:cs="Arial" w:eastAsia="Arial" w:hAnsi="Arial"/>
                <w:sz w:val="18"/>
                <w:szCs w:val="18"/>
                <w:b w:val="1"/>
                <w:bCs w:val="1"/>
                <w:i w:val="1"/>
                <w:iCs w:val="1"/>
                <w:color w:val="auto"/>
              </w:rPr>
              <w:t>Hedging Instruments:</w:t>
            </w:r>
          </w:p>
        </w:tc>
        <w:tc>
          <w:tcPr>
            <w:tcW w:w="16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8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shd w:val="clear" w:color="auto" w:fill="C0C0C0"/>
          </w:tcPr>
          <w:p>
            <w:pPr>
              <w:spacing w:after="0"/>
              <w:rPr>
                <w:sz w:val="17"/>
                <w:szCs w:val="17"/>
                <w:color w:val="auto"/>
              </w:rPr>
            </w:pPr>
          </w:p>
        </w:tc>
      </w:tr>
      <w:tr>
        <w:trPr>
          <w:trHeight w:val="203"/>
        </w:trPr>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Foreign exchange forward contracts</w:t>
            </w:r>
          </w:p>
        </w:tc>
        <w:tc>
          <w:tcPr>
            <w:tcW w:w="1620" w:type="dxa"/>
            <w:vAlign w:val="bottom"/>
          </w:tcPr>
          <w:p>
            <w:pPr>
              <w:ind w:left="100"/>
              <w:spacing w:after="0" w:line="202" w:lineRule="exact"/>
              <w:rPr>
                <w:sz w:val="20"/>
                <w:szCs w:val="20"/>
                <w:color w:val="auto"/>
              </w:rPr>
            </w:pPr>
            <w:r>
              <w:rPr>
                <w:rFonts w:ascii="Arial" w:cs="Arial" w:eastAsia="Arial" w:hAnsi="Arial"/>
                <w:sz w:val="18"/>
                <w:szCs w:val="18"/>
                <w:color w:val="auto"/>
              </w:rPr>
              <w:t>Current assets</w:t>
            </w:r>
          </w:p>
        </w:tc>
        <w:tc>
          <w:tcPr>
            <w:tcW w:w="3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w:t>
            </w:r>
          </w:p>
        </w:tc>
      </w:tr>
      <w:tr>
        <w:trPr>
          <w:trHeight w:val="203"/>
        </w:trPr>
        <w:tc>
          <w:tcPr>
            <w:tcW w:w="5000" w:type="dxa"/>
            <w:vAlign w:val="bottom"/>
            <w:shd w:val="clear" w:color="auto" w:fill="C0C0C0"/>
          </w:tcPr>
          <w:p>
            <w:pPr>
              <w:ind w:left="200"/>
              <w:spacing w:after="0" w:line="202" w:lineRule="exact"/>
              <w:rPr>
                <w:sz w:val="20"/>
                <w:szCs w:val="20"/>
                <w:color w:val="auto"/>
              </w:rPr>
            </w:pPr>
            <w:r>
              <w:rPr>
                <w:rFonts w:ascii="Arial" w:cs="Arial" w:eastAsia="Arial" w:hAnsi="Arial"/>
                <w:sz w:val="18"/>
                <w:szCs w:val="18"/>
                <w:color w:val="auto"/>
              </w:rPr>
              <w:t>Foreign exchange forward contracts</w:t>
            </w:r>
          </w:p>
        </w:tc>
        <w:tc>
          <w:tcPr>
            <w:tcW w:w="1620" w:type="dxa"/>
            <w:vAlign w:val="bottom"/>
            <w:shd w:val="clear" w:color="auto" w:fill="C0C0C0"/>
          </w:tcPr>
          <w:p>
            <w:pPr>
              <w:ind w:left="100"/>
              <w:spacing w:after="0" w:line="202" w:lineRule="exact"/>
              <w:rPr>
                <w:sz w:val="20"/>
                <w:szCs w:val="20"/>
                <w:color w:val="auto"/>
              </w:rPr>
            </w:pPr>
            <w:r>
              <w:rPr>
                <w:rFonts w:ascii="Arial" w:cs="Arial" w:eastAsia="Arial" w:hAnsi="Arial"/>
                <w:sz w:val="18"/>
                <w:szCs w:val="18"/>
                <w:color w:val="auto"/>
              </w:rPr>
              <w:t>Current liabilities</w:t>
            </w:r>
          </w:p>
        </w:tc>
        <w:tc>
          <w:tcPr>
            <w:tcW w:w="360" w:type="dxa"/>
            <w:vAlign w:val="bottom"/>
            <w:gridSpan w:val="2"/>
            <w:shd w:val="clear" w:color="auto" w:fill="C0C0C0"/>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0C0C0"/>
          </w:tcPr>
          <w:p>
            <w:pPr>
              <w:jc w:val="right"/>
              <w:ind w:right="34"/>
              <w:spacing w:after="0" w:line="202" w:lineRule="exact"/>
              <w:rPr>
                <w:sz w:val="20"/>
                <w:szCs w:val="20"/>
                <w:color w:val="auto"/>
              </w:rPr>
            </w:pPr>
            <w:r>
              <w:rPr>
                <w:rFonts w:ascii="Arial" w:cs="Arial" w:eastAsia="Arial" w:hAnsi="Arial"/>
                <w:sz w:val="18"/>
                <w:szCs w:val="18"/>
                <w:b w:val="1"/>
                <w:bCs w:val="1"/>
                <w:color w:val="auto"/>
              </w:rPr>
              <w:t>2</w:t>
            </w:r>
          </w:p>
        </w:tc>
        <w:tc>
          <w:tcPr>
            <w:tcW w:w="360" w:type="dxa"/>
            <w:vAlign w:val="bottom"/>
            <w:gridSpan w:val="2"/>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ind w:right="54"/>
              <w:spacing w:after="0" w:line="202" w:lineRule="exact"/>
              <w:rPr>
                <w:sz w:val="20"/>
                <w:szCs w:val="20"/>
                <w:color w:val="auto"/>
              </w:rPr>
            </w:pPr>
            <w:r>
              <w:rPr>
                <w:rFonts w:ascii="Arial" w:cs="Arial" w:eastAsia="Arial" w:hAnsi="Arial"/>
                <w:sz w:val="18"/>
                <w:szCs w:val="18"/>
                <w:color w:val="auto"/>
              </w:rPr>
              <w:t>—</w:t>
            </w: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b w:val="1"/>
                <w:bCs w:val="1"/>
                <w:i w:val="1"/>
                <w:iCs w:val="1"/>
                <w:color w:val="auto"/>
              </w:rPr>
              <w:t>Non-hedging Instruments:</w:t>
            </w: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5000" w:type="dxa"/>
            <w:vAlign w:val="bottom"/>
            <w:shd w:val="clear" w:color="auto" w:fill="C0C0C0"/>
          </w:tcPr>
          <w:p>
            <w:pPr>
              <w:ind w:left="200"/>
              <w:spacing w:after="0" w:line="202" w:lineRule="exact"/>
              <w:rPr>
                <w:sz w:val="20"/>
                <w:szCs w:val="20"/>
                <w:color w:val="auto"/>
              </w:rPr>
            </w:pPr>
            <w:r>
              <w:rPr>
                <w:rFonts w:ascii="Arial" w:cs="Arial" w:eastAsia="Arial" w:hAnsi="Arial"/>
                <w:sz w:val="18"/>
                <w:szCs w:val="18"/>
                <w:color w:val="auto"/>
              </w:rPr>
              <w:t>Foreign exchange forward contracts</w:t>
            </w:r>
          </w:p>
        </w:tc>
        <w:tc>
          <w:tcPr>
            <w:tcW w:w="1620" w:type="dxa"/>
            <w:vAlign w:val="bottom"/>
            <w:shd w:val="clear" w:color="auto" w:fill="C0C0C0"/>
          </w:tcPr>
          <w:p>
            <w:pPr>
              <w:ind w:left="100"/>
              <w:spacing w:after="0" w:line="202" w:lineRule="exact"/>
              <w:rPr>
                <w:sz w:val="20"/>
                <w:szCs w:val="20"/>
                <w:color w:val="auto"/>
              </w:rPr>
            </w:pPr>
            <w:r>
              <w:rPr>
                <w:rFonts w:ascii="Arial" w:cs="Arial" w:eastAsia="Arial" w:hAnsi="Arial"/>
                <w:sz w:val="18"/>
                <w:szCs w:val="18"/>
                <w:color w:val="auto"/>
              </w:rPr>
              <w:t>Current assets</w:t>
            </w:r>
          </w:p>
        </w:tc>
        <w:tc>
          <w:tcPr>
            <w:tcW w:w="360" w:type="dxa"/>
            <w:vAlign w:val="bottom"/>
            <w:gridSpan w:val="2"/>
            <w:shd w:val="clear" w:color="auto" w:fill="C0C0C0"/>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0C0C0"/>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gridSpan w:val="2"/>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ind w:right="54"/>
              <w:spacing w:after="0" w:line="202" w:lineRule="exact"/>
              <w:rPr>
                <w:sz w:val="20"/>
                <w:szCs w:val="20"/>
                <w:color w:val="auto"/>
              </w:rPr>
            </w:pPr>
            <w:r>
              <w:rPr>
                <w:rFonts w:ascii="Arial" w:cs="Arial" w:eastAsia="Arial" w:hAnsi="Arial"/>
                <w:sz w:val="18"/>
                <w:szCs w:val="18"/>
                <w:color w:val="auto"/>
              </w:rPr>
              <w:t>2</w:t>
            </w:r>
          </w:p>
        </w:tc>
      </w:tr>
    </w:tbl>
    <w:p>
      <w:pPr>
        <w:spacing w:after="0" w:line="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Notional Values and Foreign Currency Exchange Rates</w:t>
      </w:r>
    </w:p>
    <w:p>
      <w:pPr>
        <w:spacing w:after="0" w:line="135" w:lineRule="exact"/>
        <w:rPr>
          <w:sz w:val="20"/>
          <w:szCs w:val="20"/>
          <w:color w:val="auto"/>
        </w:rPr>
      </w:pPr>
    </w:p>
    <w:p>
      <w:pPr>
        <w:jc w:val="both"/>
        <w:ind w:left="60" w:right="539"/>
        <w:spacing w:after="0" w:line="251" w:lineRule="auto"/>
        <w:rPr>
          <w:sz w:val="20"/>
          <w:szCs w:val="20"/>
          <w:color w:val="auto"/>
        </w:rPr>
      </w:pPr>
      <w:r>
        <w:rPr>
          <w:rFonts w:ascii="Arial" w:cs="Arial" w:eastAsia="Arial" w:hAnsi="Arial"/>
          <w:sz w:val="18"/>
          <w:szCs w:val="18"/>
          <w:color w:val="auto"/>
        </w:rPr>
        <w:t>The table below presents the notional amounts for all outstanding derivatives and the weighted-average exchange rates of foreign exchange forward contracts at February 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-76200</wp:posOffset>
            </wp:positionV>
            <wp:extent cx="548830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488305" cy="889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Contract Value</w:t>
            </w:r>
          </w:p>
        </w:tc>
        <w:tc>
          <w:tcPr>
            <w:tcW w:w="16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b w:val="1"/>
                <w:bCs w:val="1"/>
                <w:color w:val="auto"/>
              </w:rPr>
              <w:t>Weighted-Average</w:t>
            </w:r>
          </w:p>
        </w:tc>
      </w:tr>
      <w:tr>
        <w:trPr>
          <w:trHeight w:val="175"/>
        </w:trPr>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(U.S. in millions)</w:t>
            </w:r>
          </w:p>
        </w:tc>
        <w:tc>
          <w:tcPr>
            <w:tcW w:w="160" w:type="dxa"/>
            <w:vAlign w:val="bottom"/>
          </w:tcPr>
          <w:p>
            <w:pPr>
              <w:spacing w:after="0"/>
              <w:rPr>
                <w:sz w:val="15"/>
                <w:szCs w:val="15"/>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Exchange Rate</w:t>
            </w:r>
          </w:p>
        </w:tc>
      </w:tr>
      <w:tr>
        <w:trPr>
          <w:trHeight w:val="169"/>
        </w:trPr>
        <w:tc>
          <w:tcPr>
            <w:tcW w:w="6000" w:type="dxa"/>
            <w:vAlign w:val="bottom"/>
            <w:tcBorders>
              <w:left w:val="single" w:sz="8" w:color="C0C0C0"/>
            </w:tcBorders>
            <w:gridSpan w:val="3"/>
            <w:shd w:val="clear" w:color="auto" w:fill="C0C0C0"/>
          </w:tcPr>
          <w:p>
            <w:pPr>
              <w:ind w:left="20"/>
              <w:spacing w:after="0" w:line="170" w:lineRule="exact"/>
              <w:rPr>
                <w:sz w:val="20"/>
                <w:szCs w:val="20"/>
                <w:color w:val="auto"/>
              </w:rPr>
            </w:pPr>
            <w:r>
              <w:rPr>
                <w:rFonts w:ascii="Arial" w:cs="Arial" w:eastAsia="Arial" w:hAnsi="Arial"/>
                <w:sz w:val="18"/>
                <w:szCs w:val="18"/>
                <w:b w:val="1"/>
                <w:bCs w:val="1"/>
                <w:color w:val="auto"/>
              </w:rPr>
              <w:t>Inventory</w:t>
            </w:r>
          </w:p>
        </w:tc>
        <w:tc>
          <w:tcPr>
            <w:tcW w:w="400" w:type="dxa"/>
            <w:vAlign w:val="bottom"/>
            <w:shd w:val="clear" w:color="auto" w:fill="C0C0C0"/>
          </w:tcPr>
          <w:p>
            <w:pPr>
              <w:spacing w:after="0"/>
              <w:rPr>
                <w:sz w:val="14"/>
                <w:szCs w:val="14"/>
                <w:color w:val="auto"/>
              </w:rPr>
            </w:pPr>
          </w:p>
        </w:tc>
        <w:tc>
          <w:tcPr>
            <w:tcW w:w="80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1420" w:type="dxa"/>
            <w:vAlign w:val="bottom"/>
            <w:shd w:val="clear" w:color="auto" w:fill="C0C0C0"/>
          </w:tcPr>
          <w:p>
            <w:pPr>
              <w:spacing w:after="0"/>
              <w:rPr>
                <w:sz w:val="14"/>
                <w:szCs w:val="14"/>
                <w:color w:val="auto"/>
              </w:rPr>
            </w:pPr>
          </w:p>
        </w:tc>
      </w:tr>
      <w:tr>
        <w:trPr>
          <w:trHeight w:val="27"/>
        </w:trPr>
        <w:tc>
          <w:tcPr>
            <w:tcW w:w="820" w:type="dxa"/>
            <w:vAlign w:val="bottom"/>
            <w:tcBorders>
              <w:left w:val="single" w:sz="8" w:color="C0C0C0"/>
            </w:tcBorders>
            <w:shd w:val="clear" w:color="auto" w:fill="000000"/>
          </w:tcPr>
          <w:p>
            <w:pPr>
              <w:spacing w:after="0"/>
              <w:rPr>
                <w:sz w:val="2"/>
                <w:szCs w:val="2"/>
                <w:color w:val="auto"/>
              </w:rPr>
            </w:pPr>
          </w:p>
        </w:tc>
        <w:tc>
          <w:tcPr>
            <w:tcW w:w="380" w:type="dxa"/>
            <w:vAlign w:val="bottom"/>
            <w:shd w:val="clear" w:color="auto" w:fill="C0C0C0"/>
          </w:tcPr>
          <w:p>
            <w:pPr>
              <w:spacing w:after="0"/>
              <w:rPr>
                <w:sz w:val="2"/>
                <w:szCs w:val="2"/>
                <w:color w:val="auto"/>
              </w:rPr>
            </w:pPr>
          </w:p>
        </w:tc>
        <w:tc>
          <w:tcPr>
            <w:tcW w:w="4800" w:type="dxa"/>
            <w:vAlign w:val="bottom"/>
            <w:shd w:val="clear" w:color="auto" w:fill="C0C0C0"/>
          </w:tcPr>
          <w:p>
            <w:pPr>
              <w:spacing w:after="0"/>
              <w:rPr>
                <w:sz w:val="2"/>
                <w:szCs w:val="2"/>
                <w:color w:val="auto"/>
              </w:rPr>
            </w:pPr>
          </w:p>
        </w:tc>
        <w:tc>
          <w:tcPr>
            <w:tcW w:w="400" w:type="dxa"/>
            <w:vAlign w:val="bottom"/>
            <w:shd w:val="clear" w:color="auto" w:fill="C0C0C0"/>
          </w:tcPr>
          <w:p>
            <w:pPr>
              <w:spacing w:after="0"/>
              <w:rPr>
                <w:sz w:val="2"/>
                <w:szCs w:val="2"/>
                <w:color w:val="auto"/>
              </w:rPr>
            </w:pPr>
          </w:p>
        </w:tc>
        <w:tc>
          <w:tcPr>
            <w:tcW w:w="800" w:type="dxa"/>
            <w:vAlign w:val="bottom"/>
            <w:shd w:val="clear" w:color="auto" w:fill="C0C0C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1420" w:type="dxa"/>
            <w:vAlign w:val="bottom"/>
            <w:shd w:val="clear" w:color="auto" w:fill="C0C0C0"/>
          </w:tcPr>
          <w:p>
            <w:pPr>
              <w:spacing w:after="0"/>
              <w:rPr>
                <w:sz w:val="2"/>
                <w:szCs w:val="2"/>
                <w:color w:val="auto"/>
              </w:rPr>
            </w:pPr>
          </w:p>
        </w:tc>
      </w:tr>
      <w:tr>
        <w:trPr>
          <w:trHeight w:val="203"/>
        </w:trPr>
        <w:tc>
          <w:tcPr>
            <w:tcW w:w="600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Buy €/Sell British £</w:t>
            </w:r>
          </w:p>
        </w:tc>
        <w:tc>
          <w:tcPr>
            <w:tcW w:w="400" w:type="dxa"/>
            <w:vAlign w:val="bottom"/>
          </w:tcPr>
          <w:p>
            <w:pPr>
              <w:jc w:val="right"/>
              <w:ind w:right="199"/>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73</w:t>
            </w:r>
          </w:p>
        </w:tc>
        <w:tc>
          <w:tcPr>
            <w:tcW w:w="158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.8479</w:t>
            </w:r>
          </w:p>
        </w:tc>
      </w:tr>
      <w:tr>
        <w:trPr>
          <w:trHeight w:val="203"/>
        </w:trPr>
        <w:tc>
          <w:tcPr>
            <w:tcW w:w="6000" w:type="dxa"/>
            <w:vAlign w:val="bottom"/>
            <w:tcBorders>
              <w:left w:val="single" w:sz="8" w:color="C0C0C0"/>
            </w:tcBorders>
            <w:gridSpan w:val="3"/>
            <w:shd w:val="clear" w:color="auto" w:fill="C0C0C0"/>
          </w:tcPr>
          <w:p>
            <w:pPr>
              <w:ind w:left="20"/>
              <w:spacing w:after="0" w:line="202" w:lineRule="exact"/>
              <w:rPr>
                <w:sz w:val="20"/>
                <w:szCs w:val="20"/>
                <w:color w:val="auto"/>
              </w:rPr>
            </w:pPr>
            <w:r>
              <w:rPr>
                <w:rFonts w:ascii="Arial" w:cs="Arial" w:eastAsia="Arial" w:hAnsi="Arial"/>
                <w:sz w:val="18"/>
                <w:szCs w:val="18"/>
                <w:color w:val="auto"/>
              </w:rPr>
              <w:t>Buy £/Sell €</w:t>
            </w:r>
          </w:p>
        </w:tc>
        <w:tc>
          <w:tcPr>
            <w:tcW w:w="400" w:type="dxa"/>
            <w:vAlign w:val="bottom"/>
            <w:shd w:val="clear" w:color="auto" w:fill="C0C0C0"/>
          </w:tcPr>
          <w:p>
            <w:pPr>
              <w:spacing w:after="0"/>
              <w:rPr>
                <w:sz w:val="17"/>
                <w:szCs w:val="17"/>
                <w:color w:val="auto"/>
              </w:rPr>
            </w:pPr>
          </w:p>
        </w:tc>
        <w:tc>
          <w:tcPr>
            <w:tcW w:w="800" w:type="dxa"/>
            <w:vAlign w:val="bottom"/>
            <w:shd w:val="clear" w:color="auto" w:fill="C0C0C0"/>
          </w:tcPr>
          <w:p>
            <w:pPr>
              <w:jc w:val="right"/>
              <w:ind w:right="150"/>
              <w:spacing w:after="0" w:line="202" w:lineRule="exact"/>
              <w:rPr>
                <w:sz w:val="20"/>
                <w:szCs w:val="20"/>
                <w:color w:val="auto"/>
              </w:rPr>
            </w:pPr>
            <w:r>
              <w:rPr>
                <w:rFonts w:ascii="Arial" w:cs="Arial" w:eastAsia="Arial" w:hAnsi="Arial"/>
                <w:sz w:val="18"/>
                <w:szCs w:val="18"/>
                <w:color w:val="auto"/>
              </w:rPr>
              <w:t>(3)</w:t>
            </w:r>
          </w:p>
        </w:tc>
        <w:tc>
          <w:tcPr>
            <w:tcW w:w="1580" w:type="dxa"/>
            <w:vAlign w:val="bottom"/>
            <w:gridSpan w:val="2"/>
            <w:shd w:val="clear" w:color="auto" w:fill="C0C0C0"/>
          </w:tcPr>
          <w:p>
            <w:pPr>
              <w:jc w:val="right"/>
              <w:ind w:right="48"/>
              <w:spacing w:after="0" w:line="202" w:lineRule="exact"/>
              <w:rPr>
                <w:sz w:val="20"/>
                <w:szCs w:val="20"/>
                <w:color w:val="auto"/>
              </w:rPr>
            </w:pPr>
            <w:r>
              <w:rPr>
                <w:rFonts w:ascii="Arial" w:cs="Arial" w:eastAsia="Arial" w:hAnsi="Arial"/>
                <w:sz w:val="18"/>
                <w:szCs w:val="18"/>
                <w:color w:val="auto"/>
              </w:rPr>
              <w:t>1.2060</w:t>
            </w:r>
          </w:p>
        </w:tc>
      </w:tr>
      <w:tr>
        <w:trPr>
          <w:trHeight w:val="203"/>
        </w:trPr>
        <w:tc>
          <w:tcPr>
            <w:tcW w:w="600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Buy US/Sell €</w:t>
            </w:r>
          </w:p>
        </w:tc>
        <w:tc>
          <w:tcPr>
            <w:tcW w:w="400" w:type="dxa"/>
            <w:vAlign w:val="bottom"/>
          </w:tcPr>
          <w:p>
            <w:pPr>
              <w:spacing w:after="0"/>
              <w:rPr>
                <w:sz w:val="17"/>
                <w:szCs w:val="17"/>
                <w:color w:val="auto"/>
              </w:rPr>
            </w:pPr>
          </w:p>
        </w:tc>
        <w:tc>
          <w:tcPr>
            <w:tcW w:w="8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3</w:t>
            </w:r>
          </w:p>
        </w:tc>
        <w:tc>
          <w:tcPr>
            <w:tcW w:w="158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.7373</w:t>
            </w:r>
          </w:p>
        </w:tc>
      </w:tr>
      <w:tr>
        <w:trPr>
          <w:trHeight w:val="176"/>
        </w:trPr>
        <w:tc>
          <w:tcPr>
            <w:tcW w:w="6000" w:type="dxa"/>
            <w:vAlign w:val="bottom"/>
            <w:tcBorders>
              <w:left w:val="single" w:sz="8" w:color="C0C0C0"/>
            </w:tcBorders>
            <w:gridSpan w:val="3"/>
            <w:shd w:val="clear" w:color="auto" w:fill="C0C0C0"/>
          </w:tcPr>
          <w:p>
            <w:pPr>
              <w:ind w:left="20"/>
              <w:spacing w:after="0" w:line="176" w:lineRule="exact"/>
              <w:rPr>
                <w:sz w:val="20"/>
                <w:szCs w:val="20"/>
                <w:color w:val="auto"/>
              </w:rPr>
            </w:pPr>
            <w:r>
              <w:rPr>
                <w:rFonts w:ascii="Arial" w:cs="Arial" w:eastAsia="Arial" w:hAnsi="Arial"/>
                <w:sz w:val="18"/>
                <w:szCs w:val="18"/>
                <w:b w:val="1"/>
                <w:bCs w:val="1"/>
                <w:color w:val="auto"/>
              </w:rPr>
              <w:t>Intercompany</w:t>
            </w:r>
          </w:p>
        </w:tc>
        <w:tc>
          <w:tcPr>
            <w:tcW w:w="400" w:type="dxa"/>
            <w:vAlign w:val="bottom"/>
            <w:shd w:val="clear" w:color="auto" w:fill="C0C0C0"/>
          </w:tcPr>
          <w:p>
            <w:pPr>
              <w:spacing w:after="0"/>
              <w:rPr>
                <w:sz w:val="15"/>
                <w:szCs w:val="15"/>
                <w:color w:val="auto"/>
              </w:rPr>
            </w:pPr>
          </w:p>
        </w:tc>
        <w:tc>
          <w:tcPr>
            <w:tcW w:w="800" w:type="dxa"/>
            <w:vAlign w:val="bottom"/>
            <w:shd w:val="clear" w:color="auto" w:fill="C0C0C0"/>
          </w:tcPr>
          <w:p>
            <w:pPr>
              <w:spacing w:after="0"/>
              <w:rPr>
                <w:sz w:val="15"/>
                <w:szCs w:val="15"/>
                <w:color w:val="auto"/>
              </w:rPr>
            </w:pPr>
          </w:p>
        </w:tc>
        <w:tc>
          <w:tcPr>
            <w:tcW w:w="160" w:type="dxa"/>
            <w:vAlign w:val="bottom"/>
            <w:shd w:val="clear" w:color="auto" w:fill="C0C0C0"/>
          </w:tcPr>
          <w:p>
            <w:pPr>
              <w:spacing w:after="0"/>
              <w:rPr>
                <w:sz w:val="15"/>
                <w:szCs w:val="15"/>
                <w:color w:val="auto"/>
              </w:rPr>
            </w:pPr>
          </w:p>
        </w:tc>
        <w:tc>
          <w:tcPr>
            <w:tcW w:w="1420" w:type="dxa"/>
            <w:vAlign w:val="bottom"/>
            <w:shd w:val="clear" w:color="auto" w:fill="C0C0C0"/>
          </w:tcPr>
          <w:p>
            <w:pPr>
              <w:spacing w:after="0"/>
              <w:rPr>
                <w:sz w:val="15"/>
                <w:szCs w:val="15"/>
                <w:color w:val="auto"/>
              </w:rPr>
            </w:pPr>
          </w:p>
        </w:tc>
      </w:tr>
      <w:tr>
        <w:trPr>
          <w:trHeight w:val="27"/>
        </w:trPr>
        <w:tc>
          <w:tcPr>
            <w:tcW w:w="820" w:type="dxa"/>
            <w:vAlign w:val="bottom"/>
            <w:tcBorders>
              <w:left w:val="single" w:sz="8" w:color="C0C0C0"/>
            </w:tcBorders>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800" w:type="dxa"/>
            <w:vAlign w:val="bottom"/>
            <w:shd w:val="clear" w:color="auto" w:fill="C0C0C0"/>
          </w:tcPr>
          <w:p>
            <w:pPr>
              <w:spacing w:after="0"/>
              <w:rPr>
                <w:sz w:val="2"/>
                <w:szCs w:val="2"/>
                <w:color w:val="auto"/>
              </w:rPr>
            </w:pPr>
          </w:p>
        </w:tc>
        <w:tc>
          <w:tcPr>
            <w:tcW w:w="400" w:type="dxa"/>
            <w:vAlign w:val="bottom"/>
            <w:shd w:val="clear" w:color="auto" w:fill="C0C0C0"/>
          </w:tcPr>
          <w:p>
            <w:pPr>
              <w:spacing w:after="0"/>
              <w:rPr>
                <w:sz w:val="2"/>
                <w:szCs w:val="2"/>
                <w:color w:val="auto"/>
              </w:rPr>
            </w:pPr>
          </w:p>
        </w:tc>
        <w:tc>
          <w:tcPr>
            <w:tcW w:w="800" w:type="dxa"/>
            <w:vAlign w:val="bottom"/>
            <w:shd w:val="clear" w:color="auto" w:fill="C0C0C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1420" w:type="dxa"/>
            <w:vAlign w:val="bottom"/>
            <w:shd w:val="clear" w:color="auto" w:fill="C0C0C0"/>
          </w:tcPr>
          <w:p>
            <w:pPr>
              <w:spacing w:after="0"/>
              <w:rPr>
                <w:sz w:val="2"/>
                <w:szCs w:val="2"/>
                <w:color w:val="auto"/>
              </w:rPr>
            </w:pPr>
          </w:p>
        </w:tc>
      </w:tr>
      <w:tr>
        <w:trPr>
          <w:trHeight w:val="203"/>
        </w:trPr>
        <w:tc>
          <w:tcPr>
            <w:tcW w:w="600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Buy US/Sell €</w:t>
            </w:r>
          </w:p>
        </w:tc>
        <w:tc>
          <w:tcPr>
            <w:tcW w:w="400" w:type="dxa"/>
            <w:vAlign w:val="bottom"/>
          </w:tcPr>
          <w:p>
            <w:pPr>
              <w:jc w:val="right"/>
              <w:ind w:right="199"/>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25</w:t>
            </w:r>
          </w:p>
        </w:tc>
        <w:tc>
          <w:tcPr>
            <w:tcW w:w="158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1.3237</w:t>
            </w:r>
          </w:p>
        </w:tc>
      </w:tr>
      <w:tr>
        <w:trPr>
          <w:trHeight w:val="203"/>
        </w:trPr>
        <w:tc>
          <w:tcPr>
            <w:tcW w:w="6000" w:type="dxa"/>
            <w:vAlign w:val="bottom"/>
            <w:tcBorders>
              <w:left w:val="single" w:sz="8" w:color="C0C0C0"/>
            </w:tcBorders>
            <w:gridSpan w:val="3"/>
            <w:shd w:val="clear" w:color="auto" w:fill="C0C0C0"/>
          </w:tcPr>
          <w:p>
            <w:pPr>
              <w:ind w:left="20"/>
              <w:spacing w:after="0" w:line="202" w:lineRule="exact"/>
              <w:rPr>
                <w:sz w:val="20"/>
                <w:szCs w:val="20"/>
                <w:color w:val="auto"/>
              </w:rPr>
            </w:pPr>
            <w:r>
              <w:rPr>
                <w:rFonts w:ascii="Arial" w:cs="Arial" w:eastAsia="Arial" w:hAnsi="Arial"/>
                <w:sz w:val="18"/>
                <w:szCs w:val="18"/>
                <w:color w:val="auto"/>
              </w:rPr>
              <w:t>Buy €/Sell British £</w:t>
            </w:r>
          </w:p>
        </w:tc>
        <w:tc>
          <w:tcPr>
            <w:tcW w:w="400" w:type="dxa"/>
            <w:vAlign w:val="bottom"/>
            <w:shd w:val="clear" w:color="auto" w:fill="C0C0C0"/>
          </w:tcPr>
          <w:p>
            <w:pPr>
              <w:spacing w:after="0"/>
              <w:rPr>
                <w:sz w:val="17"/>
                <w:szCs w:val="17"/>
                <w:color w:val="auto"/>
              </w:rPr>
            </w:pPr>
          </w:p>
        </w:tc>
        <w:tc>
          <w:tcPr>
            <w:tcW w:w="800" w:type="dxa"/>
            <w:vAlign w:val="bottom"/>
            <w:shd w:val="clear" w:color="auto" w:fill="C0C0C0"/>
          </w:tcPr>
          <w:p>
            <w:pPr>
              <w:jc w:val="right"/>
              <w:ind w:right="210"/>
              <w:spacing w:after="0" w:line="202" w:lineRule="exact"/>
              <w:rPr>
                <w:sz w:val="20"/>
                <w:szCs w:val="20"/>
                <w:color w:val="auto"/>
              </w:rPr>
            </w:pPr>
            <w:r>
              <w:rPr>
                <w:rFonts w:ascii="Arial" w:cs="Arial" w:eastAsia="Arial" w:hAnsi="Arial"/>
                <w:sz w:val="18"/>
                <w:szCs w:val="18"/>
                <w:color w:val="auto"/>
              </w:rPr>
              <w:t>12</w:t>
            </w:r>
          </w:p>
        </w:tc>
        <w:tc>
          <w:tcPr>
            <w:tcW w:w="1580" w:type="dxa"/>
            <w:vAlign w:val="bottom"/>
            <w:gridSpan w:val="2"/>
            <w:shd w:val="clear" w:color="auto" w:fill="C0C0C0"/>
          </w:tcPr>
          <w:p>
            <w:pPr>
              <w:jc w:val="right"/>
              <w:ind w:right="48"/>
              <w:spacing w:after="0" w:line="202" w:lineRule="exact"/>
              <w:rPr>
                <w:sz w:val="20"/>
                <w:szCs w:val="20"/>
                <w:color w:val="auto"/>
              </w:rPr>
            </w:pPr>
            <w:r>
              <w:rPr>
                <w:rFonts w:ascii="Arial" w:cs="Arial" w:eastAsia="Arial" w:hAnsi="Arial"/>
                <w:sz w:val="18"/>
                <w:szCs w:val="18"/>
                <w:color w:val="auto"/>
              </w:rPr>
              <w:t>.8449</w:t>
            </w:r>
          </w:p>
        </w:tc>
      </w:tr>
      <w:tr>
        <w:trPr>
          <w:trHeight w:val="217"/>
        </w:trPr>
        <w:tc>
          <w:tcPr>
            <w:tcW w:w="6000" w:type="dxa"/>
            <w:vAlign w:val="bottom"/>
            <w:gridSpan w:val="3"/>
          </w:tcPr>
          <w:p>
            <w:pPr>
              <w:ind w:left="20"/>
              <w:spacing w:after="0"/>
              <w:rPr>
                <w:sz w:val="20"/>
                <w:szCs w:val="20"/>
                <w:color w:val="auto"/>
              </w:rPr>
            </w:pPr>
            <w:r>
              <w:rPr>
                <w:rFonts w:ascii="Arial" w:cs="Arial" w:eastAsia="Arial" w:hAnsi="Arial"/>
                <w:sz w:val="18"/>
                <w:szCs w:val="18"/>
                <w:color w:val="auto"/>
              </w:rPr>
              <w:t>Buy US/Sell CAD $</w:t>
            </w:r>
          </w:p>
        </w:tc>
        <w:tc>
          <w:tcPr>
            <w:tcW w:w="400" w:type="dxa"/>
            <w:vAlign w:val="bottom"/>
          </w:tcPr>
          <w:p>
            <w:pPr>
              <w:spacing w:after="0"/>
              <w:rPr>
                <w:sz w:val="18"/>
                <w:szCs w:val="18"/>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2</w:t>
            </w:r>
          </w:p>
        </w:tc>
        <w:tc>
          <w:tcPr>
            <w:tcW w:w="1580" w:type="dxa"/>
            <w:vAlign w:val="bottom"/>
            <w:gridSpan w:val="2"/>
          </w:tcPr>
          <w:p>
            <w:pPr>
              <w:jc w:val="right"/>
              <w:ind w:right="48"/>
              <w:spacing w:after="0"/>
              <w:rPr>
                <w:sz w:val="20"/>
                <w:szCs w:val="20"/>
                <w:color w:val="auto"/>
              </w:rPr>
            </w:pPr>
            <w:r>
              <w:rPr>
                <w:rFonts w:ascii="Arial" w:cs="Arial" w:eastAsia="Arial" w:hAnsi="Arial"/>
                <w:sz w:val="18"/>
                <w:szCs w:val="18"/>
                <w:color w:val="auto"/>
              </w:rPr>
              <w:t>1.0717</w:t>
            </w:r>
          </w:p>
        </w:tc>
      </w:tr>
    </w:tbl>
    <w:p>
      <w:pPr>
        <w:spacing w:after="0" w:line="7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Business Risk</w:t>
      </w:r>
    </w:p>
    <w:p>
      <w:pPr>
        <w:spacing w:after="0" w:line="135"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The retailing business is highly competitive. Price, quality, selection of merchandise, reputation, store location, advertising, and customer service are important competitive factors in the Company’s business. The Company operates in 23 countries and purchased approximately 88 percent of its merchandise in 2013 from its top 5 vendors. In 2013, the Company purchased approximately 68 percent of its athletic merchandise from one major vendor, Nike, Inc. (“Nike”), and approximately 15 percent from another major vendor. Each of our operating divisions is highly dependent on Nike; they individually purchased 39 to 80 percent of their merchandise from Nike.</w:t>
      </w:r>
    </w:p>
    <w:p>
      <w:pPr>
        <w:spacing w:after="0" w:line="101" w:lineRule="exact"/>
        <w:rPr>
          <w:sz w:val="20"/>
          <w:szCs w:val="20"/>
          <w:color w:val="auto"/>
        </w:rPr>
      </w:pPr>
    </w:p>
    <w:p>
      <w:pPr>
        <w:jc w:val="both"/>
        <w:ind w:left="60" w:right="539"/>
        <w:spacing w:after="0" w:line="256" w:lineRule="auto"/>
        <w:rPr>
          <w:sz w:val="20"/>
          <w:szCs w:val="20"/>
          <w:color w:val="auto"/>
        </w:rPr>
      </w:pPr>
      <w:r>
        <w:rPr>
          <w:rFonts w:ascii="Arial" w:cs="Arial" w:eastAsia="Arial" w:hAnsi="Arial"/>
          <w:sz w:val="18"/>
          <w:szCs w:val="18"/>
          <w:color w:val="auto"/>
        </w:rPr>
        <w:t>Included in the Company’s Consolidated Balance Sheet at February 1, 2014, are the net assets of the Company’s European operations, which total $869 million and which are located in 19 countries, 11 of which have adopted the euro as their functional currency.</w:t>
      </w:r>
    </w:p>
    <w:p>
      <w:pPr>
        <w:spacing w:after="0" w:line="200" w:lineRule="exact"/>
        <w:rPr>
          <w:sz w:val="20"/>
          <w:szCs w:val="20"/>
          <w:color w:val="auto"/>
        </w:rPr>
      </w:pPr>
    </w:p>
    <w:p>
      <w:pPr>
        <w:spacing w:after="0" w:line="35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96520</wp:posOffset>
            </wp:positionV>
            <wp:extent cx="6114415" cy="596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60" w:name="page61"/>
    <w:bookmarkEnd w:id="60"/>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 Fair Value Measurements</w:t>
      </w:r>
    </w:p>
    <w:p>
      <w:pPr>
        <w:spacing w:after="0" w:line="139" w:lineRule="exact"/>
        <w:rPr>
          <w:sz w:val="20"/>
          <w:szCs w:val="20"/>
          <w:color w:val="auto"/>
        </w:rPr>
      </w:pPr>
    </w:p>
    <w:p>
      <w:pPr>
        <w:jc w:val="both"/>
        <w:ind w:left="60" w:right="539"/>
        <w:spacing w:after="0" w:line="251" w:lineRule="auto"/>
        <w:rPr>
          <w:sz w:val="20"/>
          <w:szCs w:val="20"/>
          <w:color w:val="auto"/>
        </w:rPr>
      </w:pPr>
      <w:r>
        <w:rPr>
          <w:rFonts w:ascii="Arial" w:cs="Arial" w:eastAsia="Arial" w:hAnsi="Arial"/>
          <w:sz w:val="18"/>
          <w:szCs w:val="18"/>
          <w:color w:val="auto"/>
        </w:rPr>
        <w:t>The following table provides a summary of the recognized assets and liabilities that are measured at fair value on a recurring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-76200</wp:posOffset>
            </wp:positionV>
            <wp:extent cx="553974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53974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39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8"/>
          </w:tcPr>
          <w:p>
            <w:pPr>
              <w:ind w:left="120"/>
              <w:spacing w:after="0"/>
              <w:rPr>
                <w:sz w:val="20"/>
                <w:szCs w:val="20"/>
                <w:color w:val="auto"/>
              </w:rPr>
            </w:pPr>
            <w:r>
              <w:rPr>
                <w:rFonts w:ascii="Arial" w:cs="Arial" w:eastAsia="Arial" w:hAnsi="Arial"/>
                <w:sz w:val="14"/>
                <w:szCs w:val="14"/>
                <w:b w:val="1"/>
                <w:bCs w:val="1"/>
                <w:color w:val="auto"/>
              </w:rPr>
              <w:t>As of February 1, 2014</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10"/>
          </w:tcPr>
          <w:p>
            <w:pPr>
              <w:ind w:left="200"/>
              <w:spacing w:after="0"/>
              <w:rPr>
                <w:sz w:val="20"/>
                <w:szCs w:val="20"/>
                <w:color w:val="auto"/>
              </w:rPr>
            </w:pPr>
            <w:r>
              <w:rPr>
                <w:rFonts w:ascii="Arial" w:cs="Arial" w:eastAsia="Arial" w:hAnsi="Arial"/>
                <w:sz w:val="14"/>
                <w:szCs w:val="14"/>
                <w:b w:val="1"/>
                <w:bCs w:val="1"/>
                <w:color w:val="auto"/>
              </w:rPr>
              <w:t>As of February 2, 2013</w:t>
            </w:r>
          </w:p>
        </w:tc>
      </w:tr>
      <w:tr>
        <w:trPr>
          <w:trHeight w:val="198"/>
        </w:trPr>
        <w:tc>
          <w:tcPr>
            <w:tcW w:w="3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6"/>
          </w:tcPr>
          <w:p>
            <w:pPr>
              <w:ind w:left="8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88"/>
        </w:trPr>
        <w:tc>
          <w:tcPr>
            <w:tcW w:w="3920" w:type="dxa"/>
            <w:vAlign w:val="bottom"/>
          </w:tcPr>
          <w:p>
            <w:pPr>
              <w:spacing w:after="0"/>
              <w:rPr>
                <w:sz w:val="16"/>
                <w:szCs w:val="16"/>
                <w:color w:val="auto"/>
              </w:rPr>
            </w:pPr>
          </w:p>
        </w:tc>
        <w:tc>
          <w:tcPr>
            <w:tcW w:w="6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6"/>
                <w:szCs w:val="16"/>
                <w:color w:val="auto"/>
              </w:rPr>
            </w:pPr>
          </w:p>
        </w:tc>
        <w:tc>
          <w:tcPr>
            <w:tcW w:w="6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6"/>
                <w:szCs w:val="16"/>
                <w:color w:val="auto"/>
              </w:rPr>
            </w:pPr>
          </w:p>
        </w:tc>
        <w:tc>
          <w:tcPr>
            <w:tcW w:w="6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6"/>
                <w:szCs w:val="16"/>
                <w:color w:val="auto"/>
              </w:rPr>
            </w:pPr>
          </w:p>
        </w:tc>
        <w:tc>
          <w:tcPr>
            <w:tcW w:w="6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6"/>
                <w:szCs w:val="16"/>
                <w:color w:val="auto"/>
              </w:rPr>
            </w:pPr>
          </w:p>
        </w:tc>
        <w:tc>
          <w:tcPr>
            <w:tcW w:w="6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3</w:t>
            </w:r>
          </w:p>
        </w:tc>
      </w:tr>
      <w:tr>
        <w:trPr>
          <w:trHeight w:val="196"/>
        </w:trPr>
        <w:tc>
          <w:tcPr>
            <w:tcW w:w="3920" w:type="dxa"/>
            <w:vAlign w:val="bottom"/>
            <w:shd w:val="clear" w:color="auto" w:fill="C0C0C0"/>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0C0C0"/>
          </w:tcPr>
          <w:p>
            <w:pPr>
              <w:spacing w:after="0"/>
              <w:rPr>
                <w:sz w:val="17"/>
                <w:szCs w:val="17"/>
                <w:color w:val="auto"/>
              </w:rPr>
            </w:pPr>
          </w:p>
        </w:tc>
        <w:tc>
          <w:tcPr>
            <w:tcW w:w="300" w:type="dxa"/>
            <w:vAlign w:val="bottom"/>
            <w:shd w:val="clear" w:color="auto" w:fill="C0C0C0"/>
          </w:tcPr>
          <w:p>
            <w:pPr>
              <w:spacing w:after="0"/>
              <w:rPr>
                <w:sz w:val="17"/>
                <w:szCs w:val="17"/>
                <w:color w:val="auto"/>
              </w:rPr>
            </w:pPr>
          </w:p>
        </w:tc>
        <w:tc>
          <w:tcPr>
            <w:tcW w:w="100" w:type="dxa"/>
            <w:vAlign w:val="bottom"/>
            <w:tcBorders>
              <w:left w:val="single" w:sz="8" w:color="C0C0C0"/>
            </w:tcBorders>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30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32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3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5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r>
      <w:tr>
        <w:trPr>
          <w:trHeight w:val="203"/>
        </w:trPr>
        <w:tc>
          <w:tcPr>
            <w:tcW w:w="3920" w:type="dxa"/>
            <w:vAlign w:val="bottom"/>
          </w:tcPr>
          <w:p>
            <w:pPr>
              <w:ind w:left="20"/>
              <w:spacing w:after="0" w:line="202" w:lineRule="exact"/>
              <w:rPr>
                <w:sz w:val="20"/>
                <w:szCs w:val="20"/>
                <w:color w:val="auto"/>
              </w:rPr>
            </w:pPr>
            <w:r>
              <w:rPr>
                <w:rFonts w:ascii="Arial" w:cs="Arial" w:eastAsia="Arial" w:hAnsi="Arial"/>
                <w:sz w:val="18"/>
                <w:szCs w:val="18"/>
                <w:color w:val="auto"/>
              </w:rPr>
              <w:t>Short-term investments</w:t>
            </w:r>
          </w:p>
        </w:tc>
        <w:tc>
          <w:tcPr>
            <w:tcW w:w="24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w w:val="79"/>
              </w:rPr>
              <w:t>$</w:t>
            </w:r>
          </w:p>
        </w:tc>
        <w:tc>
          <w:tcPr>
            <w:tcW w:w="400" w:type="dxa"/>
            <w:vAlign w:val="bottom"/>
            <w:gridSpan w:val="2"/>
          </w:tcPr>
          <w:p>
            <w:pPr>
              <w:ind w:left="140"/>
              <w:spacing w:after="0" w:line="202" w:lineRule="exact"/>
              <w:rPr>
                <w:sz w:val="20"/>
                <w:szCs w:val="20"/>
                <w:color w:val="auto"/>
              </w:rPr>
            </w:pPr>
            <w:r>
              <w:rPr>
                <w:rFonts w:ascii="Arial" w:cs="Arial" w:eastAsia="Arial" w:hAnsi="Arial"/>
                <w:sz w:val="18"/>
                <w:szCs w:val="18"/>
                <w:b w:val="1"/>
                <w:bCs w:val="1"/>
                <w:color w:val="auto"/>
              </w:rPr>
              <w:t>—</w:t>
            </w:r>
          </w:p>
        </w:tc>
        <w:tc>
          <w:tcPr>
            <w:tcW w:w="380" w:type="dxa"/>
            <w:vAlign w:val="bottom"/>
            <w:gridSpan w:val="2"/>
          </w:tcPr>
          <w:p>
            <w:pPr>
              <w:jc w:val="right"/>
              <w:ind w:right="48"/>
              <w:spacing w:after="0" w:line="202" w:lineRule="exact"/>
              <w:rPr>
                <w:sz w:val="20"/>
                <w:szCs w:val="20"/>
                <w:color w:val="auto"/>
              </w:rPr>
            </w:pPr>
            <w:r>
              <w:rPr>
                <w:rFonts w:ascii="Arial" w:cs="Arial" w:eastAsia="Arial" w:hAnsi="Arial"/>
                <w:sz w:val="18"/>
                <w:szCs w:val="18"/>
                <w:b w:val="1"/>
                <w:bCs w:val="1"/>
                <w:color w:val="auto"/>
              </w:rPr>
              <w:t>$</w:t>
            </w:r>
          </w:p>
        </w:tc>
        <w:tc>
          <w:tcPr>
            <w:tcW w:w="44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9</w:t>
            </w:r>
          </w:p>
        </w:tc>
        <w:tc>
          <w:tcPr>
            <w:tcW w:w="480" w:type="dxa"/>
            <w:vAlign w:val="bottom"/>
            <w:gridSpan w:val="2"/>
          </w:tcPr>
          <w:p>
            <w:pPr>
              <w:jc w:val="right"/>
              <w:ind w:right="148"/>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gridSpan w:val="2"/>
          </w:tcPr>
          <w:p>
            <w:pPr>
              <w:ind w:left="60"/>
              <w:spacing w:after="0" w:line="202" w:lineRule="exact"/>
              <w:rPr>
                <w:sz w:val="20"/>
                <w:szCs w:val="20"/>
                <w:color w:val="auto"/>
              </w:rPr>
            </w:pPr>
            <w:r>
              <w:rPr>
                <w:rFonts w:ascii="Arial" w:cs="Arial" w:eastAsia="Arial" w:hAnsi="Arial"/>
                <w:sz w:val="18"/>
                <w:szCs w:val="18"/>
                <w:b w:val="1"/>
                <w:bCs w:val="1"/>
                <w:color w:val="auto"/>
              </w:rPr>
              <w:t>—</w:t>
            </w:r>
          </w:p>
        </w:tc>
        <w:tc>
          <w:tcPr>
            <w:tcW w:w="42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48</w:t>
            </w:r>
          </w:p>
        </w:tc>
        <w:tc>
          <w:tcPr>
            <w:tcW w:w="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t>
            </w:r>
          </w:p>
        </w:tc>
      </w:tr>
      <w:tr>
        <w:trPr>
          <w:trHeight w:val="203"/>
        </w:trPr>
        <w:tc>
          <w:tcPr>
            <w:tcW w:w="392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Auction rate security</w:t>
            </w:r>
          </w:p>
        </w:tc>
        <w:tc>
          <w:tcPr>
            <w:tcW w:w="240" w:type="dxa"/>
            <w:vAlign w:val="bottom"/>
            <w:shd w:val="clear" w:color="auto" w:fill="C0C0C0"/>
          </w:tcPr>
          <w:p>
            <w:pPr>
              <w:spacing w:after="0"/>
              <w:rPr>
                <w:sz w:val="17"/>
                <w:szCs w:val="17"/>
                <w:color w:val="auto"/>
              </w:rPr>
            </w:pPr>
          </w:p>
        </w:tc>
        <w:tc>
          <w:tcPr>
            <w:tcW w:w="400" w:type="dxa"/>
            <w:vAlign w:val="bottom"/>
            <w:gridSpan w:val="2"/>
            <w:shd w:val="clear" w:color="auto" w:fill="C0C0C0"/>
          </w:tcPr>
          <w:p>
            <w:pPr>
              <w:ind w:left="14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44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b w:val="1"/>
                <w:bCs w:val="1"/>
                <w:color w:val="auto"/>
              </w:rPr>
              <w:t>6</w:t>
            </w:r>
          </w:p>
        </w:tc>
        <w:tc>
          <w:tcPr>
            <w:tcW w:w="160" w:type="dxa"/>
            <w:vAlign w:val="bottom"/>
            <w:shd w:val="clear" w:color="auto" w:fill="C0C0C0"/>
          </w:tcPr>
          <w:p>
            <w:pPr>
              <w:spacing w:after="0"/>
              <w:rPr>
                <w:sz w:val="17"/>
                <w:szCs w:val="17"/>
                <w:color w:val="auto"/>
              </w:rPr>
            </w:pPr>
          </w:p>
        </w:tc>
        <w:tc>
          <w:tcPr>
            <w:tcW w:w="320" w:type="dxa"/>
            <w:vAlign w:val="bottom"/>
            <w:shd w:val="clear" w:color="auto" w:fill="C0C0C0"/>
          </w:tcPr>
          <w:p>
            <w:pPr>
              <w:spacing w:after="0"/>
              <w:rPr>
                <w:sz w:val="17"/>
                <w:szCs w:val="17"/>
                <w:color w:val="auto"/>
              </w:rPr>
            </w:pPr>
          </w:p>
        </w:tc>
        <w:tc>
          <w:tcPr>
            <w:tcW w:w="320" w:type="dxa"/>
            <w:vAlign w:val="bottom"/>
            <w:gridSpan w:val="2"/>
            <w:shd w:val="clear" w:color="auto" w:fill="C0C0C0"/>
          </w:tcPr>
          <w:p>
            <w:pPr>
              <w:ind w:left="6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400" w:type="dxa"/>
            <w:vAlign w:val="bottom"/>
            <w:gridSpan w:val="2"/>
            <w:shd w:val="clear" w:color="auto" w:fill="C0C0C0"/>
          </w:tcPr>
          <w:p>
            <w:pPr>
              <w:ind w:left="1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420" w:type="dxa"/>
            <w:vAlign w:val="bottom"/>
            <w:gridSpan w:val="2"/>
            <w:shd w:val="clear" w:color="auto" w:fill="C0C0C0"/>
          </w:tcPr>
          <w:p>
            <w:pPr>
              <w:jc w:val="right"/>
              <w:ind w:right="80"/>
              <w:spacing w:after="0" w:line="202" w:lineRule="exact"/>
              <w:rPr>
                <w:sz w:val="20"/>
                <w:szCs w:val="20"/>
                <w:color w:val="auto"/>
              </w:rPr>
            </w:pPr>
            <w:r>
              <w:rPr>
                <w:rFonts w:ascii="Arial" w:cs="Arial" w:eastAsia="Arial" w:hAnsi="Arial"/>
                <w:sz w:val="18"/>
                <w:szCs w:val="18"/>
                <w:color w:val="auto"/>
              </w:rPr>
              <w:t>6</w:t>
            </w:r>
          </w:p>
        </w:tc>
        <w:tc>
          <w:tcPr>
            <w:tcW w:w="18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660" w:type="dxa"/>
            <w:vAlign w:val="bottom"/>
            <w:gridSpan w:val="2"/>
            <w:shd w:val="clear" w:color="auto" w:fill="C0C0C0"/>
          </w:tcPr>
          <w:p>
            <w:pPr>
              <w:ind w:left="340"/>
              <w:spacing w:after="0" w:line="202" w:lineRule="exact"/>
              <w:rPr>
                <w:sz w:val="20"/>
                <w:szCs w:val="20"/>
                <w:color w:val="auto"/>
              </w:rPr>
            </w:pPr>
            <w:r>
              <w:rPr>
                <w:rFonts w:ascii="Arial" w:cs="Arial" w:eastAsia="Arial" w:hAnsi="Arial"/>
                <w:sz w:val="18"/>
                <w:szCs w:val="18"/>
                <w:color w:val="auto"/>
              </w:rPr>
              <w:t>—</w:t>
            </w:r>
          </w:p>
        </w:tc>
      </w:tr>
      <w:tr>
        <w:trPr>
          <w:trHeight w:val="203"/>
        </w:trPr>
        <w:tc>
          <w:tcPr>
            <w:tcW w:w="3920" w:type="dxa"/>
            <w:vAlign w:val="bottom"/>
          </w:tcPr>
          <w:p>
            <w:pPr>
              <w:ind w:left="20"/>
              <w:spacing w:after="0" w:line="202" w:lineRule="exact"/>
              <w:rPr>
                <w:sz w:val="20"/>
                <w:szCs w:val="20"/>
                <w:color w:val="auto"/>
              </w:rPr>
            </w:pPr>
            <w:r>
              <w:rPr>
                <w:rFonts w:ascii="Arial" w:cs="Arial" w:eastAsia="Arial" w:hAnsi="Arial"/>
                <w:sz w:val="18"/>
                <w:szCs w:val="18"/>
                <w:color w:val="auto"/>
              </w:rPr>
              <w:t>Foreign exchange forward contracts</w:t>
            </w:r>
          </w:p>
        </w:tc>
        <w:tc>
          <w:tcPr>
            <w:tcW w:w="240" w:type="dxa"/>
            <w:vAlign w:val="bottom"/>
          </w:tcPr>
          <w:p>
            <w:pPr>
              <w:spacing w:after="0"/>
              <w:rPr>
                <w:sz w:val="17"/>
                <w:szCs w:val="17"/>
                <w:color w:val="auto"/>
              </w:rPr>
            </w:pPr>
          </w:p>
        </w:tc>
        <w:tc>
          <w:tcPr>
            <w:tcW w:w="400" w:type="dxa"/>
            <w:vAlign w:val="bottom"/>
            <w:gridSpan w:val="2"/>
          </w:tcPr>
          <w:p>
            <w:pPr>
              <w:ind w:left="14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gridSpan w:val="2"/>
          </w:tcPr>
          <w:p>
            <w:pPr>
              <w:ind w:left="6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t>
            </w:r>
          </w:p>
        </w:tc>
      </w:tr>
      <w:tr>
        <w:trPr>
          <w:trHeight w:val="20"/>
        </w:trPr>
        <w:tc>
          <w:tcPr>
            <w:tcW w:w="39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7"/>
        </w:trPr>
        <w:tc>
          <w:tcPr>
            <w:tcW w:w="3920" w:type="dxa"/>
            <w:vAlign w:val="bottom"/>
            <w:shd w:val="clear" w:color="auto" w:fill="C0C0C0"/>
          </w:tcPr>
          <w:p>
            <w:pPr>
              <w:ind w:left="20"/>
              <w:spacing w:after="0" w:line="196" w:lineRule="exact"/>
              <w:rPr>
                <w:sz w:val="20"/>
                <w:szCs w:val="20"/>
                <w:color w:val="auto"/>
              </w:rPr>
            </w:pPr>
            <w:r>
              <w:rPr>
                <w:rFonts w:ascii="Arial" w:cs="Arial" w:eastAsia="Arial" w:hAnsi="Arial"/>
                <w:sz w:val="18"/>
                <w:szCs w:val="18"/>
                <w:color w:val="auto"/>
              </w:rPr>
              <w:t>Total Assets</w:t>
            </w:r>
          </w:p>
        </w:tc>
        <w:tc>
          <w:tcPr>
            <w:tcW w:w="240" w:type="dxa"/>
            <w:vAlign w:val="bottom"/>
            <w:shd w:val="clear" w:color="auto" w:fill="C0C0C0"/>
          </w:tcPr>
          <w:p>
            <w:pPr>
              <w:jc w:val="right"/>
              <w:ind w:right="54"/>
              <w:spacing w:after="0" w:line="196" w:lineRule="exact"/>
              <w:rPr>
                <w:sz w:val="20"/>
                <w:szCs w:val="20"/>
                <w:color w:val="auto"/>
              </w:rPr>
            </w:pPr>
            <w:r>
              <w:rPr>
                <w:rFonts w:ascii="Arial" w:cs="Arial" w:eastAsia="Arial" w:hAnsi="Arial"/>
                <w:sz w:val="18"/>
                <w:szCs w:val="18"/>
                <w:b w:val="1"/>
                <w:bCs w:val="1"/>
                <w:color w:val="auto"/>
                <w:w w:val="79"/>
              </w:rPr>
              <w:t>$</w:t>
            </w:r>
          </w:p>
        </w:tc>
        <w:tc>
          <w:tcPr>
            <w:tcW w:w="400" w:type="dxa"/>
            <w:vAlign w:val="bottom"/>
            <w:gridSpan w:val="2"/>
            <w:shd w:val="clear" w:color="auto" w:fill="C0C0C0"/>
          </w:tcPr>
          <w:p>
            <w:pPr>
              <w:ind w:left="140"/>
              <w:spacing w:after="0" w:line="196" w:lineRule="exact"/>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C0C0C0"/>
          </w:tcPr>
          <w:p>
            <w:pPr>
              <w:jc w:val="right"/>
              <w:ind w:right="48"/>
              <w:spacing w:after="0" w:line="196" w:lineRule="exact"/>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0C0C0"/>
          </w:tcPr>
          <w:p>
            <w:pPr>
              <w:jc w:val="right"/>
              <w:ind w:right="120"/>
              <w:spacing w:after="0" w:line="196" w:lineRule="exact"/>
              <w:rPr>
                <w:sz w:val="20"/>
                <w:szCs w:val="20"/>
                <w:color w:val="auto"/>
              </w:rPr>
            </w:pPr>
            <w:r>
              <w:rPr>
                <w:rFonts w:ascii="Arial" w:cs="Arial" w:eastAsia="Arial" w:hAnsi="Arial"/>
                <w:sz w:val="18"/>
                <w:szCs w:val="18"/>
                <w:b w:val="1"/>
                <w:bCs w:val="1"/>
                <w:color w:val="auto"/>
              </w:rPr>
              <w:t>15</w:t>
            </w:r>
          </w:p>
        </w:tc>
        <w:tc>
          <w:tcPr>
            <w:tcW w:w="480" w:type="dxa"/>
            <w:vAlign w:val="bottom"/>
            <w:gridSpan w:val="2"/>
            <w:shd w:val="clear" w:color="auto" w:fill="C0C0C0"/>
          </w:tcPr>
          <w:p>
            <w:pPr>
              <w:jc w:val="right"/>
              <w:ind w:right="148"/>
              <w:spacing w:after="0" w:line="196" w:lineRule="exact"/>
              <w:rPr>
                <w:sz w:val="20"/>
                <w:szCs w:val="20"/>
                <w:color w:val="auto"/>
              </w:rPr>
            </w:pPr>
            <w:r>
              <w:rPr>
                <w:rFonts w:ascii="Arial" w:cs="Arial" w:eastAsia="Arial" w:hAnsi="Arial"/>
                <w:sz w:val="18"/>
                <w:szCs w:val="18"/>
                <w:b w:val="1"/>
                <w:bCs w:val="1"/>
                <w:color w:val="auto"/>
              </w:rPr>
              <w:t>$</w:t>
            </w:r>
          </w:p>
        </w:tc>
        <w:tc>
          <w:tcPr>
            <w:tcW w:w="320" w:type="dxa"/>
            <w:vAlign w:val="bottom"/>
            <w:gridSpan w:val="2"/>
            <w:shd w:val="clear" w:color="auto" w:fill="C0C0C0"/>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420" w:type="dxa"/>
            <w:vAlign w:val="bottom"/>
            <w:gridSpan w:val="2"/>
            <w:shd w:val="clear" w:color="auto" w:fill="C0C0C0"/>
          </w:tcPr>
          <w:p>
            <w:pPr>
              <w:jc w:val="right"/>
              <w:ind w:right="88"/>
              <w:spacing w:after="0" w:line="196"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0C0C0"/>
          </w:tcPr>
          <w:p>
            <w:pPr>
              <w:ind w:left="140"/>
              <w:spacing w:after="0" w:line="196"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0C0C0"/>
          </w:tcPr>
          <w:p>
            <w:pPr>
              <w:jc w:val="right"/>
              <w:ind w:right="48"/>
              <w:spacing w:after="0" w:line="196"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0C0C0"/>
          </w:tcPr>
          <w:p>
            <w:pPr>
              <w:jc w:val="right"/>
              <w:ind w:right="80"/>
              <w:spacing w:after="0" w:line="196" w:lineRule="exact"/>
              <w:rPr>
                <w:sz w:val="20"/>
                <w:szCs w:val="20"/>
                <w:color w:val="auto"/>
              </w:rPr>
            </w:pPr>
            <w:r>
              <w:rPr>
                <w:rFonts w:ascii="Arial" w:cs="Arial" w:eastAsia="Arial" w:hAnsi="Arial"/>
                <w:sz w:val="18"/>
                <w:szCs w:val="18"/>
                <w:color w:val="auto"/>
              </w:rPr>
              <w:t>60</w:t>
            </w:r>
          </w:p>
        </w:tc>
        <w:tc>
          <w:tcPr>
            <w:tcW w:w="300" w:type="dxa"/>
            <w:vAlign w:val="bottom"/>
            <w:gridSpan w:val="2"/>
            <w:shd w:val="clear" w:color="auto" w:fill="C0C0C0"/>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0C0C0"/>
          </w:tcPr>
          <w:p>
            <w:pPr>
              <w:ind w:left="340"/>
              <w:spacing w:after="0" w:line="196" w:lineRule="exact"/>
              <w:rPr>
                <w:sz w:val="20"/>
                <w:szCs w:val="20"/>
                <w:color w:val="auto"/>
              </w:rPr>
            </w:pPr>
            <w:r>
              <w:rPr>
                <w:rFonts w:ascii="Arial" w:cs="Arial" w:eastAsia="Arial" w:hAnsi="Arial"/>
                <w:sz w:val="18"/>
                <w:szCs w:val="18"/>
                <w:color w:val="auto"/>
              </w:rPr>
              <w:t>—</w:t>
            </w:r>
          </w:p>
        </w:tc>
      </w:tr>
      <w:tr>
        <w:trPr>
          <w:trHeight w:val="196"/>
        </w:trPr>
        <w:tc>
          <w:tcPr>
            <w:tcW w:w="3920" w:type="dxa"/>
            <w:vAlign w:val="bottom"/>
            <w:tcBorders>
              <w:top w:val="single" w:sz="8" w:color="C0C0C0"/>
            </w:tcBorders>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2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C0C0C0"/>
            </w:tcBorders>
          </w:tcPr>
          <w:p>
            <w:pPr>
              <w:spacing w:after="0"/>
              <w:rPr>
                <w:sz w:val="17"/>
                <w:szCs w:val="17"/>
                <w:color w:val="auto"/>
              </w:rPr>
            </w:pPr>
          </w:p>
        </w:tc>
        <w:tc>
          <w:tcPr>
            <w:tcW w:w="160" w:type="dxa"/>
            <w:vAlign w:val="bottom"/>
            <w:tcBorders>
              <w:top w:val="single" w:sz="8" w:color="C0C0C0"/>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 w:type="dxa"/>
            <w:vAlign w:val="bottom"/>
            <w:tcBorders>
              <w:top w:val="single" w:sz="8" w:color="C0C0C0"/>
            </w:tcBorders>
          </w:tcPr>
          <w:p>
            <w:pPr>
              <w:spacing w:after="0"/>
              <w:rPr>
                <w:sz w:val="17"/>
                <w:szCs w:val="17"/>
                <w:color w:val="auto"/>
              </w:rPr>
            </w:pPr>
          </w:p>
        </w:tc>
        <w:tc>
          <w:tcPr>
            <w:tcW w:w="160" w:type="dxa"/>
            <w:vAlign w:val="bottom"/>
            <w:tcBorders>
              <w:top w:val="single" w:sz="8" w:color="C0C0C0"/>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C0C0C0"/>
            </w:tcBorders>
          </w:tcPr>
          <w:p>
            <w:pPr>
              <w:spacing w:after="0"/>
              <w:rPr>
                <w:sz w:val="17"/>
                <w:szCs w:val="17"/>
                <w:color w:val="auto"/>
              </w:rPr>
            </w:pPr>
          </w:p>
        </w:tc>
        <w:tc>
          <w:tcPr>
            <w:tcW w:w="160" w:type="dxa"/>
            <w:vAlign w:val="bottom"/>
            <w:tcBorders>
              <w:top w:val="single" w:sz="8" w:color="C0C0C0"/>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 w:type="dxa"/>
            <w:vAlign w:val="bottom"/>
            <w:tcBorders>
              <w:top w:val="single" w:sz="8" w:color="C0C0C0"/>
            </w:tcBorders>
          </w:tcPr>
          <w:p>
            <w:pPr>
              <w:spacing w:after="0"/>
              <w:rPr>
                <w:sz w:val="17"/>
                <w:szCs w:val="17"/>
                <w:color w:val="auto"/>
              </w:rPr>
            </w:pPr>
          </w:p>
        </w:tc>
        <w:tc>
          <w:tcPr>
            <w:tcW w:w="160" w:type="dxa"/>
            <w:vAlign w:val="bottom"/>
            <w:tcBorders>
              <w:top w:val="single" w:sz="8" w:color="C0C0C0"/>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 w:type="dxa"/>
            <w:vAlign w:val="bottom"/>
            <w:tcBorders>
              <w:top w:val="single" w:sz="8" w:color="C0C0C0"/>
            </w:tcBorders>
          </w:tcPr>
          <w:p>
            <w:pPr>
              <w:spacing w:after="0"/>
              <w:rPr>
                <w:sz w:val="17"/>
                <w:szCs w:val="17"/>
                <w:color w:val="auto"/>
              </w:rPr>
            </w:pPr>
          </w:p>
        </w:tc>
        <w:tc>
          <w:tcPr>
            <w:tcW w:w="180" w:type="dxa"/>
            <w:vAlign w:val="bottom"/>
            <w:tcBorders>
              <w:top w:val="single" w:sz="8" w:color="C0C0C0"/>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0C0C0"/>
            </w:tcBorders>
          </w:tcPr>
          <w:p>
            <w:pPr>
              <w:spacing w:after="0"/>
              <w:rPr>
                <w:sz w:val="17"/>
                <w:szCs w:val="17"/>
                <w:color w:val="auto"/>
              </w:rPr>
            </w:pPr>
          </w:p>
        </w:tc>
      </w:tr>
      <w:tr>
        <w:trPr>
          <w:trHeight w:val="203"/>
        </w:trPr>
        <w:tc>
          <w:tcPr>
            <w:tcW w:w="392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Foreign exchange forward contracts</w:t>
            </w:r>
          </w:p>
        </w:tc>
        <w:tc>
          <w:tcPr>
            <w:tcW w:w="240" w:type="dxa"/>
            <w:vAlign w:val="bottom"/>
            <w:shd w:val="clear" w:color="auto" w:fill="C0C0C0"/>
          </w:tcPr>
          <w:p>
            <w:pPr>
              <w:spacing w:after="0"/>
              <w:rPr>
                <w:sz w:val="17"/>
                <w:szCs w:val="17"/>
                <w:color w:val="auto"/>
              </w:rPr>
            </w:pPr>
          </w:p>
        </w:tc>
        <w:tc>
          <w:tcPr>
            <w:tcW w:w="400" w:type="dxa"/>
            <w:vAlign w:val="bottom"/>
            <w:gridSpan w:val="2"/>
            <w:shd w:val="clear" w:color="auto" w:fill="C0C0C0"/>
          </w:tcPr>
          <w:p>
            <w:pPr>
              <w:ind w:left="14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44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b w:val="1"/>
                <w:bCs w:val="1"/>
                <w:color w:val="auto"/>
              </w:rPr>
              <w:t>2</w:t>
            </w:r>
          </w:p>
        </w:tc>
        <w:tc>
          <w:tcPr>
            <w:tcW w:w="160" w:type="dxa"/>
            <w:vAlign w:val="bottom"/>
            <w:shd w:val="clear" w:color="auto" w:fill="C0C0C0"/>
          </w:tcPr>
          <w:p>
            <w:pPr>
              <w:spacing w:after="0"/>
              <w:rPr>
                <w:sz w:val="17"/>
                <w:szCs w:val="17"/>
                <w:color w:val="auto"/>
              </w:rPr>
            </w:pPr>
          </w:p>
        </w:tc>
        <w:tc>
          <w:tcPr>
            <w:tcW w:w="320" w:type="dxa"/>
            <w:vAlign w:val="bottom"/>
            <w:shd w:val="clear" w:color="auto" w:fill="C0C0C0"/>
          </w:tcPr>
          <w:p>
            <w:pPr>
              <w:spacing w:after="0"/>
              <w:rPr>
                <w:sz w:val="17"/>
                <w:szCs w:val="17"/>
                <w:color w:val="auto"/>
              </w:rPr>
            </w:pPr>
          </w:p>
        </w:tc>
        <w:tc>
          <w:tcPr>
            <w:tcW w:w="320" w:type="dxa"/>
            <w:vAlign w:val="bottom"/>
            <w:gridSpan w:val="2"/>
            <w:shd w:val="clear" w:color="auto" w:fill="C0C0C0"/>
          </w:tcPr>
          <w:p>
            <w:pPr>
              <w:ind w:left="6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400" w:type="dxa"/>
            <w:vAlign w:val="bottom"/>
            <w:gridSpan w:val="2"/>
            <w:shd w:val="clear" w:color="auto" w:fill="C0C0C0"/>
          </w:tcPr>
          <w:p>
            <w:pPr>
              <w:ind w:left="1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420" w:type="dxa"/>
            <w:vAlign w:val="bottom"/>
            <w:gridSpan w:val="2"/>
            <w:shd w:val="clear" w:color="auto" w:fill="C0C0C0"/>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660" w:type="dxa"/>
            <w:vAlign w:val="bottom"/>
            <w:gridSpan w:val="2"/>
            <w:shd w:val="clear" w:color="auto" w:fill="C0C0C0"/>
          </w:tcPr>
          <w:p>
            <w:pPr>
              <w:ind w:left="340"/>
              <w:spacing w:after="0" w:line="202" w:lineRule="exact"/>
              <w:rPr>
                <w:sz w:val="20"/>
                <w:szCs w:val="20"/>
                <w:color w:val="auto"/>
              </w:rPr>
            </w:pPr>
            <w:r>
              <w:rPr>
                <w:rFonts w:ascii="Arial" w:cs="Arial" w:eastAsia="Arial" w:hAnsi="Arial"/>
                <w:sz w:val="18"/>
                <w:szCs w:val="18"/>
                <w:color w:val="auto"/>
              </w:rPr>
              <w:t>—</w:t>
            </w:r>
          </w:p>
        </w:tc>
      </w:tr>
      <w:tr>
        <w:trPr>
          <w:trHeight w:val="20"/>
        </w:trPr>
        <w:tc>
          <w:tcPr>
            <w:tcW w:w="3920" w:type="dxa"/>
            <w:vAlign w:val="bottom"/>
            <w:shd w:val="clear" w:color="auto" w:fill="C0C0C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Borders>
              <w:left w:val="single" w:sz="8" w:color="C0C0C0"/>
            </w:tcBorders>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8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r>
      <w:tr>
        <w:trPr>
          <w:trHeight w:val="196"/>
        </w:trPr>
        <w:tc>
          <w:tcPr>
            <w:tcW w:w="3920" w:type="dxa"/>
            <w:vAlign w:val="bottom"/>
          </w:tcPr>
          <w:p>
            <w:pPr>
              <w:ind w:left="20"/>
              <w:spacing w:after="0" w:line="196" w:lineRule="exact"/>
              <w:rPr>
                <w:sz w:val="20"/>
                <w:szCs w:val="20"/>
                <w:color w:val="auto"/>
              </w:rPr>
            </w:pPr>
            <w:r>
              <w:rPr>
                <w:rFonts w:ascii="Arial" w:cs="Arial" w:eastAsia="Arial" w:hAnsi="Arial"/>
                <w:sz w:val="18"/>
                <w:szCs w:val="18"/>
                <w:color w:val="auto"/>
              </w:rPr>
              <w:t>Total Liabilities</w:t>
            </w:r>
          </w:p>
        </w:tc>
        <w:tc>
          <w:tcPr>
            <w:tcW w:w="240" w:type="dxa"/>
            <w:vAlign w:val="bottom"/>
          </w:tcPr>
          <w:p>
            <w:pPr>
              <w:jc w:val="right"/>
              <w:ind w:right="54"/>
              <w:spacing w:after="0" w:line="196" w:lineRule="exact"/>
              <w:rPr>
                <w:sz w:val="20"/>
                <w:szCs w:val="20"/>
                <w:color w:val="auto"/>
              </w:rPr>
            </w:pPr>
            <w:r>
              <w:rPr>
                <w:rFonts w:ascii="Arial" w:cs="Arial" w:eastAsia="Arial" w:hAnsi="Arial"/>
                <w:sz w:val="18"/>
                <w:szCs w:val="18"/>
                <w:b w:val="1"/>
                <w:bCs w:val="1"/>
                <w:color w:val="auto"/>
                <w:w w:val="79"/>
              </w:rPr>
              <w:t>$</w:t>
            </w:r>
          </w:p>
        </w:tc>
        <w:tc>
          <w:tcPr>
            <w:tcW w:w="400" w:type="dxa"/>
            <w:vAlign w:val="bottom"/>
            <w:gridSpan w:val="2"/>
          </w:tcPr>
          <w:p>
            <w:pPr>
              <w:ind w:left="140"/>
              <w:spacing w:after="0" w:line="196" w:lineRule="exact"/>
              <w:rPr>
                <w:sz w:val="20"/>
                <w:szCs w:val="20"/>
                <w:color w:val="auto"/>
              </w:rPr>
            </w:pPr>
            <w:r>
              <w:rPr>
                <w:rFonts w:ascii="Arial" w:cs="Arial" w:eastAsia="Arial" w:hAnsi="Arial"/>
                <w:sz w:val="18"/>
                <w:szCs w:val="18"/>
                <w:b w:val="1"/>
                <w:bCs w:val="1"/>
                <w:color w:val="auto"/>
              </w:rPr>
              <w:t>—</w:t>
            </w:r>
          </w:p>
        </w:tc>
        <w:tc>
          <w:tcPr>
            <w:tcW w:w="380" w:type="dxa"/>
            <w:vAlign w:val="bottom"/>
            <w:gridSpan w:val="2"/>
          </w:tcPr>
          <w:p>
            <w:pPr>
              <w:jc w:val="right"/>
              <w:ind w:right="48"/>
              <w:spacing w:after="0" w:line="196" w:lineRule="exact"/>
              <w:rPr>
                <w:sz w:val="20"/>
                <w:szCs w:val="20"/>
                <w:color w:val="auto"/>
              </w:rPr>
            </w:pPr>
            <w:r>
              <w:rPr>
                <w:rFonts w:ascii="Arial" w:cs="Arial" w:eastAsia="Arial" w:hAnsi="Arial"/>
                <w:sz w:val="18"/>
                <w:szCs w:val="18"/>
                <w:b w:val="1"/>
                <w:bCs w:val="1"/>
                <w:color w:val="auto"/>
              </w:rPr>
              <w:t>$</w:t>
            </w:r>
          </w:p>
        </w:tc>
        <w:tc>
          <w:tcPr>
            <w:tcW w:w="44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color w:val="auto"/>
              </w:rPr>
              <w:t>2</w:t>
            </w:r>
          </w:p>
        </w:tc>
        <w:tc>
          <w:tcPr>
            <w:tcW w:w="480" w:type="dxa"/>
            <w:vAlign w:val="bottom"/>
            <w:gridSpan w:val="2"/>
          </w:tcPr>
          <w:p>
            <w:pPr>
              <w:jc w:val="right"/>
              <w:ind w:right="148"/>
              <w:spacing w:after="0" w:line="196" w:lineRule="exact"/>
              <w:rPr>
                <w:sz w:val="20"/>
                <w:szCs w:val="20"/>
                <w:color w:val="auto"/>
              </w:rPr>
            </w:pPr>
            <w:r>
              <w:rPr>
                <w:rFonts w:ascii="Arial" w:cs="Arial" w:eastAsia="Arial" w:hAnsi="Arial"/>
                <w:sz w:val="18"/>
                <w:szCs w:val="18"/>
                <w:b w:val="1"/>
                <w:bCs w:val="1"/>
                <w:color w:val="auto"/>
              </w:rPr>
              <w:t>$</w:t>
            </w: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420" w:type="dxa"/>
            <w:vAlign w:val="bottom"/>
            <w:gridSpan w:val="2"/>
          </w:tcPr>
          <w:p>
            <w:pPr>
              <w:jc w:val="right"/>
              <w:ind w:right="88"/>
              <w:spacing w:after="0" w:line="196" w:lineRule="exact"/>
              <w:rPr>
                <w:sz w:val="20"/>
                <w:szCs w:val="20"/>
                <w:color w:val="auto"/>
              </w:rPr>
            </w:pPr>
            <w:r>
              <w:rPr>
                <w:rFonts w:ascii="Arial" w:cs="Arial" w:eastAsia="Arial" w:hAnsi="Arial"/>
                <w:sz w:val="18"/>
                <w:szCs w:val="18"/>
                <w:color w:val="auto"/>
              </w:rPr>
              <w:t>$</w:t>
            </w:r>
          </w:p>
        </w:tc>
        <w:tc>
          <w:tcPr>
            <w:tcW w:w="400" w:type="dxa"/>
            <w:vAlign w:val="bottom"/>
            <w:gridSpan w:val="2"/>
          </w:tcPr>
          <w:p>
            <w:pPr>
              <w:ind w:left="140"/>
              <w:spacing w:after="0" w:line="196"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66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w:t>
            </w:r>
          </w:p>
        </w:tc>
      </w:tr>
      <w:tr>
        <w:trPr>
          <w:trHeight w:val="21"/>
        </w:trPr>
        <w:tc>
          <w:tcPr>
            <w:tcW w:w="3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-462280</wp:posOffset>
            </wp:positionV>
            <wp:extent cx="5565775" cy="1631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565775"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-170815</wp:posOffset>
            </wp:positionV>
            <wp:extent cx="5565775" cy="1714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565775" cy="171450"/>
                    </a:xfrm>
                    <a:prstGeom prst="rect">
                      <a:avLst/>
                    </a:prstGeom>
                    <a:noFill/>
                  </pic:spPr>
                </pic:pic>
              </a:graphicData>
            </a:graphic>
          </wp:anchor>
        </w:drawing>
      </w:r>
    </w:p>
    <w:p>
      <w:pPr>
        <w:spacing w:after="0" w:line="87" w:lineRule="exact"/>
        <w:rPr>
          <w:sz w:val="20"/>
          <w:szCs w:val="20"/>
          <w:color w:val="auto"/>
        </w:rPr>
      </w:pPr>
    </w:p>
    <w:p>
      <w:pPr>
        <w:jc w:val="both"/>
        <w:ind w:left="60" w:right="519"/>
        <w:spacing w:after="0" w:line="262" w:lineRule="auto"/>
        <w:rPr>
          <w:sz w:val="20"/>
          <w:szCs w:val="20"/>
          <w:color w:val="auto"/>
        </w:rPr>
      </w:pPr>
      <w:r>
        <w:rPr>
          <w:rFonts w:ascii="Arial" w:cs="Arial" w:eastAsia="Arial" w:hAnsi="Arial"/>
          <w:sz w:val="18"/>
          <w:szCs w:val="18"/>
          <w:color w:val="auto"/>
        </w:rPr>
        <w:t>Available-for-sale securities are recorded at fair value with unrealized gains and losses reported, net of tax, in other comprehensive income, unless unrealized losses are determined to be other than temporary.</w:t>
      </w:r>
    </w:p>
    <w:p>
      <w:pPr>
        <w:spacing w:after="0" w:line="88" w:lineRule="exact"/>
        <w:rPr>
          <w:sz w:val="20"/>
          <w:szCs w:val="20"/>
          <w:color w:val="auto"/>
        </w:rPr>
      </w:pPr>
    </w:p>
    <w:p>
      <w:pPr>
        <w:jc w:val="both"/>
        <w:ind w:left="60" w:right="539"/>
        <w:spacing w:after="0" w:line="256" w:lineRule="auto"/>
        <w:rPr>
          <w:sz w:val="20"/>
          <w:szCs w:val="20"/>
          <w:color w:val="auto"/>
        </w:rPr>
      </w:pPr>
      <w:r>
        <w:rPr>
          <w:rFonts w:ascii="Arial" w:cs="Arial" w:eastAsia="Arial" w:hAnsi="Arial"/>
          <w:sz w:val="18"/>
          <w:szCs w:val="18"/>
          <w:color w:val="auto"/>
        </w:rPr>
        <w:t>Short-term investments represent corporate bonds with maturity dates within one year from the purchase date. These securities are valued using model-derived valuations in which all significant inputs or significant value-drivers are observable in active markets and therefore are classified as Level 2 instruments.</w:t>
      </w:r>
    </w:p>
    <w:p>
      <w:pPr>
        <w:spacing w:after="0" w:line="94" w:lineRule="exact"/>
        <w:rPr>
          <w:sz w:val="20"/>
          <w:szCs w:val="20"/>
          <w:color w:val="auto"/>
        </w:rPr>
      </w:pPr>
    </w:p>
    <w:p>
      <w:pPr>
        <w:jc w:val="both"/>
        <w:ind w:left="60" w:right="539"/>
        <w:spacing w:after="0" w:line="262" w:lineRule="auto"/>
        <w:rPr>
          <w:sz w:val="20"/>
          <w:szCs w:val="20"/>
          <w:color w:val="auto"/>
        </w:rPr>
      </w:pPr>
      <w:r>
        <w:rPr>
          <w:rFonts w:ascii="Arial" w:cs="Arial" w:eastAsia="Arial" w:hAnsi="Arial"/>
          <w:sz w:val="18"/>
          <w:szCs w:val="18"/>
          <w:color w:val="auto"/>
        </w:rPr>
        <w:t>The fair value of the auction rate security is determined by using quoted prices for similar instruments in active markets and accordingly is classified as a Level 2 instrument.</w:t>
      </w:r>
    </w:p>
    <w:p>
      <w:pPr>
        <w:spacing w:after="0" w:line="88" w:lineRule="exact"/>
        <w:rPr>
          <w:sz w:val="20"/>
          <w:szCs w:val="20"/>
          <w:color w:val="auto"/>
        </w:rPr>
      </w:pPr>
    </w:p>
    <w:p>
      <w:pPr>
        <w:jc w:val="both"/>
        <w:ind w:left="60" w:right="519"/>
        <w:spacing w:after="0" w:line="256" w:lineRule="auto"/>
        <w:rPr>
          <w:sz w:val="20"/>
          <w:szCs w:val="20"/>
          <w:color w:val="auto"/>
        </w:rPr>
      </w:pPr>
      <w:r>
        <w:rPr>
          <w:rFonts w:ascii="Arial" w:cs="Arial" w:eastAsia="Arial" w:hAnsi="Arial"/>
          <w:sz w:val="18"/>
          <w:szCs w:val="18"/>
          <w:color w:val="auto"/>
        </w:rPr>
        <w:t>The Company’s derivative financial instruments are valued using market-based inputs to valuation models. These valuation models require a variety of inputs, including contractual terms, market prices, yield curves, and measures of volatility.</w:t>
      </w:r>
    </w:p>
    <w:p>
      <w:pPr>
        <w:spacing w:after="0" w:line="94" w:lineRule="exact"/>
        <w:rPr>
          <w:sz w:val="20"/>
          <w:szCs w:val="20"/>
          <w:color w:val="auto"/>
        </w:rPr>
      </w:pPr>
    </w:p>
    <w:p>
      <w:pPr>
        <w:jc w:val="both"/>
        <w:ind w:left="60" w:right="519"/>
        <w:spacing w:after="0" w:line="256" w:lineRule="auto"/>
        <w:rPr>
          <w:sz w:val="20"/>
          <w:szCs w:val="20"/>
          <w:color w:val="auto"/>
        </w:rPr>
      </w:pPr>
      <w:r>
        <w:rPr>
          <w:rFonts w:ascii="Arial" w:cs="Arial" w:eastAsia="Arial" w:hAnsi="Arial"/>
          <w:sz w:val="18"/>
          <w:szCs w:val="18"/>
          <w:color w:val="auto"/>
        </w:rPr>
        <w:t xml:space="preserve">Additionally, in connection with the acquisition and purchase price allocation of Runners Point Group, the Company recognized its assets and liabilities at fair value. See Note 2, </w:t>
      </w:r>
      <w:r>
        <w:rPr>
          <w:rFonts w:ascii="Arial" w:cs="Arial" w:eastAsia="Arial" w:hAnsi="Arial"/>
          <w:sz w:val="18"/>
          <w:szCs w:val="18"/>
          <w:i w:val="1"/>
          <w:iCs w:val="1"/>
          <w:color w:val="auto"/>
        </w:rPr>
        <w:t>Acquisition</w:t>
      </w:r>
      <w:r>
        <w:rPr>
          <w:rFonts w:ascii="Arial" w:cs="Arial" w:eastAsia="Arial" w:hAnsi="Arial"/>
          <w:sz w:val="18"/>
          <w:szCs w:val="18"/>
          <w:color w:val="auto"/>
        </w:rPr>
        <w:t>, for further discussion and additional disclosures. All amounts are recognized as Level 3.</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 were no transfers into or out of Level 1, Level 2, or Level 3 assets and liabilities for any of the periods presented.</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carrying value and estimated fair value of long-term debt and obligations under capital leases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56577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6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8"/>
        </w:trPr>
        <w:tc>
          <w:tcPr>
            <w:tcW w:w="6780" w:type="dxa"/>
            <w:vAlign w:val="bottom"/>
            <w:vMerge w:val="restart"/>
          </w:tcPr>
          <w:p>
            <w:pPr>
              <w:ind w:left="20"/>
              <w:spacing w:after="0"/>
              <w:rPr>
                <w:sz w:val="20"/>
                <w:szCs w:val="20"/>
                <w:color w:val="auto"/>
              </w:rPr>
            </w:pPr>
            <w:r>
              <w:rPr>
                <w:rFonts w:ascii="Arial" w:cs="Arial" w:eastAsia="Arial" w:hAnsi="Arial"/>
                <w:sz w:val="18"/>
                <w:szCs w:val="18"/>
                <w:color w:val="auto"/>
              </w:rPr>
              <w:t>Carrying Value</w:t>
            </w:r>
            <w:r>
              <w:rPr>
                <w:rFonts w:ascii="Arial" w:cs="Arial" w:eastAsia="Arial" w:hAnsi="Arial"/>
                <w:sz w:val="30"/>
                <w:szCs w:val="30"/>
                <w:color w:val="auto"/>
                <w:vertAlign w:val="superscript"/>
              </w:rPr>
              <w:t>(1)</w:t>
            </w:r>
          </w:p>
        </w:tc>
        <w:tc>
          <w:tcPr>
            <w:tcW w:w="200" w:type="dxa"/>
            <w:vAlign w:val="bottom"/>
          </w:tcPr>
          <w:p>
            <w:pPr>
              <w:spacing w:after="0"/>
              <w:rPr>
                <w:sz w:val="17"/>
                <w:szCs w:val="17"/>
                <w:color w:val="auto"/>
              </w:rPr>
            </w:pPr>
          </w:p>
        </w:tc>
        <w:tc>
          <w:tcPr>
            <w:tcW w:w="1800" w:type="dxa"/>
            <w:vAlign w:val="bottom"/>
            <w:gridSpan w:val="4"/>
          </w:tcPr>
          <w:p>
            <w:pPr>
              <w:jc w:val="right"/>
              <w:ind w:right="496"/>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42"/>
        </w:trPr>
        <w:tc>
          <w:tcPr>
            <w:tcW w:w="6780" w:type="dxa"/>
            <w:vAlign w:val="bottom"/>
            <w:vMerge w:val="continue"/>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Pr>
          <w:p>
            <w:pPr>
              <w:jc w:val="right"/>
              <w:ind w:right="19"/>
              <w:spacing w:after="0"/>
              <w:rPr>
                <w:sz w:val="20"/>
                <w:szCs w:val="20"/>
                <w:color w:val="auto"/>
              </w:rPr>
            </w:pPr>
            <w:r>
              <w:rPr>
                <w:rFonts w:ascii="Arial" w:cs="Arial" w:eastAsia="Arial" w:hAnsi="Arial"/>
                <w:sz w:val="18"/>
                <w:szCs w:val="18"/>
                <w:b w:val="1"/>
                <w:bCs w:val="1"/>
                <w:color w:val="auto"/>
              </w:rPr>
              <w:t>139</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6"/>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6780" w:type="dxa"/>
            <w:vAlign w:val="bottom"/>
            <w:shd w:val="clear" w:color="auto" w:fill="C0C0C0"/>
          </w:tcPr>
          <w:p>
            <w:pPr>
              <w:ind w:left="20"/>
              <w:spacing w:after="0" w:line="243" w:lineRule="exact"/>
              <w:rPr>
                <w:sz w:val="20"/>
                <w:szCs w:val="20"/>
                <w:color w:val="auto"/>
              </w:rPr>
            </w:pPr>
            <w:r>
              <w:rPr>
                <w:rFonts w:ascii="Arial" w:cs="Arial" w:eastAsia="Arial" w:hAnsi="Arial"/>
                <w:sz w:val="17"/>
                <w:szCs w:val="17"/>
                <w:color w:val="auto"/>
              </w:rPr>
              <w:t>Fair Value</w:t>
            </w:r>
            <w:r>
              <w:rPr>
                <w:rFonts w:ascii="Arial" w:cs="Arial" w:eastAsia="Arial" w:hAnsi="Arial"/>
                <w:sz w:val="28"/>
                <w:szCs w:val="28"/>
                <w:color w:val="auto"/>
                <w:vertAlign w:val="superscript"/>
              </w:rPr>
              <w:t>(1)</w:t>
            </w:r>
          </w:p>
        </w:tc>
        <w:tc>
          <w:tcPr>
            <w:tcW w:w="20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shd w:val="clear" w:color="auto" w:fill="C0C0C0"/>
          </w:tcPr>
          <w:p>
            <w:pPr>
              <w:jc w:val="right"/>
              <w:ind w:right="19"/>
              <w:spacing w:after="0"/>
              <w:rPr>
                <w:sz w:val="20"/>
                <w:szCs w:val="20"/>
                <w:color w:val="auto"/>
              </w:rPr>
            </w:pPr>
            <w:r>
              <w:rPr>
                <w:rFonts w:ascii="Arial" w:cs="Arial" w:eastAsia="Arial" w:hAnsi="Arial"/>
                <w:sz w:val="18"/>
                <w:szCs w:val="18"/>
                <w:b w:val="1"/>
                <w:bCs w:val="1"/>
                <w:color w:val="auto"/>
              </w:rPr>
              <w:t>159</w:t>
            </w:r>
          </w:p>
        </w:tc>
        <w:tc>
          <w:tcPr>
            <w:tcW w:w="3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ind w:right="56"/>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bl>
    <w:p>
      <w:pPr>
        <w:spacing w:after="0" w:line="113" w:lineRule="exact"/>
        <w:rPr>
          <w:sz w:val="20"/>
          <w:szCs w:val="20"/>
          <w:color w:val="auto"/>
        </w:rPr>
      </w:pPr>
    </w:p>
    <w:p>
      <w:pPr>
        <w:jc w:val="both"/>
        <w:ind w:left="300" w:right="539" w:hanging="272"/>
        <w:spacing w:after="0" w:line="270" w:lineRule="auto"/>
        <w:tabs>
          <w:tab w:leader="none" w:pos="3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 connection with the acquisition of the Runners Point Group in the second quarter of 2013, the Company recognized capital lease obligations. These were existing agreements primarily related to the financing of certain store fixtures. As of February 1, 2014, $8 million is included in the amounts above.</w:t>
      </w:r>
    </w:p>
    <w:p>
      <w:pPr>
        <w:spacing w:after="0" w:line="86" w:lineRule="exact"/>
        <w:rPr>
          <w:sz w:val="20"/>
          <w:szCs w:val="20"/>
          <w:color w:val="auto"/>
        </w:rPr>
      </w:pPr>
    </w:p>
    <w:p>
      <w:pPr>
        <w:ind w:left="60" w:right="519"/>
        <w:spacing w:after="0" w:line="262" w:lineRule="auto"/>
        <w:rPr>
          <w:sz w:val="20"/>
          <w:szCs w:val="20"/>
          <w:color w:val="auto"/>
        </w:rPr>
      </w:pPr>
      <w:r>
        <w:rPr>
          <w:rFonts w:ascii="Arial" w:cs="Arial" w:eastAsia="Arial" w:hAnsi="Arial"/>
          <w:sz w:val="18"/>
          <w:szCs w:val="18"/>
          <w:color w:val="auto"/>
        </w:rPr>
        <w:t>The fair value of long-term debt is determined by using model-derived valuations in which all significant inputs or significant value-drivers are observable in active markets and therefore is classified as Level 2.</w:t>
      </w:r>
    </w:p>
    <w:p>
      <w:pPr>
        <w:spacing w:after="0" w:line="88" w:lineRule="exact"/>
        <w:rPr>
          <w:sz w:val="20"/>
          <w:szCs w:val="20"/>
          <w:color w:val="auto"/>
        </w:rPr>
      </w:pPr>
    </w:p>
    <w:p>
      <w:pPr>
        <w:ind w:left="60" w:right="519"/>
        <w:spacing w:after="0" w:line="262" w:lineRule="auto"/>
        <w:rPr>
          <w:sz w:val="20"/>
          <w:szCs w:val="20"/>
          <w:color w:val="auto"/>
        </w:rPr>
      </w:pPr>
      <w:r>
        <w:rPr>
          <w:rFonts w:ascii="Arial" w:cs="Arial" w:eastAsia="Arial" w:hAnsi="Arial"/>
          <w:sz w:val="18"/>
          <w:szCs w:val="18"/>
          <w:color w:val="auto"/>
        </w:rPr>
        <w:t>The carrying values of cash and cash equivalents, short-term investments, and other current receivables and payables approximate their fair value.</w:t>
      </w:r>
    </w:p>
    <w:p>
      <w:pPr>
        <w:spacing w:after="0" w:line="200" w:lineRule="exact"/>
        <w:rPr>
          <w:sz w:val="20"/>
          <w:szCs w:val="20"/>
          <w:color w:val="auto"/>
        </w:rPr>
      </w:pPr>
    </w:p>
    <w:p>
      <w:pPr>
        <w:spacing w:after="0" w:line="34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96520</wp:posOffset>
            </wp:positionV>
            <wp:extent cx="6114415" cy="596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61" w:name="page62"/>
    <w:bookmarkEnd w:id="6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800"/>
        <w:spacing w:after="0"/>
        <w:rPr>
          <w:sz w:val="20"/>
          <w:szCs w:val="20"/>
          <w:color w:val="auto"/>
        </w:rPr>
      </w:pPr>
      <w:r>
        <w:rPr>
          <w:rFonts w:ascii="Arial" w:cs="Arial" w:eastAsia="Arial" w:hAnsi="Arial"/>
          <w:sz w:val="22"/>
          <w:szCs w:val="22"/>
          <w:b w:val="1"/>
          <w:bCs w:val="1"/>
          <w:color w:val="auto"/>
        </w:rPr>
        <w:t>Foot Locker, Inc.</w:t>
      </w:r>
    </w:p>
    <w:p>
      <w:pPr>
        <w:jc w:val="center"/>
        <w:ind w:right="8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right="6860" w:firstLine="8"/>
        <w:spacing w:after="0" w:line="411" w:lineRule="auto"/>
        <w:tabs>
          <w:tab w:leader="none" w:pos="410"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Retirement Plans and Other Benefits </w:t>
      </w:r>
      <w:r>
        <w:rPr>
          <w:rFonts w:ascii="Arial" w:cs="Arial" w:eastAsia="Arial" w:hAnsi="Arial"/>
          <w:sz w:val="17"/>
          <w:szCs w:val="17"/>
          <w:i w:val="1"/>
          <w:iCs w:val="1"/>
          <w:color w:val="auto"/>
        </w:rPr>
        <w:t>Pension and Other Postretirement Plans</w:t>
      </w:r>
    </w:p>
    <w:p>
      <w:pPr>
        <w:spacing w:after="0" w:line="1" w:lineRule="exact"/>
        <w:rPr>
          <w:sz w:val="20"/>
          <w:szCs w:val="20"/>
          <w:color w:val="auto"/>
        </w:rPr>
      </w:pPr>
    </w:p>
    <w:p>
      <w:pPr>
        <w:jc w:val="both"/>
        <w:ind w:left="60" w:right="840"/>
        <w:spacing w:after="0" w:line="252" w:lineRule="auto"/>
        <w:rPr>
          <w:sz w:val="20"/>
          <w:szCs w:val="20"/>
          <w:color w:val="auto"/>
        </w:rPr>
      </w:pPr>
      <w:r>
        <w:rPr>
          <w:rFonts w:ascii="Arial" w:cs="Arial" w:eastAsia="Arial" w:hAnsi="Arial"/>
          <w:sz w:val="18"/>
          <w:szCs w:val="18"/>
          <w:color w:val="auto"/>
        </w:rPr>
        <w:t>The Company has defined benefit pension plans covering certain of its North American employees, which are funded in accordance with the provisions of the laws where the plans are in effect. In connection with the acquisition of Runners Point Group, the Company acquired certain pension obligations. In addition to providing pension benefits, the Company sponsors postretirement medical and life insurance plans, which are available to most of its retired U.S. employees. These plans are contributory and are not funded. The measurement date of the assets and liabilities is the last day of the fiscal year.</w:t>
      </w:r>
    </w:p>
    <w:p>
      <w:pPr>
        <w:spacing w:after="0" w:line="101" w:lineRule="exact"/>
        <w:rPr>
          <w:sz w:val="20"/>
          <w:szCs w:val="20"/>
          <w:color w:val="auto"/>
        </w:rPr>
      </w:pPr>
    </w:p>
    <w:p>
      <w:pPr>
        <w:jc w:val="both"/>
        <w:ind w:left="60" w:right="820"/>
        <w:spacing w:after="0" w:line="251" w:lineRule="auto"/>
        <w:rPr>
          <w:sz w:val="20"/>
          <w:szCs w:val="20"/>
          <w:color w:val="auto"/>
        </w:rPr>
      </w:pPr>
      <w:r>
        <w:rPr>
          <w:rFonts w:ascii="Arial" w:cs="Arial" w:eastAsia="Arial" w:hAnsi="Arial"/>
          <w:sz w:val="18"/>
          <w:szCs w:val="18"/>
          <w:color w:val="auto"/>
        </w:rPr>
        <w:t>The following tables set forth the plans’ changes in benefit obligations and plan assets, funded status, and amounts recognized in the Consolidated Balance Sheets, measured at February 1, 2014 and February 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-76200</wp:posOffset>
            </wp:positionV>
            <wp:extent cx="556577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8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rPr>
              <w:t>Pension Benefits</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4"/>
                <w:szCs w:val="14"/>
                <w:b w:val="1"/>
                <w:bCs w:val="1"/>
                <w:color w:val="auto"/>
              </w:rPr>
              <w:t>Postretirement Benefits</w:t>
            </w:r>
          </w:p>
        </w:tc>
        <w:tc>
          <w:tcPr>
            <w:tcW w:w="1620" w:type="dxa"/>
            <w:vAlign w:val="bottom"/>
          </w:tcPr>
          <w:p>
            <w:pPr>
              <w:spacing w:after="0"/>
              <w:rPr>
                <w:sz w:val="15"/>
                <w:szCs w:val="15"/>
                <w:color w:val="auto"/>
              </w:rPr>
            </w:pPr>
          </w:p>
        </w:tc>
      </w:tr>
      <w:tr>
        <w:trPr>
          <w:trHeight w:val="183"/>
        </w:trPr>
        <w:tc>
          <w:tcPr>
            <w:tcW w:w="8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auto"/>
            </w:tcBorders>
          </w:tcPr>
          <w:p>
            <w:pPr>
              <w:spacing w:after="0"/>
              <w:rPr>
                <w:sz w:val="15"/>
                <w:szCs w:val="15"/>
                <w:color w:val="auto"/>
              </w:rPr>
            </w:pPr>
          </w:p>
        </w:tc>
        <w:tc>
          <w:tcPr>
            <w:tcW w:w="1620" w:type="dxa"/>
            <w:vAlign w:val="bottom"/>
          </w:tcPr>
          <w:p>
            <w:pPr>
              <w:spacing w:after="0"/>
              <w:rPr>
                <w:sz w:val="15"/>
                <w:szCs w:val="15"/>
                <w:color w:val="auto"/>
              </w:rPr>
            </w:pPr>
          </w:p>
        </w:tc>
      </w:tr>
      <w:tr>
        <w:trPr>
          <w:trHeight w:val="196"/>
        </w:trPr>
        <w:tc>
          <w:tcPr>
            <w:tcW w:w="8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4180" w:type="dxa"/>
            <w:vAlign w:val="bottom"/>
            <w:gridSpan w:val="2"/>
            <w:shd w:val="clear" w:color="auto" w:fill="C0C0C0"/>
          </w:tcPr>
          <w:p>
            <w:pPr>
              <w:ind w:left="20"/>
              <w:spacing w:after="0" w:line="202" w:lineRule="exact"/>
              <w:rPr>
                <w:sz w:val="20"/>
                <w:szCs w:val="20"/>
                <w:color w:val="auto"/>
              </w:rPr>
            </w:pPr>
            <w:r>
              <w:rPr>
                <w:rFonts w:ascii="Arial" w:cs="Arial" w:eastAsia="Arial" w:hAnsi="Arial"/>
                <w:sz w:val="18"/>
                <w:szCs w:val="18"/>
                <w:b w:val="1"/>
                <w:bCs w:val="1"/>
                <w:color w:val="auto"/>
              </w:rPr>
              <w:t>Change in benefit obligation</w:t>
            </w:r>
          </w:p>
        </w:tc>
        <w:tc>
          <w:tcPr>
            <w:tcW w:w="56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50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52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52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41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Benefit obligation at beginning of year</w:t>
            </w: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706</w:t>
            </w:r>
          </w:p>
        </w:tc>
        <w:tc>
          <w:tcPr>
            <w:tcW w:w="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704</w:t>
            </w:r>
          </w:p>
        </w:tc>
        <w:tc>
          <w:tcPr>
            <w:tcW w:w="32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15</w:t>
            </w:r>
          </w:p>
        </w:tc>
        <w:tc>
          <w:tcPr>
            <w:tcW w:w="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15</w:t>
            </w:r>
          </w:p>
        </w:tc>
        <w:tc>
          <w:tcPr>
            <w:tcW w:w="1620" w:type="dxa"/>
            <w:vAlign w:val="bottom"/>
          </w:tcPr>
          <w:p>
            <w:pPr>
              <w:spacing w:after="0"/>
              <w:rPr>
                <w:sz w:val="17"/>
                <w:szCs w:val="17"/>
                <w:color w:val="auto"/>
              </w:rPr>
            </w:pPr>
          </w:p>
        </w:tc>
      </w:tr>
      <w:tr>
        <w:trPr>
          <w:trHeight w:val="203"/>
        </w:trPr>
        <w:tc>
          <w:tcPr>
            <w:tcW w:w="4180" w:type="dxa"/>
            <w:vAlign w:val="bottom"/>
            <w:gridSpan w:val="2"/>
            <w:shd w:val="clear" w:color="auto" w:fill="C0C0C0"/>
          </w:tcPr>
          <w:p>
            <w:pPr>
              <w:ind w:left="200"/>
              <w:spacing w:after="0" w:line="202" w:lineRule="exact"/>
              <w:rPr>
                <w:sz w:val="20"/>
                <w:szCs w:val="20"/>
                <w:color w:val="auto"/>
              </w:rPr>
            </w:pPr>
            <w:r>
              <w:rPr>
                <w:rFonts w:ascii="Arial" w:cs="Arial" w:eastAsia="Arial" w:hAnsi="Arial"/>
                <w:sz w:val="18"/>
                <w:szCs w:val="18"/>
                <w:color w:val="auto"/>
              </w:rPr>
              <w:t>Service cost</w:t>
            </w:r>
          </w:p>
        </w:tc>
        <w:tc>
          <w:tcPr>
            <w:tcW w:w="56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180"/>
              <w:spacing w:after="0" w:line="202" w:lineRule="exact"/>
              <w:rPr>
                <w:sz w:val="20"/>
                <w:szCs w:val="20"/>
                <w:color w:val="auto"/>
              </w:rPr>
            </w:pPr>
            <w:r>
              <w:rPr>
                <w:rFonts w:ascii="Arial" w:cs="Arial" w:eastAsia="Arial" w:hAnsi="Arial"/>
                <w:sz w:val="18"/>
                <w:szCs w:val="18"/>
                <w:b w:val="1"/>
                <w:bCs w:val="1"/>
                <w:color w:val="auto"/>
              </w:rPr>
              <w:t>14</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60" w:type="dxa"/>
            <w:vAlign w:val="bottom"/>
            <w:gridSpan w:val="2"/>
            <w:shd w:val="clear" w:color="auto" w:fill="C0C0C0"/>
          </w:tcPr>
          <w:p>
            <w:pPr>
              <w:jc w:val="right"/>
              <w:ind w:right="180"/>
              <w:spacing w:after="0" w:line="202" w:lineRule="exact"/>
              <w:rPr>
                <w:sz w:val="20"/>
                <w:szCs w:val="20"/>
                <w:color w:val="auto"/>
              </w:rPr>
            </w:pPr>
            <w:r>
              <w:rPr>
                <w:rFonts w:ascii="Arial" w:cs="Arial" w:eastAsia="Arial" w:hAnsi="Arial"/>
                <w:sz w:val="18"/>
                <w:szCs w:val="18"/>
                <w:color w:val="auto"/>
              </w:rPr>
              <w:t>13</w:t>
            </w: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720" w:type="dxa"/>
            <w:vAlign w:val="bottom"/>
            <w:gridSpan w:val="2"/>
            <w:shd w:val="clear" w:color="auto" w:fill="C0C0C0"/>
          </w:tcPr>
          <w:p>
            <w:pPr>
              <w:jc w:val="right"/>
              <w:ind w:right="20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spacing w:after="0"/>
              <w:rPr>
                <w:sz w:val="17"/>
                <w:szCs w:val="17"/>
                <w:color w:val="auto"/>
              </w:rPr>
            </w:pPr>
          </w:p>
        </w:tc>
      </w:tr>
      <w:tr>
        <w:trPr>
          <w:trHeight w:val="203"/>
        </w:trPr>
        <w:tc>
          <w:tcPr>
            <w:tcW w:w="41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Interest cost</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25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spacing w:after="0"/>
              <w:rPr>
                <w:sz w:val="17"/>
                <w:szCs w:val="17"/>
                <w:color w:val="auto"/>
              </w:rPr>
            </w:pPr>
          </w:p>
        </w:tc>
      </w:tr>
      <w:tr>
        <w:trPr>
          <w:trHeight w:val="203"/>
        </w:trPr>
        <w:tc>
          <w:tcPr>
            <w:tcW w:w="4180" w:type="dxa"/>
            <w:vAlign w:val="bottom"/>
            <w:gridSpan w:val="2"/>
            <w:shd w:val="clear" w:color="auto" w:fill="C0C0C0"/>
          </w:tcPr>
          <w:p>
            <w:pPr>
              <w:ind w:left="200"/>
              <w:spacing w:after="0" w:line="202" w:lineRule="exact"/>
              <w:rPr>
                <w:sz w:val="20"/>
                <w:szCs w:val="20"/>
                <w:color w:val="auto"/>
              </w:rPr>
            </w:pPr>
            <w:r>
              <w:rPr>
                <w:rFonts w:ascii="Arial" w:cs="Arial" w:eastAsia="Arial" w:hAnsi="Arial"/>
                <w:sz w:val="18"/>
                <w:szCs w:val="18"/>
                <w:color w:val="auto"/>
              </w:rPr>
              <w:t>Plan participants’ contributions</w:t>
            </w:r>
          </w:p>
        </w:tc>
        <w:tc>
          <w:tcPr>
            <w:tcW w:w="56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18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60" w:type="dxa"/>
            <w:vAlign w:val="bottom"/>
            <w:gridSpan w:val="2"/>
            <w:shd w:val="clear" w:color="auto" w:fill="C0C0C0"/>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720" w:type="dxa"/>
            <w:vAlign w:val="bottom"/>
            <w:gridSpan w:val="2"/>
            <w:shd w:val="clear" w:color="auto" w:fill="C0C0C0"/>
          </w:tcPr>
          <w:p>
            <w:pPr>
              <w:jc w:val="right"/>
              <w:ind w:right="200"/>
              <w:spacing w:after="0" w:line="202" w:lineRule="exact"/>
              <w:rPr>
                <w:sz w:val="20"/>
                <w:szCs w:val="20"/>
                <w:color w:val="auto"/>
              </w:rPr>
            </w:pPr>
            <w:r>
              <w:rPr>
                <w:rFonts w:ascii="Arial" w:cs="Arial" w:eastAsia="Arial" w:hAnsi="Arial"/>
                <w:sz w:val="18"/>
                <w:szCs w:val="18"/>
                <w:b w:val="1"/>
                <w:bCs w:val="1"/>
                <w:color w:val="auto"/>
              </w:rPr>
              <w:t>2</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240"/>
              <w:spacing w:after="0" w:line="202" w:lineRule="exact"/>
              <w:rPr>
                <w:sz w:val="20"/>
                <w:szCs w:val="20"/>
                <w:color w:val="auto"/>
              </w:rPr>
            </w:pPr>
            <w:r>
              <w:rPr>
                <w:rFonts w:ascii="Arial" w:cs="Arial" w:eastAsia="Arial" w:hAnsi="Arial"/>
                <w:sz w:val="18"/>
                <w:szCs w:val="18"/>
                <w:color w:val="auto"/>
              </w:rPr>
              <w:t>2</w:t>
            </w:r>
          </w:p>
        </w:tc>
        <w:tc>
          <w:tcPr>
            <w:tcW w:w="1620" w:type="dxa"/>
            <w:vAlign w:val="bottom"/>
          </w:tcPr>
          <w:p>
            <w:pPr>
              <w:spacing w:after="0"/>
              <w:rPr>
                <w:sz w:val="17"/>
                <w:szCs w:val="17"/>
                <w:color w:val="auto"/>
              </w:rPr>
            </w:pPr>
          </w:p>
        </w:tc>
      </w:tr>
      <w:tr>
        <w:trPr>
          <w:trHeight w:val="203"/>
        </w:trPr>
        <w:tc>
          <w:tcPr>
            <w:tcW w:w="41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Actuarial (gain) loss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(11)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w:t>
            </w:r>
          </w:p>
        </w:tc>
        <w:tc>
          <w:tcPr>
            <w:tcW w:w="1620" w:type="dxa"/>
            <w:vAlign w:val="bottom"/>
          </w:tcPr>
          <w:p>
            <w:pPr>
              <w:spacing w:after="0"/>
              <w:rPr>
                <w:sz w:val="17"/>
                <w:szCs w:val="17"/>
                <w:color w:val="auto"/>
              </w:rPr>
            </w:pPr>
          </w:p>
        </w:tc>
      </w:tr>
      <w:tr>
        <w:trPr>
          <w:trHeight w:val="203"/>
        </w:trPr>
        <w:tc>
          <w:tcPr>
            <w:tcW w:w="4180" w:type="dxa"/>
            <w:vAlign w:val="bottom"/>
            <w:gridSpan w:val="2"/>
            <w:shd w:val="clear" w:color="auto" w:fill="C0C0C0"/>
          </w:tcPr>
          <w:p>
            <w:pPr>
              <w:ind w:left="200"/>
              <w:spacing w:after="0" w:line="202" w:lineRule="exact"/>
              <w:rPr>
                <w:sz w:val="20"/>
                <w:szCs w:val="20"/>
                <w:color w:val="auto"/>
              </w:rPr>
            </w:pPr>
            <w:r>
              <w:rPr>
                <w:rFonts w:ascii="Arial" w:cs="Arial" w:eastAsia="Arial" w:hAnsi="Arial"/>
                <w:sz w:val="18"/>
                <w:szCs w:val="18"/>
                <w:color w:val="auto"/>
              </w:rPr>
              <w:t>Foreign currency translation adjustments</w:t>
            </w:r>
          </w:p>
        </w:tc>
        <w:tc>
          <w:tcPr>
            <w:tcW w:w="56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b w:val="1"/>
                <w:bCs w:val="1"/>
                <w:color w:val="auto"/>
              </w:rPr>
              <w:t>(9)</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60" w:type="dxa"/>
            <w:vAlign w:val="bottom"/>
            <w:gridSpan w:val="2"/>
            <w:shd w:val="clear" w:color="auto" w:fill="C0C0C0"/>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720" w:type="dxa"/>
            <w:vAlign w:val="bottom"/>
            <w:gridSpan w:val="2"/>
            <w:shd w:val="clear" w:color="auto" w:fill="C0C0C0"/>
          </w:tcPr>
          <w:p>
            <w:pPr>
              <w:jc w:val="right"/>
              <w:ind w:right="20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spacing w:after="0"/>
              <w:rPr>
                <w:sz w:val="17"/>
                <w:szCs w:val="17"/>
                <w:color w:val="auto"/>
              </w:rPr>
            </w:pPr>
          </w:p>
        </w:tc>
      </w:tr>
      <w:tr>
        <w:trPr>
          <w:trHeight w:val="203"/>
        </w:trPr>
        <w:tc>
          <w:tcPr>
            <w:tcW w:w="41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Runners Point Group acquisition</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spacing w:after="0"/>
              <w:rPr>
                <w:sz w:val="17"/>
                <w:szCs w:val="17"/>
                <w:color w:val="auto"/>
              </w:rPr>
            </w:pPr>
          </w:p>
        </w:tc>
      </w:tr>
      <w:tr>
        <w:trPr>
          <w:trHeight w:val="203"/>
        </w:trPr>
        <w:tc>
          <w:tcPr>
            <w:tcW w:w="4180" w:type="dxa"/>
            <w:vAlign w:val="bottom"/>
            <w:gridSpan w:val="2"/>
            <w:shd w:val="clear" w:color="auto" w:fill="C0C0C0"/>
          </w:tcPr>
          <w:p>
            <w:pPr>
              <w:ind w:left="200"/>
              <w:spacing w:after="0" w:line="202" w:lineRule="exact"/>
              <w:rPr>
                <w:sz w:val="20"/>
                <w:szCs w:val="20"/>
                <w:color w:val="auto"/>
              </w:rPr>
            </w:pPr>
            <w:r>
              <w:rPr>
                <w:rFonts w:ascii="Arial" w:cs="Arial" w:eastAsia="Arial" w:hAnsi="Arial"/>
                <w:sz w:val="18"/>
                <w:szCs w:val="18"/>
                <w:color w:val="auto"/>
              </w:rPr>
              <w:t>Benefits paid</w:t>
            </w:r>
          </w:p>
        </w:tc>
        <w:tc>
          <w:tcPr>
            <w:tcW w:w="56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b w:val="1"/>
                <w:bCs w:val="1"/>
                <w:color w:val="auto"/>
              </w:rPr>
              <w:t>(52)</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6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(54)</w:t>
            </w: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720" w:type="dxa"/>
            <w:vAlign w:val="bottom"/>
            <w:gridSpan w:val="2"/>
            <w:shd w:val="clear" w:color="auto" w:fill="C0C0C0"/>
          </w:tcPr>
          <w:p>
            <w:pPr>
              <w:jc w:val="right"/>
              <w:ind w:right="140"/>
              <w:spacing w:after="0" w:line="202" w:lineRule="exact"/>
              <w:rPr>
                <w:sz w:val="20"/>
                <w:szCs w:val="20"/>
                <w:color w:val="auto"/>
              </w:rPr>
            </w:pPr>
            <w:r>
              <w:rPr>
                <w:rFonts w:ascii="Arial" w:cs="Arial" w:eastAsia="Arial" w:hAnsi="Arial"/>
                <w:sz w:val="18"/>
                <w:szCs w:val="18"/>
                <w:b w:val="1"/>
                <w:bCs w:val="1"/>
                <w:color w:val="auto"/>
              </w:rPr>
              <w:t>(3)</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80"/>
              <w:spacing w:after="0" w:line="202" w:lineRule="exact"/>
              <w:rPr>
                <w:sz w:val="20"/>
                <w:szCs w:val="20"/>
                <w:color w:val="auto"/>
              </w:rPr>
            </w:pPr>
            <w:r>
              <w:rPr>
                <w:rFonts w:ascii="Arial" w:cs="Arial" w:eastAsia="Arial" w:hAnsi="Arial"/>
                <w:sz w:val="18"/>
                <w:szCs w:val="18"/>
                <w:color w:val="auto"/>
              </w:rPr>
              <w:t>(3)</w:t>
            </w:r>
          </w:p>
        </w:tc>
        <w:tc>
          <w:tcPr>
            <w:tcW w:w="1620" w:type="dxa"/>
            <w:vAlign w:val="bottom"/>
          </w:tcPr>
          <w:p>
            <w:pPr>
              <w:spacing w:after="0"/>
              <w:rPr>
                <w:sz w:val="17"/>
                <w:szCs w:val="17"/>
                <w:color w:val="auto"/>
              </w:rPr>
            </w:pPr>
          </w:p>
        </w:tc>
      </w:tr>
      <w:tr>
        <w:trPr>
          <w:trHeight w:val="20"/>
        </w:trPr>
        <w:tc>
          <w:tcPr>
            <w:tcW w:w="800" w:type="dxa"/>
            <w:vAlign w:val="bottom"/>
            <w:shd w:val="clear" w:color="auto" w:fill="C0C0C0"/>
          </w:tcPr>
          <w:p>
            <w:pPr>
              <w:spacing w:after="0" w:line="20" w:lineRule="exact"/>
              <w:rPr>
                <w:sz w:val="1"/>
                <w:szCs w:val="1"/>
                <w:color w:val="auto"/>
              </w:rPr>
            </w:pPr>
          </w:p>
        </w:tc>
        <w:tc>
          <w:tcPr>
            <w:tcW w:w="3380" w:type="dxa"/>
            <w:vAlign w:val="bottom"/>
            <w:shd w:val="clear" w:color="auto" w:fill="C0C0C0"/>
          </w:tcPr>
          <w:p>
            <w:pPr>
              <w:spacing w:after="0" w:line="20" w:lineRule="exact"/>
              <w:rPr>
                <w:sz w:val="1"/>
                <w:szCs w:val="1"/>
                <w:color w:val="auto"/>
              </w:rPr>
            </w:pPr>
          </w:p>
        </w:tc>
        <w:tc>
          <w:tcPr>
            <w:tcW w:w="56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18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Benefit obligation at end of year</w:t>
            </w:r>
          </w:p>
        </w:tc>
        <w:tc>
          <w:tcPr>
            <w:tcW w:w="56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680" w:type="dxa"/>
            <w:vAlign w:val="bottom"/>
            <w:gridSpan w:val="2"/>
          </w:tcPr>
          <w:p>
            <w:pPr>
              <w:jc w:val="right"/>
              <w:ind w:right="180"/>
              <w:spacing w:after="0" w:line="196" w:lineRule="exact"/>
              <w:rPr>
                <w:sz w:val="20"/>
                <w:szCs w:val="20"/>
                <w:color w:val="auto"/>
              </w:rPr>
            </w:pPr>
            <w:r>
              <w:rPr>
                <w:rFonts w:ascii="Arial" w:cs="Arial" w:eastAsia="Arial" w:hAnsi="Arial"/>
                <w:sz w:val="18"/>
                <w:szCs w:val="18"/>
                <w:b w:val="1"/>
                <w:bCs w:val="1"/>
                <w:color w:val="auto"/>
              </w:rPr>
              <w:t>674</w:t>
            </w:r>
          </w:p>
        </w:tc>
        <w:tc>
          <w:tcPr>
            <w:tcW w:w="3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706</w:t>
            </w:r>
          </w:p>
        </w:tc>
        <w:tc>
          <w:tcPr>
            <w:tcW w:w="320" w:type="dxa"/>
            <w:vAlign w:val="bottom"/>
            <w:gridSpan w:val="2"/>
          </w:tcPr>
          <w:p>
            <w:pPr>
              <w:jc w:val="right"/>
              <w:ind w:right="40"/>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200"/>
              <w:spacing w:after="0" w:line="196" w:lineRule="exact"/>
              <w:rPr>
                <w:sz w:val="20"/>
                <w:szCs w:val="20"/>
                <w:color w:val="auto"/>
              </w:rPr>
            </w:pPr>
            <w:r>
              <w:rPr>
                <w:rFonts w:ascii="Arial" w:cs="Arial" w:eastAsia="Arial" w:hAnsi="Arial"/>
                <w:sz w:val="18"/>
                <w:szCs w:val="18"/>
                <w:b w:val="1"/>
                <w:bCs w:val="1"/>
                <w:color w:val="auto"/>
              </w:rPr>
              <w:t>15</w:t>
            </w:r>
          </w:p>
        </w:tc>
        <w:tc>
          <w:tcPr>
            <w:tcW w:w="3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15</w:t>
            </w:r>
          </w:p>
        </w:tc>
        <w:tc>
          <w:tcPr>
            <w:tcW w:w="1620" w:type="dxa"/>
            <w:vAlign w:val="bottom"/>
          </w:tcPr>
          <w:p>
            <w:pPr>
              <w:spacing w:after="0"/>
              <w:rPr>
                <w:sz w:val="17"/>
                <w:szCs w:val="17"/>
                <w:color w:val="auto"/>
              </w:rPr>
            </w:pPr>
          </w:p>
        </w:tc>
      </w:tr>
      <w:tr>
        <w:trPr>
          <w:trHeight w:val="196"/>
        </w:trPr>
        <w:tc>
          <w:tcPr>
            <w:tcW w:w="4180" w:type="dxa"/>
            <w:vAlign w:val="bottom"/>
            <w:gridSpan w:val="2"/>
            <w:shd w:val="clear" w:color="auto" w:fill="C0C0C0"/>
          </w:tcPr>
          <w:p>
            <w:pPr>
              <w:ind w:left="20"/>
              <w:spacing w:after="0" w:line="196" w:lineRule="exact"/>
              <w:rPr>
                <w:sz w:val="20"/>
                <w:szCs w:val="20"/>
                <w:color w:val="auto"/>
              </w:rPr>
            </w:pPr>
            <w:r>
              <w:rPr>
                <w:rFonts w:ascii="Arial" w:cs="Arial" w:eastAsia="Arial" w:hAnsi="Arial"/>
                <w:sz w:val="18"/>
                <w:szCs w:val="18"/>
                <w:b w:val="1"/>
                <w:bCs w:val="1"/>
                <w:color w:val="auto"/>
              </w:rPr>
              <w:t>Change in plan assets</w:t>
            </w:r>
          </w:p>
        </w:tc>
        <w:tc>
          <w:tcPr>
            <w:tcW w:w="560" w:type="dxa"/>
            <w:vAlign w:val="bottom"/>
            <w:shd w:val="clear" w:color="auto" w:fill="C0C0C0"/>
          </w:tcPr>
          <w:p>
            <w:pPr>
              <w:spacing w:after="0"/>
              <w:rPr>
                <w:sz w:val="17"/>
                <w:szCs w:val="17"/>
                <w:color w:val="auto"/>
              </w:rPr>
            </w:pPr>
          </w:p>
        </w:tc>
        <w:tc>
          <w:tcPr>
            <w:tcW w:w="180" w:type="dxa"/>
            <w:vAlign w:val="bottom"/>
            <w:tcBorders>
              <w:top w:val="single" w:sz="8" w:color="auto"/>
            </w:tcBorders>
            <w:shd w:val="clear" w:color="auto" w:fill="C0C0C0"/>
          </w:tcPr>
          <w:p>
            <w:pPr>
              <w:spacing w:after="0"/>
              <w:rPr>
                <w:sz w:val="17"/>
                <w:szCs w:val="17"/>
                <w:color w:val="auto"/>
              </w:rPr>
            </w:pPr>
          </w:p>
        </w:tc>
        <w:tc>
          <w:tcPr>
            <w:tcW w:w="500" w:type="dxa"/>
            <w:vAlign w:val="bottom"/>
            <w:tcBorders>
              <w:top w:val="single" w:sz="8" w:color="auto"/>
            </w:tcBorders>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tcBorders>
              <w:top w:val="single" w:sz="8" w:color="auto"/>
            </w:tcBorders>
            <w:shd w:val="clear" w:color="auto" w:fill="C0C0C0"/>
          </w:tcPr>
          <w:p>
            <w:pPr>
              <w:spacing w:after="0"/>
              <w:rPr>
                <w:sz w:val="17"/>
                <w:szCs w:val="17"/>
                <w:color w:val="auto"/>
              </w:rPr>
            </w:pPr>
          </w:p>
        </w:tc>
        <w:tc>
          <w:tcPr>
            <w:tcW w:w="480" w:type="dxa"/>
            <w:vAlign w:val="bottom"/>
            <w:tcBorders>
              <w:top w:val="single" w:sz="8" w:color="auto"/>
            </w:tcBorders>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60" w:type="dxa"/>
            <w:vAlign w:val="bottom"/>
            <w:tcBorders>
              <w:top w:val="single" w:sz="8" w:color="auto"/>
            </w:tcBorders>
            <w:shd w:val="clear" w:color="auto" w:fill="C0C0C0"/>
          </w:tcPr>
          <w:p>
            <w:pPr>
              <w:spacing w:after="0"/>
              <w:rPr>
                <w:sz w:val="17"/>
                <w:szCs w:val="17"/>
                <w:color w:val="auto"/>
              </w:rPr>
            </w:pPr>
          </w:p>
        </w:tc>
        <w:tc>
          <w:tcPr>
            <w:tcW w:w="520" w:type="dxa"/>
            <w:vAlign w:val="bottom"/>
            <w:tcBorders>
              <w:top w:val="single" w:sz="8" w:color="auto"/>
            </w:tcBorders>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tcBorders>
              <w:top w:val="single" w:sz="8" w:color="auto"/>
            </w:tcBorders>
            <w:shd w:val="clear" w:color="auto" w:fill="C0C0C0"/>
          </w:tcPr>
          <w:p>
            <w:pPr>
              <w:spacing w:after="0"/>
              <w:rPr>
                <w:sz w:val="17"/>
                <w:szCs w:val="17"/>
                <w:color w:val="auto"/>
              </w:rPr>
            </w:pPr>
          </w:p>
        </w:tc>
        <w:tc>
          <w:tcPr>
            <w:tcW w:w="520" w:type="dxa"/>
            <w:vAlign w:val="bottom"/>
            <w:tcBorders>
              <w:top w:val="single" w:sz="8" w:color="auto"/>
            </w:tcBorders>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41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Fair value of plan assets at beginning of year</w:t>
            </w: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673</w:t>
            </w:r>
          </w:p>
        </w:tc>
        <w:tc>
          <w:tcPr>
            <w:tcW w:w="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639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4180" w:type="dxa"/>
            <w:vAlign w:val="bottom"/>
            <w:gridSpan w:val="2"/>
            <w:shd w:val="clear" w:color="auto" w:fill="C0C0C0"/>
          </w:tcPr>
          <w:p>
            <w:pPr>
              <w:ind w:left="200"/>
              <w:spacing w:after="0" w:line="202" w:lineRule="exact"/>
              <w:rPr>
                <w:sz w:val="20"/>
                <w:szCs w:val="20"/>
                <w:color w:val="auto"/>
              </w:rPr>
            </w:pPr>
            <w:r>
              <w:rPr>
                <w:rFonts w:ascii="Arial" w:cs="Arial" w:eastAsia="Arial" w:hAnsi="Arial"/>
                <w:sz w:val="18"/>
                <w:szCs w:val="18"/>
                <w:color w:val="auto"/>
              </w:rPr>
              <w:t>Actual return on plan assets</w:t>
            </w:r>
          </w:p>
        </w:tc>
        <w:tc>
          <w:tcPr>
            <w:tcW w:w="56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180"/>
              <w:spacing w:after="0" w:line="202" w:lineRule="exact"/>
              <w:rPr>
                <w:sz w:val="20"/>
                <w:szCs w:val="20"/>
                <w:color w:val="auto"/>
              </w:rPr>
            </w:pPr>
            <w:r>
              <w:rPr>
                <w:rFonts w:ascii="Arial" w:cs="Arial" w:eastAsia="Arial" w:hAnsi="Arial"/>
                <w:sz w:val="18"/>
                <w:szCs w:val="18"/>
                <w:b w:val="1"/>
                <w:bCs w:val="1"/>
                <w:color w:val="auto"/>
              </w:rPr>
              <w:t>33</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60" w:type="dxa"/>
            <w:vAlign w:val="bottom"/>
            <w:gridSpan w:val="2"/>
            <w:shd w:val="clear" w:color="auto" w:fill="C0C0C0"/>
          </w:tcPr>
          <w:p>
            <w:pPr>
              <w:jc w:val="right"/>
              <w:ind w:right="180"/>
              <w:spacing w:after="0" w:line="202" w:lineRule="exact"/>
              <w:rPr>
                <w:sz w:val="20"/>
                <w:szCs w:val="20"/>
                <w:color w:val="auto"/>
              </w:rPr>
            </w:pPr>
            <w:r>
              <w:rPr>
                <w:rFonts w:ascii="Arial" w:cs="Arial" w:eastAsia="Arial" w:hAnsi="Arial"/>
                <w:sz w:val="18"/>
                <w:szCs w:val="18"/>
                <w:color w:val="auto"/>
              </w:rPr>
              <w:t>59</w:t>
            </w: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52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52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41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Employer contributions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4180" w:type="dxa"/>
            <w:vAlign w:val="bottom"/>
            <w:gridSpan w:val="2"/>
            <w:shd w:val="clear" w:color="auto" w:fill="C0C0C0"/>
          </w:tcPr>
          <w:p>
            <w:pPr>
              <w:ind w:left="200"/>
              <w:spacing w:after="0" w:line="202" w:lineRule="exact"/>
              <w:rPr>
                <w:sz w:val="20"/>
                <w:szCs w:val="20"/>
                <w:color w:val="auto"/>
              </w:rPr>
            </w:pPr>
            <w:r>
              <w:rPr>
                <w:rFonts w:ascii="Arial" w:cs="Arial" w:eastAsia="Arial" w:hAnsi="Arial"/>
                <w:sz w:val="18"/>
                <w:szCs w:val="18"/>
                <w:color w:val="auto"/>
              </w:rPr>
              <w:t>Foreign currency translation adjustments</w:t>
            </w:r>
          </w:p>
        </w:tc>
        <w:tc>
          <w:tcPr>
            <w:tcW w:w="56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b w:val="1"/>
                <w:bCs w:val="1"/>
                <w:color w:val="auto"/>
              </w:rPr>
              <w:t>(9)</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60" w:type="dxa"/>
            <w:vAlign w:val="bottom"/>
            <w:gridSpan w:val="2"/>
            <w:shd w:val="clear" w:color="auto" w:fill="C0C0C0"/>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52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52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41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Benefits paid</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(52)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180" w:type="dxa"/>
            <w:vAlign w:val="bottom"/>
            <w:gridSpan w:val="2"/>
            <w:shd w:val="clear" w:color="auto" w:fill="C0C0C0"/>
          </w:tcPr>
          <w:p>
            <w:pPr>
              <w:ind w:left="200"/>
              <w:spacing w:after="0" w:line="196" w:lineRule="exact"/>
              <w:rPr>
                <w:sz w:val="20"/>
                <w:szCs w:val="20"/>
                <w:color w:val="auto"/>
              </w:rPr>
            </w:pPr>
            <w:r>
              <w:rPr>
                <w:rFonts w:ascii="Arial" w:cs="Arial" w:eastAsia="Arial" w:hAnsi="Arial"/>
                <w:sz w:val="18"/>
                <w:szCs w:val="18"/>
                <w:color w:val="auto"/>
              </w:rPr>
              <w:t>Fair value of plan assets at end of year</w:t>
            </w:r>
          </w:p>
        </w:tc>
        <w:tc>
          <w:tcPr>
            <w:tcW w:w="560" w:type="dxa"/>
            <w:vAlign w:val="bottom"/>
            <w:shd w:val="clear" w:color="auto" w:fill="C0C0C0"/>
          </w:tcPr>
          <w:p>
            <w:pPr>
              <w:spacing w:after="0"/>
              <w:rPr>
                <w:sz w:val="17"/>
                <w:szCs w:val="17"/>
                <w:color w:val="auto"/>
              </w:rPr>
            </w:pPr>
          </w:p>
        </w:tc>
        <w:tc>
          <w:tcPr>
            <w:tcW w:w="18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0C0C0"/>
          </w:tcPr>
          <w:p>
            <w:pPr>
              <w:jc w:val="right"/>
              <w:ind w:right="180"/>
              <w:spacing w:after="0" w:line="196" w:lineRule="exact"/>
              <w:rPr>
                <w:sz w:val="20"/>
                <w:szCs w:val="20"/>
                <w:color w:val="auto"/>
              </w:rPr>
            </w:pPr>
            <w:r>
              <w:rPr>
                <w:rFonts w:ascii="Arial" w:cs="Arial" w:eastAsia="Arial" w:hAnsi="Arial"/>
                <w:sz w:val="18"/>
                <w:szCs w:val="18"/>
                <w:b w:val="1"/>
                <w:bCs w:val="1"/>
                <w:color w:val="auto"/>
              </w:rPr>
              <w:t>650</w:t>
            </w:r>
          </w:p>
        </w:tc>
        <w:tc>
          <w:tcPr>
            <w:tcW w:w="360" w:type="dxa"/>
            <w:vAlign w:val="bottom"/>
            <w:gridSpan w:val="2"/>
            <w:shd w:val="clear" w:color="auto" w:fill="C0C0C0"/>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0C0C0"/>
          </w:tcPr>
          <w:p>
            <w:pPr>
              <w:jc w:val="right"/>
              <w:ind w:right="180"/>
              <w:spacing w:after="0" w:line="196" w:lineRule="exact"/>
              <w:rPr>
                <w:sz w:val="20"/>
                <w:szCs w:val="20"/>
                <w:color w:val="auto"/>
              </w:rPr>
            </w:pPr>
            <w:r>
              <w:rPr>
                <w:rFonts w:ascii="Arial" w:cs="Arial" w:eastAsia="Arial" w:hAnsi="Arial"/>
                <w:sz w:val="18"/>
                <w:szCs w:val="18"/>
                <w:color w:val="auto"/>
              </w:rPr>
              <w:t>673</w:t>
            </w: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52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52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1620" w:type="dxa"/>
            <w:vAlign w:val="bottom"/>
          </w:tcPr>
          <w:p>
            <w:pPr>
              <w:spacing w:after="0"/>
              <w:rPr>
                <w:sz w:val="17"/>
                <w:szCs w:val="17"/>
                <w:color w:val="auto"/>
              </w:rPr>
            </w:pPr>
          </w:p>
        </w:tc>
      </w:tr>
      <w:tr>
        <w:trPr>
          <w:trHeight w:val="20"/>
        </w:trPr>
        <w:tc>
          <w:tcPr>
            <w:tcW w:w="800" w:type="dxa"/>
            <w:vAlign w:val="bottom"/>
            <w:shd w:val="clear" w:color="auto" w:fill="C0C0C0"/>
          </w:tcPr>
          <w:p>
            <w:pPr>
              <w:spacing w:after="0" w:line="20" w:lineRule="exact"/>
              <w:rPr>
                <w:sz w:val="1"/>
                <w:szCs w:val="1"/>
                <w:color w:val="auto"/>
              </w:rPr>
            </w:pPr>
          </w:p>
        </w:tc>
        <w:tc>
          <w:tcPr>
            <w:tcW w:w="3380" w:type="dxa"/>
            <w:vAlign w:val="bottom"/>
            <w:shd w:val="clear" w:color="auto" w:fill="C0C0C0"/>
          </w:tcPr>
          <w:p>
            <w:pPr>
              <w:spacing w:after="0" w:line="20" w:lineRule="exact"/>
              <w:rPr>
                <w:sz w:val="1"/>
                <w:szCs w:val="1"/>
                <w:color w:val="auto"/>
              </w:rPr>
            </w:pPr>
          </w:p>
        </w:tc>
        <w:tc>
          <w:tcPr>
            <w:tcW w:w="56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18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Funded status</w:t>
            </w:r>
          </w:p>
        </w:tc>
        <w:tc>
          <w:tcPr>
            <w:tcW w:w="56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68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color w:val="auto"/>
              </w:rPr>
              <w:t>(24)</w:t>
            </w:r>
          </w:p>
        </w:tc>
        <w:tc>
          <w:tcPr>
            <w:tcW w:w="3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(33)</w:t>
            </w:r>
          </w:p>
        </w:tc>
        <w:tc>
          <w:tcPr>
            <w:tcW w:w="320" w:type="dxa"/>
            <w:vAlign w:val="bottom"/>
            <w:gridSpan w:val="2"/>
          </w:tcPr>
          <w:p>
            <w:pPr>
              <w:jc w:val="right"/>
              <w:ind w:right="40"/>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rPr>
              <w:t>(15)</w:t>
            </w:r>
          </w:p>
        </w:tc>
        <w:tc>
          <w:tcPr>
            <w:tcW w:w="3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(15)</w:t>
            </w:r>
          </w:p>
        </w:tc>
        <w:tc>
          <w:tcPr>
            <w:tcW w:w="1620" w:type="dxa"/>
            <w:vAlign w:val="bottom"/>
          </w:tcPr>
          <w:p>
            <w:pPr>
              <w:spacing w:after="0"/>
              <w:rPr>
                <w:sz w:val="17"/>
                <w:szCs w:val="17"/>
                <w:color w:val="auto"/>
              </w:rPr>
            </w:pPr>
          </w:p>
        </w:tc>
      </w:tr>
      <w:tr>
        <w:trPr>
          <w:trHeight w:val="203"/>
        </w:trPr>
        <w:tc>
          <w:tcPr>
            <w:tcW w:w="4180" w:type="dxa"/>
            <w:vAlign w:val="bottom"/>
            <w:gridSpan w:val="2"/>
            <w:shd w:val="clear" w:color="auto" w:fill="C0C0C0"/>
          </w:tcPr>
          <w:p>
            <w:pPr>
              <w:ind w:left="20"/>
              <w:spacing w:after="0" w:line="202" w:lineRule="exact"/>
              <w:rPr>
                <w:sz w:val="20"/>
                <w:szCs w:val="20"/>
                <w:color w:val="auto"/>
              </w:rPr>
            </w:pPr>
            <w:r>
              <w:rPr>
                <w:rFonts w:ascii="Arial" w:cs="Arial" w:eastAsia="Arial" w:hAnsi="Arial"/>
                <w:sz w:val="18"/>
                <w:szCs w:val="18"/>
                <w:b w:val="1"/>
                <w:bCs w:val="1"/>
                <w:color w:val="auto"/>
              </w:rPr>
              <w:t>Amounts recognized on the balance sheet:</w:t>
            </w:r>
          </w:p>
        </w:tc>
        <w:tc>
          <w:tcPr>
            <w:tcW w:w="56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50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52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52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41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Other assets</w:t>
            </w: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4</w:t>
            </w:r>
          </w:p>
        </w:tc>
        <w:tc>
          <w:tcPr>
            <w:tcW w:w="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w:t>
            </w:r>
          </w:p>
        </w:tc>
        <w:tc>
          <w:tcPr>
            <w:tcW w:w="32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spacing w:after="0"/>
              <w:rPr>
                <w:sz w:val="17"/>
                <w:szCs w:val="17"/>
                <w:color w:val="auto"/>
              </w:rPr>
            </w:pPr>
          </w:p>
        </w:tc>
      </w:tr>
      <w:tr>
        <w:trPr>
          <w:trHeight w:val="203"/>
        </w:trPr>
        <w:tc>
          <w:tcPr>
            <w:tcW w:w="4180" w:type="dxa"/>
            <w:vAlign w:val="bottom"/>
            <w:gridSpan w:val="2"/>
            <w:shd w:val="clear" w:color="auto" w:fill="C0C0C0"/>
          </w:tcPr>
          <w:p>
            <w:pPr>
              <w:ind w:left="200"/>
              <w:spacing w:after="0" w:line="202" w:lineRule="exact"/>
              <w:rPr>
                <w:sz w:val="20"/>
                <w:szCs w:val="20"/>
                <w:color w:val="auto"/>
              </w:rPr>
            </w:pPr>
            <w:r>
              <w:rPr>
                <w:rFonts w:ascii="Arial" w:cs="Arial" w:eastAsia="Arial" w:hAnsi="Arial"/>
                <w:sz w:val="18"/>
                <w:szCs w:val="18"/>
                <w:color w:val="auto"/>
              </w:rPr>
              <w:t>Accrued and other liabilities</w:t>
            </w:r>
          </w:p>
        </w:tc>
        <w:tc>
          <w:tcPr>
            <w:tcW w:w="56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b w:val="1"/>
                <w:bCs w:val="1"/>
                <w:color w:val="auto"/>
              </w:rPr>
              <w:t>(3)</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6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(3)</w:t>
            </w: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720" w:type="dxa"/>
            <w:vAlign w:val="bottom"/>
            <w:gridSpan w:val="2"/>
            <w:shd w:val="clear" w:color="auto" w:fill="C0C0C0"/>
          </w:tcPr>
          <w:p>
            <w:pPr>
              <w:jc w:val="right"/>
              <w:ind w:right="140"/>
              <w:spacing w:after="0" w:line="202" w:lineRule="exact"/>
              <w:rPr>
                <w:sz w:val="20"/>
                <w:szCs w:val="20"/>
                <w:color w:val="auto"/>
              </w:rPr>
            </w:pPr>
            <w:r>
              <w:rPr>
                <w:rFonts w:ascii="Arial" w:cs="Arial" w:eastAsia="Arial" w:hAnsi="Arial"/>
                <w:sz w:val="18"/>
                <w:szCs w:val="18"/>
                <w:b w:val="1"/>
                <w:bCs w:val="1"/>
                <w:color w:val="auto"/>
              </w:rPr>
              <w:t>(1)</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80"/>
              <w:spacing w:after="0" w:line="202" w:lineRule="exact"/>
              <w:rPr>
                <w:sz w:val="20"/>
                <w:szCs w:val="20"/>
                <w:color w:val="auto"/>
              </w:rPr>
            </w:pPr>
            <w:r>
              <w:rPr>
                <w:rFonts w:ascii="Arial" w:cs="Arial" w:eastAsia="Arial" w:hAnsi="Arial"/>
                <w:sz w:val="18"/>
                <w:szCs w:val="18"/>
                <w:color w:val="auto"/>
              </w:rPr>
              <w:t>(1)</w:t>
            </w:r>
          </w:p>
        </w:tc>
        <w:tc>
          <w:tcPr>
            <w:tcW w:w="1620" w:type="dxa"/>
            <w:vAlign w:val="bottom"/>
          </w:tcPr>
          <w:p>
            <w:pPr>
              <w:spacing w:after="0"/>
              <w:rPr>
                <w:sz w:val="17"/>
                <w:szCs w:val="17"/>
                <w:color w:val="auto"/>
              </w:rPr>
            </w:pPr>
          </w:p>
        </w:tc>
      </w:tr>
      <w:tr>
        <w:trPr>
          <w:trHeight w:val="203"/>
        </w:trPr>
        <w:tc>
          <w:tcPr>
            <w:tcW w:w="41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Other liabilities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(25)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(14)</w:t>
            </w:r>
          </w:p>
        </w:tc>
        <w:tc>
          <w:tcPr>
            <w:tcW w:w="16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37"/>
        </w:trPr>
        <w:tc>
          <w:tcPr>
            <w:tcW w:w="800" w:type="dxa"/>
            <w:vAlign w:val="bottom"/>
            <w:shd w:val="clear" w:color="auto" w:fill="C0C0C0"/>
          </w:tcPr>
          <w:p>
            <w:pPr>
              <w:spacing w:after="0"/>
              <w:rPr>
                <w:sz w:val="20"/>
                <w:szCs w:val="20"/>
                <w:color w:val="auto"/>
              </w:rPr>
            </w:pPr>
          </w:p>
        </w:tc>
        <w:tc>
          <w:tcPr>
            <w:tcW w:w="3380" w:type="dxa"/>
            <w:vAlign w:val="bottom"/>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c>
          <w:tcPr>
            <w:tcW w:w="18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0C0C0"/>
          </w:tcPr>
          <w:p>
            <w:pPr>
              <w:jc w:val="right"/>
              <w:ind w:right="120"/>
              <w:spacing w:after="0" w:line="196" w:lineRule="exact"/>
              <w:rPr>
                <w:sz w:val="20"/>
                <w:szCs w:val="20"/>
                <w:color w:val="auto"/>
              </w:rPr>
            </w:pPr>
            <w:r>
              <w:rPr>
                <w:rFonts w:ascii="Arial" w:cs="Arial" w:eastAsia="Arial" w:hAnsi="Arial"/>
                <w:sz w:val="18"/>
                <w:szCs w:val="18"/>
                <w:b w:val="1"/>
                <w:bCs w:val="1"/>
                <w:color w:val="auto"/>
              </w:rPr>
              <w:t>(24)</w:t>
            </w:r>
          </w:p>
        </w:tc>
        <w:tc>
          <w:tcPr>
            <w:tcW w:w="360" w:type="dxa"/>
            <w:vAlign w:val="bottom"/>
            <w:gridSpan w:val="2"/>
            <w:shd w:val="clear" w:color="auto" w:fill="C0C0C0"/>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0C0C0"/>
          </w:tcPr>
          <w:p>
            <w:pPr>
              <w:jc w:val="right"/>
              <w:ind w:right="120"/>
              <w:spacing w:after="0" w:line="196" w:lineRule="exact"/>
              <w:rPr>
                <w:sz w:val="20"/>
                <w:szCs w:val="20"/>
                <w:color w:val="auto"/>
              </w:rPr>
            </w:pPr>
            <w:r>
              <w:rPr>
                <w:rFonts w:ascii="Arial" w:cs="Arial" w:eastAsia="Arial" w:hAnsi="Arial"/>
                <w:sz w:val="18"/>
                <w:szCs w:val="18"/>
                <w:color w:val="auto"/>
              </w:rPr>
              <w:t>(33)</w:t>
            </w:r>
          </w:p>
        </w:tc>
        <w:tc>
          <w:tcPr>
            <w:tcW w:w="320" w:type="dxa"/>
            <w:vAlign w:val="bottom"/>
            <w:gridSpan w:val="2"/>
            <w:shd w:val="clear" w:color="auto" w:fill="C0C0C0"/>
          </w:tcPr>
          <w:p>
            <w:pPr>
              <w:jc w:val="right"/>
              <w:ind w:right="40"/>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0C0C0"/>
          </w:tcPr>
          <w:p>
            <w:pPr>
              <w:jc w:val="right"/>
              <w:ind w:right="140"/>
              <w:spacing w:after="0" w:line="196" w:lineRule="exact"/>
              <w:rPr>
                <w:sz w:val="20"/>
                <w:szCs w:val="20"/>
                <w:color w:val="auto"/>
              </w:rPr>
            </w:pPr>
            <w:r>
              <w:rPr>
                <w:rFonts w:ascii="Arial" w:cs="Arial" w:eastAsia="Arial" w:hAnsi="Arial"/>
                <w:sz w:val="18"/>
                <w:szCs w:val="18"/>
                <w:b w:val="1"/>
                <w:bCs w:val="1"/>
                <w:color w:val="auto"/>
              </w:rPr>
              <w:t>(15)</w:t>
            </w:r>
          </w:p>
        </w:tc>
        <w:tc>
          <w:tcPr>
            <w:tcW w:w="360" w:type="dxa"/>
            <w:vAlign w:val="bottom"/>
            <w:gridSpan w:val="2"/>
            <w:shd w:val="clear" w:color="auto" w:fill="C0C0C0"/>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0C0C0"/>
          </w:tcPr>
          <w:p>
            <w:pPr>
              <w:jc w:val="right"/>
              <w:ind w:right="180"/>
              <w:spacing w:after="0" w:line="196" w:lineRule="exact"/>
              <w:rPr>
                <w:sz w:val="20"/>
                <w:szCs w:val="20"/>
                <w:color w:val="auto"/>
              </w:rPr>
            </w:pPr>
            <w:r>
              <w:rPr>
                <w:rFonts w:ascii="Arial" w:cs="Arial" w:eastAsia="Arial" w:hAnsi="Arial"/>
                <w:sz w:val="18"/>
                <w:szCs w:val="18"/>
                <w:color w:val="auto"/>
              </w:rPr>
              <w:t>(15)</w:t>
            </w:r>
          </w:p>
        </w:tc>
        <w:tc>
          <w:tcPr>
            <w:tcW w:w="1620" w:type="dxa"/>
            <w:vAlign w:val="bottom"/>
          </w:tcPr>
          <w:p>
            <w:pPr>
              <w:spacing w:after="0"/>
              <w:rPr>
                <w:sz w:val="20"/>
                <w:szCs w:val="20"/>
                <w:color w:val="auto"/>
              </w:rPr>
            </w:pPr>
          </w:p>
        </w:tc>
      </w:tr>
      <w:tr>
        <w:trPr>
          <w:trHeight w:val="173"/>
        </w:trPr>
        <w:tc>
          <w:tcPr>
            <w:tcW w:w="4180" w:type="dxa"/>
            <w:vAlign w:val="bottom"/>
            <w:tcBorders>
              <w:top w:val="single" w:sz="8" w:color="C0C0C0"/>
            </w:tcBorders>
            <w:gridSpan w:val="2"/>
          </w:tcPr>
          <w:p>
            <w:pPr>
              <w:ind w:left="20"/>
              <w:spacing w:after="0" w:line="173" w:lineRule="exact"/>
              <w:rPr>
                <w:sz w:val="20"/>
                <w:szCs w:val="20"/>
                <w:color w:val="auto"/>
              </w:rPr>
            </w:pPr>
            <w:r>
              <w:rPr>
                <w:rFonts w:ascii="Arial" w:cs="Arial" w:eastAsia="Arial" w:hAnsi="Arial"/>
                <w:sz w:val="18"/>
                <w:szCs w:val="18"/>
                <w:b w:val="1"/>
                <w:bCs w:val="1"/>
                <w:color w:val="auto"/>
              </w:rPr>
              <w:t>Amounts recognized in accumulated other</w:t>
            </w:r>
          </w:p>
        </w:tc>
        <w:tc>
          <w:tcPr>
            <w:tcW w:w="560" w:type="dxa"/>
            <w:vAlign w:val="bottom"/>
            <w:tcBorders>
              <w:top w:val="single" w:sz="8" w:color="C0C0C0"/>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80" w:type="dxa"/>
            <w:vAlign w:val="bottom"/>
            <w:tcBorders>
              <w:top w:val="single" w:sz="8" w:color="C0C0C0"/>
            </w:tcBorders>
          </w:tcPr>
          <w:p>
            <w:pPr>
              <w:spacing w:after="0"/>
              <w:rPr>
                <w:sz w:val="15"/>
                <w:szCs w:val="15"/>
                <w:color w:val="auto"/>
              </w:rPr>
            </w:pPr>
          </w:p>
        </w:tc>
        <w:tc>
          <w:tcPr>
            <w:tcW w:w="160" w:type="dxa"/>
            <w:vAlign w:val="bottom"/>
            <w:tcBorders>
              <w:top w:val="single" w:sz="8" w:color="C0C0C0"/>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80" w:type="dxa"/>
            <w:vAlign w:val="bottom"/>
            <w:tcBorders>
              <w:top w:val="single" w:sz="8" w:color="C0C0C0"/>
            </w:tcBorders>
          </w:tcPr>
          <w:p>
            <w:pPr>
              <w:spacing w:after="0"/>
              <w:rPr>
                <w:sz w:val="15"/>
                <w:szCs w:val="15"/>
                <w:color w:val="auto"/>
              </w:rPr>
            </w:pPr>
          </w:p>
        </w:tc>
        <w:tc>
          <w:tcPr>
            <w:tcW w:w="160" w:type="dxa"/>
            <w:vAlign w:val="bottom"/>
            <w:tcBorders>
              <w:top w:val="single" w:sz="8" w:color="C0C0C0"/>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00" w:type="dxa"/>
            <w:vAlign w:val="bottom"/>
            <w:tcBorders>
              <w:top w:val="single" w:sz="8" w:color="C0C0C0"/>
            </w:tcBorders>
          </w:tcPr>
          <w:p>
            <w:pPr>
              <w:spacing w:after="0"/>
              <w:rPr>
                <w:sz w:val="15"/>
                <w:szCs w:val="15"/>
                <w:color w:val="auto"/>
              </w:rPr>
            </w:pPr>
          </w:p>
        </w:tc>
        <w:tc>
          <w:tcPr>
            <w:tcW w:w="160" w:type="dxa"/>
            <w:vAlign w:val="bottom"/>
            <w:tcBorders>
              <w:top w:val="single" w:sz="8" w:color="C0C0C0"/>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40" w:type="dxa"/>
            <w:vAlign w:val="bottom"/>
            <w:tcBorders>
              <w:top w:val="single" w:sz="8" w:color="C0C0C0"/>
            </w:tcBorders>
          </w:tcPr>
          <w:p>
            <w:pPr>
              <w:spacing w:after="0"/>
              <w:rPr>
                <w:sz w:val="15"/>
                <w:szCs w:val="15"/>
                <w:color w:val="auto"/>
              </w:rPr>
            </w:pPr>
          </w:p>
        </w:tc>
        <w:tc>
          <w:tcPr>
            <w:tcW w:w="1620" w:type="dxa"/>
            <w:vAlign w:val="bottom"/>
          </w:tcPr>
          <w:p>
            <w:pPr>
              <w:spacing w:after="0"/>
              <w:rPr>
                <w:sz w:val="15"/>
                <w:szCs w:val="15"/>
                <w:color w:val="auto"/>
              </w:rPr>
            </w:pPr>
          </w:p>
        </w:tc>
      </w:tr>
      <w:tr>
        <w:trPr>
          <w:trHeight w:val="225"/>
        </w:trPr>
        <w:tc>
          <w:tcPr>
            <w:tcW w:w="4180" w:type="dxa"/>
            <w:vAlign w:val="bottom"/>
            <w:gridSpan w:val="2"/>
          </w:tcPr>
          <w:p>
            <w:pPr>
              <w:ind w:left="200"/>
              <w:spacing w:after="0"/>
              <w:rPr>
                <w:sz w:val="20"/>
                <w:szCs w:val="20"/>
                <w:color w:val="auto"/>
              </w:rPr>
            </w:pPr>
            <w:r>
              <w:rPr>
                <w:rFonts w:ascii="Arial" w:cs="Arial" w:eastAsia="Arial" w:hAnsi="Arial"/>
                <w:sz w:val="18"/>
                <w:szCs w:val="18"/>
                <w:b w:val="1"/>
                <w:bCs w:val="1"/>
                <w:color w:val="auto"/>
              </w:rPr>
              <w:t>comprehensive loss, pre-tax:</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03"/>
        </w:trPr>
        <w:tc>
          <w:tcPr>
            <w:tcW w:w="4180" w:type="dxa"/>
            <w:vAlign w:val="bottom"/>
            <w:gridSpan w:val="2"/>
            <w:shd w:val="clear" w:color="auto" w:fill="C0C0C0"/>
          </w:tcPr>
          <w:p>
            <w:pPr>
              <w:ind w:left="200"/>
              <w:spacing w:after="0" w:line="202" w:lineRule="exact"/>
              <w:rPr>
                <w:sz w:val="20"/>
                <w:szCs w:val="20"/>
                <w:color w:val="auto"/>
              </w:rPr>
            </w:pPr>
            <w:r>
              <w:rPr>
                <w:rFonts w:ascii="Arial" w:cs="Arial" w:eastAsia="Arial" w:hAnsi="Arial"/>
                <w:sz w:val="18"/>
                <w:szCs w:val="18"/>
                <w:color w:val="auto"/>
              </w:rPr>
              <w:t>Net loss (gain)</w:t>
            </w:r>
          </w:p>
        </w:tc>
        <w:tc>
          <w:tcPr>
            <w:tcW w:w="740" w:type="dxa"/>
            <w:vAlign w:val="bottom"/>
            <w:gridSpan w:val="2"/>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0C0C0"/>
          </w:tcPr>
          <w:p>
            <w:pPr>
              <w:jc w:val="right"/>
              <w:ind w:right="180"/>
              <w:spacing w:after="0" w:line="202" w:lineRule="exact"/>
              <w:rPr>
                <w:sz w:val="20"/>
                <w:szCs w:val="20"/>
                <w:color w:val="auto"/>
              </w:rPr>
            </w:pPr>
            <w:r>
              <w:rPr>
                <w:rFonts w:ascii="Arial" w:cs="Arial" w:eastAsia="Arial" w:hAnsi="Arial"/>
                <w:sz w:val="18"/>
                <w:szCs w:val="18"/>
                <w:b w:val="1"/>
                <w:bCs w:val="1"/>
                <w:color w:val="auto"/>
              </w:rPr>
              <w:t>399</w:t>
            </w:r>
          </w:p>
        </w:tc>
        <w:tc>
          <w:tcPr>
            <w:tcW w:w="360" w:type="dxa"/>
            <w:vAlign w:val="bottom"/>
            <w:gridSpan w:val="2"/>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0C0C0"/>
          </w:tcPr>
          <w:p>
            <w:pPr>
              <w:jc w:val="right"/>
              <w:ind w:right="180"/>
              <w:spacing w:after="0" w:line="202" w:lineRule="exact"/>
              <w:rPr>
                <w:sz w:val="20"/>
                <w:szCs w:val="20"/>
                <w:color w:val="auto"/>
              </w:rPr>
            </w:pPr>
            <w:r>
              <w:rPr>
                <w:rFonts w:ascii="Arial" w:cs="Arial" w:eastAsia="Arial" w:hAnsi="Arial"/>
                <w:sz w:val="18"/>
                <w:szCs w:val="18"/>
                <w:color w:val="auto"/>
              </w:rPr>
              <w:t>426</w:t>
            </w:r>
          </w:p>
        </w:tc>
        <w:tc>
          <w:tcPr>
            <w:tcW w:w="320" w:type="dxa"/>
            <w:vAlign w:val="bottom"/>
            <w:gridSpan w:val="2"/>
            <w:shd w:val="clear" w:color="auto" w:fill="C0C0C0"/>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0C0C0"/>
          </w:tcPr>
          <w:p>
            <w:pPr>
              <w:jc w:val="right"/>
              <w:ind w:right="140"/>
              <w:spacing w:after="0" w:line="202" w:lineRule="exact"/>
              <w:rPr>
                <w:sz w:val="20"/>
                <w:szCs w:val="20"/>
                <w:color w:val="auto"/>
              </w:rPr>
            </w:pPr>
            <w:r>
              <w:rPr>
                <w:rFonts w:ascii="Arial" w:cs="Arial" w:eastAsia="Arial" w:hAnsi="Arial"/>
                <w:sz w:val="18"/>
                <w:szCs w:val="18"/>
                <w:b w:val="1"/>
                <w:bCs w:val="1"/>
                <w:color w:val="auto"/>
              </w:rPr>
              <w:t>(13)</w:t>
            </w:r>
          </w:p>
        </w:tc>
        <w:tc>
          <w:tcPr>
            <w:tcW w:w="360" w:type="dxa"/>
            <w:vAlign w:val="bottom"/>
            <w:gridSpan w:val="2"/>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0C0C0"/>
          </w:tcPr>
          <w:p>
            <w:pPr>
              <w:jc w:val="right"/>
              <w:ind w:right="180"/>
              <w:spacing w:after="0" w:line="202" w:lineRule="exact"/>
              <w:rPr>
                <w:sz w:val="20"/>
                <w:szCs w:val="20"/>
                <w:color w:val="auto"/>
              </w:rPr>
            </w:pPr>
            <w:r>
              <w:rPr>
                <w:rFonts w:ascii="Arial" w:cs="Arial" w:eastAsia="Arial" w:hAnsi="Arial"/>
                <w:sz w:val="18"/>
                <w:szCs w:val="18"/>
                <w:color w:val="auto"/>
              </w:rPr>
              <w:t>(16)</w:t>
            </w:r>
          </w:p>
        </w:tc>
        <w:tc>
          <w:tcPr>
            <w:tcW w:w="1620" w:type="dxa"/>
            <w:vAlign w:val="bottom"/>
          </w:tcPr>
          <w:p>
            <w:pPr>
              <w:spacing w:after="0"/>
              <w:rPr>
                <w:sz w:val="17"/>
                <w:szCs w:val="17"/>
                <w:color w:val="auto"/>
              </w:rPr>
            </w:pPr>
          </w:p>
        </w:tc>
      </w:tr>
      <w:tr>
        <w:trPr>
          <w:trHeight w:val="203"/>
        </w:trPr>
        <w:tc>
          <w:tcPr>
            <w:tcW w:w="41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Prior service cost (credit)</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7"/>
        </w:trPr>
        <w:tc>
          <w:tcPr>
            <w:tcW w:w="800" w:type="dxa"/>
            <w:vAlign w:val="bottom"/>
            <w:shd w:val="clear" w:color="auto" w:fill="C0C0C0"/>
          </w:tcPr>
          <w:p>
            <w:pPr>
              <w:spacing w:after="0"/>
              <w:rPr>
                <w:sz w:val="18"/>
                <w:szCs w:val="18"/>
                <w:color w:val="auto"/>
              </w:rPr>
            </w:pPr>
          </w:p>
        </w:tc>
        <w:tc>
          <w:tcPr>
            <w:tcW w:w="3380" w:type="dxa"/>
            <w:vAlign w:val="bottom"/>
            <w:shd w:val="clear" w:color="auto" w:fill="C0C0C0"/>
          </w:tcPr>
          <w:p>
            <w:pPr>
              <w:spacing w:after="0"/>
              <w:rPr>
                <w:sz w:val="18"/>
                <w:szCs w:val="18"/>
                <w:color w:val="auto"/>
              </w:rPr>
            </w:pPr>
          </w:p>
        </w:tc>
        <w:tc>
          <w:tcPr>
            <w:tcW w:w="560" w:type="dxa"/>
            <w:vAlign w:val="bottom"/>
            <w:shd w:val="clear" w:color="auto" w:fill="C0C0C0"/>
          </w:tcPr>
          <w:p>
            <w:pPr>
              <w:spacing w:after="0"/>
              <w:rPr>
                <w:sz w:val="18"/>
                <w:szCs w:val="18"/>
                <w:color w:val="auto"/>
              </w:rPr>
            </w:pPr>
          </w:p>
        </w:tc>
        <w:tc>
          <w:tcPr>
            <w:tcW w:w="18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0C0C0"/>
          </w:tcPr>
          <w:p>
            <w:pPr>
              <w:jc w:val="right"/>
              <w:ind w:right="180"/>
              <w:spacing w:after="0" w:line="196" w:lineRule="exact"/>
              <w:rPr>
                <w:sz w:val="20"/>
                <w:szCs w:val="20"/>
                <w:color w:val="auto"/>
              </w:rPr>
            </w:pPr>
            <w:r>
              <w:rPr>
                <w:rFonts w:ascii="Arial" w:cs="Arial" w:eastAsia="Arial" w:hAnsi="Arial"/>
                <w:sz w:val="18"/>
                <w:szCs w:val="18"/>
                <w:b w:val="1"/>
                <w:bCs w:val="1"/>
                <w:color w:val="auto"/>
              </w:rPr>
              <w:t>400</w:t>
            </w:r>
          </w:p>
        </w:tc>
        <w:tc>
          <w:tcPr>
            <w:tcW w:w="360" w:type="dxa"/>
            <w:vAlign w:val="bottom"/>
            <w:gridSpan w:val="2"/>
            <w:shd w:val="clear" w:color="auto" w:fill="C0C0C0"/>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0C0C0"/>
          </w:tcPr>
          <w:p>
            <w:pPr>
              <w:jc w:val="right"/>
              <w:ind w:right="180"/>
              <w:spacing w:after="0" w:line="196" w:lineRule="exact"/>
              <w:rPr>
                <w:sz w:val="20"/>
                <w:szCs w:val="20"/>
                <w:color w:val="auto"/>
              </w:rPr>
            </w:pPr>
            <w:r>
              <w:rPr>
                <w:rFonts w:ascii="Arial" w:cs="Arial" w:eastAsia="Arial" w:hAnsi="Arial"/>
                <w:sz w:val="18"/>
                <w:szCs w:val="18"/>
                <w:color w:val="auto"/>
              </w:rPr>
              <w:t>427</w:t>
            </w:r>
          </w:p>
        </w:tc>
        <w:tc>
          <w:tcPr>
            <w:tcW w:w="320" w:type="dxa"/>
            <w:vAlign w:val="bottom"/>
            <w:gridSpan w:val="2"/>
            <w:shd w:val="clear" w:color="auto" w:fill="C0C0C0"/>
          </w:tcPr>
          <w:p>
            <w:pPr>
              <w:jc w:val="right"/>
              <w:ind w:right="40"/>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0C0C0"/>
          </w:tcPr>
          <w:p>
            <w:pPr>
              <w:jc w:val="right"/>
              <w:ind w:right="140"/>
              <w:spacing w:after="0" w:line="196" w:lineRule="exact"/>
              <w:rPr>
                <w:sz w:val="20"/>
                <w:szCs w:val="20"/>
                <w:color w:val="auto"/>
              </w:rPr>
            </w:pPr>
            <w:r>
              <w:rPr>
                <w:rFonts w:ascii="Arial" w:cs="Arial" w:eastAsia="Arial" w:hAnsi="Arial"/>
                <w:sz w:val="18"/>
                <w:szCs w:val="18"/>
                <w:b w:val="1"/>
                <w:bCs w:val="1"/>
                <w:color w:val="auto"/>
              </w:rPr>
              <w:t>(13)</w:t>
            </w:r>
          </w:p>
        </w:tc>
        <w:tc>
          <w:tcPr>
            <w:tcW w:w="360" w:type="dxa"/>
            <w:vAlign w:val="bottom"/>
            <w:gridSpan w:val="2"/>
            <w:shd w:val="clear" w:color="auto" w:fill="C0C0C0"/>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0C0C0"/>
          </w:tcPr>
          <w:p>
            <w:pPr>
              <w:jc w:val="right"/>
              <w:ind w:right="180"/>
              <w:spacing w:after="0" w:line="196" w:lineRule="exact"/>
              <w:rPr>
                <w:sz w:val="20"/>
                <w:szCs w:val="20"/>
                <w:color w:val="auto"/>
              </w:rPr>
            </w:pPr>
            <w:r>
              <w:rPr>
                <w:rFonts w:ascii="Arial" w:cs="Arial" w:eastAsia="Arial" w:hAnsi="Arial"/>
                <w:sz w:val="18"/>
                <w:szCs w:val="18"/>
                <w:color w:val="auto"/>
              </w:rPr>
              <w:t>(16)</w:t>
            </w:r>
          </w:p>
        </w:tc>
        <w:tc>
          <w:tcPr>
            <w:tcW w:w="1620" w:type="dxa"/>
            <w:vAlign w:val="bottom"/>
          </w:tcPr>
          <w:p>
            <w:pPr>
              <w:spacing w:after="0"/>
              <w:rPr>
                <w:sz w:val="18"/>
                <w:szCs w:val="18"/>
                <w:color w:val="auto"/>
              </w:rPr>
            </w:pPr>
          </w:p>
        </w:tc>
      </w:tr>
      <w:tr>
        <w:trPr>
          <w:trHeight w:val="20"/>
        </w:trPr>
        <w:tc>
          <w:tcPr>
            <w:tcW w:w="800" w:type="dxa"/>
            <w:vAlign w:val="bottom"/>
            <w:tcBorders>
              <w:top w:val="single" w:sz="8" w:color="C0C0C0"/>
            </w:tcBorders>
            <w:shd w:val="clear" w:color="auto" w:fill="C0C0C0"/>
          </w:tcPr>
          <w:p>
            <w:pPr>
              <w:spacing w:after="0" w:line="20" w:lineRule="exact"/>
              <w:rPr>
                <w:sz w:val="1"/>
                <w:szCs w:val="1"/>
                <w:color w:val="auto"/>
              </w:rPr>
            </w:pPr>
          </w:p>
        </w:tc>
        <w:tc>
          <w:tcPr>
            <w:tcW w:w="3380" w:type="dxa"/>
            <w:vAlign w:val="bottom"/>
            <w:tcBorders>
              <w:top w:val="single" w:sz="8" w:color="C0C0C0"/>
            </w:tcBorders>
            <w:shd w:val="clear" w:color="auto" w:fill="C0C0C0"/>
          </w:tcPr>
          <w:p>
            <w:pPr>
              <w:spacing w:after="0" w:line="20" w:lineRule="exact"/>
              <w:rPr>
                <w:sz w:val="1"/>
                <w:szCs w:val="1"/>
                <w:color w:val="auto"/>
              </w:rPr>
            </w:pPr>
          </w:p>
        </w:tc>
        <w:tc>
          <w:tcPr>
            <w:tcW w:w="560" w:type="dxa"/>
            <w:vAlign w:val="bottom"/>
            <w:tcBorders>
              <w:top w:val="single" w:sz="8" w:color="C0C0C0"/>
            </w:tcBorders>
            <w:shd w:val="clear" w:color="auto" w:fill="C0C0C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0C0C0"/>
            </w:tcBorders>
            <w:shd w:val="clear" w:color="auto" w:fill="C0C0C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777"/>
        </w:trPr>
        <w:tc>
          <w:tcPr>
            <w:tcW w:w="8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740" w:type="dxa"/>
            <w:vAlign w:val="bottom"/>
            <w:gridSpan w:val="2"/>
          </w:tcPr>
          <w:p>
            <w:pPr>
              <w:jc w:val="right"/>
              <w:ind w:right="70"/>
              <w:spacing w:after="0"/>
              <w:rPr>
                <w:sz w:val="20"/>
                <w:szCs w:val="20"/>
                <w:color w:val="auto"/>
              </w:rPr>
            </w:pPr>
            <w:r>
              <w:rPr>
                <w:rFonts w:ascii="Arial" w:cs="Arial" w:eastAsia="Arial" w:hAnsi="Arial"/>
                <w:sz w:val="18"/>
                <w:szCs w:val="18"/>
                <w:color w:val="auto"/>
              </w:rPr>
              <w:t>60</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2"/>
        </w:trPr>
        <w:tc>
          <w:tcPr>
            <w:tcW w:w="800" w:type="dxa"/>
            <w:vAlign w:val="bottom"/>
          </w:tcPr>
          <w:p>
            <w:pPr>
              <w:spacing w:after="0"/>
              <w:rPr>
                <w:sz w:val="14"/>
                <w:szCs w:val="14"/>
                <w:color w:val="auto"/>
              </w:rPr>
            </w:pPr>
          </w:p>
        </w:tc>
        <w:tc>
          <w:tcPr>
            <w:tcW w:w="338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r>
      <w:tr>
        <w:trPr>
          <w:trHeight w:val="21"/>
        </w:trPr>
        <w:tc>
          <w:tcPr>
            <w:tcW w:w="800" w:type="dxa"/>
            <w:vAlign w:val="bottom"/>
          </w:tcPr>
          <w:p>
            <w:pPr>
              <w:spacing w:after="0" w:line="20" w:lineRule="exact"/>
              <w:rPr>
                <w:sz w:val="1"/>
                <w:szCs w:val="1"/>
                <w:color w:val="auto"/>
              </w:rPr>
            </w:pPr>
          </w:p>
        </w:tc>
        <w:tc>
          <w:tcPr>
            <w:tcW w:w="338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6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-3197860</wp:posOffset>
            </wp:positionV>
            <wp:extent cx="5565775" cy="1460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56577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-2143125</wp:posOffset>
            </wp:positionV>
            <wp:extent cx="5565775" cy="1371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56577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-1354455</wp:posOffset>
            </wp:positionV>
            <wp:extent cx="5565775" cy="2914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565775" cy="2914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-668020</wp:posOffset>
            </wp:positionV>
            <wp:extent cx="5565775" cy="342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565775" cy="342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802" w:right="1139" w:bottom="1440" w:gutter="0" w:footer="0" w:header="0"/>
        </w:sectPr>
      </w:pPr>
    </w:p>
    <w:bookmarkStart w:id="62" w:name="page63"/>
    <w:bookmarkEnd w:id="62"/>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21. Retirement Plans and Other Benefits – (continued)</w:t>
      </w:r>
    </w:p>
    <w:p>
      <w:pPr>
        <w:spacing w:after="0" w:line="139" w:lineRule="exact"/>
        <w:rPr>
          <w:sz w:val="20"/>
          <w:szCs w:val="20"/>
          <w:color w:val="auto"/>
        </w:rPr>
      </w:pPr>
    </w:p>
    <w:p>
      <w:pPr>
        <w:ind w:left="60" w:right="539"/>
        <w:spacing w:after="0" w:line="262" w:lineRule="auto"/>
        <w:rPr>
          <w:sz w:val="20"/>
          <w:szCs w:val="20"/>
          <w:color w:val="auto"/>
        </w:rPr>
      </w:pPr>
      <w:r>
        <w:rPr>
          <w:rFonts w:ascii="Arial" w:cs="Arial" w:eastAsia="Arial" w:hAnsi="Arial"/>
          <w:sz w:val="18"/>
          <w:szCs w:val="18"/>
          <w:color w:val="auto"/>
        </w:rPr>
        <w:t>As of February 1, 2014 and February 2, 2013, the Canadian qualified pension plan’s assets exceeded its accumulated benefit obligation.</w:t>
      </w:r>
    </w:p>
    <w:p>
      <w:pPr>
        <w:spacing w:after="0" w:line="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Information for pension plans with an accumulated benefit obligation in excess of plan assets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56577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6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auto"/>
            </w:tcBorders>
          </w:tcPr>
          <w:p>
            <w:pPr>
              <w:spacing w:after="0"/>
              <w:rPr>
                <w:sz w:val="15"/>
                <w:szCs w:val="15"/>
                <w:color w:val="auto"/>
              </w:rPr>
            </w:pPr>
          </w:p>
        </w:tc>
      </w:tr>
      <w:tr>
        <w:trPr>
          <w:trHeight w:val="173"/>
        </w:trPr>
        <w:tc>
          <w:tcPr>
            <w:tcW w:w="6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(in millions)</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Projected benefit obligation</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603</w:t>
            </w:r>
          </w:p>
        </w:tc>
        <w:tc>
          <w:tcPr>
            <w:tcW w:w="120" w:type="dxa"/>
            <w:vAlign w:val="bottom"/>
          </w:tcPr>
          <w:p>
            <w:pPr>
              <w:spacing w:after="0"/>
              <w:rPr>
                <w:sz w:val="19"/>
                <w:szCs w:val="19"/>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625</w:t>
            </w:r>
          </w:p>
        </w:tc>
      </w:tr>
      <w:tr>
        <w:trPr>
          <w:trHeight w:val="203"/>
        </w:trPr>
        <w:tc>
          <w:tcPr>
            <w:tcW w:w="63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Accumulated benefit obligation</w:t>
            </w:r>
          </w:p>
        </w:tc>
        <w:tc>
          <w:tcPr>
            <w:tcW w:w="240" w:type="dxa"/>
            <w:vAlign w:val="bottom"/>
            <w:shd w:val="clear" w:color="auto" w:fill="C0C0C0"/>
          </w:tcPr>
          <w:p>
            <w:pPr>
              <w:spacing w:after="0"/>
              <w:rPr>
                <w:sz w:val="17"/>
                <w:szCs w:val="17"/>
                <w:color w:val="auto"/>
              </w:rPr>
            </w:pPr>
          </w:p>
        </w:tc>
        <w:tc>
          <w:tcPr>
            <w:tcW w:w="72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rPr>
              <w:t>603</w:t>
            </w:r>
          </w:p>
        </w:tc>
        <w:tc>
          <w:tcPr>
            <w:tcW w:w="1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400" w:type="dxa"/>
            <w:vAlign w:val="bottom"/>
            <w:shd w:val="clear" w:color="auto" w:fill="C0C0C0"/>
          </w:tcPr>
          <w:p>
            <w:pPr>
              <w:spacing w:after="0"/>
              <w:rPr>
                <w:sz w:val="17"/>
                <w:szCs w:val="17"/>
                <w:color w:val="auto"/>
              </w:rPr>
            </w:pPr>
          </w:p>
        </w:tc>
        <w:tc>
          <w:tcPr>
            <w:tcW w:w="780" w:type="dxa"/>
            <w:vAlign w:val="bottom"/>
            <w:gridSpan w:val="2"/>
            <w:shd w:val="clear" w:color="auto" w:fill="C0C0C0"/>
          </w:tcPr>
          <w:p>
            <w:pPr>
              <w:jc w:val="right"/>
              <w:ind w:right="160"/>
              <w:spacing w:after="0" w:line="202" w:lineRule="exact"/>
              <w:rPr>
                <w:sz w:val="20"/>
                <w:szCs w:val="20"/>
                <w:color w:val="auto"/>
              </w:rPr>
            </w:pPr>
            <w:r>
              <w:rPr>
                <w:rFonts w:ascii="Arial" w:cs="Arial" w:eastAsia="Arial" w:hAnsi="Arial"/>
                <w:sz w:val="18"/>
                <w:szCs w:val="18"/>
                <w:color w:val="auto"/>
              </w:rPr>
              <w:t>625</w:t>
            </w:r>
          </w:p>
        </w:tc>
      </w:tr>
      <w:tr>
        <w:trPr>
          <w:trHeight w:val="203"/>
        </w:trPr>
        <w:tc>
          <w:tcPr>
            <w:tcW w:w="6360" w:type="dxa"/>
            <w:vAlign w:val="bottom"/>
          </w:tcPr>
          <w:p>
            <w:pPr>
              <w:ind w:left="20"/>
              <w:spacing w:after="0" w:line="202" w:lineRule="exact"/>
              <w:rPr>
                <w:sz w:val="20"/>
                <w:szCs w:val="20"/>
                <w:color w:val="auto"/>
              </w:rPr>
            </w:pPr>
            <w:r>
              <w:rPr>
                <w:rFonts w:ascii="Arial" w:cs="Arial" w:eastAsia="Arial" w:hAnsi="Arial"/>
                <w:sz w:val="18"/>
                <w:szCs w:val="18"/>
                <w:color w:val="auto"/>
              </w:rPr>
              <w:t>Fair value of plan assets</w:t>
            </w:r>
          </w:p>
        </w:tc>
        <w:tc>
          <w:tcPr>
            <w:tcW w:w="2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575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585</w:t>
            </w:r>
          </w:p>
        </w:tc>
      </w:tr>
      <w:tr>
        <w:trPr>
          <w:trHeight w:val="21"/>
        </w:trPr>
        <w:tc>
          <w:tcPr>
            <w:tcW w:w="6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tables set forth the changes in accumulated other comprehensive loss (pre-tax) at February 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48005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48005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6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Pension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Postretirement</w:t>
            </w:r>
          </w:p>
        </w:tc>
      </w:tr>
      <w:tr>
        <w:trPr>
          <w:trHeight w:val="175"/>
        </w:trPr>
        <w:tc>
          <w:tcPr>
            <w:tcW w:w="6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b w:val="1"/>
                <w:bCs w:val="1"/>
                <w:color w:val="auto"/>
              </w:rPr>
              <w:t>Benefits</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Benefits</w:t>
            </w:r>
          </w:p>
        </w:tc>
      </w:tr>
      <w:tr>
        <w:trPr>
          <w:trHeight w:val="195"/>
        </w:trPr>
        <w:tc>
          <w:tcPr>
            <w:tcW w:w="6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00" w:type="dxa"/>
            <w:vAlign w:val="bottom"/>
            <w:gridSpan w:val="5"/>
          </w:tcPr>
          <w:p>
            <w:pPr>
              <w:jc w:val="center"/>
              <w:ind w:right="860"/>
              <w:spacing w:after="0"/>
              <w:rPr>
                <w:sz w:val="20"/>
                <w:szCs w:val="20"/>
                <w:color w:val="auto"/>
              </w:rPr>
            </w:pPr>
            <w:r>
              <w:rPr>
                <w:rFonts w:ascii="Arial" w:cs="Arial" w:eastAsia="Arial" w:hAnsi="Arial"/>
                <w:sz w:val="14"/>
                <w:szCs w:val="14"/>
                <w:b w:val="1"/>
                <w:bCs w:val="1"/>
                <w:color w:val="auto"/>
              </w:rPr>
              <w:t>(in millions)</w:t>
            </w:r>
          </w:p>
        </w:tc>
      </w:tr>
      <w:tr>
        <w:trPr>
          <w:trHeight w:val="203"/>
        </w:trPr>
        <w:tc>
          <w:tcPr>
            <w:tcW w:w="6220" w:type="dxa"/>
            <w:vAlign w:val="bottom"/>
          </w:tcPr>
          <w:p>
            <w:pPr>
              <w:ind w:left="20"/>
              <w:spacing w:after="0" w:line="203" w:lineRule="exact"/>
              <w:rPr>
                <w:sz w:val="20"/>
                <w:szCs w:val="20"/>
                <w:color w:val="auto"/>
              </w:rPr>
            </w:pPr>
            <w:r>
              <w:rPr>
                <w:rFonts w:ascii="Arial" w:cs="Arial" w:eastAsia="Arial" w:hAnsi="Arial"/>
                <w:sz w:val="18"/>
                <w:szCs w:val="18"/>
                <w:color w:val="auto"/>
              </w:rPr>
              <w:t>Net actuarial loss (gain) at beginning of year</w:t>
            </w: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426</w:t>
            </w:r>
          </w:p>
        </w:tc>
        <w:tc>
          <w:tcPr>
            <w:tcW w:w="220" w:type="dxa"/>
            <w:vAlign w:val="bottom"/>
          </w:tcPr>
          <w:p>
            <w:pPr>
              <w:spacing w:after="0"/>
              <w:rPr>
                <w:sz w:val="17"/>
                <w:szCs w:val="17"/>
                <w:color w:val="auto"/>
              </w:rPr>
            </w:pPr>
          </w:p>
        </w:tc>
        <w:tc>
          <w:tcPr>
            <w:tcW w:w="300" w:type="dxa"/>
            <w:vAlign w:val="bottom"/>
            <w:gridSpan w:val="2"/>
          </w:tcPr>
          <w:p>
            <w:pPr>
              <w:jc w:val="center"/>
              <w:ind w:left="30"/>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(16)</w:t>
            </w:r>
          </w:p>
        </w:tc>
      </w:tr>
      <w:tr>
        <w:trPr>
          <w:trHeight w:val="203"/>
        </w:trPr>
        <w:tc>
          <w:tcPr>
            <w:tcW w:w="622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Amortization of net (loss) gain</w:t>
            </w:r>
          </w:p>
        </w:tc>
        <w:tc>
          <w:tcPr>
            <w:tcW w:w="180" w:type="dxa"/>
            <w:vAlign w:val="bottom"/>
            <w:shd w:val="clear" w:color="auto" w:fill="C0C0C0"/>
          </w:tcPr>
          <w:p>
            <w:pPr>
              <w:spacing w:after="0"/>
              <w:rPr>
                <w:sz w:val="17"/>
                <w:szCs w:val="17"/>
                <w:color w:val="auto"/>
              </w:rPr>
            </w:pPr>
          </w:p>
        </w:tc>
        <w:tc>
          <w:tcPr>
            <w:tcW w:w="900" w:type="dxa"/>
            <w:vAlign w:val="bottom"/>
            <w:gridSpan w:val="2"/>
            <w:shd w:val="clear" w:color="auto" w:fill="C0C0C0"/>
          </w:tcPr>
          <w:p>
            <w:pPr>
              <w:jc w:val="right"/>
              <w:ind w:right="88"/>
              <w:spacing w:after="0" w:line="202" w:lineRule="exact"/>
              <w:rPr>
                <w:sz w:val="20"/>
                <w:szCs w:val="20"/>
                <w:color w:val="auto"/>
              </w:rPr>
            </w:pPr>
            <w:r>
              <w:rPr>
                <w:rFonts w:ascii="Arial" w:cs="Arial" w:eastAsia="Arial" w:hAnsi="Arial"/>
                <w:sz w:val="18"/>
                <w:szCs w:val="18"/>
                <w:color w:val="auto"/>
              </w:rPr>
              <w:t>(17)</w:t>
            </w:r>
          </w:p>
        </w:tc>
        <w:tc>
          <w:tcPr>
            <w:tcW w:w="16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1180" w:type="dxa"/>
            <w:vAlign w:val="bottom"/>
            <w:gridSpan w:val="2"/>
            <w:shd w:val="clear" w:color="auto" w:fill="C0C0C0"/>
          </w:tcPr>
          <w:p>
            <w:pPr>
              <w:jc w:val="right"/>
              <w:ind w:right="400"/>
              <w:spacing w:after="0" w:line="202" w:lineRule="exact"/>
              <w:rPr>
                <w:sz w:val="20"/>
                <w:szCs w:val="20"/>
                <w:color w:val="auto"/>
              </w:rPr>
            </w:pPr>
            <w:r>
              <w:rPr>
                <w:rFonts w:ascii="Arial" w:cs="Arial" w:eastAsia="Arial" w:hAnsi="Arial"/>
                <w:sz w:val="18"/>
                <w:szCs w:val="18"/>
                <w:color w:val="auto"/>
              </w:rPr>
              <w:t>3</w:t>
            </w:r>
          </w:p>
        </w:tc>
      </w:tr>
      <w:tr>
        <w:trPr>
          <w:trHeight w:val="203"/>
        </w:trPr>
        <w:tc>
          <w:tcPr>
            <w:tcW w:w="6220" w:type="dxa"/>
            <w:vAlign w:val="bottom"/>
          </w:tcPr>
          <w:p>
            <w:pPr>
              <w:ind w:left="20"/>
              <w:spacing w:after="0" w:line="202" w:lineRule="exact"/>
              <w:rPr>
                <w:sz w:val="20"/>
                <w:szCs w:val="20"/>
                <w:color w:val="auto"/>
              </w:rPr>
            </w:pPr>
            <w:r>
              <w:rPr>
                <w:rFonts w:ascii="Arial" w:cs="Arial" w:eastAsia="Arial" w:hAnsi="Arial"/>
                <w:sz w:val="18"/>
                <w:szCs w:val="18"/>
                <w:color w:val="auto"/>
              </w:rPr>
              <w:t>(Gain) loss arising during the year</w:t>
            </w:r>
          </w:p>
        </w:tc>
        <w:tc>
          <w:tcPr>
            <w:tcW w:w="180" w:type="dxa"/>
            <w:vAlign w:val="bottom"/>
          </w:tcPr>
          <w:p>
            <w:pPr>
              <w:spacing w:after="0"/>
              <w:rPr>
                <w:sz w:val="17"/>
                <w:szCs w:val="17"/>
                <w:color w:val="auto"/>
              </w:rPr>
            </w:pPr>
          </w:p>
        </w:tc>
        <w:tc>
          <w:tcPr>
            <w:tcW w:w="90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r>
      <w:tr>
        <w:trPr>
          <w:trHeight w:val="203"/>
        </w:trPr>
        <w:tc>
          <w:tcPr>
            <w:tcW w:w="622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Foreign currency fluctuations</w:t>
            </w:r>
          </w:p>
        </w:tc>
        <w:tc>
          <w:tcPr>
            <w:tcW w:w="180" w:type="dxa"/>
            <w:vAlign w:val="bottom"/>
            <w:shd w:val="clear" w:color="auto" w:fill="C0C0C0"/>
          </w:tcPr>
          <w:p>
            <w:pPr>
              <w:spacing w:after="0"/>
              <w:rPr>
                <w:sz w:val="17"/>
                <w:szCs w:val="17"/>
                <w:color w:val="auto"/>
              </w:rPr>
            </w:pPr>
          </w:p>
        </w:tc>
        <w:tc>
          <w:tcPr>
            <w:tcW w:w="900" w:type="dxa"/>
            <w:vAlign w:val="bottom"/>
            <w:gridSpan w:val="2"/>
            <w:shd w:val="clear" w:color="auto" w:fill="C0C0C0"/>
          </w:tcPr>
          <w:p>
            <w:pPr>
              <w:jc w:val="right"/>
              <w:ind w:right="88"/>
              <w:spacing w:after="0" w:line="202" w:lineRule="exact"/>
              <w:rPr>
                <w:sz w:val="20"/>
                <w:szCs w:val="20"/>
                <w:color w:val="auto"/>
              </w:rPr>
            </w:pPr>
            <w:r>
              <w:rPr>
                <w:rFonts w:ascii="Arial" w:cs="Arial" w:eastAsia="Arial" w:hAnsi="Arial"/>
                <w:sz w:val="18"/>
                <w:szCs w:val="18"/>
                <w:color w:val="auto"/>
              </w:rPr>
              <w:t>(5)</w:t>
            </w:r>
          </w:p>
        </w:tc>
        <w:tc>
          <w:tcPr>
            <w:tcW w:w="16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1180" w:type="dxa"/>
            <w:vAlign w:val="bottom"/>
            <w:gridSpan w:val="2"/>
            <w:shd w:val="clear" w:color="auto" w:fill="C0C0C0"/>
          </w:tcPr>
          <w:p>
            <w:pPr>
              <w:jc w:val="right"/>
              <w:ind w:right="400"/>
              <w:spacing w:after="0" w:line="202" w:lineRule="exact"/>
              <w:rPr>
                <w:sz w:val="20"/>
                <w:szCs w:val="20"/>
                <w:color w:val="auto"/>
              </w:rPr>
            </w:pPr>
            <w:r>
              <w:rPr>
                <w:rFonts w:ascii="Arial" w:cs="Arial" w:eastAsia="Arial" w:hAnsi="Arial"/>
                <w:sz w:val="18"/>
                <w:szCs w:val="18"/>
                <w:color w:val="auto"/>
              </w:rPr>
              <w:t>—</w:t>
            </w:r>
          </w:p>
        </w:tc>
      </w:tr>
      <w:tr>
        <w:trPr>
          <w:trHeight w:val="20"/>
        </w:trPr>
        <w:tc>
          <w:tcPr>
            <w:tcW w:w="622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C0C0C0"/>
          </w:tcPr>
          <w:p>
            <w:pPr>
              <w:spacing w:after="0" w:line="20" w:lineRule="exact"/>
              <w:rPr>
                <w:sz w:val="1"/>
                <w:szCs w:val="1"/>
                <w:color w:val="auto"/>
              </w:rPr>
            </w:pPr>
          </w:p>
        </w:tc>
      </w:tr>
      <w:tr>
        <w:trPr>
          <w:trHeight w:val="237"/>
        </w:trPr>
        <w:tc>
          <w:tcPr>
            <w:tcW w:w="6220" w:type="dxa"/>
            <w:vAlign w:val="bottom"/>
          </w:tcPr>
          <w:p>
            <w:pPr>
              <w:ind w:left="20"/>
              <w:spacing w:after="0" w:line="236" w:lineRule="exact"/>
              <w:rPr>
                <w:sz w:val="20"/>
                <w:szCs w:val="20"/>
                <w:color w:val="auto"/>
              </w:rPr>
            </w:pPr>
            <w:r>
              <w:rPr>
                <w:rFonts w:ascii="Arial" w:cs="Arial" w:eastAsia="Arial" w:hAnsi="Arial"/>
                <w:sz w:val="17"/>
                <w:szCs w:val="17"/>
                <w:color w:val="auto"/>
              </w:rPr>
              <w:t>Net actuarial loss (gain) at end of year</w:t>
            </w:r>
            <w:r>
              <w:rPr>
                <w:rFonts w:ascii="Arial" w:cs="Arial" w:eastAsia="Arial" w:hAnsi="Arial"/>
                <w:sz w:val="27"/>
                <w:szCs w:val="27"/>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399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(13)</w:t>
            </w:r>
          </w:p>
        </w:tc>
      </w:tr>
      <w:tr>
        <w:trPr>
          <w:trHeight w:val="243"/>
        </w:trPr>
        <w:tc>
          <w:tcPr>
            <w:tcW w:w="6220" w:type="dxa"/>
            <w:vAlign w:val="bottom"/>
            <w:shd w:val="clear" w:color="auto" w:fill="C0C0C0"/>
          </w:tcPr>
          <w:p>
            <w:pPr>
              <w:ind w:left="20"/>
              <w:spacing w:after="0" w:line="243" w:lineRule="exact"/>
              <w:rPr>
                <w:sz w:val="20"/>
                <w:szCs w:val="20"/>
                <w:color w:val="auto"/>
              </w:rPr>
            </w:pPr>
            <w:r>
              <w:rPr>
                <w:rFonts w:ascii="Arial" w:cs="Arial" w:eastAsia="Arial" w:hAnsi="Arial"/>
                <w:sz w:val="17"/>
                <w:szCs w:val="17"/>
                <w:color w:val="auto"/>
              </w:rPr>
              <w:t>Net prior service cost at end of year</w:t>
            </w:r>
            <w:r>
              <w:rPr>
                <w:rFonts w:ascii="Arial" w:cs="Arial" w:eastAsia="Arial" w:hAnsi="Arial"/>
                <w:sz w:val="28"/>
                <w:szCs w:val="28"/>
                <w:color w:val="auto"/>
                <w:vertAlign w:val="superscript"/>
              </w:rPr>
              <w:t>(1)</w:t>
            </w:r>
          </w:p>
        </w:tc>
        <w:tc>
          <w:tcPr>
            <w:tcW w:w="18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180" w:type="dxa"/>
            <w:vAlign w:val="bottom"/>
            <w:gridSpan w:val="2"/>
            <w:shd w:val="clear" w:color="auto" w:fill="C0C0C0"/>
          </w:tcPr>
          <w:p>
            <w:pPr>
              <w:jc w:val="right"/>
              <w:ind w:right="400"/>
              <w:spacing w:after="0"/>
              <w:rPr>
                <w:sz w:val="20"/>
                <w:szCs w:val="20"/>
                <w:color w:val="auto"/>
              </w:rPr>
            </w:pPr>
            <w:r>
              <w:rPr>
                <w:rFonts w:ascii="Arial" w:cs="Arial" w:eastAsia="Arial" w:hAnsi="Arial"/>
                <w:sz w:val="18"/>
                <w:szCs w:val="18"/>
                <w:color w:val="auto"/>
              </w:rPr>
              <w:t>—</w:t>
            </w:r>
          </w:p>
        </w:tc>
      </w:tr>
      <w:tr>
        <w:trPr>
          <w:trHeight w:val="20"/>
        </w:trPr>
        <w:tc>
          <w:tcPr>
            <w:tcW w:w="622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C0C0C0"/>
          </w:tcPr>
          <w:p>
            <w:pPr>
              <w:spacing w:after="0" w:line="20" w:lineRule="exact"/>
              <w:rPr>
                <w:sz w:val="1"/>
                <w:szCs w:val="1"/>
                <w:color w:val="auto"/>
              </w:rPr>
            </w:pPr>
          </w:p>
        </w:tc>
      </w:tr>
      <w:tr>
        <w:trPr>
          <w:trHeight w:val="196"/>
        </w:trPr>
        <w:tc>
          <w:tcPr>
            <w:tcW w:w="6220" w:type="dxa"/>
            <w:vAlign w:val="bottom"/>
          </w:tcPr>
          <w:p>
            <w:pPr>
              <w:ind w:left="20"/>
              <w:spacing w:after="0" w:line="196" w:lineRule="exact"/>
              <w:rPr>
                <w:sz w:val="20"/>
                <w:szCs w:val="20"/>
                <w:color w:val="auto"/>
              </w:rPr>
            </w:pPr>
            <w:r>
              <w:rPr>
                <w:rFonts w:ascii="Arial" w:cs="Arial" w:eastAsia="Arial" w:hAnsi="Arial"/>
                <w:sz w:val="18"/>
                <w:szCs w:val="18"/>
                <w:color w:val="auto"/>
              </w:rPr>
              <w:t>Total amount recognized</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400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jc w:val="center"/>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(13)</w:t>
            </w:r>
          </w:p>
        </w:tc>
      </w:tr>
      <w:tr>
        <w:trPr>
          <w:trHeight w:val="21"/>
        </w:trPr>
        <w:tc>
          <w:tcPr>
            <w:tcW w:w="6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-488315</wp:posOffset>
            </wp:positionV>
            <wp:extent cx="5565775" cy="1631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565775"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-170815</wp:posOffset>
            </wp:positionV>
            <wp:extent cx="5565775" cy="1714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565775" cy="171450"/>
                    </a:xfrm>
                    <a:prstGeom prst="rect">
                      <a:avLst/>
                    </a:prstGeom>
                    <a:noFill/>
                  </pic:spPr>
                </pic:pic>
              </a:graphicData>
            </a:graphic>
          </wp:anchor>
        </w:drawing>
      </w:r>
    </w:p>
    <w:p>
      <w:pPr>
        <w:spacing w:after="0" w:line="93" w:lineRule="exact"/>
        <w:rPr>
          <w:sz w:val="20"/>
          <w:szCs w:val="20"/>
          <w:color w:val="auto"/>
        </w:rPr>
      </w:pPr>
    </w:p>
    <w:p>
      <w:pPr>
        <w:jc w:val="both"/>
        <w:ind w:left="300" w:right="519" w:hanging="272"/>
        <w:spacing w:after="0" w:line="270" w:lineRule="auto"/>
        <w:tabs>
          <w:tab w:leader="none" w:pos="3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net prior service cost did not change during the year. The amounts in accumulated other comprehensive loss that are expected to be recognized as components of net periodic benefit cost (income) during the next year are approximately $16 million and $(3) million related to the pension and postretirement plans, respectively.</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weighted-average assumptions were used to determine the benefit obligations under the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54863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54863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3840" w:type="dxa"/>
            <w:vAlign w:val="bottom"/>
          </w:tcPr>
          <w:p>
            <w:pPr>
              <w:spacing w:after="0"/>
              <w:rPr>
                <w:sz w:val="15"/>
                <w:szCs w:val="15"/>
                <w:color w:val="auto"/>
              </w:rPr>
            </w:pPr>
          </w:p>
        </w:tc>
        <w:tc>
          <w:tcPr>
            <w:tcW w:w="232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4"/>
                <w:szCs w:val="14"/>
                <w:b w:val="1"/>
                <w:bCs w:val="1"/>
                <w:color w:val="auto"/>
              </w:rPr>
              <w:t>Pension Benefits</w:t>
            </w:r>
          </w:p>
        </w:tc>
        <w:tc>
          <w:tcPr>
            <w:tcW w:w="180" w:type="dxa"/>
            <w:vAlign w:val="bottom"/>
          </w:tcPr>
          <w:p>
            <w:pPr>
              <w:spacing w:after="0"/>
              <w:rPr>
                <w:sz w:val="15"/>
                <w:szCs w:val="15"/>
                <w:color w:val="auto"/>
              </w:rPr>
            </w:pPr>
          </w:p>
        </w:tc>
        <w:tc>
          <w:tcPr>
            <w:tcW w:w="244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83"/>
        </w:trPr>
        <w:tc>
          <w:tcPr>
            <w:tcW w:w="3840" w:type="dxa"/>
            <w:vAlign w:val="bottom"/>
            <w:vMerge w:val="restart"/>
          </w:tcPr>
          <w:p>
            <w:pPr>
              <w:ind w:left="20"/>
              <w:spacing w:after="0"/>
              <w:rPr>
                <w:sz w:val="20"/>
                <w:szCs w:val="20"/>
                <w:color w:val="auto"/>
              </w:rPr>
            </w:pPr>
            <w:r>
              <w:rPr>
                <w:rFonts w:ascii="Arial" w:cs="Arial" w:eastAsia="Arial" w:hAnsi="Arial"/>
                <w:sz w:val="18"/>
                <w:szCs w:val="18"/>
                <w:color w:val="auto"/>
              </w:rPr>
              <w:t>Discount rate</w:t>
            </w:r>
          </w:p>
        </w:tc>
        <w:tc>
          <w:tcPr>
            <w:tcW w:w="1080" w:type="dxa"/>
            <w:vAlign w:val="bottom"/>
          </w:tcPr>
          <w:p>
            <w:pPr>
              <w:jc w:val="right"/>
              <w:ind w:right="299"/>
              <w:spacing w:after="0"/>
              <w:rPr>
                <w:sz w:val="20"/>
                <w:szCs w:val="20"/>
                <w:color w:val="auto"/>
              </w:rPr>
            </w:pPr>
            <w:r>
              <w:rPr>
                <w:rFonts w:ascii="Arial" w:cs="Arial" w:eastAsia="Arial" w:hAnsi="Arial"/>
                <w:sz w:val="14"/>
                <w:szCs w:val="14"/>
                <w:b w:val="1"/>
                <w:bCs w:val="1"/>
                <w:color w:val="auto"/>
              </w:rPr>
              <w:t>2013</w:t>
            </w:r>
          </w:p>
        </w:tc>
        <w:tc>
          <w:tcPr>
            <w:tcW w:w="124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2012</w:t>
            </w:r>
          </w:p>
        </w:tc>
        <w:tc>
          <w:tcPr>
            <w:tcW w:w="1260" w:type="dxa"/>
            <w:vAlign w:val="bottom"/>
            <w:gridSpan w:val="2"/>
          </w:tcPr>
          <w:p>
            <w:pPr>
              <w:jc w:val="right"/>
              <w:ind w:right="299"/>
              <w:spacing w:after="0"/>
              <w:rPr>
                <w:sz w:val="20"/>
                <w:szCs w:val="20"/>
                <w:color w:val="auto"/>
              </w:rPr>
            </w:pPr>
            <w:r>
              <w:rPr>
                <w:rFonts w:ascii="Arial" w:cs="Arial" w:eastAsia="Arial" w:hAnsi="Arial"/>
                <w:sz w:val="14"/>
                <w:szCs w:val="14"/>
                <w:b w:val="1"/>
                <w:bCs w:val="1"/>
                <w:color w:val="auto"/>
              </w:rPr>
              <w:t>2013</w:t>
            </w:r>
          </w:p>
        </w:tc>
        <w:tc>
          <w:tcPr>
            <w:tcW w:w="136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6"/>
        </w:trPr>
        <w:tc>
          <w:tcPr>
            <w:tcW w:w="3840" w:type="dxa"/>
            <w:vAlign w:val="bottom"/>
            <w:vMerge w:val="continue"/>
          </w:tcPr>
          <w:p>
            <w:pPr>
              <w:spacing w:after="0"/>
              <w:rPr>
                <w:sz w:val="17"/>
                <w:szCs w:val="17"/>
                <w:color w:val="auto"/>
              </w:rPr>
            </w:pPr>
          </w:p>
        </w:tc>
        <w:tc>
          <w:tcPr>
            <w:tcW w:w="1080" w:type="dxa"/>
            <w:vAlign w:val="bottom"/>
            <w:tcBorders>
              <w:top w:val="single" w:sz="8" w:color="auto"/>
            </w:tcBorders>
          </w:tcPr>
          <w:p>
            <w:pPr>
              <w:jc w:val="right"/>
              <w:ind w:right="139"/>
              <w:spacing w:after="0" w:line="196" w:lineRule="exact"/>
              <w:rPr>
                <w:sz w:val="20"/>
                <w:szCs w:val="20"/>
                <w:color w:val="auto"/>
              </w:rPr>
            </w:pPr>
            <w:r>
              <w:rPr>
                <w:rFonts w:ascii="Arial" w:cs="Arial" w:eastAsia="Arial" w:hAnsi="Arial"/>
                <w:sz w:val="18"/>
                <w:szCs w:val="18"/>
                <w:b w:val="1"/>
                <w:bCs w:val="1"/>
                <w:color w:val="auto"/>
              </w:rPr>
              <w:t>4.32%</w:t>
            </w:r>
          </w:p>
        </w:tc>
        <w:tc>
          <w:tcPr>
            <w:tcW w:w="160" w:type="dxa"/>
            <w:vAlign w:val="bottom"/>
          </w:tcPr>
          <w:p>
            <w:pPr>
              <w:spacing w:after="0"/>
              <w:rPr>
                <w:sz w:val="17"/>
                <w:szCs w:val="17"/>
                <w:color w:val="auto"/>
              </w:rPr>
            </w:pPr>
          </w:p>
        </w:tc>
        <w:tc>
          <w:tcPr>
            <w:tcW w:w="1080" w:type="dxa"/>
            <w:vAlign w:val="bottom"/>
            <w:tcBorders>
              <w:top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3.79%</w:t>
            </w:r>
          </w:p>
        </w:tc>
        <w:tc>
          <w:tcPr>
            <w:tcW w:w="180" w:type="dxa"/>
            <w:vAlign w:val="bottom"/>
          </w:tcPr>
          <w:p>
            <w:pPr>
              <w:spacing w:after="0"/>
              <w:rPr>
                <w:sz w:val="17"/>
                <w:szCs w:val="17"/>
                <w:color w:val="auto"/>
              </w:rPr>
            </w:pPr>
          </w:p>
        </w:tc>
        <w:tc>
          <w:tcPr>
            <w:tcW w:w="1080" w:type="dxa"/>
            <w:vAlign w:val="bottom"/>
            <w:tcBorders>
              <w:top w:val="single" w:sz="8" w:color="auto"/>
            </w:tcBorders>
          </w:tcPr>
          <w:p>
            <w:pPr>
              <w:jc w:val="right"/>
              <w:ind w:right="159"/>
              <w:spacing w:after="0" w:line="196" w:lineRule="exact"/>
              <w:rPr>
                <w:sz w:val="20"/>
                <w:szCs w:val="20"/>
                <w:color w:val="auto"/>
              </w:rPr>
            </w:pPr>
            <w:r>
              <w:rPr>
                <w:rFonts w:ascii="Arial" w:cs="Arial" w:eastAsia="Arial" w:hAnsi="Arial"/>
                <w:sz w:val="18"/>
                <w:szCs w:val="18"/>
                <w:b w:val="1"/>
                <w:bCs w:val="1"/>
                <w:color w:val="auto"/>
              </w:rPr>
              <w:t>4.20%</w:t>
            </w:r>
          </w:p>
        </w:tc>
        <w:tc>
          <w:tcPr>
            <w:tcW w:w="160" w:type="dxa"/>
            <w:vAlign w:val="bottom"/>
          </w:tcPr>
          <w:p>
            <w:pPr>
              <w:spacing w:after="0"/>
              <w:rPr>
                <w:sz w:val="17"/>
                <w:szCs w:val="17"/>
                <w:color w:val="auto"/>
              </w:rPr>
            </w:pPr>
          </w:p>
        </w:tc>
        <w:tc>
          <w:tcPr>
            <w:tcW w:w="1200" w:type="dxa"/>
            <w:vAlign w:val="bottom"/>
            <w:tcBorders>
              <w:top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03"/>
        </w:trPr>
        <w:tc>
          <w:tcPr>
            <w:tcW w:w="384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Rate of compensation increase</w:t>
            </w:r>
          </w:p>
        </w:tc>
        <w:tc>
          <w:tcPr>
            <w:tcW w:w="1080" w:type="dxa"/>
            <w:vAlign w:val="bottom"/>
            <w:shd w:val="clear" w:color="auto" w:fill="C0C0C0"/>
          </w:tcPr>
          <w:p>
            <w:pPr>
              <w:jc w:val="right"/>
              <w:ind w:right="139"/>
              <w:spacing w:after="0" w:line="202" w:lineRule="exact"/>
              <w:rPr>
                <w:sz w:val="20"/>
                <w:szCs w:val="20"/>
                <w:color w:val="auto"/>
              </w:rPr>
            </w:pPr>
            <w:r>
              <w:rPr>
                <w:rFonts w:ascii="Arial" w:cs="Arial" w:eastAsia="Arial" w:hAnsi="Arial"/>
                <w:sz w:val="18"/>
                <w:szCs w:val="18"/>
                <w:b w:val="1"/>
                <w:bCs w:val="1"/>
                <w:color w:val="auto"/>
              </w:rPr>
              <w:t>3.69%</w:t>
            </w:r>
          </w:p>
        </w:tc>
        <w:tc>
          <w:tcPr>
            <w:tcW w:w="1240" w:type="dxa"/>
            <w:vAlign w:val="bottom"/>
            <w:gridSpan w:val="2"/>
            <w:shd w:val="clear" w:color="auto" w:fill="C0C0C0"/>
          </w:tcPr>
          <w:p>
            <w:pPr>
              <w:jc w:val="right"/>
              <w:ind w:right="130"/>
              <w:spacing w:after="0" w:line="202" w:lineRule="exact"/>
              <w:rPr>
                <w:sz w:val="20"/>
                <w:szCs w:val="20"/>
                <w:color w:val="auto"/>
              </w:rPr>
            </w:pPr>
            <w:r>
              <w:rPr>
                <w:rFonts w:ascii="Arial" w:cs="Arial" w:eastAsia="Arial" w:hAnsi="Arial"/>
                <w:sz w:val="18"/>
                <w:szCs w:val="18"/>
                <w:color w:val="auto"/>
              </w:rPr>
              <w:t>3.68%</w:t>
            </w:r>
          </w:p>
        </w:tc>
        <w:tc>
          <w:tcPr>
            <w:tcW w:w="180" w:type="dxa"/>
            <w:vAlign w:val="bottom"/>
            <w:shd w:val="clear" w:color="auto" w:fill="C0C0C0"/>
          </w:tcPr>
          <w:p>
            <w:pPr>
              <w:spacing w:after="0"/>
              <w:rPr>
                <w:sz w:val="17"/>
                <w:szCs w:val="17"/>
                <w:color w:val="auto"/>
              </w:rPr>
            </w:pPr>
          </w:p>
        </w:tc>
        <w:tc>
          <w:tcPr>
            <w:tcW w:w="108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20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Pension expense is actuarially calculated annually based on data available at the beginning of each year. The expected return on plan assets is determined by multiplying the expected long-term rate of return on assets by the market-related value of plan assets for the U.S. qualified pension plan and market value for the Canadian qualified pension plan. The market-related value of plan assets is a calculated value that recognizes investment gains and losses in fair value related to equities over three or five years, depending on which computation results in a market-related value closer to market value. Market-related value for the U.S. qualified plan was $579 million and $550 million for 2013 and 2012, respectively.</w:t>
      </w:r>
    </w:p>
    <w:p>
      <w:pPr>
        <w:spacing w:after="0" w:line="200" w:lineRule="exact"/>
        <w:rPr>
          <w:sz w:val="20"/>
          <w:szCs w:val="20"/>
          <w:color w:val="auto"/>
        </w:rPr>
      </w:pPr>
    </w:p>
    <w:p>
      <w:pPr>
        <w:spacing w:after="0" w:line="35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96520</wp:posOffset>
            </wp:positionV>
            <wp:extent cx="6114415" cy="596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63" w:name="page64"/>
    <w:bookmarkEnd w:id="6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800"/>
        <w:spacing w:after="0"/>
        <w:rPr>
          <w:sz w:val="20"/>
          <w:szCs w:val="20"/>
          <w:color w:val="auto"/>
        </w:rPr>
      </w:pPr>
      <w:r>
        <w:rPr>
          <w:rFonts w:ascii="Arial" w:cs="Arial" w:eastAsia="Arial" w:hAnsi="Arial"/>
          <w:sz w:val="22"/>
          <w:szCs w:val="22"/>
          <w:b w:val="1"/>
          <w:bCs w:val="1"/>
          <w:color w:val="auto"/>
        </w:rPr>
        <w:t>Foot Locker, Inc.</w:t>
      </w:r>
    </w:p>
    <w:p>
      <w:pPr>
        <w:jc w:val="center"/>
        <w:ind w:right="8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21. Retirement Plans and Other Benefits – (continued)</w:t>
      </w:r>
    </w:p>
    <w:p>
      <w:pPr>
        <w:spacing w:after="0" w:line="139" w:lineRule="exact"/>
        <w:rPr>
          <w:sz w:val="20"/>
          <w:szCs w:val="20"/>
          <w:color w:val="auto"/>
        </w:rPr>
      </w:pPr>
    </w:p>
    <w:p>
      <w:pPr>
        <w:jc w:val="both"/>
        <w:ind w:left="60" w:right="840"/>
        <w:spacing w:after="0" w:line="251" w:lineRule="auto"/>
        <w:rPr>
          <w:sz w:val="20"/>
          <w:szCs w:val="20"/>
          <w:color w:val="auto"/>
        </w:rPr>
      </w:pPr>
      <w:r>
        <w:rPr>
          <w:rFonts w:ascii="Arial" w:cs="Arial" w:eastAsia="Arial" w:hAnsi="Arial"/>
          <w:sz w:val="18"/>
          <w:szCs w:val="18"/>
          <w:color w:val="auto"/>
        </w:rPr>
        <w:t>Assumptions used in the calculation of net benefit cost include the discount rate selected and disclosed at the end of the previous year as well as other assumptions detailed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-76200</wp:posOffset>
            </wp:positionV>
            <wp:extent cx="556577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26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Pension Benefits</w:t>
            </w:r>
          </w:p>
        </w:tc>
        <w:tc>
          <w:tcPr>
            <w:tcW w:w="8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320" w:type="dxa"/>
            <w:vAlign w:val="bottom"/>
            <w:tcBorders>
              <w:bottom w:val="single" w:sz="8" w:color="auto"/>
            </w:tcBorders>
            <w:gridSpan w:val="5"/>
          </w:tcPr>
          <w:p>
            <w:pPr>
              <w:jc w:val="center"/>
              <w:ind w:left="619"/>
              <w:spacing w:after="0"/>
              <w:rPr>
                <w:sz w:val="20"/>
                <w:szCs w:val="20"/>
                <w:color w:val="auto"/>
              </w:rPr>
            </w:pPr>
            <w:r>
              <w:rPr>
                <w:rFonts w:ascii="Arial" w:cs="Arial" w:eastAsia="Arial" w:hAnsi="Arial"/>
                <w:sz w:val="14"/>
                <w:szCs w:val="14"/>
                <w:b w:val="1"/>
                <w:bCs w:val="1"/>
                <w:color w:val="auto"/>
              </w:rPr>
              <w:t>Postretirement Benefits</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80" w:type="dxa"/>
            <w:vAlign w:val="bottom"/>
            <w:vMerge w:val="restart"/>
          </w:tcPr>
          <w:p>
            <w:pPr>
              <w:ind w:left="20"/>
              <w:spacing w:after="0"/>
              <w:rPr>
                <w:sz w:val="20"/>
                <w:szCs w:val="20"/>
                <w:color w:val="auto"/>
              </w:rPr>
            </w:pPr>
            <w:r>
              <w:rPr>
                <w:rFonts w:ascii="Arial" w:cs="Arial" w:eastAsia="Arial" w:hAnsi="Arial"/>
                <w:sz w:val="18"/>
                <w:szCs w:val="18"/>
                <w:color w:val="auto"/>
              </w:rPr>
              <w:t>Discount rate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2013</w:t>
            </w:r>
          </w:p>
        </w:tc>
        <w:tc>
          <w:tcPr>
            <w:tcW w:w="1040" w:type="dxa"/>
            <w:vAlign w:val="bottom"/>
            <w:gridSpan w:val="2"/>
          </w:tcPr>
          <w:p>
            <w:pPr>
              <w:jc w:val="center"/>
              <w:ind w:left="79"/>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2011</w:t>
            </w:r>
          </w:p>
        </w:tc>
        <w:tc>
          <w:tcPr>
            <w:tcW w:w="102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2013</w:t>
            </w:r>
          </w:p>
        </w:tc>
        <w:tc>
          <w:tcPr>
            <w:tcW w:w="104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jc w:val="right"/>
              <w:ind w:right="239"/>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6"/>
        </w:trPr>
        <w:tc>
          <w:tcPr>
            <w:tcW w:w="2680" w:type="dxa"/>
            <w:vAlign w:val="bottom"/>
            <w:vMerge w:val="continue"/>
          </w:tcPr>
          <w:p>
            <w:pPr>
              <w:spacing w:after="0"/>
              <w:rPr>
                <w:sz w:val="17"/>
                <w:szCs w:val="17"/>
                <w:color w:val="auto"/>
              </w:rPr>
            </w:pPr>
          </w:p>
        </w:tc>
        <w:tc>
          <w:tcPr>
            <w:tcW w:w="8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7"/>
              </w:rPr>
              <w:t>3.79%</w:t>
            </w:r>
          </w:p>
        </w:tc>
        <w:tc>
          <w:tcPr>
            <w:tcW w:w="180" w:type="dxa"/>
            <w:vAlign w:val="bottom"/>
          </w:tcPr>
          <w:p>
            <w:pPr>
              <w:spacing w:after="0"/>
              <w:rPr>
                <w:sz w:val="17"/>
                <w:szCs w:val="17"/>
                <w:color w:val="auto"/>
              </w:rPr>
            </w:pPr>
          </w:p>
        </w:tc>
        <w:tc>
          <w:tcPr>
            <w:tcW w:w="8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4.16%</w:t>
            </w:r>
          </w:p>
        </w:tc>
        <w:tc>
          <w:tcPr>
            <w:tcW w:w="160" w:type="dxa"/>
            <w:vAlign w:val="bottom"/>
          </w:tcPr>
          <w:p>
            <w:pPr>
              <w:spacing w:after="0"/>
              <w:rPr>
                <w:sz w:val="17"/>
                <w:szCs w:val="17"/>
                <w:color w:val="auto"/>
              </w:rPr>
            </w:pPr>
          </w:p>
        </w:tc>
        <w:tc>
          <w:tcPr>
            <w:tcW w:w="8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rPr>
              <w:t>4.99%</w:t>
            </w:r>
          </w:p>
        </w:tc>
        <w:tc>
          <w:tcPr>
            <w:tcW w:w="160" w:type="dxa"/>
            <w:vAlign w:val="bottom"/>
          </w:tcPr>
          <w:p>
            <w:pPr>
              <w:spacing w:after="0"/>
              <w:rPr>
                <w:sz w:val="17"/>
                <w:szCs w:val="17"/>
                <w:color w:val="auto"/>
              </w:rPr>
            </w:pPr>
          </w:p>
        </w:tc>
        <w:tc>
          <w:tcPr>
            <w:tcW w:w="860" w:type="dxa"/>
            <w:vAlign w:val="bottom"/>
            <w:tcBorders>
              <w:top w:val="single" w:sz="8" w:color="auto"/>
            </w:tcBorders>
          </w:tcPr>
          <w:p>
            <w:pPr>
              <w:jc w:val="right"/>
              <w:ind w:right="59"/>
              <w:spacing w:after="0" w:line="196" w:lineRule="exact"/>
              <w:rPr>
                <w:sz w:val="20"/>
                <w:szCs w:val="20"/>
                <w:color w:val="auto"/>
              </w:rPr>
            </w:pPr>
            <w:r>
              <w:rPr>
                <w:rFonts w:ascii="Arial" w:cs="Arial" w:eastAsia="Arial" w:hAnsi="Arial"/>
                <w:sz w:val="18"/>
                <w:szCs w:val="18"/>
                <w:b w:val="1"/>
                <w:bCs w:val="1"/>
                <w:color w:val="auto"/>
              </w:rPr>
              <w:t>3.70%</w:t>
            </w:r>
          </w:p>
        </w:tc>
        <w:tc>
          <w:tcPr>
            <w:tcW w:w="160" w:type="dxa"/>
            <w:vAlign w:val="bottom"/>
          </w:tcPr>
          <w:p>
            <w:pPr>
              <w:spacing w:after="0"/>
              <w:rPr>
                <w:sz w:val="17"/>
                <w:szCs w:val="17"/>
                <w:color w:val="auto"/>
              </w:rPr>
            </w:pPr>
          </w:p>
        </w:tc>
        <w:tc>
          <w:tcPr>
            <w:tcW w:w="880" w:type="dxa"/>
            <w:vAlign w:val="bottom"/>
            <w:tcBorders>
              <w:top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4.00%</w:t>
            </w:r>
          </w:p>
        </w:tc>
        <w:tc>
          <w:tcPr>
            <w:tcW w:w="1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99"/>
              <w:spacing w:after="0" w:line="196" w:lineRule="exact"/>
              <w:rPr>
                <w:sz w:val="20"/>
                <w:szCs w:val="20"/>
                <w:color w:val="auto"/>
              </w:rPr>
            </w:pPr>
            <w:r>
              <w:rPr>
                <w:rFonts w:ascii="Arial" w:cs="Arial" w:eastAsia="Arial" w:hAnsi="Arial"/>
                <w:sz w:val="18"/>
                <w:szCs w:val="18"/>
                <w:color w:val="auto"/>
                <w:w w:val="97"/>
              </w:rPr>
              <w:t>4.60%</w:t>
            </w:r>
          </w:p>
        </w:tc>
        <w:tc>
          <w:tcPr>
            <w:tcW w:w="0" w:type="dxa"/>
            <w:vAlign w:val="bottom"/>
          </w:tcPr>
          <w:p>
            <w:pPr>
              <w:spacing w:after="0"/>
              <w:rPr>
                <w:sz w:val="1"/>
                <w:szCs w:val="1"/>
                <w:color w:val="auto"/>
              </w:rPr>
            </w:pPr>
          </w:p>
        </w:tc>
      </w:tr>
      <w:tr>
        <w:trPr>
          <w:trHeight w:val="203"/>
        </w:trPr>
        <w:tc>
          <w:tcPr>
            <w:tcW w:w="268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Rate of compensation increase</w:t>
            </w:r>
          </w:p>
        </w:tc>
        <w:tc>
          <w:tcPr>
            <w:tcW w:w="860" w:type="dxa"/>
            <w:vAlign w:val="bottom"/>
            <w:shd w:val="clear" w:color="auto" w:fill="C0C0C0"/>
          </w:tcPr>
          <w:p>
            <w:pPr>
              <w:jc w:val="center"/>
              <w:spacing w:after="0" w:line="202" w:lineRule="exact"/>
              <w:rPr>
                <w:sz w:val="20"/>
                <w:szCs w:val="20"/>
                <w:color w:val="auto"/>
              </w:rPr>
            </w:pPr>
            <w:r>
              <w:rPr>
                <w:rFonts w:ascii="Arial" w:cs="Arial" w:eastAsia="Arial" w:hAnsi="Arial"/>
                <w:sz w:val="18"/>
                <w:szCs w:val="18"/>
                <w:b w:val="1"/>
                <w:bCs w:val="1"/>
                <w:color w:val="auto"/>
                <w:w w:val="97"/>
              </w:rPr>
              <w:t>3.69%</w:t>
            </w:r>
          </w:p>
        </w:tc>
        <w:tc>
          <w:tcPr>
            <w:tcW w:w="1040" w:type="dxa"/>
            <w:vAlign w:val="bottom"/>
            <w:gridSpan w:val="2"/>
            <w:shd w:val="clear" w:color="auto" w:fill="C0C0C0"/>
          </w:tcPr>
          <w:p>
            <w:pPr>
              <w:jc w:val="center"/>
              <w:ind w:left="139"/>
              <w:spacing w:after="0" w:line="202" w:lineRule="exact"/>
              <w:rPr>
                <w:sz w:val="20"/>
                <w:szCs w:val="20"/>
                <w:color w:val="auto"/>
              </w:rPr>
            </w:pPr>
            <w:r>
              <w:rPr>
                <w:rFonts w:ascii="Arial" w:cs="Arial" w:eastAsia="Arial" w:hAnsi="Arial"/>
                <w:sz w:val="18"/>
                <w:szCs w:val="18"/>
                <w:color w:val="auto"/>
                <w:w w:val="97"/>
              </w:rPr>
              <w:t>3.68%</w:t>
            </w:r>
          </w:p>
        </w:tc>
        <w:tc>
          <w:tcPr>
            <w:tcW w:w="160" w:type="dxa"/>
            <w:vAlign w:val="bottom"/>
            <w:shd w:val="clear" w:color="auto" w:fill="C0C0C0"/>
          </w:tcPr>
          <w:p>
            <w:pPr>
              <w:spacing w:after="0"/>
              <w:rPr>
                <w:sz w:val="17"/>
                <w:szCs w:val="17"/>
                <w:color w:val="auto"/>
              </w:rPr>
            </w:pPr>
          </w:p>
        </w:tc>
        <w:tc>
          <w:tcPr>
            <w:tcW w:w="860" w:type="dxa"/>
            <w:vAlign w:val="bottom"/>
            <w:shd w:val="clear" w:color="auto" w:fill="C0C0C0"/>
          </w:tcPr>
          <w:p>
            <w:pPr>
              <w:jc w:val="center"/>
              <w:spacing w:after="0" w:line="202" w:lineRule="exact"/>
              <w:rPr>
                <w:sz w:val="20"/>
                <w:szCs w:val="20"/>
                <w:color w:val="auto"/>
              </w:rPr>
            </w:pPr>
            <w:r>
              <w:rPr>
                <w:rFonts w:ascii="Arial" w:cs="Arial" w:eastAsia="Arial" w:hAnsi="Arial"/>
                <w:sz w:val="18"/>
                <w:szCs w:val="18"/>
                <w:color w:val="auto"/>
              </w:rPr>
              <w:t>3.69%</w:t>
            </w:r>
          </w:p>
        </w:tc>
        <w:tc>
          <w:tcPr>
            <w:tcW w:w="160" w:type="dxa"/>
            <w:vAlign w:val="bottom"/>
            <w:shd w:val="clear" w:color="auto" w:fill="C0C0C0"/>
          </w:tcPr>
          <w:p>
            <w:pPr>
              <w:spacing w:after="0"/>
              <w:rPr>
                <w:sz w:val="17"/>
                <w:szCs w:val="17"/>
                <w:color w:val="auto"/>
              </w:rPr>
            </w:pPr>
          </w:p>
        </w:tc>
        <w:tc>
          <w:tcPr>
            <w:tcW w:w="8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88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70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80" w:type="dxa"/>
            <w:vAlign w:val="bottom"/>
          </w:tcPr>
          <w:p>
            <w:pPr>
              <w:ind w:left="20"/>
              <w:spacing w:after="0" w:line="201" w:lineRule="exact"/>
              <w:rPr>
                <w:sz w:val="20"/>
                <w:szCs w:val="20"/>
                <w:color w:val="auto"/>
              </w:rPr>
            </w:pPr>
            <w:r>
              <w:rPr>
                <w:rFonts w:ascii="Arial" w:cs="Arial" w:eastAsia="Arial" w:hAnsi="Arial"/>
                <w:sz w:val="18"/>
                <w:szCs w:val="18"/>
                <w:color w:val="auto"/>
              </w:rPr>
              <w:t>Expected long-term rate of</w:t>
            </w:r>
          </w:p>
        </w:tc>
        <w:tc>
          <w:tcPr>
            <w:tcW w:w="86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7"/>
              </w:rPr>
              <w:t>6.24%</w:t>
            </w:r>
          </w:p>
        </w:tc>
        <w:tc>
          <w:tcPr>
            <w:tcW w:w="1040" w:type="dxa"/>
            <w:vAlign w:val="bottom"/>
            <w:gridSpan w:val="2"/>
          </w:tcPr>
          <w:p>
            <w:pPr>
              <w:jc w:val="center"/>
              <w:ind w:left="139"/>
              <w:spacing w:after="0" w:line="201" w:lineRule="exact"/>
              <w:rPr>
                <w:sz w:val="20"/>
                <w:szCs w:val="20"/>
                <w:color w:val="auto"/>
              </w:rPr>
            </w:pPr>
            <w:r>
              <w:rPr>
                <w:rFonts w:ascii="Arial" w:cs="Arial" w:eastAsia="Arial" w:hAnsi="Arial"/>
                <w:sz w:val="18"/>
                <w:szCs w:val="18"/>
                <w:color w:val="auto"/>
                <w:w w:val="97"/>
              </w:rPr>
              <w:t>6.63%</w:t>
            </w:r>
          </w:p>
        </w:tc>
        <w:tc>
          <w:tcPr>
            <w:tcW w:w="160" w:type="dxa"/>
            <w:vAlign w:val="bottom"/>
          </w:tcPr>
          <w:p>
            <w:pPr>
              <w:spacing w:after="0"/>
              <w:rPr>
                <w:sz w:val="17"/>
                <w:szCs w:val="17"/>
                <w:color w:val="auto"/>
              </w:rPr>
            </w:pP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rPr>
              <w:t>6.59%</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680" w:type="dxa"/>
            <w:vAlign w:val="bottom"/>
          </w:tcPr>
          <w:p>
            <w:pPr>
              <w:ind w:left="200"/>
              <w:spacing w:after="0"/>
              <w:rPr>
                <w:sz w:val="20"/>
                <w:szCs w:val="20"/>
                <w:color w:val="auto"/>
              </w:rPr>
            </w:pPr>
            <w:r>
              <w:rPr>
                <w:rFonts w:ascii="Arial" w:cs="Arial" w:eastAsia="Arial" w:hAnsi="Arial"/>
                <w:sz w:val="18"/>
                <w:szCs w:val="18"/>
                <w:color w:val="auto"/>
              </w:rPr>
              <w:t>return on assets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60" w:right="820"/>
        <w:spacing w:after="0" w:line="254" w:lineRule="auto"/>
        <w:rPr>
          <w:sz w:val="20"/>
          <w:szCs w:val="20"/>
          <w:color w:val="auto"/>
        </w:rPr>
      </w:pPr>
      <w:r>
        <w:rPr>
          <w:rFonts w:ascii="Arial" w:cs="Arial" w:eastAsia="Arial" w:hAnsi="Arial"/>
          <w:sz w:val="18"/>
          <w:szCs w:val="18"/>
          <w:color w:val="auto"/>
        </w:rPr>
        <w:t>The expected long-term rate of return on invested plan assets is based on the plans’ weighted-average target asset allocation, as well as historical and future expected performance of those assets. The target asset allocation is selected to obtain an investment return that is sufficient to cover the expected benefit payments and to reduce future contributions by the Company.</w:t>
      </w:r>
    </w:p>
    <w:p>
      <w:pPr>
        <w:spacing w:after="0" w:line="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components of net benefit expense (income)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56577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26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Pension Benefits</w:t>
            </w:r>
          </w:p>
        </w:tc>
        <w:tc>
          <w:tcPr>
            <w:tcW w:w="1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rPr>
              <w:t>Postretirement Benefits</w:t>
            </w:r>
          </w:p>
        </w:tc>
        <w:tc>
          <w:tcPr>
            <w:tcW w:w="4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r>
      <w:tr>
        <w:trPr>
          <w:trHeight w:val="183"/>
        </w:trPr>
        <w:tc>
          <w:tcPr>
            <w:tcW w:w="26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auto"/>
            </w:tcBorders>
          </w:tcPr>
          <w:p>
            <w:pPr>
              <w:spacing w:after="0"/>
              <w:rPr>
                <w:sz w:val="15"/>
                <w:szCs w:val="15"/>
                <w:color w:val="auto"/>
              </w:rPr>
            </w:pPr>
          </w:p>
        </w:tc>
      </w:tr>
      <w:tr>
        <w:trPr>
          <w:trHeight w:val="196"/>
        </w:trPr>
        <w:tc>
          <w:tcPr>
            <w:tcW w:w="2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5"/>
          </w:tcPr>
          <w:p>
            <w:pPr>
              <w:jc w:val="right"/>
              <w:ind w:right="233"/>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268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Service cost</w:t>
            </w:r>
          </w:p>
        </w:tc>
        <w:tc>
          <w:tcPr>
            <w:tcW w:w="20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rPr>
              <w:t>14</w:t>
            </w:r>
          </w:p>
        </w:tc>
        <w:tc>
          <w:tcPr>
            <w:tcW w:w="200" w:type="dxa"/>
            <w:vAlign w:val="bottom"/>
            <w:shd w:val="clear" w:color="auto" w:fill="C0C0C0"/>
          </w:tcPr>
          <w:p>
            <w:pPr>
              <w:spacing w:after="0"/>
              <w:rPr>
                <w:sz w:val="17"/>
                <w:szCs w:val="17"/>
                <w:color w:val="auto"/>
              </w:rPr>
            </w:pPr>
          </w:p>
        </w:tc>
        <w:tc>
          <w:tcPr>
            <w:tcW w:w="360" w:type="dxa"/>
            <w:vAlign w:val="bottom"/>
            <w:gridSpan w:val="2"/>
            <w:shd w:val="clear" w:color="auto" w:fill="C0C0C0"/>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0C0C0"/>
          </w:tcPr>
          <w:p>
            <w:pPr>
              <w:jc w:val="right"/>
              <w:ind w:right="220"/>
              <w:spacing w:after="0" w:line="202" w:lineRule="exact"/>
              <w:rPr>
                <w:sz w:val="20"/>
                <w:szCs w:val="20"/>
                <w:color w:val="auto"/>
              </w:rPr>
            </w:pPr>
            <w:r>
              <w:rPr>
                <w:rFonts w:ascii="Arial" w:cs="Arial" w:eastAsia="Arial" w:hAnsi="Arial"/>
                <w:sz w:val="18"/>
                <w:szCs w:val="18"/>
                <w:color w:val="auto"/>
              </w:rPr>
              <w:t>13</w:t>
            </w:r>
          </w:p>
        </w:tc>
        <w:tc>
          <w:tcPr>
            <w:tcW w:w="160" w:type="dxa"/>
            <w:vAlign w:val="bottom"/>
            <w:shd w:val="clear" w:color="auto" w:fill="C0C0C0"/>
          </w:tcPr>
          <w:p>
            <w:pPr>
              <w:spacing w:after="0"/>
              <w:rPr>
                <w:sz w:val="17"/>
                <w:szCs w:val="17"/>
                <w:color w:val="auto"/>
              </w:rPr>
            </w:pPr>
          </w:p>
        </w:tc>
        <w:tc>
          <w:tcPr>
            <w:tcW w:w="18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0C0C0"/>
          </w:tcPr>
          <w:p>
            <w:pPr>
              <w:jc w:val="right"/>
              <w:ind w:right="220"/>
              <w:spacing w:after="0" w:line="202" w:lineRule="exact"/>
              <w:rPr>
                <w:sz w:val="20"/>
                <w:szCs w:val="20"/>
                <w:color w:val="auto"/>
              </w:rPr>
            </w:pPr>
            <w:r>
              <w:rPr>
                <w:rFonts w:ascii="Arial" w:cs="Arial" w:eastAsia="Arial" w:hAnsi="Arial"/>
                <w:sz w:val="18"/>
                <w:szCs w:val="18"/>
                <w:color w:val="auto"/>
              </w:rPr>
              <w:t>12</w:t>
            </w:r>
          </w:p>
        </w:tc>
        <w:tc>
          <w:tcPr>
            <w:tcW w:w="360" w:type="dxa"/>
            <w:vAlign w:val="bottom"/>
            <w:gridSpan w:val="2"/>
            <w:shd w:val="clear" w:color="auto" w:fill="C0C0C0"/>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c>
          <w:tcPr>
            <w:tcW w:w="500" w:type="dxa"/>
            <w:vAlign w:val="bottom"/>
            <w:tcBorders>
              <w:right w:val="single" w:sz="8" w:color="C0C0C0"/>
            </w:tcBorders>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20" w:type="dxa"/>
            <w:vAlign w:val="bottom"/>
            <w:gridSpan w:val="3"/>
            <w:shd w:val="clear" w:color="auto" w:fill="C0C0C0"/>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0C0C0"/>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0C0C0"/>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0C0C0"/>
          </w:tcPr>
          <w:p>
            <w:pPr>
              <w:jc w:val="right"/>
              <w:ind w:right="260"/>
              <w:spacing w:after="0" w:line="202" w:lineRule="exact"/>
              <w:rPr>
                <w:sz w:val="20"/>
                <w:szCs w:val="20"/>
                <w:color w:val="auto"/>
              </w:rPr>
            </w:pPr>
            <w:r>
              <w:rPr>
                <w:rFonts w:ascii="Arial" w:cs="Arial" w:eastAsia="Arial" w:hAnsi="Arial"/>
                <w:sz w:val="18"/>
                <w:szCs w:val="18"/>
                <w:color w:val="auto"/>
              </w:rPr>
              <w:t>—</w:t>
            </w:r>
          </w:p>
        </w:tc>
      </w:tr>
      <w:tr>
        <w:trPr>
          <w:trHeight w:val="203"/>
        </w:trPr>
        <w:tc>
          <w:tcPr>
            <w:tcW w:w="2680" w:type="dxa"/>
            <w:vAlign w:val="bottom"/>
          </w:tcPr>
          <w:p>
            <w:pPr>
              <w:ind w:left="20"/>
              <w:spacing w:after="0" w:line="202" w:lineRule="exact"/>
              <w:rPr>
                <w:sz w:val="20"/>
                <w:szCs w:val="20"/>
                <w:color w:val="auto"/>
              </w:rPr>
            </w:pPr>
            <w:r>
              <w:rPr>
                <w:rFonts w:ascii="Arial" w:cs="Arial" w:eastAsia="Arial" w:hAnsi="Arial"/>
                <w:sz w:val="18"/>
                <w:szCs w:val="18"/>
                <w:color w:val="auto"/>
              </w:rPr>
              <w:t>Interest cost</w:t>
            </w:r>
          </w:p>
        </w:tc>
        <w:tc>
          <w:tcPr>
            <w:tcW w:w="2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w:t>
            </w:r>
          </w:p>
        </w:tc>
      </w:tr>
      <w:tr>
        <w:trPr>
          <w:trHeight w:val="203"/>
        </w:trPr>
        <w:tc>
          <w:tcPr>
            <w:tcW w:w="268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Expected return on plan assets</w:t>
            </w:r>
          </w:p>
        </w:tc>
        <w:tc>
          <w:tcPr>
            <w:tcW w:w="200" w:type="dxa"/>
            <w:vAlign w:val="bottom"/>
            <w:shd w:val="clear" w:color="auto" w:fill="C0C0C0"/>
          </w:tcPr>
          <w:p>
            <w:pPr>
              <w:spacing w:after="0"/>
              <w:rPr>
                <w:sz w:val="17"/>
                <w:szCs w:val="17"/>
                <w:color w:val="auto"/>
              </w:rPr>
            </w:pPr>
          </w:p>
        </w:tc>
        <w:tc>
          <w:tcPr>
            <w:tcW w:w="660" w:type="dxa"/>
            <w:vAlign w:val="bottom"/>
            <w:gridSpan w:val="2"/>
            <w:shd w:val="clear" w:color="auto" w:fill="C0C0C0"/>
          </w:tcPr>
          <w:p>
            <w:pPr>
              <w:jc w:val="right"/>
              <w:ind w:right="140"/>
              <w:spacing w:after="0" w:line="202" w:lineRule="exact"/>
              <w:rPr>
                <w:sz w:val="20"/>
                <w:szCs w:val="20"/>
                <w:color w:val="auto"/>
              </w:rPr>
            </w:pPr>
            <w:r>
              <w:rPr>
                <w:rFonts w:ascii="Arial" w:cs="Arial" w:eastAsia="Arial" w:hAnsi="Arial"/>
                <w:sz w:val="18"/>
                <w:szCs w:val="18"/>
                <w:b w:val="1"/>
                <w:bCs w:val="1"/>
                <w:color w:val="auto"/>
              </w:rPr>
              <w:t>(39)</w:t>
            </w:r>
          </w:p>
        </w:tc>
        <w:tc>
          <w:tcPr>
            <w:tcW w:w="18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160"/>
              <w:spacing w:after="0" w:line="202" w:lineRule="exact"/>
              <w:rPr>
                <w:sz w:val="20"/>
                <w:szCs w:val="20"/>
                <w:color w:val="auto"/>
              </w:rPr>
            </w:pPr>
            <w:r>
              <w:rPr>
                <w:rFonts w:ascii="Arial" w:cs="Arial" w:eastAsia="Arial" w:hAnsi="Arial"/>
                <w:sz w:val="18"/>
                <w:szCs w:val="18"/>
                <w:color w:val="auto"/>
              </w:rPr>
              <w:t>(40)</w:t>
            </w:r>
          </w:p>
        </w:tc>
        <w:tc>
          <w:tcPr>
            <w:tcW w:w="16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160"/>
              <w:spacing w:after="0" w:line="202" w:lineRule="exact"/>
              <w:rPr>
                <w:sz w:val="20"/>
                <w:szCs w:val="20"/>
                <w:color w:val="auto"/>
              </w:rPr>
            </w:pPr>
            <w:r>
              <w:rPr>
                <w:rFonts w:ascii="Arial" w:cs="Arial" w:eastAsia="Arial" w:hAnsi="Arial"/>
                <w:sz w:val="18"/>
                <w:szCs w:val="18"/>
                <w:color w:val="auto"/>
              </w:rPr>
              <w:t>(40)</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500" w:type="dxa"/>
            <w:vAlign w:val="bottom"/>
            <w:tcBorders>
              <w:right w:val="single" w:sz="8" w:color="C0C0C0"/>
            </w:tcBorders>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0C0C0"/>
          </w:tcPr>
          <w:p>
            <w:pPr>
              <w:spacing w:after="0"/>
              <w:rPr>
                <w:sz w:val="17"/>
                <w:szCs w:val="17"/>
                <w:color w:val="auto"/>
              </w:rPr>
            </w:pPr>
          </w:p>
        </w:tc>
        <w:tc>
          <w:tcPr>
            <w:tcW w:w="300" w:type="dxa"/>
            <w:vAlign w:val="bottom"/>
            <w:shd w:val="clear" w:color="auto" w:fill="C0C0C0"/>
          </w:tcPr>
          <w:p>
            <w:pPr>
              <w:spacing w:after="0"/>
              <w:rPr>
                <w:sz w:val="17"/>
                <w:szCs w:val="17"/>
                <w:color w:val="auto"/>
              </w:rPr>
            </w:pPr>
          </w:p>
        </w:tc>
        <w:tc>
          <w:tcPr>
            <w:tcW w:w="660" w:type="dxa"/>
            <w:vAlign w:val="bottom"/>
            <w:gridSpan w:val="2"/>
            <w:shd w:val="clear" w:color="auto" w:fill="C0C0C0"/>
          </w:tcPr>
          <w:p>
            <w:pPr>
              <w:jc w:val="right"/>
              <w:ind w:right="260"/>
              <w:spacing w:after="0" w:line="202" w:lineRule="exact"/>
              <w:rPr>
                <w:sz w:val="20"/>
                <w:szCs w:val="20"/>
                <w:color w:val="auto"/>
              </w:rPr>
            </w:pPr>
            <w:r>
              <w:rPr>
                <w:rFonts w:ascii="Arial" w:cs="Arial" w:eastAsia="Arial" w:hAnsi="Arial"/>
                <w:sz w:val="18"/>
                <w:szCs w:val="18"/>
                <w:color w:val="auto"/>
              </w:rPr>
              <w:t>—</w:t>
            </w:r>
          </w:p>
        </w:tc>
      </w:tr>
      <w:tr>
        <w:trPr>
          <w:trHeight w:val="202"/>
        </w:trPr>
        <w:tc>
          <w:tcPr>
            <w:tcW w:w="2680" w:type="dxa"/>
            <w:vAlign w:val="bottom"/>
          </w:tcPr>
          <w:p>
            <w:pPr>
              <w:ind w:left="20"/>
              <w:spacing w:after="0" w:line="201" w:lineRule="exact"/>
              <w:rPr>
                <w:sz w:val="20"/>
                <w:szCs w:val="20"/>
                <w:color w:val="auto"/>
              </w:rPr>
            </w:pPr>
            <w:r>
              <w:rPr>
                <w:rFonts w:ascii="Arial" w:cs="Arial" w:eastAsia="Arial" w:hAnsi="Arial"/>
                <w:sz w:val="18"/>
                <w:szCs w:val="18"/>
                <w:color w:val="auto"/>
              </w:rPr>
              <w:t>Amortization of prior service</w:t>
            </w:r>
          </w:p>
        </w:tc>
        <w:tc>
          <w:tcPr>
            <w:tcW w:w="200" w:type="dxa"/>
            <w:vAlign w:val="bottom"/>
          </w:tcPr>
          <w:p>
            <w:pPr>
              <w:spacing w:after="0"/>
              <w:rPr>
                <w:sz w:val="17"/>
                <w:szCs w:val="17"/>
                <w:color w:val="auto"/>
              </w:rPr>
            </w:pPr>
          </w:p>
        </w:tc>
        <w:tc>
          <w:tcPr>
            <w:tcW w:w="660" w:type="dxa"/>
            <w:vAlign w:val="bottom"/>
            <w:gridSpan w:val="2"/>
          </w:tcPr>
          <w:p>
            <w:pPr>
              <w:jc w:val="right"/>
              <w:ind w:right="200"/>
              <w:spacing w:after="0" w:line="201"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3"/>
          </w:tcPr>
          <w:p>
            <w:pPr>
              <w:jc w:val="right"/>
              <w:ind w:right="380"/>
              <w:spacing w:after="0" w:line="201"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(1)</w:t>
            </w:r>
          </w:p>
        </w:tc>
      </w:tr>
      <w:tr>
        <w:trPr>
          <w:trHeight w:val="203"/>
        </w:trPr>
        <w:tc>
          <w:tcPr>
            <w:tcW w:w="2680" w:type="dxa"/>
            <w:vAlign w:val="bottom"/>
          </w:tcPr>
          <w:p>
            <w:pPr>
              <w:ind w:left="200"/>
              <w:spacing w:after="0" w:line="203" w:lineRule="exact"/>
              <w:rPr>
                <w:sz w:val="20"/>
                <w:szCs w:val="20"/>
                <w:color w:val="auto"/>
              </w:rPr>
            </w:pPr>
            <w:r>
              <w:rPr>
                <w:rFonts w:ascii="Arial" w:cs="Arial" w:eastAsia="Arial" w:hAnsi="Arial"/>
                <w:sz w:val="18"/>
                <w:szCs w:val="18"/>
                <w:color w:val="auto"/>
              </w:rPr>
              <w:t>cost</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268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Amortization of net loss (gain)</w:t>
            </w:r>
          </w:p>
        </w:tc>
        <w:tc>
          <w:tcPr>
            <w:tcW w:w="200" w:type="dxa"/>
            <w:vAlign w:val="bottom"/>
            <w:shd w:val="clear" w:color="auto" w:fill="C0C0C0"/>
          </w:tcPr>
          <w:p>
            <w:pPr>
              <w:spacing w:after="0"/>
              <w:rPr>
                <w:sz w:val="17"/>
                <w:szCs w:val="17"/>
                <w:color w:val="auto"/>
              </w:rPr>
            </w:pPr>
          </w:p>
        </w:tc>
        <w:tc>
          <w:tcPr>
            <w:tcW w:w="46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rPr>
              <w:t>17</w:t>
            </w:r>
          </w:p>
        </w:tc>
        <w:tc>
          <w:tcPr>
            <w:tcW w:w="20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220"/>
              <w:spacing w:after="0" w:line="202" w:lineRule="exact"/>
              <w:rPr>
                <w:sz w:val="20"/>
                <w:szCs w:val="20"/>
                <w:color w:val="auto"/>
              </w:rPr>
            </w:pPr>
            <w:r>
              <w:rPr>
                <w:rFonts w:ascii="Arial" w:cs="Arial" w:eastAsia="Arial" w:hAnsi="Arial"/>
                <w:sz w:val="18"/>
                <w:szCs w:val="18"/>
                <w:color w:val="auto"/>
              </w:rPr>
              <w:t>17</w:t>
            </w:r>
          </w:p>
        </w:tc>
        <w:tc>
          <w:tcPr>
            <w:tcW w:w="16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220"/>
              <w:spacing w:after="0" w:line="202" w:lineRule="exact"/>
              <w:rPr>
                <w:sz w:val="20"/>
                <w:szCs w:val="20"/>
                <w:color w:val="auto"/>
              </w:rPr>
            </w:pPr>
            <w:r>
              <w:rPr>
                <w:rFonts w:ascii="Arial" w:cs="Arial" w:eastAsia="Arial" w:hAnsi="Arial"/>
                <w:sz w:val="18"/>
                <w:szCs w:val="18"/>
                <w:color w:val="auto"/>
              </w:rPr>
              <w:t>15</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500" w:type="dxa"/>
            <w:vAlign w:val="bottom"/>
            <w:tcBorders>
              <w:right w:val="single" w:sz="8" w:color="C0C0C0"/>
            </w:tcBorders>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rPr>
              <w:t>(3)</w:t>
            </w: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180"/>
              <w:spacing w:after="0" w:line="202" w:lineRule="exact"/>
              <w:rPr>
                <w:sz w:val="20"/>
                <w:szCs w:val="20"/>
                <w:color w:val="auto"/>
              </w:rPr>
            </w:pPr>
            <w:r>
              <w:rPr>
                <w:rFonts w:ascii="Arial" w:cs="Arial" w:eastAsia="Arial" w:hAnsi="Arial"/>
                <w:sz w:val="18"/>
                <w:szCs w:val="18"/>
                <w:color w:val="auto"/>
              </w:rPr>
              <w:t>(4)</w:t>
            </w:r>
          </w:p>
        </w:tc>
        <w:tc>
          <w:tcPr>
            <w:tcW w:w="160" w:type="dxa"/>
            <w:vAlign w:val="bottom"/>
            <w:shd w:val="clear" w:color="auto" w:fill="C0C0C0"/>
          </w:tcPr>
          <w:p>
            <w:pPr>
              <w:spacing w:after="0"/>
              <w:rPr>
                <w:sz w:val="17"/>
                <w:szCs w:val="17"/>
                <w:color w:val="auto"/>
              </w:rPr>
            </w:pPr>
          </w:p>
        </w:tc>
        <w:tc>
          <w:tcPr>
            <w:tcW w:w="300" w:type="dxa"/>
            <w:vAlign w:val="bottom"/>
            <w:shd w:val="clear" w:color="auto" w:fill="C0C0C0"/>
          </w:tcPr>
          <w:p>
            <w:pPr>
              <w:spacing w:after="0"/>
              <w:rPr>
                <w:sz w:val="17"/>
                <w:szCs w:val="17"/>
                <w:color w:val="auto"/>
              </w:rPr>
            </w:pPr>
          </w:p>
        </w:tc>
        <w:tc>
          <w:tcPr>
            <w:tcW w:w="660" w:type="dxa"/>
            <w:vAlign w:val="bottom"/>
            <w:gridSpan w:val="2"/>
            <w:shd w:val="clear" w:color="auto" w:fill="C0C0C0"/>
          </w:tcPr>
          <w:p>
            <w:pPr>
              <w:jc w:val="right"/>
              <w:ind w:right="200"/>
              <w:spacing w:after="0" w:line="202" w:lineRule="exact"/>
              <w:rPr>
                <w:sz w:val="20"/>
                <w:szCs w:val="20"/>
                <w:color w:val="auto"/>
              </w:rPr>
            </w:pPr>
            <w:r>
              <w:rPr>
                <w:rFonts w:ascii="Arial" w:cs="Arial" w:eastAsia="Arial" w:hAnsi="Arial"/>
                <w:sz w:val="18"/>
                <w:szCs w:val="18"/>
                <w:color w:val="auto"/>
              </w:rPr>
              <w:t>(5)</w:t>
            </w:r>
          </w:p>
        </w:tc>
      </w:tr>
      <w:tr>
        <w:trPr>
          <w:trHeight w:val="20"/>
        </w:trPr>
        <w:tc>
          <w:tcPr>
            <w:tcW w:w="268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18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tcBorders>
              <w:right w:val="single" w:sz="8" w:color="C0C0C0"/>
            </w:tcBorders>
            <w:shd w:val="clear" w:color="auto" w:fill="00000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r>
      <w:tr>
        <w:trPr>
          <w:trHeight w:val="196"/>
        </w:trPr>
        <w:tc>
          <w:tcPr>
            <w:tcW w:w="2680" w:type="dxa"/>
            <w:vAlign w:val="bottom"/>
          </w:tcPr>
          <w:p>
            <w:pPr>
              <w:ind w:left="20"/>
              <w:spacing w:after="0" w:line="196" w:lineRule="exact"/>
              <w:rPr>
                <w:sz w:val="20"/>
                <w:szCs w:val="20"/>
                <w:color w:val="auto"/>
              </w:rPr>
            </w:pPr>
            <w:r>
              <w:rPr>
                <w:rFonts w:ascii="Arial" w:cs="Arial" w:eastAsia="Arial" w:hAnsi="Arial"/>
                <w:sz w:val="18"/>
                <w:szCs w:val="18"/>
                <w:color w:val="auto"/>
              </w:rPr>
              <w:t>Net benefit expense (income)</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17</w:t>
            </w:r>
          </w:p>
        </w:tc>
        <w:tc>
          <w:tcPr>
            <w:tcW w:w="200" w:type="dxa"/>
            <w:vAlign w:val="bottom"/>
          </w:tcPr>
          <w:p>
            <w:pPr>
              <w:spacing w:after="0"/>
              <w:rPr>
                <w:sz w:val="17"/>
                <w:szCs w:val="17"/>
                <w:color w:val="auto"/>
              </w:rPr>
            </w:pPr>
          </w:p>
        </w:tc>
        <w:tc>
          <w:tcPr>
            <w:tcW w:w="3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18</w:t>
            </w:r>
          </w:p>
        </w:tc>
        <w:tc>
          <w:tcPr>
            <w:tcW w:w="16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19</w:t>
            </w:r>
          </w:p>
        </w:tc>
        <w:tc>
          <w:tcPr>
            <w:tcW w:w="36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w:t>
            </w:r>
          </w:p>
        </w:tc>
        <w:tc>
          <w:tcPr>
            <w:tcW w:w="520" w:type="dxa"/>
            <w:vAlign w:val="bottom"/>
            <w:gridSpan w:val="3"/>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(4)</w:t>
            </w:r>
          </w:p>
        </w:tc>
        <w:tc>
          <w:tcPr>
            <w:tcW w:w="4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(5)</w:t>
            </w:r>
          </w:p>
        </w:tc>
      </w:tr>
      <w:tr>
        <w:trPr>
          <w:trHeight w:val="21"/>
        </w:trPr>
        <w:tc>
          <w:tcPr>
            <w:tcW w:w="2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-170815</wp:posOffset>
            </wp:positionV>
            <wp:extent cx="5565775" cy="1714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565775" cy="171450"/>
                    </a:xfrm>
                    <a:prstGeom prst="rect">
                      <a:avLst/>
                    </a:prstGeom>
                    <a:noFill/>
                  </pic:spPr>
                </pic:pic>
              </a:graphicData>
            </a:graphic>
          </wp:anchor>
        </w:drawing>
      </w:r>
    </w:p>
    <w:p>
      <w:pPr>
        <w:spacing w:after="0" w:line="87" w:lineRule="exact"/>
        <w:rPr>
          <w:sz w:val="20"/>
          <w:szCs w:val="20"/>
          <w:color w:val="auto"/>
        </w:rPr>
      </w:pPr>
    </w:p>
    <w:p>
      <w:pPr>
        <w:jc w:val="both"/>
        <w:ind w:left="60" w:right="820"/>
        <w:spacing w:after="0" w:line="254" w:lineRule="auto"/>
        <w:rPr>
          <w:sz w:val="20"/>
          <w:szCs w:val="20"/>
          <w:color w:val="auto"/>
        </w:rPr>
      </w:pPr>
      <w:r>
        <w:rPr>
          <w:rFonts w:ascii="Arial" w:cs="Arial" w:eastAsia="Arial" w:hAnsi="Arial"/>
          <w:sz w:val="18"/>
          <w:szCs w:val="18"/>
          <w:color w:val="auto"/>
        </w:rPr>
        <w:t>Beginning with 2001, new retirees were charged the expected full cost of the medical plan and then-existing retirees will incur 100 percent of the expected future increases in medical plan costs. Any changes in the health care cost trend rates assumed would not affect the accumulated benefit obligation or net benefit income, since retirees will incur 100 percent of such expected future increase.</w:t>
      </w:r>
    </w:p>
    <w:p>
      <w:pPr>
        <w:spacing w:after="0" w:line="96" w:lineRule="exact"/>
        <w:rPr>
          <w:sz w:val="20"/>
          <w:szCs w:val="20"/>
          <w:color w:val="auto"/>
        </w:rPr>
      </w:pPr>
    </w:p>
    <w:p>
      <w:pPr>
        <w:jc w:val="both"/>
        <w:ind w:left="60" w:right="820"/>
        <w:spacing w:after="0" w:line="254" w:lineRule="auto"/>
        <w:rPr>
          <w:sz w:val="20"/>
          <w:szCs w:val="20"/>
          <w:color w:val="auto"/>
        </w:rPr>
      </w:pPr>
      <w:r>
        <w:rPr>
          <w:rFonts w:ascii="Arial" w:cs="Arial" w:eastAsia="Arial" w:hAnsi="Arial"/>
          <w:sz w:val="18"/>
          <w:szCs w:val="18"/>
          <w:color w:val="auto"/>
        </w:rPr>
        <w:t>The Company maintains a Supplemental Executive Retirement Plan (“SERP”), which is an unfunded plan that includes provisions for the continuation of medical and dental insurance benefits to certain executive officers and other key employees of the Company (“SERP Medical Plan”). The SERP Medical Plan’s accumulated projected benefit obligation at February 1, 2014 was approximately $11 million.</w:t>
      </w:r>
    </w:p>
    <w:p>
      <w:pPr>
        <w:spacing w:after="0" w:line="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initial and ultimate cost trend rate assumptions were used to determine the benefit obligations under the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SERP Medical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56577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8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98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Medical Trend Rate</w:t>
            </w:r>
          </w:p>
        </w:tc>
        <w:tc>
          <w:tcPr>
            <w:tcW w:w="6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Dental Trend Rate</w:t>
            </w:r>
          </w:p>
        </w:tc>
        <w:tc>
          <w:tcPr>
            <w:tcW w:w="720" w:type="dxa"/>
            <w:vAlign w:val="bottom"/>
            <w:tcBorders>
              <w:bottom w:val="single" w:sz="8" w:color="auto"/>
            </w:tcBorders>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60" w:type="dxa"/>
            <w:vAlign w:val="bottom"/>
            <w:gridSpan w:val="2"/>
            <w:vMerge w:val="restart"/>
          </w:tcPr>
          <w:p>
            <w:pPr>
              <w:ind w:left="20"/>
              <w:spacing w:after="0"/>
              <w:rPr>
                <w:sz w:val="20"/>
                <w:szCs w:val="20"/>
                <w:color w:val="auto"/>
              </w:rPr>
            </w:pPr>
            <w:r>
              <w:rPr>
                <w:rFonts w:ascii="Arial" w:cs="Arial" w:eastAsia="Arial" w:hAnsi="Arial"/>
                <w:sz w:val="18"/>
                <w:szCs w:val="18"/>
                <w:color w:val="auto"/>
              </w:rPr>
              <w:t>Initial cost trend rate</w:t>
            </w:r>
          </w:p>
        </w:tc>
        <w:tc>
          <w:tcPr>
            <w:tcW w:w="760" w:type="dxa"/>
            <w:vAlign w:val="bottom"/>
          </w:tcPr>
          <w:p>
            <w:pPr>
              <w:jc w:val="right"/>
              <w:ind w:right="137"/>
              <w:spacing w:after="0"/>
              <w:rPr>
                <w:sz w:val="20"/>
                <w:szCs w:val="20"/>
                <w:color w:val="auto"/>
              </w:rPr>
            </w:pPr>
            <w:r>
              <w:rPr>
                <w:rFonts w:ascii="Arial" w:cs="Arial" w:eastAsia="Arial" w:hAnsi="Arial"/>
                <w:sz w:val="14"/>
                <w:szCs w:val="14"/>
                <w:b w:val="1"/>
                <w:bCs w:val="1"/>
                <w:color w:val="auto"/>
              </w:rPr>
              <w:t>2013</w:t>
            </w:r>
          </w:p>
        </w:tc>
        <w:tc>
          <w:tcPr>
            <w:tcW w:w="94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34"/>
              <w:spacing w:after="0"/>
              <w:rPr>
                <w:sz w:val="20"/>
                <w:szCs w:val="20"/>
                <w:color w:val="auto"/>
              </w:rPr>
            </w:pPr>
            <w:r>
              <w:rPr>
                <w:rFonts w:ascii="Arial" w:cs="Arial" w:eastAsia="Arial" w:hAnsi="Arial"/>
                <w:sz w:val="14"/>
                <w:szCs w:val="14"/>
                <w:b w:val="1"/>
                <w:bCs w:val="1"/>
                <w:color w:val="auto"/>
              </w:rPr>
              <w:t>2011</w:t>
            </w:r>
          </w:p>
        </w:tc>
        <w:tc>
          <w:tcPr>
            <w:tcW w:w="90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2013</w:t>
            </w:r>
          </w:p>
        </w:tc>
        <w:tc>
          <w:tcPr>
            <w:tcW w:w="96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60" w:type="dxa"/>
            <w:vAlign w:val="bottom"/>
            <w:gridSpan w:val="2"/>
            <w:vMerge w:val="continue"/>
          </w:tcPr>
          <w:p>
            <w:pPr>
              <w:spacing w:after="0"/>
              <w:rPr>
                <w:sz w:val="17"/>
                <w:szCs w:val="17"/>
                <w:color w:val="auto"/>
              </w:rPr>
            </w:pPr>
          </w:p>
        </w:tc>
        <w:tc>
          <w:tcPr>
            <w:tcW w:w="7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7.00%</w:t>
            </w:r>
          </w:p>
        </w:tc>
        <w:tc>
          <w:tcPr>
            <w:tcW w:w="160" w:type="dxa"/>
            <w:vAlign w:val="bottom"/>
          </w:tcPr>
          <w:p>
            <w:pPr>
              <w:spacing w:after="0"/>
              <w:rPr>
                <w:sz w:val="17"/>
                <w:szCs w:val="17"/>
                <w:color w:val="auto"/>
              </w:rPr>
            </w:pPr>
          </w:p>
        </w:tc>
        <w:tc>
          <w:tcPr>
            <w:tcW w:w="7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7.50%</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8.00%</w:t>
            </w:r>
          </w:p>
        </w:tc>
        <w:tc>
          <w:tcPr>
            <w:tcW w:w="160" w:type="dxa"/>
            <w:vAlign w:val="bottom"/>
          </w:tcPr>
          <w:p>
            <w:pPr>
              <w:spacing w:after="0"/>
              <w:rPr>
                <w:sz w:val="17"/>
                <w:szCs w:val="17"/>
                <w:color w:val="auto"/>
              </w:rPr>
            </w:pPr>
          </w:p>
        </w:tc>
        <w:tc>
          <w:tcPr>
            <w:tcW w:w="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5.00%</w:t>
            </w:r>
          </w:p>
        </w:tc>
        <w:tc>
          <w:tcPr>
            <w:tcW w:w="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5.00%</w:t>
            </w: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5.50%</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gridSpan w:val="2"/>
            <w:shd w:val="clear" w:color="auto" w:fill="C0C0C0"/>
          </w:tcPr>
          <w:p>
            <w:pPr>
              <w:ind w:left="20"/>
              <w:spacing w:after="0" w:line="202" w:lineRule="exact"/>
              <w:rPr>
                <w:sz w:val="20"/>
                <w:szCs w:val="20"/>
                <w:color w:val="auto"/>
              </w:rPr>
            </w:pPr>
            <w:r>
              <w:rPr>
                <w:rFonts w:ascii="Arial" w:cs="Arial" w:eastAsia="Arial" w:hAnsi="Arial"/>
                <w:sz w:val="18"/>
                <w:szCs w:val="18"/>
                <w:color w:val="auto"/>
              </w:rPr>
              <w:t>Ultimate cost trend rate</w:t>
            </w:r>
          </w:p>
        </w:tc>
        <w:tc>
          <w:tcPr>
            <w:tcW w:w="76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rPr>
              <w:t>5.00%</w:t>
            </w:r>
          </w:p>
        </w:tc>
        <w:tc>
          <w:tcPr>
            <w:tcW w:w="940" w:type="dxa"/>
            <w:vAlign w:val="bottom"/>
            <w:gridSpan w:val="2"/>
            <w:shd w:val="clear" w:color="auto" w:fill="C0C0C0"/>
          </w:tcPr>
          <w:p>
            <w:pPr>
              <w:jc w:val="right"/>
              <w:spacing w:after="0" w:line="202" w:lineRule="exact"/>
              <w:rPr>
                <w:sz w:val="20"/>
                <w:szCs w:val="20"/>
                <w:color w:val="auto"/>
              </w:rPr>
            </w:pPr>
            <w:r>
              <w:rPr>
                <w:rFonts w:ascii="Arial" w:cs="Arial" w:eastAsia="Arial" w:hAnsi="Arial"/>
                <w:sz w:val="18"/>
                <w:szCs w:val="18"/>
                <w:color w:val="auto"/>
              </w:rPr>
              <w:t>5.00%</w:t>
            </w:r>
          </w:p>
        </w:tc>
        <w:tc>
          <w:tcPr>
            <w:tcW w:w="1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64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5.00%</w:t>
            </w:r>
          </w:p>
        </w:tc>
        <w:tc>
          <w:tcPr>
            <w:tcW w:w="900" w:type="dxa"/>
            <w:vAlign w:val="bottom"/>
            <w:gridSpan w:val="2"/>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rPr>
              <w:t>5.00%</w:t>
            </w:r>
          </w:p>
        </w:tc>
        <w:tc>
          <w:tcPr>
            <w:tcW w:w="960" w:type="dxa"/>
            <w:vAlign w:val="bottom"/>
            <w:gridSpan w:val="3"/>
            <w:shd w:val="clear" w:color="auto" w:fill="C0C0C0"/>
          </w:tcPr>
          <w:p>
            <w:pPr>
              <w:jc w:val="right"/>
              <w:spacing w:after="0" w:line="202" w:lineRule="exact"/>
              <w:rPr>
                <w:sz w:val="20"/>
                <w:szCs w:val="20"/>
                <w:color w:val="auto"/>
              </w:rPr>
            </w:pPr>
            <w:r>
              <w:rPr>
                <w:rFonts w:ascii="Arial" w:cs="Arial" w:eastAsia="Arial" w:hAnsi="Arial"/>
                <w:sz w:val="18"/>
                <w:szCs w:val="18"/>
                <w:color w:val="auto"/>
              </w:rPr>
              <w:t>5.00%</w:t>
            </w:r>
          </w:p>
        </w:tc>
        <w:tc>
          <w:tcPr>
            <w:tcW w:w="18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720" w:type="dxa"/>
            <w:vAlign w:val="bottom"/>
            <w:shd w:val="clear" w:color="auto" w:fill="C0C0C0"/>
          </w:tcPr>
          <w:p>
            <w:pPr>
              <w:jc w:val="right"/>
              <w:ind w:right="34"/>
              <w:spacing w:after="0" w:line="202" w:lineRule="exact"/>
              <w:rPr>
                <w:sz w:val="20"/>
                <w:szCs w:val="20"/>
                <w:color w:val="auto"/>
              </w:rPr>
            </w:pPr>
            <w:r>
              <w:rPr>
                <w:rFonts w:ascii="Arial" w:cs="Arial" w:eastAsia="Arial" w:hAnsi="Arial"/>
                <w:sz w:val="18"/>
                <w:szCs w:val="18"/>
                <w:color w:val="auto"/>
              </w:rPr>
              <w:t>5.00%</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6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Year that the ultimate cost trend rate is</w:t>
            </w:r>
          </w:p>
        </w:tc>
        <w:tc>
          <w:tcPr>
            <w:tcW w:w="760" w:type="dxa"/>
            <w:vAlign w:val="bottom"/>
          </w:tcPr>
          <w:p>
            <w:pPr>
              <w:jc w:val="right"/>
              <w:ind w:right="157"/>
              <w:spacing w:after="0" w:line="201" w:lineRule="exact"/>
              <w:rPr>
                <w:sz w:val="20"/>
                <w:szCs w:val="20"/>
                <w:color w:val="auto"/>
              </w:rPr>
            </w:pPr>
            <w:r>
              <w:rPr>
                <w:rFonts w:ascii="Arial" w:cs="Arial" w:eastAsia="Arial" w:hAnsi="Arial"/>
                <w:sz w:val="18"/>
                <w:szCs w:val="18"/>
                <w:b w:val="1"/>
                <w:bCs w:val="1"/>
                <w:color w:val="auto"/>
              </w:rPr>
              <w:t>2018</w:t>
            </w:r>
          </w:p>
        </w:tc>
        <w:tc>
          <w:tcPr>
            <w:tcW w:w="940" w:type="dxa"/>
            <w:vAlign w:val="bottom"/>
            <w:gridSpan w:val="2"/>
          </w:tcPr>
          <w:p>
            <w:pPr>
              <w:jc w:val="right"/>
              <w:ind w:right="150"/>
              <w:spacing w:after="0" w:line="201" w:lineRule="exact"/>
              <w:rPr>
                <w:sz w:val="20"/>
                <w:szCs w:val="20"/>
                <w:color w:val="auto"/>
              </w:rPr>
            </w:pPr>
            <w:r>
              <w:rPr>
                <w:rFonts w:ascii="Arial" w:cs="Arial" w:eastAsia="Arial" w:hAnsi="Arial"/>
                <w:sz w:val="18"/>
                <w:szCs w:val="18"/>
                <w:color w:val="auto"/>
              </w:rPr>
              <w:t>2018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154"/>
              <w:spacing w:after="0" w:line="201" w:lineRule="exact"/>
              <w:rPr>
                <w:sz w:val="20"/>
                <w:szCs w:val="20"/>
                <w:color w:val="auto"/>
              </w:rPr>
            </w:pPr>
            <w:r>
              <w:rPr>
                <w:rFonts w:ascii="Arial" w:cs="Arial" w:eastAsia="Arial" w:hAnsi="Arial"/>
                <w:sz w:val="18"/>
                <w:szCs w:val="18"/>
                <w:color w:val="auto"/>
                <w:w w:val="94"/>
              </w:rPr>
              <w:t>2018</w:t>
            </w:r>
          </w:p>
        </w:tc>
        <w:tc>
          <w:tcPr>
            <w:tcW w:w="900" w:type="dxa"/>
            <w:vAlign w:val="bottom"/>
            <w:gridSpan w:val="2"/>
          </w:tcPr>
          <w:p>
            <w:pPr>
              <w:jc w:val="right"/>
              <w:ind w:right="110"/>
              <w:spacing w:after="0" w:line="201" w:lineRule="exact"/>
              <w:rPr>
                <w:sz w:val="20"/>
                <w:szCs w:val="20"/>
                <w:color w:val="auto"/>
              </w:rPr>
            </w:pPr>
            <w:r>
              <w:rPr>
                <w:rFonts w:ascii="Arial" w:cs="Arial" w:eastAsia="Arial" w:hAnsi="Arial"/>
                <w:sz w:val="18"/>
                <w:szCs w:val="18"/>
                <w:b w:val="1"/>
                <w:bCs w:val="1"/>
                <w:color w:val="auto"/>
              </w:rPr>
              <w:t>2013</w:t>
            </w:r>
          </w:p>
        </w:tc>
        <w:tc>
          <w:tcPr>
            <w:tcW w:w="960" w:type="dxa"/>
            <w:vAlign w:val="bottom"/>
            <w:gridSpan w:val="3"/>
          </w:tcPr>
          <w:p>
            <w:pPr>
              <w:jc w:val="right"/>
              <w:ind w:right="150"/>
              <w:spacing w:after="0" w:line="201" w:lineRule="exact"/>
              <w:rPr>
                <w:sz w:val="20"/>
                <w:szCs w:val="20"/>
                <w:color w:val="auto"/>
              </w:rPr>
            </w:pPr>
            <w:r>
              <w:rPr>
                <w:rFonts w:ascii="Arial" w:cs="Arial" w:eastAsia="Arial" w:hAnsi="Arial"/>
                <w:sz w:val="18"/>
                <w:szCs w:val="18"/>
                <w:color w:val="auto"/>
              </w:rPr>
              <w:t>2013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194"/>
              <w:spacing w:after="0" w:line="201" w:lineRule="exact"/>
              <w:rPr>
                <w:sz w:val="20"/>
                <w:szCs w:val="20"/>
                <w:color w:val="auto"/>
              </w:rPr>
            </w:pPr>
            <w:r>
              <w:rPr>
                <w:rFonts w:ascii="Arial" w:cs="Arial" w:eastAsia="Arial" w:hAnsi="Arial"/>
                <w:sz w:val="18"/>
                <w:szCs w:val="18"/>
                <w:color w:val="auto"/>
              </w:rPr>
              <w:t>2013</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260" w:type="dxa"/>
            <w:vAlign w:val="bottom"/>
            <w:gridSpan w:val="2"/>
          </w:tcPr>
          <w:p>
            <w:pPr>
              <w:ind w:left="200"/>
              <w:spacing w:after="0"/>
              <w:rPr>
                <w:sz w:val="20"/>
                <w:szCs w:val="20"/>
                <w:color w:val="auto"/>
              </w:rPr>
            </w:pPr>
            <w:r>
              <w:rPr>
                <w:rFonts w:ascii="Arial" w:cs="Arial" w:eastAsia="Arial" w:hAnsi="Arial"/>
                <w:sz w:val="18"/>
                <w:szCs w:val="18"/>
                <w:color w:val="auto"/>
              </w:rPr>
              <w:t>reached</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0"/>
        </w:trPr>
        <w:tc>
          <w:tcPr>
            <w:tcW w:w="8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246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246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16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802" w:right="1139" w:bottom="1440" w:gutter="0" w:footer="0" w:header="0"/>
        </w:sectPr>
      </w:pPr>
    </w:p>
    <w:bookmarkStart w:id="64" w:name="page65"/>
    <w:bookmarkEnd w:id="6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21. Retirement Plans and Other Benefits – (continued)</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initial and ultimate cost trend rate assumptions were used to determine the net periodic cost under the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SERP Medical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56577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3260" w:type="dxa"/>
            <w:vAlign w:val="bottom"/>
          </w:tcPr>
          <w:p>
            <w:pPr>
              <w:spacing w:after="0"/>
              <w:rPr>
                <w:sz w:val="15"/>
                <w:szCs w:val="15"/>
                <w:color w:val="auto"/>
              </w:rPr>
            </w:pPr>
          </w:p>
        </w:tc>
        <w:tc>
          <w:tcPr>
            <w:tcW w:w="198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Medical Trend Rate</w:t>
            </w:r>
          </w:p>
        </w:tc>
        <w:tc>
          <w:tcPr>
            <w:tcW w:w="6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Dental Trend Rate</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60" w:type="dxa"/>
            <w:vAlign w:val="bottom"/>
            <w:vMerge w:val="restart"/>
          </w:tcPr>
          <w:p>
            <w:pPr>
              <w:ind w:left="20"/>
              <w:spacing w:after="0"/>
              <w:rPr>
                <w:sz w:val="20"/>
                <w:szCs w:val="20"/>
                <w:color w:val="auto"/>
              </w:rPr>
            </w:pPr>
            <w:r>
              <w:rPr>
                <w:rFonts w:ascii="Arial" w:cs="Arial" w:eastAsia="Arial" w:hAnsi="Arial"/>
                <w:sz w:val="18"/>
                <w:szCs w:val="18"/>
                <w:color w:val="auto"/>
              </w:rPr>
              <w:t>Initial cost trend rate</w:t>
            </w:r>
          </w:p>
        </w:tc>
        <w:tc>
          <w:tcPr>
            <w:tcW w:w="760" w:type="dxa"/>
            <w:vAlign w:val="bottom"/>
          </w:tcPr>
          <w:p>
            <w:pPr>
              <w:jc w:val="right"/>
              <w:ind w:right="137"/>
              <w:spacing w:after="0"/>
              <w:rPr>
                <w:sz w:val="20"/>
                <w:szCs w:val="20"/>
                <w:color w:val="auto"/>
              </w:rPr>
            </w:pPr>
            <w:r>
              <w:rPr>
                <w:rFonts w:ascii="Arial" w:cs="Arial" w:eastAsia="Arial" w:hAnsi="Arial"/>
                <w:sz w:val="14"/>
                <w:szCs w:val="14"/>
                <w:b w:val="1"/>
                <w:bCs w:val="1"/>
                <w:color w:val="auto"/>
              </w:rPr>
              <w:t>2013</w:t>
            </w:r>
          </w:p>
        </w:tc>
        <w:tc>
          <w:tcPr>
            <w:tcW w:w="94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34"/>
              <w:spacing w:after="0"/>
              <w:rPr>
                <w:sz w:val="20"/>
                <w:szCs w:val="20"/>
                <w:color w:val="auto"/>
              </w:rPr>
            </w:pPr>
            <w:r>
              <w:rPr>
                <w:rFonts w:ascii="Arial" w:cs="Arial" w:eastAsia="Arial" w:hAnsi="Arial"/>
                <w:sz w:val="14"/>
                <w:szCs w:val="14"/>
                <w:b w:val="1"/>
                <w:bCs w:val="1"/>
                <w:color w:val="auto"/>
              </w:rPr>
              <w:t>2011</w:t>
            </w:r>
          </w:p>
        </w:tc>
        <w:tc>
          <w:tcPr>
            <w:tcW w:w="90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2013</w:t>
            </w:r>
          </w:p>
        </w:tc>
        <w:tc>
          <w:tcPr>
            <w:tcW w:w="96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6"/>
        </w:trPr>
        <w:tc>
          <w:tcPr>
            <w:tcW w:w="3260" w:type="dxa"/>
            <w:vAlign w:val="bottom"/>
            <w:vMerge w:val="continue"/>
          </w:tcPr>
          <w:p>
            <w:pPr>
              <w:spacing w:after="0"/>
              <w:rPr>
                <w:sz w:val="17"/>
                <w:szCs w:val="17"/>
                <w:color w:val="auto"/>
              </w:rPr>
            </w:pPr>
          </w:p>
        </w:tc>
        <w:tc>
          <w:tcPr>
            <w:tcW w:w="7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7.50%</w:t>
            </w:r>
          </w:p>
        </w:tc>
        <w:tc>
          <w:tcPr>
            <w:tcW w:w="160" w:type="dxa"/>
            <w:vAlign w:val="bottom"/>
          </w:tcPr>
          <w:p>
            <w:pPr>
              <w:spacing w:after="0"/>
              <w:rPr>
                <w:sz w:val="17"/>
                <w:szCs w:val="17"/>
                <w:color w:val="auto"/>
              </w:rPr>
            </w:pPr>
          </w:p>
        </w:tc>
        <w:tc>
          <w:tcPr>
            <w:tcW w:w="7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8.00%</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8.50%</w:t>
            </w:r>
          </w:p>
        </w:tc>
        <w:tc>
          <w:tcPr>
            <w:tcW w:w="160" w:type="dxa"/>
            <w:vAlign w:val="bottom"/>
          </w:tcPr>
          <w:p>
            <w:pPr>
              <w:spacing w:after="0"/>
              <w:rPr>
                <w:sz w:val="17"/>
                <w:szCs w:val="17"/>
                <w:color w:val="auto"/>
              </w:rPr>
            </w:pPr>
          </w:p>
        </w:tc>
        <w:tc>
          <w:tcPr>
            <w:tcW w:w="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5.00%</w:t>
            </w:r>
          </w:p>
        </w:tc>
        <w:tc>
          <w:tcPr>
            <w:tcW w:w="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5.50%</w:t>
            </w: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03"/>
        </w:trPr>
        <w:tc>
          <w:tcPr>
            <w:tcW w:w="32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Ultimate cost trend rate</w:t>
            </w:r>
          </w:p>
        </w:tc>
        <w:tc>
          <w:tcPr>
            <w:tcW w:w="76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rPr>
              <w:t>5.00%</w:t>
            </w:r>
          </w:p>
        </w:tc>
        <w:tc>
          <w:tcPr>
            <w:tcW w:w="940" w:type="dxa"/>
            <w:vAlign w:val="bottom"/>
            <w:gridSpan w:val="2"/>
            <w:shd w:val="clear" w:color="auto" w:fill="C0C0C0"/>
          </w:tcPr>
          <w:p>
            <w:pPr>
              <w:jc w:val="right"/>
              <w:spacing w:after="0" w:line="202" w:lineRule="exact"/>
              <w:rPr>
                <w:sz w:val="20"/>
                <w:szCs w:val="20"/>
                <w:color w:val="auto"/>
              </w:rPr>
            </w:pPr>
            <w:r>
              <w:rPr>
                <w:rFonts w:ascii="Arial" w:cs="Arial" w:eastAsia="Arial" w:hAnsi="Arial"/>
                <w:sz w:val="18"/>
                <w:szCs w:val="18"/>
                <w:color w:val="auto"/>
              </w:rPr>
              <w:t>5.00%</w:t>
            </w:r>
          </w:p>
        </w:tc>
        <w:tc>
          <w:tcPr>
            <w:tcW w:w="1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64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5.00%</w:t>
            </w:r>
          </w:p>
        </w:tc>
        <w:tc>
          <w:tcPr>
            <w:tcW w:w="900" w:type="dxa"/>
            <w:vAlign w:val="bottom"/>
            <w:gridSpan w:val="2"/>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rPr>
              <w:t>5.00%</w:t>
            </w:r>
          </w:p>
        </w:tc>
        <w:tc>
          <w:tcPr>
            <w:tcW w:w="960" w:type="dxa"/>
            <w:vAlign w:val="bottom"/>
            <w:gridSpan w:val="3"/>
            <w:shd w:val="clear" w:color="auto" w:fill="C0C0C0"/>
          </w:tcPr>
          <w:p>
            <w:pPr>
              <w:jc w:val="right"/>
              <w:spacing w:after="0" w:line="202" w:lineRule="exact"/>
              <w:rPr>
                <w:sz w:val="20"/>
                <w:szCs w:val="20"/>
                <w:color w:val="auto"/>
              </w:rPr>
            </w:pPr>
            <w:r>
              <w:rPr>
                <w:rFonts w:ascii="Arial" w:cs="Arial" w:eastAsia="Arial" w:hAnsi="Arial"/>
                <w:sz w:val="18"/>
                <w:szCs w:val="18"/>
                <w:color w:val="auto"/>
              </w:rPr>
              <w:t>5.00%</w:t>
            </w:r>
          </w:p>
        </w:tc>
        <w:tc>
          <w:tcPr>
            <w:tcW w:w="18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720" w:type="dxa"/>
            <w:vAlign w:val="bottom"/>
            <w:shd w:val="clear" w:color="auto" w:fill="C0C0C0"/>
          </w:tcPr>
          <w:p>
            <w:pPr>
              <w:jc w:val="right"/>
              <w:ind w:right="34"/>
              <w:spacing w:after="0" w:line="202" w:lineRule="exact"/>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2"/>
        </w:trPr>
        <w:tc>
          <w:tcPr>
            <w:tcW w:w="3260" w:type="dxa"/>
            <w:vAlign w:val="bottom"/>
          </w:tcPr>
          <w:p>
            <w:pPr>
              <w:ind w:left="20"/>
              <w:spacing w:after="0" w:line="201" w:lineRule="exact"/>
              <w:rPr>
                <w:sz w:val="20"/>
                <w:szCs w:val="20"/>
                <w:color w:val="auto"/>
              </w:rPr>
            </w:pPr>
            <w:r>
              <w:rPr>
                <w:rFonts w:ascii="Arial" w:cs="Arial" w:eastAsia="Arial" w:hAnsi="Arial"/>
                <w:sz w:val="18"/>
                <w:szCs w:val="18"/>
                <w:color w:val="auto"/>
              </w:rPr>
              <w:t>Year that the ultimate cost trend rate is</w:t>
            </w:r>
          </w:p>
        </w:tc>
        <w:tc>
          <w:tcPr>
            <w:tcW w:w="760" w:type="dxa"/>
            <w:vAlign w:val="bottom"/>
          </w:tcPr>
          <w:p>
            <w:pPr>
              <w:jc w:val="right"/>
              <w:ind w:right="157"/>
              <w:spacing w:after="0" w:line="201" w:lineRule="exact"/>
              <w:rPr>
                <w:sz w:val="20"/>
                <w:szCs w:val="20"/>
                <w:color w:val="auto"/>
              </w:rPr>
            </w:pPr>
            <w:r>
              <w:rPr>
                <w:rFonts w:ascii="Arial" w:cs="Arial" w:eastAsia="Arial" w:hAnsi="Arial"/>
                <w:sz w:val="18"/>
                <w:szCs w:val="18"/>
                <w:b w:val="1"/>
                <w:bCs w:val="1"/>
                <w:color w:val="auto"/>
              </w:rPr>
              <w:t>2018</w:t>
            </w:r>
          </w:p>
        </w:tc>
        <w:tc>
          <w:tcPr>
            <w:tcW w:w="940" w:type="dxa"/>
            <w:vAlign w:val="bottom"/>
            <w:gridSpan w:val="2"/>
          </w:tcPr>
          <w:p>
            <w:pPr>
              <w:jc w:val="right"/>
              <w:ind w:right="150"/>
              <w:spacing w:after="0" w:line="201" w:lineRule="exact"/>
              <w:rPr>
                <w:sz w:val="20"/>
                <w:szCs w:val="20"/>
                <w:color w:val="auto"/>
              </w:rPr>
            </w:pPr>
            <w:r>
              <w:rPr>
                <w:rFonts w:ascii="Arial" w:cs="Arial" w:eastAsia="Arial" w:hAnsi="Arial"/>
                <w:sz w:val="18"/>
                <w:szCs w:val="18"/>
                <w:color w:val="auto"/>
              </w:rPr>
              <w:t>2018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154"/>
              <w:spacing w:after="0" w:line="201" w:lineRule="exact"/>
              <w:rPr>
                <w:sz w:val="20"/>
                <w:szCs w:val="20"/>
                <w:color w:val="auto"/>
              </w:rPr>
            </w:pPr>
            <w:r>
              <w:rPr>
                <w:rFonts w:ascii="Arial" w:cs="Arial" w:eastAsia="Arial" w:hAnsi="Arial"/>
                <w:sz w:val="18"/>
                <w:szCs w:val="18"/>
                <w:color w:val="auto"/>
                <w:w w:val="94"/>
              </w:rPr>
              <w:t>2016</w:t>
            </w:r>
          </w:p>
        </w:tc>
        <w:tc>
          <w:tcPr>
            <w:tcW w:w="900" w:type="dxa"/>
            <w:vAlign w:val="bottom"/>
            <w:gridSpan w:val="2"/>
          </w:tcPr>
          <w:p>
            <w:pPr>
              <w:jc w:val="right"/>
              <w:ind w:right="110"/>
              <w:spacing w:after="0" w:line="201" w:lineRule="exact"/>
              <w:rPr>
                <w:sz w:val="20"/>
                <w:szCs w:val="20"/>
                <w:color w:val="auto"/>
              </w:rPr>
            </w:pPr>
            <w:r>
              <w:rPr>
                <w:rFonts w:ascii="Arial" w:cs="Arial" w:eastAsia="Arial" w:hAnsi="Arial"/>
                <w:sz w:val="18"/>
                <w:szCs w:val="18"/>
                <w:b w:val="1"/>
                <w:bCs w:val="1"/>
                <w:color w:val="auto"/>
              </w:rPr>
              <w:t>2013</w:t>
            </w:r>
          </w:p>
        </w:tc>
        <w:tc>
          <w:tcPr>
            <w:tcW w:w="960" w:type="dxa"/>
            <w:vAlign w:val="bottom"/>
            <w:gridSpan w:val="3"/>
          </w:tcPr>
          <w:p>
            <w:pPr>
              <w:jc w:val="right"/>
              <w:ind w:right="150"/>
              <w:spacing w:after="0" w:line="201" w:lineRule="exact"/>
              <w:rPr>
                <w:sz w:val="20"/>
                <w:szCs w:val="20"/>
                <w:color w:val="auto"/>
              </w:rPr>
            </w:pPr>
            <w:r>
              <w:rPr>
                <w:rFonts w:ascii="Arial" w:cs="Arial" w:eastAsia="Arial" w:hAnsi="Arial"/>
                <w:sz w:val="18"/>
                <w:szCs w:val="18"/>
                <w:color w:val="auto"/>
              </w:rPr>
              <w:t>2013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194"/>
              <w:spacing w:after="0" w:line="201" w:lineRule="exact"/>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17"/>
        </w:trPr>
        <w:tc>
          <w:tcPr>
            <w:tcW w:w="3260" w:type="dxa"/>
            <w:vAlign w:val="bottom"/>
          </w:tcPr>
          <w:p>
            <w:pPr>
              <w:ind w:left="200"/>
              <w:spacing w:after="0"/>
              <w:rPr>
                <w:sz w:val="20"/>
                <w:szCs w:val="20"/>
                <w:color w:val="auto"/>
              </w:rPr>
            </w:pPr>
            <w:r>
              <w:rPr>
                <w:rFonts w:ascii="Arial" w:cs="Arial" w:eastAsia="Arial" w:hAnsi="Arial"/>
                <w:sz w:val="18"/>
                <w:szCs w:val="18"/>
                <w:color w:val="auto"/>
              </w:rPr>
              <w:t>reached</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one percentage-point change in the assumed health care cost trend rates would have the following effects on the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SERP Medical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56577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63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1% Increase</w:t>
            </w:r>
          </w:p>
        </w:tc>
        <w:tc>
          <w:tcPr>
            <w:tcW w:w="160" w:type="dxa"/>
            <w:vAlign w:val="bottom"/>
          </w:tcPr>
          <w:p>
            <w:pPr>
              <w:spacing w:after="0"/>
              <w:rPr>
                <w:sz w:val="15"/>
                <w:szCs w:val="15"/>
                <w:color w:val="auto"/>
              </w:rPr>
            </w:pPr>
          </w:p>
        </w:tc>
        <w:tc>
          <w:tcPr>
            <w:tcW w:w="1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1% (Decrease)</w:t>
            </w:r>
          </w:p>
        </w:tc>
      </w:tr>
      <w:tr>
        <w:trPr>
          <w:trHeight w:val="195"/>
        </w:trPr>
        <w:tc>
          <w:tcPr>
            <w:tcW w:w="6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(in millions)</w:t>
            </w:r>
          </w:p>
        </w:tc>
        <w:tc>
          <w:tcPr>
            <w:tcW w:w="660" w:type="dxa"/>
            <w:vAlign w:val="bottom"/>
          </w:tcPr>
          <w:p>
            <w:pPr>
              <w:spacing w:after="0"/>
              <w:rPr>
                <w:sz w:val="16"/>
                <w:szCs w:val="16"/>
                <w:color w:val="auto"/>
              </w:rPr>
            </w:pPr>
          </w:p>
        </w:tc>
      </w:tr>
      <w:tr>
        <w:trPr>
          <w:trHeight w:val="203"/>
        </w:trPr>
        <w:tc>
          <w:tcPr>
            <w:tcW w:w="6360" w:type="dxa"/>
            <w:vAlign w:val="bottom"/>
          </w:tcPr>
          <w:p>
            <w:pPr>
              <w:ind w:left="20"/>
              <w:spacing w:after="0" w:line="203" w:lineRule="exact"/>
              <w:rPr>
                <w:sz w:val="20"/>
                <w:szCs w:val="20"/>
                <w:color w:val="auto"/>
              </w:rPr>
            </w:pPr>
            <w:r>
              <w:rPr>
                <w:rFonts w:ascii="Arial" w:cs="Arial" w:eastAsia="Arial" w:hAnsi="Arial"/>
                <w:sz w:val="18"/>
                <w:szCs w:val="18"/>
                <w:color w:val="auto"/>
              </w:rPr>
              <w:t>Effect on total service and interest cost components</w:t>
            </w: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ind w:right="99"/>
              <w:spacing w:after="0" w:line="203"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48"/>
              <w:spacing w:after="0" w:line="203"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250"/>
              <w:spacing w:after="0" w:line="203" w:lineRule="exact"/>
              <w:rPr>
                <w:sz w:val="20"/>
                <w:szCs w:val="20"/>
                <w:color w:val="auto"/>
              </w:rPr>
            </w:pPr>
            <w:r>
              <w:rPr>
                <w:rFonts w:ascii="Arial" w:cs="Arial" w:eastAsia="Arial" w:hAnsi="Arial"/>
                <w:sz w:val="18"/>
                <w:szCs w:val="18"/>
                <w:color w:val="auto"/>
              </w:rPr>
              <w:t>—</w:t>
            </w:r>
          </w:p>
        </w:tc>
      </w:tr>
      <w:tr>
        <w:trPr>
          <w:trHeight w:val="203"/>
        </w:trPr>
        <w:tc>
          <w:tcPr>
            <w:tcW w:w="63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Effect on accumulated postretirement benefit obligation</w:t>
            </w:r>
          </w:p>
        </w:tc>
        <w:tc>
          <w:tcPr>
            <w:tcW w:w="120" w:type="dxa"/>
            <w:vAlign w:val="bottom"/>
            <w:shd w:val="clear" w:color="auto" w:fill="C0C0C0"/>
          </w:tcPr>
          <w:p>
            <w:pPr>
              <w:spacing w:after="0"/>
              <w:rPr>
                <w:sz w:val="17"/>
                <w:szCs w:val="17"/>
                <w:color w:val="auto"/>
              </w:rPr>
            </w:pPr>
          </w:p>
        </w:tc>
        <w:tc>
          <w:tcPr>
            <w:tcW w:w="960" w:type="dxa"/>
            <w:vAlign w:val="bottom"/>
            <w:shd w:val="clear" w:color="auto" w:fill="C0C0C0"/>
          </w:tcPr>
          <w:p>
            <w:pPr>
              <w:jc w:val="right"/>
              <w:ind w:right="99"/>
              <w:spacing w:after="0" w:line="202" w:lineRule="exact"/>
              <w:rPr>
                <w:sz w:val="20"/>
                <w:szCs w:val="20"/>
                <w:color w:val="auto"/>
              </w:rPr>
            </w:pPr>
            <w:r>
              <w:rPr>
                <w:rFonts w:ascii="Arial" w:cs="Arial" w:eastAsia="Arial" w:hAnsi="Arial"/>
                <w:sz w:val="18"/>
                <w:szCs w:val="18"/>
                <w:color w:val="auto"/>
              </w:rPr>
              <w:t>2</w:t>
            </w:r>
          </w:p>
        </w:tc>
        <w:tc>
          <w:tcPr>
            <w:tcW w:w="160" w:type="dxa"/>
            <w:vAlign w:val="bottom"/>
            <w:shd w:val="clear" w:color="auto" w:fill="C0C0C0"/>
          </w:tcPr>
          <w:p>
            <w:pPr>
              <w:spacing w:after="0"/>
              <w:rPr>
                <w:sz w:val="17"/>
                <w:szCs w:val="17"/>
                <w:color w:val="auto"/>
              </w:rPr>
            </w:pPr>
          </w:p>
        </w:tc>
        <w:tc>
          <w:tcPr>
            <w:tcW w:w="520" w:type="dxa"/>
            <w:vAlign w:val="bottom"/>
            <w:shd w:val="clear" w:color="auto" w:fill="C0C0C0"/>
          </w:tcPr>
          <w:p>
            <w:pPr>
              <w:spacing w:after="0"/>
              <w:rPr>
                <w:sz w:val="17"/>
                <w:szCs w:val="17"/>
                <w:color w:val="auto"/>
              </w:rPr>
            </w:pPr>
          </w:p>
        </w:tc>
        <w:tc>
          <w:tcPr>
            <w:tcW w:w="660" w:type="dxa"/>
            <w:vAlign w:val="bottom"/>
            <w:shd w:val="clear" w:color="auto" w:fill="C0C0C0"/>
          </w:tcPr>
          <w:p>
            <w:pPr>
              <w:jc w:val="right"/>
              <w:ind w:right="190"/>
              <w:spacing w:after="0" w:line="202" w:lineRule="exact"/>
              <w:rPr>
                <w:sz w:val="20"/>
                <w:szCs w:val="20"/>
                <w:color w:val="auto"/>
              </w:rPr>
            </w:pPr>
            <w:r>
              <w:rPr>
                <w:rFonts w:ascii="Arial" w:cs="Arial" w:eastAsia="Arial" w:hAnsi="Arial"/>
                <w:sz w:val="18"/>
                <w:szCs w:val="18"/>
                <w:color w:val="auto"/>
              </w:rPr>
              <w:t>(2)</w:t>
            </w:r>
          </w:p>
        </w:tc>
      </w:tr>
    </w:tbl>
    <w:p>
      <w:pPr>
        <w:spacing w:after="0" w:line="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Plan Assets</w:t>
      </w:r>
    </w:p>
    <w:p>
      <w:pPr>
        <w:spacing w:after="0" w:line="135" w:lineRule="exact"/>
        <w:rPr>
          <w:sz w:val="20"/>
          <w:szCs w:val="20"/>
          <w:color w:val="auto"/>
        </w:rPr>
      </w:pPr>
    </w:p>
    <w:p>
      <w:pPr>
        <w:jc w:val="both"/>
        <w:ind w:left="60" w:right="519"/>
        <w:spacing w:after="0" w:line="251" w:lineRule="auto"/>
        <w:rPr>
          <w:sz w:val="20"/>
          <w:szCs w:val="20"/>
          <w:color w:val="auto"/>
        </w:rPr>
      </w:pPr>
      <w:r>
        <w:rPr>
          <w:rFonts w:ascii="Arial" w:cs="Arial" w:eastAsia="Arial" w:hAnsi="Arial"/>
          <w:sz w:val="18"/>
          <w:szCs w:val="18"/>
          <w:color w:val="auto"/>
        </w:rPr>
        <w:t>During 2013, the target composition of the Company’s U.S. plan assets was 40 percent equity and 60 percent fixed-income securities. The Company may alter the targets from time to time depending on market conditions and the funding requirements of the pension plan. This current asset allocation will limit volatility with regard to the funded status of the plan, but will result in higher pension expense due to the lower long-term rate of return associated with fixed-income securities. Due to market conditions and other factors, actual asset allocations may vary from the target allocation outlined above. The Company believes that plan assets are invested in a prudent manner with an objective of providing a total return that, over the long term, provides sufficient assets to fund benefit obligations, taking into account the Company’s expected contributions and the level of risk deemed appropriate. The Company’s investment strategy seeks to utilize asset classes with differing rates of return, volatility, and correlation in order to reduce risk by providing diversification relative to equities. Diversification within asset classes is also utilized to ensure that there are no significant concentrations of risk in plan assets and to reduce the effect that the return on any single investment may have on the entire portfolio.</w:t>
      </w:r>
    </w:p>
    <w:p>
      <w:pPr>
        <w:spacing w:after="0" w:line="103"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The target composition of the Company’s Canadian plan assets is 95 percent debt securities and 5 percent equity. The Company believes that plan assets are invested in a prudent manner with the same overall objective and investment strategy as noted above for the U.S. pension plan. The bond portfolio is comprised of government and corporate bonds chosen to match the duration of the pension plan’s benefit payment obligations. This current asset allocation will limit future volatility with regard to the funded status of the plan. This allocation has resulted in higher pension expense due to the lower long-term rate of return associated with fixed-income securities.</w:t>
      </w:r>
    </w:p>
    <w:p>
      <w:pPr>
        <w:spacing w:after="0" w:line="10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assets related to the Runners Point Group pension plans were not significant.</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Valuation of Investments</w:t>
      </w:r>
    </w:p>
    <w:p>
      <w:pPr>
        <w:spacing w:after="0" w:line="135" w:lineRule="exact"/>
        <w:rPr>
          <w:sz w:val="20"/>
          <w:szCs w:val="20"/>
          <w:color w:val="auto"/>
        </w:rPr>
      </w:pPr>
    </w:p>
    <w:p>
      <w:pPr>
        <w:jc w:val="both"/>
        <w:ind w:left="60" w:right="519"/>
        <w:spacing w:after="0" w:line="256" w:lineRule="auto"/>
        <w:rPr>
          <w:sz w:val="20"/>
          <w:szCs w:val="20"/>
          <w:color w:val="auto"/>
        </w:rPr>
      </w:pPr>
      <w:r>
        <w:rPr>
          <w:rFonts w:ascii="Arial" w:cs="Arial" w:eastAsia="Arial" w:hAnsi="Arial"/>
          <w:sz w:val="18"/>
          <w:szCs w:val="18"/>
          <w:color w:val="auto"/>
        </w:rPr>
        <w:t>Significant portions of plan assets are invested in commingled trust funds. These funds are valued at the net asset value of units held by the plan at year end. Stocks traded on U.S. security exchanges are valued at closing market prices on the measurement date.</w:t>
      </w:r>
    </w:p>
    <w:p>
      <w:pPr>
        <w:spacing w:after="0" w:line="200" w:lineRule="exact"/>
        <w:rPr>
          <w:sz w:val="20"/>
          <w:szCs w:val="20"/>
          <w:color w:val="auto"/>
        </w:rPr>
      </w:pPr>
    </w:p>
    <w:p>
      <w:pPr>
        <w:spacing w:after="0" w:line="35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96520</wp:posOffset>
            </wp:positionV>
            <wp:extent cx="6114415" cy="596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65" w:name="page66"/>
    <w:bookmarkEnd w:id="6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21. Retirement Plans and Other Benefits – (continued)</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fair values of the Company’s U.S. pension plan assets at February 1, 2014 and February 2, 2013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63435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63435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4"/>
                <w:szCs w:val="14"/>
                <w:color w:val="auto"/>
              </w:rPr>
            </w:pPr>
          </w:p>
        </w:tc>
        <w:tc>
          <w:tcPr>
            <w:tcW w:w="560" w:type="dxa"/>
            <w:vAlign w:val="bottom"/>
          </w:tcPr>
          <w:p>
            <w:pPr>
              <w:jc w:val="right"/>
              <w:ind w:right="5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ind w:right="93"/>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7"/>
              </w:rPr>
              <w:t>Total*</w:t>
            </w:r>
          </w:p>
        </w:tc>
        <w:tc>
          <w:tcPr>
            <w:tcW w:w="0" w:type="dxa"/>
            <w:vAlign w:val="bottom"/>
          </w:tcPr>
          <w:p>
            <w:pPr>
              <w:spacing w:after="0"/>
              <w:rPr>
                <w:sz w:val="1"/>
                <w:szCs w:val="1"/>
                <w:color w:val="auto"/>
              </w:rPr>
            </w:pPr>
          </w:p>
        </w:tc>
      </w:tr>
      <w:tr>
        <w:trPr>
          <w:trHeight w:val="195"/>
        </w:trPr>
        <w:tc>
          <w:tcPr>
            <w:tcW w:w="3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4"/>
          </w:tcPr>
          <w:p>
            <w:pPr>
              <w:ind w:left="80"/>
              <w:spacing w:after="0"/>
              <w:rPr>
                <w:sz w:val="20"/>
                <w:szCs w:val="20"/>
                <w:color w:val="auto"/>
              </w:rPr>
            </w:pPr>
            <w:r>
              <w:rPr>
                <w:rFonts w:ascii="Arial" w:cs="Arial" w:eastAsia="Arial" w:hAnsi="Arial"/>
                <w:sz w:val="14"/>
                <w:szCs w:val="14"/>
                <w:b w:val="1"/>
                <w:bCs w:val="1"/>
                <w:color w:val="auto"/>
              </w:rPr>
              <w:t>(in millions)</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20" w:type="dxa"/>
            <w:vAlign w:val="bottom"/>
          </w:tcPr>
          <w:p>
            <w:pPr>
              <w:ind w:left="20"/>
              <w:spacing w:after="0" w:line="203" w:lineRule="exact"/>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880" w:type="dxa"/>
            <w:vAlign w:val="bottom"/>
            <w:gridSpan w:val="3"/>
          </w:tcPr>
          <w:p>
            <w:pPr>
              <w:ind w:left="400"/>
              <w:spacing w:after="0" w:line="203" w:lineRule="exact"/>
              <w:rPr>
                <w:sz w:val="20"/>
                <w:szCs w:val="20"/>
                <w:color w:val="auto"/>
              </w:rPr>
            </w:pPr>
            <w:r>
              <w:rPr>
                <w:rFonts w:ascii="Arial" w:cs="Arial" w:eastAsia="Arial" w:hAnsi="Arial"/>
                <w:sz w:val="18"/>
                <w:szCs w:val="18"/>
                <w:color w:val="auto"/>
              </w:rPr>
              <w:t>—</w:t>
            </w:r>
          </w:p>
        </w:tc>
        <w:tc>
          <w:tcPr>
            <w:tcW w:w="180" w:type="dxa"/>
            <w:vAlign w:val="bottom"/>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36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382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Equity securities:</w:t>
            </w:r>
          </w:p>
        </w:tc>
        <w:tc>
          <w:tcPr>
            <w:tcW w:w="140" w:type="dxa"/>
            <w:vAlign w:val="bottom"/>
            <w:shd w:val="clear" w:color="auto" w:fill="C0C0C0"/>
          </w:tcPr>
          <w:p>
            <w:pPr>
              <w:spacing w:after="0"/>
              <w:rPr>
                <w:sz w:val="17"/>
                <w:szCs w:val="17"/>
                <w:color w:val="auto"/>
              </w:rPr>
            </w:pPr>
          </w:p>
        </w:tc>
        <w:tc>
          <w:tcPr>
            <w:tcW w:w="600" w:type="dxa"/>
            <w:vAlign w:val="bottom"/>
            <w:tcBorders>
              <w:right w:val="single" w:sz="8" w:color="C0C0C0"/>
            </w:tcBorders>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5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0"/>
              <w:spacing w:after="0" w:line="243" w:lineRule="exact"/>
              <w:rPr>
                <w:sz w:val="20"/>
                <w:szCs w:val="20"/>
                <w:color w:val="auto"/>
              </w:rPr>
            </w:pPr>
            <w:r>
              <w:rPr>
                <w:rFonts w:ascii="Arial" w:cs="Arial" w:eastAsia="Arial" w:hAnsi="Arial"/>
                <w:sz w:val="17"/>
                <w:szCs w:val="17"/>
                <w:color w:val="auto"/>
              </w:rPr>
              <w:t>U.S. large-cap</w:t>
            </w:r>
            <w:r>
              <w:rPr>
                <w:rFonts w:ascii="Arial" w:cs="Arial" w:eastAsia="Arial" w:hAnsi="Arial"/>
                <w:sz w:val="28"/>
                <w:szCs w:val="28"/>
                <w:color w:val="auto"/>
                <w:vertAlign w:val="superscript"/>
              </w:rPr>
              <w:t>(1)</w:t>
            </w:r>
          </w:p>
        </w:tc>
        <w:tc>
          <w:tcPr>
            <w:tcW w:w="14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101</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3"/>
        </w:trPr>
        <w:tc>
          <w:tcPr>
            <w:tcW w:w="3820" w:type="dxa"/>
            <w:vAlign w:val="bottom"/>
            <w:shd w:val="clear" w:color="auto" w:fill="C0C0C0"/>
          </w:tcPr>
          <w:p>
            <w:pPr>
              <w:ind w:left="200"/>
              <w:spacing w:after="0" w:line="243" w:lineRule="exact"/>
              <w:rPr>
                <w:sz w:val="20"/>
                <w:szCs w:val="20"/>
                <w:color w:val="auto"/>
              </w:rPr>
            </w:pPr>
            <w:r>
              <w:rPr>
                <w:rFonts w:ascii="Arial" w:cs="Arial" w:eastAsia="Arial" w:hAnsi="Arial"/>
                <w:sz w:val="17"/>
                <w:szCs w:val="17"/>
                <w:color w:val="auto"/>
              </w:rPr>
              <w:t>U.S. mid-cap</w:t>
            </w:r>
            <w:r>
              <w:rPr>
                <w:rFonts w:ascii="Arial" w:cs="Arial" w:eastAsia="Arial" w:hAnsi="Arial"/>
                <w:sz w:val="28"/>
                <w:szCs w:val="28"/>
                <w:color w:val="auto"/>
                <w:vertAlign w:val="superscript"/>
              </w:rPr>
              <w:t>(1)</w:t>
            </w:r>
          </w:p>
        </w:tc>
        <w:tc>
          <w:tcPr>
            <w:tcW w:w="140" w:type="dxa"/>
            <w:vAlign w:val="bottom"/>
            <w:shd w:val="clear" w:color="auto" w:fill="C0C0C0"/>
          </w:tcPr>
          <w:p>
            <w:pPr>
              <w:spacing w:after="0"/>
              <w:rPr>
                <w:sz w:val="21"/>
                <w:szCs w:val="21"/>
                <w:color w:val="auto"/>
              </w:rPr>
            </w:pPr>
          </w:p>
        </w:tc>
        <w:tc>
          <w:tcPr>
            <w:tcW w:w="72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0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80" w:type="dxa"/>
            <w:vAlign w:val="bottom"/>
            <w:gridSpan w:val="3"/>
            <w:shd w:val="clear" w:color="auto" w:fill="C0C0C0"/>
          </w:tcPr>
          <w:p>
            <w:pPr>
              <w:ind w:lef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0C0C0"/>
          </w:tcPr>
          <w:p>
            <w:pPr>
              <w:spacing w:after="0"/>
              <w:rPr>
                <w:sz w:val="21"/>
                <w:szCs w:val="21"/>
                <w:color w:val="auto"/>
              </w:rPr>
            </w:pPr>
          </w:p>
        </w:tc>
        <w:tc>
          <w:tcPr>
            <w:tcW w:w="6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b w:val="1"/>
                <w:bCs w:val="1"/>
                <w:color w:val="auto"/>
              </w:rPr>
              <w:t>30</w:t>
            </w:r>
          </w:p>
        </w:tc>
        <w:tc>
          <w:tcPr>
            <w:tcW w:w="1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6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3820" w:type="dxa"/>
            <w:vAlign w:val="bottom"/>
          </w:tcPr>
          <w:p>
            <w:pPr>
              <w:ind w:left="200"/>
              <w:spacing w:after="0" w:line="243" w:lineRule="exact"/>
              <w:rPr>
                <w:sz w:val="20"/>
                <w:szCs w:val="20"/>
                <w:color w:val="auto"/>
              </w:rPr>
            </w:pPr>
            <w:r>
              <w:rPr>
                <w:rFonts w:ascii="Arial" w:cs="Arial" w:eastAsia="Arial" w:hAnsi="Arial"/>
                <w:sz w:val="17"/>
                <w:szCs w:val="17"/>
                <w:color w:val="auto"/>
              </w:rPr>
              <w:t>International</w:t>
            </w:r>
            <w:r>
              <w:rPr>
                <w:rFonts w:ascii="Arial" w:cs="Arial" w:eastAsia="Arial" w:hAnsi="Arial"/>
                <w:sz w:val="28"/>
                <w:szCs w:val="28"/>
                <w:color w:val="auto"/>
                <w:vertAlign w:val="superscript"/>
              </w:rPr>
              <w:t>(2)</w:t>
            </w:r>
          </w:p>
        </w:tc>
        <w:tc>
          <w:tcPr>
            <w:tcW w:w="14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67</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3820" w:type="dxa"/>
            <w:vAlign w:val="bottom"/>
            <w:shd w:val="clear" w:color="auto" w:fill="C0C0C0"/>
          </w:tcPr>
          <w:p>
            <w:pPr>
              <w:ind w:left="200"/>
              <w:spacing w:after="0" w:line="243" w:lineRule="exact"/>
              <w:rPr>
                <w:sz w:val="20"/>
                <w:szCs w:val="20"/>
                <w:color w:val="auto"/>
              </w:rPr>
            </w:pPr>
            <w:r>
              <w:rPr>
                <w:rFonts w:ascii="Arial" w:cs="Arial" w:eastAsia="Arial" w:hAnsi="Arial"/>
                <w:sz w:val="17"/>
                <w:szCs w:val="17"/>
                <w:color w:val="auto"/>
              </w:rPr>
              <w:t>Corporate stock</w:t>
            </w:r>
            <w:r>
              <w:rPr>
                <w:rFonts w:ascii="Arial" w:cs="Arial" w:eastAsia="Arial" w:hAnsi="Arial"/>
                <w:sz w:val="28"/>
                <w:szCs w:val="28"/>
                <w:color w:val="auto"/>
                <w:vertAlign w:val="superscript"/>
              </w:rPr>
              <w:t>(3)</w:t>
            </w:r>
          </w:p>
        </w:tc>
        <w:tc>
          <w:tcPr>
            <w:tcW w:w="140" w:type="dxa"/>
            <w:vAlign w:val="bottom"/>
            <w:shd w:val="clear" w:color="auto" w:fill="C0C0C0"/>
          </w:tcPr>
          <w:p>
            <w:pPr>
              <w:spacing w:after="0"/>
              <w:rPr>
                <w:sz w:val="21"/>
                <w:szCs w:val="21"/>
                <w:color w:val="auto"/>
              </w:rPr>
            </w:pPr>
          </w:p>
        </w:tc>
        <w:tc>
          <w:tcPr>
            <w:tcW w:w="600" w:type="dxa"/>
            <w:vAlign w:val="bottom"/>
            <w:tcBorders>
              <w:right w:val="single" w:sz="8" w:color="C0C0C0"/>
            </w:tcBorders>
            <w:shd w:val="clear" w:color="auto" w:fill="C0C0C0"/>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0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80" w:type="dxa"/>
            <w:vAlign w:val="bottom"/>
            <w:gridSpan w:val="3"/>
            <w:shd w:val="clear" w:color="auto" w:fill="C0C0C0"/>
          </w:tcPr>
          <w:p>
            <w:pPr>
              <w:ind w:lef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0C0C0"/>
          </w:tcPr>
          <w:p>
            <w:pPr>
              <w:spacing w:after="0"/>
              <w:rPr>
                <w:sz w:val="21"/>
                <w:szCs w:val="21"/>
                <w:color w:val="auto"/>
              </w:rPr>
            </w:pPr>
          </w:p>
        </w:tc>
        <w:tc>
          <w:tcPr>
            <w:tcW w:w="6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b w:val="1"/>
                <w:bCs w:val="1"/>
                <w:color w:val="auto"/>
              </w:rPr>
              <w:t>15</w:t>
            </w:r>
          </w:p>
        </w:tc>
        <w:tc>
          <w:tcPr>
            <w:tcW w:w="1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6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3820" w:type="dxa"/>
            <w:vAlign w:val="bottom"/>
          </w:tcPr>
          <w:p>
            <w:pPr>
              <w:ind w:left="20"/>
              <w:spacing w:after="0" w:line="202" w:lineRule="exact"/>
              <w:rPr>
                <w:sz w:val="20"/>
                <w:szCs w:val="20"/>
                <w:color w:val="auto"/>
              </w:rPr>
            </w:pPr>
            <w:r>
              <w:rPr>
                <w:rFonts w:ascii="Arial" w:cs="Arial" w:eastAsia="Arial" w:hAnsi="Arial"/>
                <w:sz w:val="18"/>
                <w:szCs w:val="18"/>
                <w:color w:val="auto"/>
              </w:rPr>
              <w:t>Fixed-income securities:</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20" w:type="dxa"/>
            <w:vAlign w:val="bottom"/>
            <w:shd w:val="clear" w:color="auto" w:fill="C0C0C0"/>
          </w:tcPr>
          <w:p>
            <w:pPr>
              <w:ind w:left="200"/>
              <w:spacing w:after="0" w:line="202" w:lineRule="exact"/>
              <w:rPr>
                <w:sz w:val="20"/>
                <w:szCs w:val="20"/>
                <w:color w:val="auto"/>
              </w:rPr>
            </w:pPr>
            <w:r>
              <w:rPr>
                <w:rFonts w:ascii="Arial" w:cs="Arial" w:eastAsia="Arial" w:hAnsi="Arial"/>
                <w:sz w:val="18"/>
                <w:szCs w:val="18"/>
                <w:color w:val="auto"/>
              </w:rPr>
              <w:t>Long duration corporate and government</w:t>
            </w:r>
          </w:p>
        </w:tc>
        <w:tc>
          <w:tcPr>
            <w:tcW w:w="140" w:type="dxa"/>
            <w:vAlign w:val="bottom"/>
            <w:shd w:val="clear" w:color="auto" w:fill="C0C0C0"/>
          </w:tcPr>
          <w:p>
            <w:pPr>
              <w:spacing w:after="0"/>
              <w:rPr>
                <w:sz w:val="17"/>
                <w:szCs w:val="17"/>
                <w:color w:val="auto"/>
              </w:rPr>
            </w:pPr>
          </w:p>
        </w:tc>
        <w:tc>
          <w:tcPr>
            <w:tcW w:w="72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70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236</w:t>
            </w:r>
          </w:p>
        </w:tc>
        <w:tc>
          <w:tcPr>
            <w:tcW w:w="18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880" w:type="dxa"/>
            <w:vAlign w:val="bottom"/>
            <w:gridSpan w:val="3"/>
            <w:shd w:val="clear" w:color="auto" w:fill="C0C0C0"/>
          </w:tcPr>
          <w:p>
            <w:pPr>
              <w:ind w:left="40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b w:val="1"/>
                <w:bCs w:val="1"/>
                <w:color w:val="auto"/>
              </w:rPr>
              <w:t>236</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44"/>
        </w:trPr>
        <w:tc>
          <w:tcPr>
            <w:tcW w:w="3820" w:type="dxa"/>
            <w:vAlign w:val="bottom"/>
            <w:shd w:val="clear" w:color="auto" w:fill="C0C0C0"/>
          </w:tcPr>
          <w:p>
            <w:pPr>
              <w:ind w:left="380"/>
              <w:spacing w:after="0" w:line="243" w:lineRule="exact"/>
              <w:rPr>
                <w:sz w:val="20"/>
                <w:szCs w:val="20"/>
                <w:color w:val="auto"/>
              </w:rPr>
            </w:pPr>
            <w:r>
              <w:rPr>
                <w:rFonts w:ascii="Arial" w:cs="Arial" w:eastAsia="Arial" w:hAnsi="Arial"/>
                <w:sz w:val="17"/>
                <w:szCs w:val="17"/>
                <w:color w:val="auto"/>
              </w:rPr>
              <w:t>bonds</w:t>
            </w:r>
            <w:r>
              <w:rPr>
                <w:rFonts w:ascii="Arial" w:cs="Arial" w:eastAsia="Arial" w:hAnsi="Arial"/>
                <w:sz w:val="28"/>
                <w:szCs w:val="28"/>
                <w:color w:val="auto"/>
                <w:vertAlign w:val="superscript"/>
              </w:rPr>
              <w:t>(4)</w:t>
            </w:r>
          </w:p>
        </w:tc>
        <w:tc>
          <w:tcPr>
            <w:tcW w:w="140" w:type="dxa"/>
            <w:vAlign w:val="bottom"/>
            <w:shd w:val="clear" w:color="auto" w:fill="C0C0C0"/>
          </w:tcPr>
          <w:p>
            <w:pPr>
              <w:spacing w:after="0"/>
              <w:rPr>
                <w:sz w:val="21"/>
                <w:szCs w:val="21"/>
                <w:color w:val="auto"/>
              </w:rPr>
            </w:pPr>
          </w:p>
        </w:tc>
        <w:tc>
          <w:tcPr>
            <w:tcW w:w="600" w:type="dxa"/>
            <w:vAlign w:val="bottom"/>
            <w:tcBorders>
              <w:right w:val="single" w:sz="8" w:color="C0C0C0"/>
            </w:tcBorders>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820" w:type="dxa"/>
            <w:vAlign w:val="bottom"/>
          </w:tcPr>
          <w:p>
            <w:pPr>
              <w:ind w:left="200"/>
              <w:spacing w:after="0" w:line="202" w:lineRule="exact"/>
              <w:rPr>
                <w:sz w:val="20"/>
                <w:szCs w:val="20"/>
                <w:color w:val="auto"/>
              </w:rPr>
            </w:pPr>
            <w:r>
              <w:rPr>
                <w:rFonts w:ascii="Arial" w:cs="Arial" w:eastAsia="Arial" w:hAnsi="Arial"/>
                <w:sz w:val="18"/>
                <w:szCs w:val="18"/>
                <w:color w:val="auto"/>
              </w:rPr>
              <w:t>Intermediate duration corporate and</w:t>
            </w:r>
          </w:p>
        </w:tc>
        <w:tc>
          <w:tcPr>
            <w:tcW w:w="140" w:type="dxa"/>
            <w:vAlign w:val="bottom"/>
          </w:tcPr>
          <w:p>
            <w:pPr>
              <w:spacing w:after="0"/>
              <w:rPr>
                <w:sz w:val="17"/>
                <w:szCs w:val="17"/>
                <w:color w:val="auto"/>
              </w:rPr>
            </w:pP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3"/>
          </w:tcPr>
          <w:p>
            <w:pPr>
              <w:ind w:left="4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105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4"/>
        </w:trPr>
        <w:tc>
          <w:tcPr>
            <w:tcW w:w="3820" w:type="dxa"/>
            <w:vAlign w:val="bottom"/>
          </w:tcPr>
          <w:p>
            <w:pPr>
              <w:ind w:left="380"/>
              <w:spacing w:after="0" w:line="243" w:lineRule="exact"/>
              <w:rPr>
                <w:sz w:val="20"/>
                <w:szCs w:val="20"/>
                <w:color w:val="auto"/>
              </w:rPr>
            </w:pPr>
            <w:r>
              <w:rPr>
                <w:rFonts w:ascii="Arial" w:cs="Arial" w:eastAsia="Arial" w:hAnsi="Arial"/>
                <w:sz w:val="17"/>
                <w:szCs w:val="17"/>
                <w:color w:val="auto"/>
              </w:rPr>
              <w:t>government bonds</w:t>
            </w:r>
            <w:r>
              <w:rPr>
                <w:rFonts w:ascii="Arial" w:cs="Arial" w:eastAsia="Arial" w:hAnsi="Arial"/>
                <w:sz w:val="28"/>
                <w:szCs w:val="28"/>
                <w:color w:val="auto"/>
                <w:vertAlign w:val="superscript"/>
              </w:rPr>
              <w:t>(5)</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Other types of investments:</w:t>
            </w:r>
          </w:p>
        </w:tc>
        <w:tc>
          <w:tcPr>
            <w:tcW w:w="140" w:type="dxa"/>
            <w:vAlign w:val="bottom"/>
            <w:shd w:val="clear" w:color="auto" w:fill="C0C0C0"/>
          </w:tcPr>
          <w:p>
            <w:pPr>
              <w:spacing w:after="0"/>
              <w:rPr>
                <w:sz w:val="17"/>
                <w:szCs w:val="17"/>
                <w:color w:val="auto"/>
              </w:rPr>
            </w:pPr>
          </w:p>
        </w:tc>
        <w:tc>
          <w:tcPr>
            <w:tcW w:w="600" w:type="dxa"/>
            <w:vAlign w:val="bottom"/>
            <w:tcBorders>
              <w:right w:val="single" w:sz="8" w:color="C0C0C0"/>
            </w:tcBorders>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5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0"/>
              <w:spacing w:after="0" w:line="243" w:lineRule="exact"/>
              <w:rPr>
                <w:sz w:val="20"/>
                <w:szCs w:val="20"/>
                <w:color w:val="auto"/>
              </w:rPr>
            </w:pPr>
            <w:r>
              <w:rPr>
                <w:rFonts w:ascii="Arial" w:cs="Arial" w:eastAsia="Arial" w:hAnsi="Arial"/>
                <w:sz w:val="17"/>
                <w:szCs w:val="17"/>
                <w:color w:val="auto"/>
              </w:rPr>
              <w:t>Real estate securities</w:t>
            </w:r>
            <w:r>
              <w:rPr>
                <w:rFonts w:ascii="Arial" w:cs="Arial" w:eastAsia="Arial" w:hAnsi="Arial"/>
                <w:sz w:val="28"/>
                <w:szCs w:val="28"/>
                <w:color w:val="auto"/>
                <w:vertAlign w:val="superscript"/>
              </w:rPr>
              <w:t>(6)</w:t>
            </w:r>
          </w:p>
        </w:tc>
        <w:tc>
          <w:tcPr>
            <w:tcW w:w="14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3820" w:type="dxa"/>
            <w:vAlign w:val="bottom"/>
            <w:shd w:val="clear" w:color="auto" w:fill="C0C0C0"/>
          </w:tcPr>
          <w:p>
            <w:pPr>
              <w:ind w:left="200"/>
              <w:spacing w:after="0" w:line="202" w:lineRule="exact"/>
              <w:rPr>
                <w:sz w:val="20"/>
                <w:szCs w:val="20"/>
                <w:color w:val="auto"/>
              </w:rPr>
            </w:pPr>
            <w:r>
              <w:rPr>
                <w:rFonts w:ascii="Arial" w:cs="Arial" w:eastAsia="Arial" w:hAnsi="Arial"/>
                <w:sz w:val="18"/>
                <w:szCs w:val="18"/>
                <w:color w:val="auto"/>
              </w:rPr>
              <w:t>Insurance contracts</w:t>
            </w:r>
          </w:p>
        </w:tc>
        <w:tc>
          <w:tcPr>
            <w:tcW w:w="140" w:type="dxa"/>
            <w:vAlign w:val="bottom"/>
            <w:shd w:val="clear" w:color="auto" w:fill="C0C0C0"/>
          </w:tcPr>
          <w:p>
            <w:pPr>
              <w:spacing w:after="0"/>
              <w:rPr>
                <w:sz w:val="17"/>
                <w:szCs w:val="17"/>
                <w:color w:val="auto"/>
              </w:rPr>
            </w:pPr>
          </w:p>
        </w:tc>
        <w:tc>
          <w:tcPr>
            <w:tcW w:w="72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70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18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880" w:type="dxa"/>
            <w:vAlign w:val="bottom"/>
            <w:gridSpan w:val="3"/>
            <w:shd w:val="clear" w:color="auto" w:fill="C0C0C0"/>
          </w:tcPr>
          <w:p>
            <w:pPr>
              <w:ind w:left="40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b w:val="1"/>
                <w:bCs w:val="1"/>
                <w:color w:val="auto"/>
              </w:rPr>
              <w:t>1</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82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tcBorders>
              <w:right w:val="single" w:sz="8" w:color="C0C0C0"/>
            </w:tcBorders>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8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tcPr>
          <w:p>
            <w:pPr>
              <w:ind w:left="20"/>
              <w:spacing w:after="0" w:line="196" w:lineRule="exact"/>
              <w:rPr>
                <w:sz w:val="20"/>
                <w:szCs w:val="20"/>
                <w:color w:val="auto"/>
              </w:rPr>
            </w:pPr>
            <w:r>
              <w:rPr>
                <w:rFonts w:ascii="Arial" w:cs="Arial" w:eastAsia="Arial" w:hAnsi="Arial"/>
                <w:sz w:val="18"/>
                <w:szCs w:val="18"/>
                <w:color w:val="auto"/>
              </w:rPr>
              <w:t>Total assets at fair value</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120" w:type="dxa"/>
            <w:vAlign w:val="bottom"/>
          </w:tcPr>
          <w:p>
            <w:pPr>
              <w:spacing w:after="0"/>
              <w:rPr>
                <w:sz w:val="17"/>
                <w:szCs w:val="17"/>
                <w:color w:val="auto"/>
              </w:rPr>
            </w:pPr>
          </w:p>
        </w:tc>
        <w:tc>
          <w:tcPr>
            <w:tcW w:w="3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560</w:t>
            </w: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3"/>
          </w:tcPr>
          <w:p>
            <w:pPr>
              <w:ind w:left="400"/>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68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color w:val="auto"/>
              </w:rPr>
              <w:t>575</w:t>
            </w:r>
          </w:p>
        </w:tc>
        <w:tc>
          <w:tcPr>
            <w:tcW w:w="3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-170815</wp:posOffset>
            </wp:positionV>
            <wp:extent cx="5634355" cy="1714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634355" cy="171450"/>
                    </a:xfrm>
                    <a:prstGeom prst="rect">
                      <a:avLst/>
                    </a:prstGeom>
                    <a:noFill/>
                  </pic:spPr>
                </pic:pic>
              </a:graphicData>
            </a:graphic>
          </wp:anchor>
        </w:drawing>
      </w:r>
    </w:p>
    <w:p>
      <w:pPr>
        <w:spacing w:after="0" w:line="93" w:lineRule="exact"/>
        <w:rPr>
          <w:sz w:val="20"/>
          <w:szCs w:val="20"/>
          <w:color w:val="auto"/>
        </w:rPr>
      </w:pPr>
    </w:p>
    <w:p>
      <w:pPr>
        <w:ind w:left="300" w:hanging="272"/>
        <w:spacing w:after="0"/>
        <w:tabs>
          <w:tab w:leader="none" w:pos="3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Each category of plan assets is classified within the same level of the fair value hierarchy for 2013 and 2012.</w:t>
      </w:r>
    </w:p>
    <w:p>
      <w:pPr>
        <w:spacing w:after="0" w:line="123" w:lineRule="exact"/>
        <w:rPr>
          <w:sz w:val="20"/>
          <w:szCs w:val="20"/>
          <w:color w:val="auto"/>
        </w:rPr>
      </w:pPr>
    </w:p>
    <w:p>
      <w:pPr>
        <w:ind w:left="300" w:right="519" w:hanging="272"/>
        <w:spacing w:after="0" w:line="278" w:lineRule="auto"/>
        <w:tabs>
          <w:tab w:leader="none" w:pos="3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These categories consist of various managed funds that invest primarily in common stocks, as well as other equity securities and a combination of other funds.</w:t>
      </w:r>
    </w:p>
    <w:p>
      <w:pPr>
        <w:spacing w:after="0" w:line="86" w:lineRule="exact"/>
        <w:rPr>
          <w:rFonts w:ascii="Arial" w:cs="Arial" w:eastAsia="Arial" w:hAnsi="Arial"/>
          <w:sz w:val="14"/>
          <w:szCs w:val="14"/>
          <w:color w:val="auto"/>
        </w:rPr>
      </w:pPr>
    </w:p>
    <w:p>
      <w:pPr>
        <w:ind w:left="300" w:right="539" w:hanging="272"/>
        <w:spacing w:after="0" w:line="278" w:lineRule="auto"/>
        <w:tabs>
          <w:tab w:leader="none" w:pos="3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category comprises three managed funds that invest primarily in international common stocks, as well as other equity securities and a combination of other funds.</w:t>
      </w:r>
    </w:p>
    <w:p>
      <w:pPr>
        <w:spacing w:after="0" w:line="86" w:lineRule="exact"/>
        <w:rPr>
          <w:rFonts w:ascii="Arial" w:cs="Arial" w:eastAsia="Arial" w:hAnsi="Arial"/>
          <w:sz w:val="14"/>
          <w:szCs w:val="14"/>
          <w:color w:val="auto"/>
        </w:rPr>
      </w:pPr>
    </w:p>
    <w:p>
      <w:pPr>
        <w:ind w:left="300" w:hanging="272"/>
        <w:spacing w:after="0"/>
        <w:tabs>
          <w:tab w:leader="none" w:pos="3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category consists of the Company’s common stock.</w:t>
      </w:r>
    </w:p>
    <w:p>
      <w:pPr>
        <w:spacing w:after="0" w:line="122" w:lineRule="exact"/>
        <w:rPr>
          <w:rFonts w:ascii="Arial" w:cs="Arial" w:eastAsia="Arial" w:hAnsi="Arial"/>
          <w:sz w:val="14"/>
          <w:szCs w:val="14"/>
          <w:color w:val="auto"/>
        </w:rPr>
      </w:pPr>
    </w:p>
    <w:p>
      <w:pPr>
        <w:ind w:left="300" w:right="519" w:hanging="272"/>
        <w:spacing w:after="0" w:line="278" w:lineRule="auto"/>
        <w:tabs>
          <w:tab w:leader="none" w:pos="3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category consists of various fixed-income funds that invest primarily in long-term bonds, as well as a combination of other funds, that together are designed to exceed the performance of related long-term market indices.</w:t>
      </w:r>
    </w:p>
    <w:p>
      <w:pPr>
        <w:spacing w:after="0" w:line="86" w:lineRule="exact"/>
        <w:rPr>
          <w:rFonts w:ascii="Arial" w:cs="Arial" w:eastAsia="Arial" w:hAnsi="Arial"/>
          <w:sz w:val="14"/>
          <w:szCs w:val="14"/>
          <w:color w:val="auto"/>
        </w:rPr>
      </w:pPr>
    </w:p>
    <w:p>
      <w:pPr>
        <w:ind w:left="300" w:right="539" w:hanging="272"/>
        <w:spacing w:after="0" w:line="278" w:lineRule="auto"/>
        <w:tabs>
          <w:tab w:leader="none" w:pos="3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category consists of a fixed-income fund that invests primarily in intermediate duration bonds, as well as a combination of other funds, that together are designed to track the performance of the Barclays Capital U.S. Intermediate Credit Index.</w:t>
      </w:r>
    </w:p>
    <w:p>
      <w:pPr>
        <w:spacing w:after="0" w:line="86" w:lineRule="exact"/>
        <w:rPr>
          <w:rFonts w:ascii="Arial" w:cs="Arial" w:eastAsia="Arial" w:hAnsi="Arial"/>
          <w:sz w:val="14"/>
          <w:szCs w:val="14"/>
          <w:color w:val="auto"/>
        </w:rPr>
      </w:pPr>
    </w:p>
    <w:p>
      <w:pPr>
        <w:ind w:left="300" w:hanging="272"/>
        <w:spacing w:after="0"/>
        <w:tabs>
          <w:tab w:leader="none" w:pos="3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category consists of one fund that invests in global real estate securities.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 Level 3 assets were held by the U.S. pension plan during 2013 and 2012.</w:t>
      </w:r>
    </w:p>
    <w:p>
      <w:pPr>
        <w:spacing w:after="0" w:line="117" w:lineRule="exact"/>
        <w:rPr>
          <w:sz w:val="20"/>
          <w:szCs w:val="20"/>
          <w:color w:val="auto"/>
        </w:rPr>
      </w:pPr>
    </w:p>
    <w:p>
      <w:pPr>
        <w:ind w:left="60" w:right="519"/>
        <w:spacing w:after="0" w:line="251" w:lineRule="auto"/>
        <w:rPr>
          <w:sz w:val="20"/>
          <w:szCs w:val="20"/>
          <w:color w:val="auto"/>
        </w:rPr>
      </w:pPr>
      <w:r>
        <w:rPr>
          <w:rFonts w:ascii="Arial" w:cs="Arial" w:eastAsia="Arial" w:hAnsi="Arial"/>
          <w:sz w:val="18"/>
          <w:szCs w:val="18"/>
          <w:color w:val="auto"/>
        </w:rPr>
        <w:t>The fair values of the Company’s Canadian pension plan assets at February 1, 2014 and February 2, 2013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-76200</wp:posOffset>
            </wp:positionV>
            <wp:extent cx="556577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ind w:right="116"/>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136"/>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38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00" w:type="dxa"/>
            <w:vAlign w:val="bottom"/>
          </w:tcPr>
          <w:p>
            <w:pPr>
              <w:ind w:left="20"/>
              <w:spacing w:after="0" w:line="203" w:lineRule="exact"/>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860" w:type="dxa"/>
            <w:vAlign w:val="bottom"/>
            <w:gridSpan w:val="2"/>
          </w:tcPr>
          <w:p>
            <w:pPr>
              <w:ind w:left="520"/>
              <w:spacing w:after="0" w:line="203" w:lineRule="exact"/>
              <w:rPr>
                <w:sz w:val="20"/>
                <w:szCs w:val="20"/>
                <w:color w:val="auto"/>
              </w:rPr>
            </w:pPr>
            <w:r>
              <w:rPr>
                <w:rFonts w:ascii="Arial" w:cs="Arial" w:eastAsia="Arial" w:hAnsi="Arial"/>
                <w:sz w:val="18"/>
                <w:szCs w:val="18"/>
                <w:color w:val="auto"/>
              </w:rPr>
              <w:t>—</w:t>
            </w:r>
          </w:p>
        </w:tc>
        <w:tc>
          <w:tcPr>
            <w:tcW w:w="380" w:type="dxa"/>
            <w:vAlign w:val="bottom"/>
            <w:gridSpan w:val="2"/>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38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310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Equity securities:</w:t>
            </w:r>
          </w:p>
        </w:tc>
        <w:tc>
          <w:tcPr>
            <w:tcW w:w="18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6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7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7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200"/>
              <w:spacing w:after="0" w:line="243" w:lineRule="exact"/>
              <w:rPr>
                <w:sz w:val="20"/>
                <w:szCs w:val="20"/>
                <w:color w:val="auto"/>
              </w:rPr>
            </w:pPr>
            <w:r>
              <w:rPr>
                <w:rFonts w:ascii="Arial" w:cs="Arial" w:eastAsia="Arial" w:hAnsi="Arial"/>
                <w:sz w:val="17"/>
                <w:szCs w:val="17"/>
                <w:color w:val="auto"/>
              </w:rPr>
              <w:t>Canadian and international</w:t>
            </w:r>
            <w:r>
              <w:rPr>
                <w:rFonts w:ascii="Arial" w:cs="Arial" w:eastAsia="Arial" w:hAnsi="Arial"/>
                <w:sz w:val="28"/>
                <w:szCs w:val="28"/>
                <w:color w:val="auto"/>
                <w:vertAlign w:val="superscript"/>
              </w:rPr>
              <w:t>(1)</w:t>
            </w:r>
          </w:p>
        </w:tc>
        <w:tc>
          <w:tcPr>
            <w:tcW w:w="180" w:type="dxa"/>
            <w:vAlign w:val="bottom"/>
          </w:tcPr>
          <w:p>
            <w:pPr>
              <w:spacing w:after="0"/>
              <w:rPr>
                <w:sz w:val="21"/>
                <w:szCs w:val="21"/>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310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Debt securities:</w:t>
            </w:r>
          </w:p>
        </w:tc>
        <w:tc>
          <w:tcPr>
            <w:tcW w:w="18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6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7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7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20"/>
              <w:spacing w:after="0" w:line="243" w:lineRule="exact"/>
              <w:rPr>
                <w:sz w:val="20"/>
                <w:szCs w:val="20"/>
                <w:color w:val="auto"/>
              </w:rPr>
            </w:pPr>
            <w:r>
              <w:rPr>
                <w:rFonts w:ascii="Arial" w:cs="Arial" w:eastAsia="Arial" w:hAnsi="Arial"/>
                <w:sz w:val="17"/>
                <w:szCs w:val="17"/>
                <w:color w:val="auto"/>
              </w:rPr>
              <w:t>Cash matched bonds</w:t>
            </w:r>
            <w:r>
              <w:rPr>
                <w:rFonts w:ascii="Arial" w:cs="Arial" w:eastAsia="Arial" w:hAnsi="Arial"/>
                <w:sz w:val="28"/>
                <w:szCs w:val="28"/>
                <w:color w:val="auto"/>
                <w:vertAlign w:val="superscript"/>
              </w:rPr>
              <w:t>(2)</w:t>
            </w:r>
          </w:p>
        </w:tc>
        <w:tc>
          <w:tcPr>
            <w:tcW w:w="180" w:type="dxa"/>
            <w:vAlign w:val="bottom"/>
          </w:tcPr>
          <w:p>
            <w:pPr>
              <w:spacing w:after="0"/>
              <w:rPr>
                <w:sz w:val="21"/>
                <w:szCs w:val="21"/>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70</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100" w:type="dxa"/>
            <w:vAlign w:val="bottom"/>
            <w:shd w:val="clear" w:color="auto" w:fill="C0C0C0"/>
          </w:tcPr>
          <w:p>
            <w:pPr>
              <w:ind w:left="20"/>
              <w:spacing w:after="0" w:line="196" w:lineRule="exact"/>
              <w:rPr>
                <w:sz w:val="20"/>
                <w:szCs w:val="20"/>
                <w:color w:val="auto"/>
              </w:rPr>
            </w:pPr>
            <w:r>
              <w:rPr>
                <w:rFonts w:ascii="Arial" w:cs="Arial" w:eastAsia="Arial" w:hAnsi="Arial"/>
                <w:sz w:val="18"/>
                <w:szCs w:val="18"/>
                <w:color w:val="auto"/>
              </w:rPr>
              <w:t>Total assets at fair value</w:t>
            </w:r>
          </w:p>
        </w:tc>
        <w:tc>
          <w:tcPr>
            <w:tcW w:w="18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0C0C0"/>
          </w:tcPr>
          <w:p>
            <w:pPr>
              <w:jc w:val="right"/>
              <w:ind w:right="180"/>
              <w:spacing w:after="0" w:line="196" w:lineRule="exact"/>
              <w:rPr>
                <w:sz w:val="20"/>
                <w:szCs w:val="20"/>
                <w:color w:val="auto"/>
              </w:rPr>
            </w:pPr>
            <w:r>
              <w:rPr>
                <w:rFonts w:ascii="Arial" w:cs="Arial" w:eastAsia="Arial" w:hAnsi="Arial"/>
                <w:sz w:val="18"/>
                <w:szCs w:val="18"/>
                <w:color w:val="auto"/>
              </w:rPr>
              <w:t>5</w:t>
            </w:r>
          </w:p>
        </w:tc>
        <w:tc>
          <w:tcPr>
            <w:tcW w:w="340" w:type="dxa"/>
            <w:vAlign w:val="bottom"/>
            <w:gridSpan w:val="2"/>
            <w:shd w:val="clear" w:color="auto" w:fill="C0C0C0"/>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0C0C0"/>
          </w:tcPr>
          <w:p>
            <w:pPr>
              <w:jc w:val="right"/>
              <w:ind w:right="160"/>
              <w:spacing w:after="0" w:line="196" w:lineRule="exact"/>
              <w:rPr>
                <w:sz w:val="20"/>
                <w:szCs w:val="20"/>
                <w:color w:val="auto"/>
              </w:rPr>
            </w:pPr>
            <w:r>
              <w:rPr>
                <w:rFonts w:ascii="Arial" w:cs="Arial" w:eastAsia="Arial" w:hAnsi="Arial"/>
                <w:sz w:val="18"/>
                <w:szCs w:val="18"/>
                <w:color w:val="auto"/>
              </w:rPr>
              <w:t>70</w:t>
            </w:r>
          </w:p>
        </w:tc>
        <w:tc>
          <w:tcPr>
            <w:tcW w:w="280" w:type="dxa"/>
            <w:vAlign w:val="bottom"/>
            <w:gridSpan w:val="2"/>
            <w:shd w:val="clear" w:color="auto" w:fill="C0C0C0"/>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0C0C0"/>
          </w:tcPr>
          <w:p>
            <w:pPr>
              <w:ind w:left="520"/>
              <w:spacing w:after="0" w:line="196"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0C0C0"/>
          </w:tcPr>
          <w:p>
            <w:pPr>
              <w:jc w:val="right"/>
              <w:ind w:right="100"/>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0C0C0"/>
          </w:tcPr>
          <w:p>
            <w:pPr>
              <w:jc w:val="right"/>
              <w:ind w:right="140"/>
              <w:spacing w:after="0" w:line="196" w:lineRule="exact"/>
              <w:rPr>
                <w:sz w:val="20"/>
                <w:szCs w:val="20"/>
                <w:color w:val="auto"/>
              </w:rPr>
            </w:pPr>
            <w:r>
              <w:rPr>
                <w:rFonts w:ascii="Arial" w:cs="Arial" w:eastAsia="Arial" w:hAnsi="Arial"/>
                <w:sz w:val="18"/>
                <w:szCs w:val="18"/>
                <w:b w:val="1"/>
                <w:bCs w:val="1"/>
                <w:color w:val="auto"/>
              </w:rPr>
              <w:t>75</w:t>
            </w:r>
          </w:p>
        </w:tc>
        <w:tc>
          <w:tcPr>
            <w:tcW w:w="380" w:type="dxa"/>
            <w:vAlign w:val="bottom"/>
            <w:gridSpan w:val="2"/>
            <w:shd w:val="clear" w:color="auto" w:fill="C0C0C0"/>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0C0C0"/>
          </w:tcPr>
          <w:p>
            <w:pPr>
              <w:jc w:val="right"/>
              <w:ind w:right="140"/>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3100" w:type="dxa"/>
            <w:vAlign w:val="bottom"/>
            <w:tcBorders>
              <w:top w:val="single" w:sz="8" w:color="C0C0C0"/>
            </w:tcBorders>
            <w:shd w:val="clear" w:color="auto" w:fill="C0C0C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0C0C0"/>
            </w:tcBorders>
            <w:shd w:val="clear" w:color="auto" w:fill="C0C0C0"/>
          </w:tcPr>
          <w:p>
            <w:pPr>
              <w:spacing w:after="0" w:line="20" w:lineRule="exact"/>
              <w:rPr>
                <w:sz w:val="1"/>
                <w:szCs w:val="1"/>
                <w:color w:val="auto"/>
              </w:rPr>
            </w:pPr>
          </w:p>
        </w:tc>
        <w:tc>
          <w:tcPr>
            <w:tcW w:w="18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565775" cy="342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565775" cy="34290"/>
                    </a:xfrm>
                    <a:prstGeom prst="rect">
                      <a:avLst/>
                    </a:prstGeom>
                    <a:noFill/>
                  </pic:spPr>
                </pic:pic>
              </a:graphicData>
            </a:graphic>
          </wp:anchor>
        </w:drawing>
      </w:r>
    </w:p>
    <w:p>
      <w:pPr>
        <w:spacing w:after="0" w:line="93" w:lineRule="exact"/>
        <w:rPr>
          <w:sz w:val="20"/>
          <w:szCs w:val="20"/>
          <w:color w:val="auto"/>
        </w:rPr>
      </w:pPr>
    </w:p>
    <w:p>
      <w:pPr>
        <w:ind w:left="300" w:hanging="272"/>
        <w:spacing w:after="0"/>
        <w:tabs>
          <w:tab w:leader="none" w:pos="3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Each category of plan assets is classified within the same level of the fair value hierarchy for 2013 and 2012.</w:t>
      </w:r>
    </w:p>
    <w:p>
      <w:pPr>
        <w:spacing w:after="0" w:line="122" w:lineRule="exact"/>
        <w:rPr>
          <w:rFonts w:ascii="Arial" w:cs="Arial" w:eastAsia="Arial" w:hAnsi="Arial"/>
          <w:sz w:val="14"/>
          <w:szCs w:val="14"/>
          <w:color w:val="auto"/>
        </w:rPr>
      </w:pPr>
    </w:p>
    <w:p>
      <w:pPr>
        <w:ind w:left="20"/>
        <w:spacing w:after="0"/>
        <w:rPr>
          <w:rFonts w:ascii="Arial" w:cs="Arial" w:eastAsia="Arial" w:hAnsi="Arial"/>
          <w:sz w:val="14"/>
          <w:szCs w:val="14"/>
          <w:color w:val="auto"/>
        </w:rPr>
      </w:pPr>
      <w:r>
        <w:rPr>
          <w:rFonts w:ascii="Arial" w:cs="Arial" w:eastAsia="Arial" w:hAnsi="Arial"/>
          <w:sz w:val="14"/>
          <w:szCs w:val="14"/>
          <w:color w:val="auto"/>
        </w:rPr>
        <w:t>(1) This category comprises one mutual fund that invests primarily in a diverse portfolio of Canadian securities.</w:t>
      </w:r>
    </w:p>
    <w:p>
      <w:pPr>
        <w:spacing w:after="0" w:line="123" w:lineRule="exact"/>
        <w:rPr>
          <w:sz w:val="20"/>
          <w:szCs w:val="20"/>
          <w:color w:val="auto"/>
        </w:rPr>
      </w:pPr>
    </w:p>
    <w:p>
      <w:pPr>
        <w:ind w:left="300" w:right="519" w:hanging="272"/>
        <w:spacing w:after="0" w:line="278" w:lineRule="auto"/>
        <w:tabs>
          <w:tab w:leader="none" w:pos="3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This category consists of fixed-income securities, including strips and coupons, issued or guaranteed by the Government of Canada, provinces or municipalities of Canada including their agencies and crown corporations, as well as other governmental bonds and corporate bonds.</w:t>
      </w:r>
    </w:p>
    <w:p>
      <w:pPr>
        <w:spacing w:after="0" w:line="200" w:lineRule="exact"/>
        <w:rPr>
          <w:sz w:val="20"/>
          <w:szCs w:val="20"/>
          <w:color w:val="auto"/>
        </w:rPr>
      </w:pPr>
    </w:p>
    <w:p>
      <w:pPr>
        <w:spacing w:after="0" w:line="34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96520</wp:posOffset>
            </wp:positionV>
            <wp:extent cx="6114415" cy="596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66" w:name="page67"/>
    <w:bookmarkEnd w:id="66"/>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21. Retirement Plans and Other Benefits – (continued)</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 Level 3 assets were held by the Canadian pension plan during 2013 and 2012.</w:t>
      </w:r>
    </w:p>
    <w:p>
      <w:pPr>
        <w:spacing w:after="0" w:line="117" w:lineRule="exact"/>
        <w:rPr>
          <w:sz w:val="20"/>
          <w:szCs w:val="20"/>
          <w:color w:val="auto"/>
        </w:rPr>
      </w:pPr>
    </w:p>
    <w:p>
      <w:pPr>
        <w:jc w:val="both"/>
        <w:ind w:left="60" w:right="519"/>
        <w:spacing w:after="0" w:line="253" w:lineRule="auto"/>
        <w:rPr>
          <w:sz w:val="20"/>
          <w:szCs w:val="20"/>
          <w:color w:val="auto"/>
        </w:rPr>
      </w:pPr>
      <w:r>
        <w:rPr>
          <w:rFonts w:ascii="Arial" w:cs="Arial" w:eastAsia="Arial" w:hAnsi="Arial"/>
          <w:sz w:val="18"/>
          <w:szCs w:val="18"/>
          <w:color w:val="auto"/>
        </w:rPr>
        <w:t>During 2013, the Company made contributions of $2 million to its Canadian qualified pension plans. The Company continuously evaluates the amount and timing of any future contributions. The Company expects to contribute $2 million in 2014 to the Canadian qualified plan. Additional contributions will depend on the plan asset performance and other factors. During 2013, the Company also paid $3 million in pension benefits related to its non-qualified pension plans.</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Estimated future benefit payments for each of the next five years and the five years thereafter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54863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54863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6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176"/>
              <w:spacing w:after="0"/>
              <w:rPr>
                <w:sz w:val="20"/>
                <w:szCs w:val="20"/>
                <w:color w:val="auto"/>
              </w:rPr>
            </w:pPr>
            <w:r>
              <w:rPr>
                <w:rFonts w:ascii="Arial" w:cs="Arial" w:eastAsia="Arial" w:hAnsi="Arial"/>
                <w:sz w:val="14"/>
                <w:szCs w:val="14"/>
                <w:b w:val="1"/>
                <w:bCs w:val="1"/>
                <w:color w:val="auto"/>
              </w:rPr>
              <w:t>Pension</w:t>
            </w:r>
          </w:p>
        </w:tc>
        <w:tc>
          <w:tcPr>
            <w:tcW w:w="160" w:type="dxa"/>
            <w:vAlign w:val="bottom"/>
          </w:tcPr>
          <w:p>
            <w:pPr>
              <w:spacing w:after="0"/>
              <w:rPr>
                <w:sz w:val="14"/>
                <w:szCs w:val="14"/>
                <w:color w:val="auto"/>
              </w:rPr>
            </w:pPr>
          </w:p>
        </w:tc>
        <w:tc>
          <w:tcPr>
            <w:tcW w:w="120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Postretirement</w:t>
            </w:r>
          </w:p>
        </w:tc>
      </w:tr>
      <w:tr>
        <w:trPr>
          <w:trHeight w:val="175"/>
        </w:trPr>
        <w:tc>
          <w:tcPr>
            <w:tcW w:w="6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Benefits</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Benefits</w:t>
            </w:r>
          </w:p>
        </w:tc>
      </w:tr>
      <w:tr>
        <w:trPr>
          <w:trHeight w:val="195"/>
        </w:trPr>
        <w:tc>
          <w:tcPr>
            <w:tcW w:w="6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gridSpan w:val="4"/>
          </w:tcPr>
          <w:p>
            <w:pPr>
              <w:jc w:val="right"/>
              <w:ind w:right="733"/>
              <w:spacing w:after="0"/>
              <w:rPr>
                <w:sz w:val="20"/>
                <w:szCs w:val="20"/>
                <w:color w:val="auto"/>
              </w:rPr>
            </w:pPr>
            <w:r>
              <w:rPr>
                <w:rFonts w:ascii="Arial" w:cs="Arial" w:eastAsia="Arial" w:hAnsi="Arial"/>
                <w:sz w:val="14"/>
                <w:szCs w:val="14"/>
                <w:b w:val="1"/>
                <w:bCs w:val="1"/>
                <w:color w:val="auto"/>
              </w:rPr>
              <w:t>(in millions)</w:t>
            </w:r>
          </w:p>
        </w:tc>
      </w:tr>
      <w:tr>
        <w:trPr>
          <w:trHeight w:val="203"/>
        </w:trPr>
        <w:tc>
          <w:tcPr>
            <w:tcW w:w="6340" w:type="dxa"/>
            <w:vAlign w:val="bottom"/>
          </w:tcPr>
          <w:p>
            <w:pPr>
              <w:ind w:left="20"/>
              <w:spacing w:after="0" w:line="203" w:lineRule="exact"/>
              <w:rPr>
                <w:sz w:val="20"/>
                <w:szCs w:val="20"/>
                <w:color w:val="auto"/>
              </w:rPr>
            </w:pPr>
            <w:r>
              <w:rPr>
                <w:rFonts w:ascii="Arial" w:cs="Arial" w:eastAsia="Arial" w:hAnsi="Arial"/>
                <w:sz w:val="18"/>
                <w:szCs w:val="18"/>
                <w:color w:val="auto"/>
              </w:rPr>
              <w:t>2014</w:t>
            </w: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96"/>
              <w:spacing w:after="0" w:line="203" w:lineRule="exact"/>
              <w:rPr>
                <w:sz w:val="20"/>
                <w:szCs w:val="20"/>
                <w:color w:val="auto"/>
              </w:rPr>
            </w:pPr>
            <w:r>
              <w:rPr>
                <w:rFonts w:ascii="Arial" w:cs="Arial" w:eastAsia="Arial" w:hAnsi="Arial"/>
                <w:sz w:val="18"/>
                <w:szCs w:val="18"/>
                <w:color w:val="auto"/>
              </w:rPr>
              <w:t>66</w:t>
            </w:r>
          </w:p>
        </w:tc>
        <w:tc>
          <w:tcPr>
            <w:tcW w:w="360" w:type="dxa"/>
            <w:vAlign w:val="bottom"/>
            <w:gridSpan w:val="2"/>
          </w:tcPr>
          <w:p>
            <w:pPr>
              <w:jc w:val="right"/>
              <w:ind w:right="28"/>
              <w:spacing w:after="0" w:line="203"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53"/>
              <w:spacing w:after="0" w:line="203" w:lineRule="exact"/>
              <w:rPr>
                <w:sz w:val="20"/>
                <w:szCs w:val="20"/>
                <w:color w:val="auto"/>
              </w:rPr>
            </w:pPr>
            <w:r>
              <w:rPr>
                <w:rFonts w:ascii="Arial" w:cs="Arial" w:eastAsia="Arial" w:hAnsi="Arial"/>
                <w:sz w:val="18"/>
                <w:szCs w:val="18"/>
                <w:color w:val="auto"/>
              </w:rPr>
              <w:t>1</w:t>
            </w:r>
          </w:p>
        </w:tc>
      </w:tr>
      <w:tr>
        <w:trPr>
          <w:trHeight w:val="203"/>
        </w:trPr>
        <w:tc>
          <w:tcPr>
            <w:tcW w:w="634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2015</w:t>
            </w:r>
          </w:p>
        </w:tc>
        <w:tc>
          <w:tcPr>
            <w:tcW w:w="180" w:type="dxa"/>
            <w:vAlign w:val="bottom"/>
            <w:shd w:val="clear" w:color="auto" w:fill="C0C0C0"/>
          </w:tcPr>
          <w:p>
            <w:pPr>
              <w:spacing w:after="0"/>
              <w:rPr>
                <w:sz w:val="17"/>
                <w:szCs w:val="17"/>
                <w:color w:val="auto"/>
              </w:rPr>
            </w:pPr>
          </w:p>
        </w:tc>
        <w:tc>
          <w:tcPr>
            <w:tcW w:w="900" w:type="dxa"/>
            <w:vAlign w:val="bottom"/>
            <w:shd w:val="clear" w:color="auto" w:fill="C0C0C0"/>
          </w:tcPr>
          <w:p>
            <w:pPr>
              <w:jc w:val="right"/>
              <w:ind w:right="96"/>
              <w:spacing w:after="0" w:line="202" w:lineRule="exact"/>
              <w:rPr>
                <w:sz w:val="20"/>
                <w:szCs w:val="20"/>
                <w:color w:val="auto"/>
              </w:rPr>
            </w:pPr>
            <w:r>
              <w:rPr>
                <w:rFonts w:ascii="Arial" w:cs="Arial" w:eastAsia="Arial" w:hAnsi="Arial"/>
                <w:sz w:val="18"/>
                <w:szCs w:val="18"/>
                <w:color w:val="auto"/>
              </w:rPr>
              <w:t>56</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000" w:type="dxa"/>
            <w:vAlign w:val="bottom"/>
            <w:shd w:val="clear" w:color="auto" w:fill="C0C0C0"/>
          </w:tcPr>
          <w:p>
            <w:pPr>
              <w:jc w:val="right"/>
              <w:ind w:right="153"/>
              <w:spacing w:after="0" w:line="202" w:lineRule="exact"/>
              <w:rPr>
                <w:sz w:val="20"/>
                <w:szCs w:val="20"/>
                <w:color w:val="auto"/>
              </w:rPr>
            </w:pPr>
            <w:r>
              <w:rPr>
                <w:rFonts w:ascii="Arial" w:cs="Arial" w:eastAsia="Arial" w:hAnsi="Arial"/>
                <w:sz w:val="18"/>
                <w:szCs w:val="18"/>
                <w:color w:val="auto"/>
              </w:rPr>
              <w:t>1</w:t>
            </w:r>
          </w:p>
        </w:tc>
      </w:tr>
      <w:tr>
        <w:trPr>
          <w:trHeight w:val="203"/>
        </w:trPr>
        <w:tc>
          <w:tcPr>
            <w:tcW w:w="6340" w:type="dxa"/>
            <w:vAlign w:val="bottom"/>
          </w:tcPr>
          <w:p>
            <w:pPr>
              <w:ind w:left="20"/>
              <w:spacing w:after="0" w:line="202" w:lineRule="exact"/>
              <w:rPr>
                <w:sz w:val="20"/>
                <w:szCs w:val="20"/>
                <w:color w:val="auto"/>
              </w:rPr>
            </w:pPr>
            <w:r>
              <w:rPr>
                <w:rFonts w:ascii="Arial" w:cs="Arial" w:eastAsia="Arial" w:hAnsi="Arial"/>
                <w:sz w:val="18"/>
                <w:szCs w:val="18"/>
                <w:color w:val="auto"/>
              </w:rPr>
              <w:t>2016</w:t>
            </w:r>
          </w:p>
        </w:tc>
        <w:tc>
          <w:tcPr>
            <w:tcW w:w="180" w:type="dxa"/>
            <w:vAlign w:val="bottom"/>
          </w:tcPr>
          <w:p>
            <w:pPr>
              <w:spacing w:after="0"/>
              <w:rPr>
                <w:sz w:val="17"/>
                <w:szCs w:val="17"/>
                <w:color w:val="auto"/>
              </w:rPr>
            </w:pPr>
          </w:p>
        </w:tc>
        <w:tc>
          <w:tcPr>
            <w:tcW w:w="900" w:type="dxa"/>
            <w:vAlign w:val="bottom"/>
          </w:tcPr>
          <w:p>
            <w:pPr>
              <w:jc w:val="right"/>
              <w:ind w:right="96"/>
              <w:spacing w:after="0" w:line="202" w:lineRule="exact"/>
              <w:rPr>
                <w:sz w:val="20"/>
                <w:szCs w:val="20"/>
                <w:color w:val="auto"/>
              </w:rPr>
            </w:pPr>
            <w:r>
              <w:rPr>
                <w:rFonts w:ascii="Arial" w:cs="Arial" w:eastAsia="Arial" w:hAnsi="Arial"/>
                <w:sz w:val="18"/>
                <w:szCs w:val="18"/>
                <w:color w:val="auto"/>
              </w:rPr>
              <w:t>55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1</w:t>
            </w:r>
          </w:p>
        </w:tc>
      </w:tr>
      <w:tr>
        <w:trPr>
          <w:trHeight w:val="203"/>
        </w:trPr>
        <w:tc>
          <w:tcPr>
            <w:tcW w:w="634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2017</w:t>
            </w:r>
          </w:p>
        </w:tc>
        <w:tc>
          <w:tcPr>
            <w:tcW w:w="180" w:type="dxa"/>
            <w:vAlign w:val="bottom"/>
            <w:shd w:val="clear" w:color="auto" w:fill="C0C0C0"/>
          </w:tcPr>
          <w:p>
            <w:pPr>
              <w:spacing w:after="0"/>
              <w:rPr>
                <w:sz w:val="17"/>
                <w:szCs w:val="17"/>
                <w:color w:val="auto"/>
              </w:rPr>
            </w:pPr>
          </w:p>
        </w:tc>
        <w:tc>
          <w:tcPr>
            <w:tcW w:w="900" w:type="dxa"/>
            <w:vAlign w:val="bottom"/>
            <w:shd w:val="clear" w:color="auto" w:fill="C0C0C0"/>
          </w:tcPr>
          <w:p>
            <w:pPr>
              <w:jc w:val="right"/>
              <w:ind w:right="96"/>
              <w:spacing w:after="0" w:line="202" w:lineRule="exact"/>
              <w:rPr>
                <w:sz w:val="20"/>
                <w:szCs w:val="20"/>
                <w:color w:val="auto"/>
              </w:rPr>
            </w:pPr>
            <w:r>
              <w:rPr>
                <w:rFonts w:ascii="Arial" w:cs="Arial" w:eastAsia="Arial" w:hAnsi="Arial"/>
                <w:sz w:val="18"/>
                <w:szCs w:val="18"/>
                <w:color w:val="auto"/>
              </w:rPr>
              <w:t>53</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000" w:type="dxa"/>
            <w:vAlign w:val="bottom"/>
            <w:shd w:val="clear" w:color="auto" w:fill="C0C0C0"/>
          </w:tcPr>
          <w:p>
            <w:pPr>
              <w:jc w:val="right"/>
              <w:ind w:right="153"/>
              <w:spacing w:after="0" w:line="202" w:lineRule="exact"/>
              <w:rPr>
                <w:sz w:val="20"/>
                <w:szCs w:val="20"/>
                <w:color w:val="auto"/>
              </w:rPr>
            </w:pPr>
            <w:r>
              <w:rPr>
                <w:rFonts w:ascii="Arial" w:cs="Arial" w:eastAsia="Arial" w:hAnsi="Arial"/>
                <w:sz w:val="18"/>
                <w:szCs w:val="18"/>
                <w:color w:val="auto"/>
              </w:rPr>
              <w:t>1</w:t>
            </w:r>
          </w:p>
        </w:tc>
      </w:tr>
      <w:tr>
        <w:trPr>
          <w:trHeight w:val="203"/>
        </w:trPr>
        <w:tc>
          <w:tcPr>
            <w:tcW w:w="6340" w:type="dxa"/>
            <w:vAlign w:val="bottom"/>
          </w:tcPr>
          <w:p>
            <w:pPr>
              <w:ind w:left="20"/>
              <w:spacing w:after="0" w:line="202" w:lineRule="exact"/>
              <w:rPr>
                <w:sz w:val="20"/>
                <w:szCs w:val="20"/>
                <w:color w:val="auto"/>
              </w:rPr>
            </w:pPr>
            <w:r>
              <w:rPr>
                <w:rFonts w:ascii="Arial" w:cs="Arial" w:eastAsia="Arial" w:hAnsi="Arial"/>
                <w:sz w:val="18"/>
                <w:szCs w:val="18"/>
                <w:color w:val="auto"/>
              </w:rPr>
              <w:t>2018</w:t>
            </w:r>
          </w:p>
        </w:tc>
        <w:tc>
          <w:tcPr>
            <w:tcW w:w="180" w:type="dxa"/>
            <w:vAlign w:val="bottom"/>
          </w:tcPr>
          <w:p>
            <w:pPr>
              <w:spacing w:after="0"/>
              <w:rPr>
                <w:sz w:val="17"/>
                <w:szCs w:val="17"/>
                <w:color w:val="auto"/>
              </w:rPr>
            </w:pPr>
          </w:p>
        </w:tc>
        <w:tc>
          <w:tcPr>
            <w:tcW w:w="900" w:type="dxa"/>
            <w:vAlign w:val="bottom"/>
          </w:tcPr>
          <w:p>
            <w:pPr>
              <w:jc w:val="right"/>
              <w:ind w:right="96"/>
              <w:spacing w:after="0" w:line="202" w:lineRule="exact"/>
              <w:rPr>
                <w:sz w:val="20"/>
                <w:szCs w:val="20"/>
                <w:color w:val="auto"/>
              </w:rPr>
            </w:pPr>
            <w:r>
              <w:rPr>
                <w:rFonts w:ascii="Arial" w:cs="Arial" w:eastAsia="Arial" w:hAnsi="Arial"/>
                <w:sz w:val="18"/>
                <w:szCs w:val="18"/>
                <w:color w:val="auto"/>
              </w:rPr>
              <w:t>52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1</w:t>
            </w:r>
          </w:p>
        </w:tc>
      </w:tr>
      <w:tr>
        <w:trPr>
          <w:trHeight w:val="203"/>
        </w:trPr>
        <w:tc>
          <w:tcPr>
            <w:tcW w:w="634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2019 – 2023</w:t>
            </w:r>
          </w:p>
        </w:tc>
        <w:tc>
          <w:tcPr>
            <w:tcW w:w="180" w:type="dxa"/>
            <w:vAlign w:val="bottom"/>
            <w:shd w:val="clear" w:color="auto" w:fill="C0C0C0"/>
          </w:tcPr>
          <w:p>
            <w:pPr>
              <w:spacing w:after="0"/>
              <w:rPr>
                <w:sz w:val="17"/>
                <w:szCs w:val="17"/>
                <w:color w:val="auto"/>
              </w:rPr>
            </w:pPr>
          </w:p>
        </w:tc>
        <w:tc>
          <w:tcPr>
            <w:tcW w:w="900" w:type="dxa"/>
            <w:vAlign w:val="bottom"/>
            <w:shd w:val="clear" w:color="auto" w:fill="C0C0C0"/>
          </w:tcPr>
          <w:p>
            <w:pPr>
              <w:jc w:val="right"/>
              <w:ind w:right="96"/>
              <w:spacing w:after="0" w:line="202" w:lineRule="exact"/>
              <w:rPr>
                <w:sz w:val="20"/>
                <w:szCs w:val="20"/>
                <w:color w:val="auto"/>
              </w:rPr>
            </w:pPr>
            <w:r>
              <w:rPr>
                <w:rFonts w:ascii="Arial" w:cs="Arial" w:eastAsia="Arial" w:hAnsi="Arial"/>
                <w:sz w:val="18"/>
                <w:szCs w:val="18"/>
                <w:color w:val="auto"/>
              </w:rPr>
              <w:t>241</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000" w:type="dxa"/>
            <w:vAlign w:val="bottom"/>
            <w:shd w:val="clear" w:color="auto" w:fill="C0C0C0"/>
          </w:tcPr>
          <w:p>
            <w:pPr>
              <w:jc w:val="right"/>
              <w:ind w:right="153"/>
              <w:spacing w:after="0" w:line="202" w:lineRule="exact"/>
              <w:rPr>
                <w:sz w:val="20"/>
                <w:szCs w:val="20"/>
                <w:color w:val="auto"/>
              </w:rPr>
            </w:pPr>
            <w:r>
              <w:rPr>
                <w:rFonts w:ascii="Arial" w:cs="Arial" w:eastAsia="Arial" w:hAnsi="Arial"/>
                <w:sz w:val="18"/>
                <w:szCs w:val="18"/>
                <w:color w:val="auto"/>
              </w:rPr>
              <w:t>5</w:t>
            </w:r>
          </w:p>
        </w:tc>
      </w:tr>
    </w:tbl>
    <w:p>
      <w:pPr>
        <w:spacing w:after="0" w:line="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Savings Plans</w:t>
      </w:r>
    </w:p>
    <w:p>
      <w:pPr>
        <w:spacing w:after="0" w:line="135" w:lineRule="exact"/>
        <w:rPr>
          <w:sz w:val="20"/>
          <w:szCs w:val="20"/>
          <w:color w:val="auto"/>
        </w:rPr>
      </w:pPr>
    </w:p>
    <w:p>
      <w:pPr>
        <w:jc w:val="both"/>
        <w:ind w:left="60" w:right="519"/>
        <w:spacing w:after="0" w:line="251" w:lineRule="auto"/>
        <w:rPr>
          <w:sz w:val="20"/>
          <w:szCs w:val="20"/>
          <w:color w:val="auto"/>
        </w:rPr>
      </w:pPr>
      <w:r>
        <w:rPr>
          <w:rFonts w:ascii="Arial" w:cs="Arial" w:eastAsia="Arial" w:hAnsi="Arial"/>
          <w:sz w:val="18"/>
          <w:szCs w:val="18"/>
          <w:color w:val="auto"/>
        </w:rPr>
        <w:t>The Company has two qualified savings plans, a 401(k) Plan that is available to employees whose primary place of employment is the U.S., and an 1165(e) Plan that is available to employees whose primary place of employment is in Puerto Rico. Both plans require that the employees have attained at least the age of twenty-one and have completed one year of service consisting of at least 1,000 hours in order to participate. As of January 1, 2014, the savings plans allow eligible employees to contribute up to 40 percent (maximum of $17,500) for the U.S. plan and $15,000 for the Puerto Rico plan of their compensation on a pre-tax basis. The Company matches 25 percent of the first 4 percent of the employees’ contributions with Company stock and such matching Company contributions are vested incrementally over the first 5 years of participation for both plans. The charge to operations for the Company’s matching contribution was $3 million in both 2013 and 2012 and $2 million in 2011.</w:t>
      </w:r>
    </w:p>
    <w:p>
      <w:pPr>
        <w:spacing w:after="0" w:line="123" w:lineRule="exact"/>
        <w:rPr>
          <w:sz w:val="20"/>
          <w:szCs w:val="20"/>
          <w:color w:val="auto"/>
        </w:rPr>
      </w:pPr>
    </w:p>
    <w:p>
      <w:pPr>
        <w:ind w:left="60" w:right="7279" w:firstLine="8"/>
        <w:spacing w:after="0" w:line="388" w:lineRule="auto"/>
        <w:tabs>
          <w:tab w:leader="none" w:pos="41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Share-Based Compensation </w:t>
      </w:r>
      <w:r>
        <w:rPr>
          <w:rFonts w:ascii="Arial" w:cs="Arial" w:eastAsia="Arial" w:hAnsi="Arial"/>
          <w:sz w:val="18"/>
          <w:szCs w:val="18"/>
          <w:i w:val="1"/>
          <w:iCs w:val="1"/>
          <w:color w:val="auto"/>
        </w:rPr>
        <w:t>Stock Awards</w:t>
      </w:r>
    </w:p>
    <w:p>
      <w:pPr>
        <w:spacing w:after="0" w:line="1" w:lineRule="exact"/>
        <w:rPr>
          <w:sz w:val="20"/>
          <w:szCs w:val="20"/>
          <w:color w:val="auto"/>
        </w:rPr>
      </w:pPr>
    </w:p>
    <w:p>
      <w:pPr>
        <w:jc w:val="both"/>
        <w:ind w:left="60" w:right="519"/>
        <w:spacing w:after="0" w:line="251" w:lineRule="auto"/>
        <w:rPr>
          <w:sz w:val="20"/>
          <w:szCs w:val="20"/>
          <w:color w:val="auto"/>
        </w:rPr>
      </w:pPr>
      <w:r>
        <w:rPr>
          <w:rFonts w:ascii="Arial" w:cs="Arial" w:eastAsia="Arial" w:hAnsi="Arial"/>
          <w:sz w:val="18"/>
          <w:szCs w:val="18"/>
          <w:color w:val="auto"/>
        </w:rPr>
        <w:t>Under the Company’s 2007 Stock Incentive Plan (the “2007 Stock Plan”), stock options, restricted stock, restricted stock units, stock appreciation rights, or other stock-based awards may be granted to officers and other employees of the Company, including its subsidiaries and operating divisions worldwide. Nonemployee directors are also eligible to receive awards under this plan. Options for employees become exercisable in substantially equal annual installments over a three-year period, beginning with the first anniversary of the date of grant of the option, unless a shorter or longer duration is established at the time of the option grant. Options for nonemployee directors become exercisable one year from the date of grant. On May 19, 2010, the 2007 Stock Plan was amended to increase the maximum number of shares of stock reserved for all awards to 12,000,000. The options terminate up to ten years from the date of grant.</w:t>
      </w:r>
    </w:p>
    <w:p>
      <w:pPr>
        <w:spacing w:after="0" w:line="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Employees Stock Purchase Plan</w:t>
      </w:r>
    </w:p>
    <w:p>
      <w:pPr>
        <w:spacing w:after="0" w:line="135" w:lineRule="exact"/>
        <w:rPr>
          <w:sz w:val="20"/>
          <w:szCs w:val="20"/>
          <w:color w:val="auto"/>
        </w:rPr>
      </w:pPr>
    </w:p>
    <w:p>
      <w:pPr>
        <w:jc w:val="both"/>
        <w:ind w:left="60" w:right="519"/>
        <w:spacing w:after="0" w:line="253" w:lineRule="auto"/>
        <w:rPr>
          <w:sz w:val="20"/>
          <w:szCs w:val="20"/>
          <w:color w:val="auto"/>
        </w:rPr>
      </w:pPr>
      <w:r>
        <w:rPr>
          <w:rFonts w:ascii="Arial" w:cs="Arial" w:eastAsia="Arial" w:hAnsi="Arial"/>
          <w:sz w:val="18"/>
          <w:szCs w:val="18"/>
          <w:color w:val="auto"/>
        </w:rPr>
        <w:t>In 2013, the Company adopted the 2013 Foot Locker Employees Stock Purchase Plan (“2013 ESPP”), whose terms are substantially the same as the 2003 Employees Stock Purchase Plan (“2003 ESPP”). Under the 2013 ESPP participating employees are able to contribute up to 10 percent of their annual compensation, not to exceed $ 25,000 in any plan year, through payroll deductions to acquire shares of the Company’s common stock at 85 percent of the lower market price on one of two specified dates in each plan year.</w:t>
      </w:r>
    </w:p>
    <w:p>
      <w:pPr>
        <w:spacing w:after="0" w:line="200" w:lineRule="exact"/>
        <w:rPr>
          <w:sz w:val="20"/>
          <w:szCs w:val="20"/>
          <w:color w:val="auto"/>
        </w:rPr>
      </w:pPr>
    </w:p>
    <w:p>
      <w:pPr>
        <w:spacing w:after="0" w:line="34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96520</wp:posOffset>
            </wp:positionV>
            <wp:extent cx="6114415" cy="596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67" w:name="page68"/>
    <w:bookmarkEnd w:id="6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800"/>
        <w:spacing w:after="0"/>
        <w:rPr>
          <w:sz w:val="20"/>
          <w:szCs w:val="20"/>
          <w:color w:val="auto"/>
        </w:rPr>
      </w:pPr>
      <w:r>
        <w:rPr>
          <w:rFonts w:ascii="Arial" w:cs="Arial" w:eastAsia="Arial" w:hAnsi="Arial"/>
          <w:sz w:val="22"/>
          <w:szCs w:val="22"/>
          <w:b w:val="1"/>
          <w:bCs w:val="1"/>
          <w:color w:val="auto"/>
        </w:rPr>
        <w:t>Foot Locker, Inc.</w:t>
      </w:r>
    </w:p>
    <w:p>
      <w:pPr>
        <w:jc w:val="center"/>
        <w:ind w:right="8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22. Share-Based Compensation – (continued)</w:t>
      </w:r>
    </w:p>
    <w:p>
      <w:pPr>
        <w:spacing w:after="0" w:line="139" w:lineRule="exact"/>
        <w:rPr>
          <w:sz w:val="20"/>
          <w:szCs w:val="20"/>
          <w:color w:val="auto"/>
        </w:rPr>
      </w:pPr>
    </w:p>
    <w:p>
      <w:pPr>
        <w:jc w:val="both"/>
        <w:ind w:left="60" w:right="840"/>
        <w:spacing w:after="0" w:line="254" w:lineRule="auto"/>
        <w:rPr>
          <w:sz w:val="20"/>
          <w:szCs w:val="20"/>
          <w:color w:val="auto"/>
        </w:rPr>
      </w:pPr>
      <w:r>
        <w:rPr>
          <w:rFonts w:ascii="Arial" w:cs="Arial" w:eastAsia="Arial" w:hAnsi="Arial"/>
          <w:sz w:val="18"/>
          <w:szCs w:val="18"/>
          <w:color w:val="auto"/>
        </w:rPr>
        <w:t>Under the 2013 ESPP, 3,000,000 shares of common stock will be available for purchase beginning June 2014. Under the 2003 ESPP, 775 participating employees purchased 133,077 shares in 2013, and 943 participating employees purchased 218,362 shares in 2012. To date, a total of 1,629,484 shares have been purchased under the 2003 ESPP and no further shares may be issued under this plan.</w:t>
      </w:r>
    </w:p>
    <w:p>
      <w:pPr>
        <w:spacing w:after="0" w:line="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Share-Based Compensation Expense</w:t>
      </w:r>
    </w:p>
    <w:p>
      <w:pPr>
        <w:spacing w:after="0" w:line="135" w:lineRule="exact"/>
        <w:rPr>
          <w:sz w:val="20"/>
          <w:szCs w:val="20"/>
          <w:color w:val="auto"/>
        </w:rPr>
      </w:pPr>
    </w:p>
    <w:p>
      <w:pPr>
        <w:jc w:val="both"/>
        <w:ind w:left="60" w:right="820"/>
        <w:spacing w:after="0" w:line="252" w:lineRule="auto"/>
        <w:rPr>
          <w:sz w:val="20"/>
          <w:szCs w:val="20"/>
          <w:color w:val="auto"/>
        </w:rPr>
      </w:pPr>
      <w:r>
        <w:rPr>
          <w:rFonts w:ascii="Arial" w:cs="Arial" w:eastAsia="Arial" w:hAnsi="Arial"/>
          <w:sz w:val="18"/>
          <w:szCs w:val="18"/>
          <w:color w:val="auto"/>
        </w:rPr>
        <w:t>Total compensation expense related to the Company’s share-based compensation plans was $25 million, $20 million, and $18 million for 2013, 2012, and 2011, respectively. The associated tax benefits recognized for 2013, 2012, and 2011 were $8 million, $6 million, and $6 million, respectively. Tax deductions in excess of the cumulative compensation cost recognized for share-based compensation arrangements were $9 million, $11 million, and $5 million for 2013, 2012, and 2011, respectively, and are classified as financing activities within the Consolidated Statements of Cash Flows.</w:t>
      </w:r>
    </w:p>
    <w:p>
      <w:pPr>
        <w:spacing w:after="0" w:line="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Valuation Model and Assumptions</w:t>
      </w:r>
    </w:p>
    <w:p>
      <w:pPr>
        <w:spacing w:after="0" w:line="135" w:lineRule="exact"/>
        <w:rPr>
          <w:sz w:val="20"/>
          <w:szCs w:val="20"/>
          <w:color w:val="auto"/>
        </w:rPr>
      </w:pPr>
    </w:p>
    <w:p>
      <w:pPr>
        <w:jc w:val="both"/>
        <w:ind w:left="60" w:right="820"/>
        <w:spacing w:after="0" w:line="256" w:lineRule="auto"/>
        <w:rPr>
          <w:sz w:val="20"/>
          <w:szCs w:val="20"/>
          <w:color w:val="auto"/>
        </w:rPr>
      </w:pPr>
      <w:r>
        <w:rPr>
          <w:rFonts w:ascii="Arial" w:cs="Arial" w:eastAsia="Arial" w:hAnsi="Arial"/>
          <w:sz w:val="18"/>
          <w:szCs w:val="18"/>
          <w:color w:val="auto"/>
        </w:rPr>
        <w:t>The Company uses a Black-Scholes option-pricing model to estimate the fair value of share-based awards. The Black-Scholes option-pricing model incorporates various and highly subjective assumptions, including expected term and expected volatility.</w:t>
      </w:r>
    </w:p>
    <w:p>
      <w:pPr>
        <w:spacing w:after="0" w:line="94" w:lineRule="exact"/>
        <w:rPr>
          <w:sz w:val="20"/>
          <w:szCs w:val="20"/>
          <w:color w:val="auto"/>
        </w:rPr>
      </w:pPr>
    </w:p>
    <w:p>
      <w:pPr>
        <w:jc w:val="both"/>
        <w:ind w:left="60" w:right="820"/>
        <w:spacing w:after="0" w:line="254" w:lineRule="auto"/>
        <w:rPr>
          <w:sz w:val="20"/>
          <w:szCs w:val="20"/>
          <w:color w:val="auto"/>
        </w:rPr>
      </w:pPr>
      <w:r>
        <w:rPr>
          <w:rFonts w:ascii="Arial" w:cs="Arial" w:eastAsia="Arial" w:hAnsi="Arial"/>
          <w:sz w:val="18"/>
          <w:szCs w:val="18"/>
          <w:color w:val="auto"/>
        </w:rPr>
        <w:t>The Company estimates the expected term of share-based awards granted using the Company’s historical exercise and post-vesting employment termination patterns, which it believes are representative of future behavior. The expected term for the employee stock purchase plan valuation is based on the length of each purchase period as measured at the beginning of the offering period, which is one year.</w:t>
      </w:r>
    </w:p>
    <w:p>
      <w:pPr>
        <w:spacing w:after="0" w:line="96" w:lineRule="exact"/>
        <w:rPr>
          <w:sz w:val="20"/>
          <w:szCs w:val="20"/>
          <w:color w:val="auto"/>
        </w:rPr>
      </w:pPr>
    </w:p>
    <w:p>
      <w:pPr>
        <w:jc w:val="both"/>
        <w:ind w:left="60" w:right="840"/>
        <w:spacing w:after="0" w:line="254" w:lineRule="auto"/>
        <w:rPr>
          <w:sz w:val="20"/>
          <w:szCs w:val="20"/>
          <w:color w:val="auto"/>
        </w:rPr>
      </w:pPr>
      <w:r>
        <w:rPr>
          <w:rFonts w:ascii="Arial" w:cs="Arial" w:eastAsia="Arial" w:hAnsi="Arial"/>
          <w:sz w:val="18"/>
          <w:szCs w:val="18"/>
          <w:color w:val="auto"/>
        </w:rPr>
        <w:t>The Company estimates the expected volatility of its common stock at the grant date using a weighted-average of the Company’s historical volatility and implied volatility from traded options on the Company’s common stock. The Company believes that the combination of historical volatility and implied volatility provides a better estimate of future stock price volatility.</w:t>
      </w:r>
    </w:p>
    <w:p>
      <w:pPr>
        <w:spacing w:after="0" w:line="96" w:lineRule="exact"/>
        <w:rPr>
          <w:sz w:val="20"/>
          <w:szCs w:val="20"/>
          <w:color w:val="auto"/>
        </w:rPr>
      </w:pPr>
    </w:p>
    <w:p>
      <w:pPr>
        <w:jc w:val="both"/>
        <w:ind w:left="60" w:right="820"/>
        <w:spacing w:after="0" w:line="256" w:lineRule="auto"/>
        <w:rPr>
          <w:sz w:val="20"/>
          <w:szCs w:val="20"/>
          <w:color w:val="auto"/>
        </w:rPr>
      </w:pPr>
      <w:r>
        <w:rPr>
          <w:rFonts w:ascii="Arial" w:cs="Arial" w:eastAsia="Arial" w:hAnsi="Arial"/>
          <w:sz w:val="18"/>
          <w:szCs w:val="18"/>
          <w:color w:val="auto"/>
        </w:rPr>
        <w:t>The risk-free interest rate assumption is determined using the Federal Reserve nominal rates for U.S. Treasury zero-coupon bonds with maturities similar to those of the expected term of the award being valued. The expected dividend yield is derived from the Company’s historical experience.</w:t>
      </w:r>
    </w:p>
    <w:p>
      <w:pPr>
        <w:spacing w:after="0" w:line="94" w:lineRule="exact"/>
        <w:rPr>
          <w:sz w:val="20"/>
          <w:szCs w:val="20"/>
          <w:color w:val="auto"/>
        </w:rPr>
      </w:pPr>
    </w:p>
    <w:p>
      <w:pPr>
        <w:jc w:val="both"/>
        <w:ind w:left="60" w:right="820"/>
        <w:spacing w:after="0" w:line="254" w:lineRule="auto"/>
        <w:rPr>
          <w:sz w:val="20"/>
          <w:szCs w:val="20"/>
          <w:color w:val="auto"/>
        </w:rPr>
      </w:pPr>
      <w:r>
        <w:rPr>
          <w:rFonts w:ascii="Arial" w:cs="Arial" w:eastAsia="Arial" w:hAnsi="Arial"/>
          <w:sz w:val="18"/>
          <w:szCs w:val="18"/>
          <w:color w:val="auto"/>
        </w:rPr>
        <w:t>The Company records stock-based compensation expense only for those awards expected to vest using an estimated forfeiture rate based on its historical pre-vesting forfeiture data. The Company estimates pre-vesting option forfeitures at the time of grant and periodically revises those estimates in subsequent periods if actual forfeitures differ from those estimates.</w:t>
      </w:r>
    </w:p>
    <w:p>
      <w:pPr>
        <w:spacing w:after="0" w:line="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shows the Company’s assumptions used to compute the share-based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56577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8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24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Stock Option Plans</w:t>
            </w:r>
          </w:p>
        </w:tc>
        <w:tc>
          <w:tcPr>
            <w:tcW w:w="6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1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Stock Purchase Plan</w:t>
            </w:r>
          </w:p>
        </w:tc>
        <w:tc>
          <w:tcPr>
            <w:tcW w:w="640" w:type="dxa"/>
            <w:vAlign w:val="bottom"/>
            <w:tcBorders>
              <w:bottom w:val="single" w:sz="8" w:color="auto"/>
            </w:tcBorders>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00" w:type="dxa"/>
            <w:vAlign w:val="bottom"/>
            <w:gridSpan w:val="2"/>
            <w:vMerge w:val="restart"/>
          </w:tcPr>
          <w:p>
            <w:pPr>
              <w:ind w:left="20"/>
              <w:spacing w:after="0"/>
              <w:rPr>
                <w:sz w:val="20"/>
                <w:szCs w:val="20"/>
                <w:color w:val="auto"/>
              </w:rPr>
            </w:pPr>
            <w:r>
              <w:rPr>
                <w:rFonts w:ascii="Arial" w:cs="Arial" w:eastAsia="Arial" w:hAnsi="Arial"/>
                <w:sz w:val="18"/>
                <w:szCs w:val="18"/>
                <w:color w:val="auto"/>
              </w:rPr>
              <w:t>Weighted-average risk free rate of</w:t>
            </w:r>
          </w:p>
        </w:tc>
        <w:tc>
          <w:tcPr>
            <w:tcW w:w="880" w:type="dxa"/>
            <w:vAlign w:val="bottom"/>
          </w:tcPr>
          <w:p>
            <w:pPr>
              <w:jc w:val="right"/>
              <w:ind w:right="195"/>
              <w:spacing w:after="0"/>
              <w:rPr>
                <w:sz w:val="20"/>
                <w:szCs w:val="20"/>
                <w:color w:val="auto"/>
              </w:rPr>
            </w:pPr>
            <w:r>
              <w:rPr>
                <w:rFonts w:ascii="Arial" w:cs="Arial" w:eastAsia="Arial" w:hAnsi="Arial"/>
                <w:sz w:val="14"/>
                <w:szCs w:val="14"/>
                <w:b w:val="1"/>
                <w:bCs w:val="1"/>
                <w:color w:val="auto"/>
              </w:rPr>
              <w:t>2013</w:t>
            </w:r>
          </w:p>
        </w:tc>
        <w:tc>
          <w:tcPr>
            <w:tcW w:w="104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94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2013</w:t>
            </w:r>
          </w:p>
        </w:tc>
        <w:tc>
          <w:tcPr>
            <w:tcW w:w="94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000" w:type="dxa"/>
            <w:vAlign w:val="bottom"/>
            <w:gridSpan w:val="2"/>
            <w:vMerge w:val="continue"/>
          </w:tcPr>
          <w:p>
            <w:pPr>
              <w:spacing w:after="0"/>
              <w:rPr>
                <w:sz w:val="16"/>
                <w:szCs w:val="16"/>
                <w:color w:val="auto"/>
              </w:rPr>
            </w:pPr>
          </w:p>
        </w:tc>
        <w:tc>
          <w:tcPr>
            <w:tcW w:w="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1.02%</w:t>
            </w:r>
          </w:p>
        </w:tc>
        <w:tc>
          <w:tcPr>
            <w:tcW w:w="160" w:type="dxa"/>
            <w:vAlign w:val="bottom"/>
          </w:tcPr>
          <w:p>
            <w:pPr>
              <w:spacing w:after="0"/>
              <w:rPr>
                <w:sz w:val="16"/>
                <w:szCs w:val="16"/>
                <w:color w:val="auto"/>
              </w:rPr>
            </w:pPr>
          </w:p>
        </w:tc>
        <w:tc>
          <w:tcPr>
            <w:tcW w:w="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1.49%</w:t>
            </w: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2.07%</w:t>
            </w:r>
          </w:p>
        </w:tc>
        <w:tc>
          <w:tcPr>
            <w:tcW w:w="160" w:type="dxa"/>
            <w:vAlign w:val="bottom"/>
          </w:tcPr>
          <w:p>
            <w:pPr>
              <w:spacing w:after="0"/>
              <w:rPr>
                <w:sz w:val="16"/>
                <w:szCs w:val="16"/>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0.17%</w:t>
            </w:r>
          </w:p>
        </w:tc>
        <w:tc>
          <w:tcPr>
            <w:tcW w:w="160" w:type="dxa"/>
            <w:vAlign w:val="bottom"/>
          </w:tcPr>
          <w:p>
            <w:pPr>
              <w:spacing w:after="0"/>
              <w:rPr>
                <w:sz w:val="16"/>
                <w:szCs w:val="16"/>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0.22%</w:t>
            </w:r>
          </w:p>
        </w:tc>
        <w:tc>
          <w:tcPr>
            <w:tcW w:w="1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0.31%</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00" w:type="dxa"/>
            <w:vAlign w:val="bottom"/>
            <w:gridSpan w:val="2"/>
          </w:tcPr>
          <w:p>
            <w:pPr>
              <w:ind w:left="200"/>
              <w:spacing w:after="0" w:line="203" w:lineRule="exact"/>
              <w:rPr>
                <w:sz w:val="20"/>
                <w:szCs w:val="20"/>
                <w:color w:val="auto"/>
              </w:rPr>
            </w:pPr>
            <w:r>
              <w:rPr>
                <w:rFonts w:ascii="Arial" w:cs="Arial" w:eastAsia="Arial" w:hAnsi="Arial"/>
                <w:sz w:val="18"/>
                <w:szCs w:val="18"/>
                <w:color w:val="auto"/>
              </w:rPr>
              <w:t>interest</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gridSpan w:val="2"/>
            <w:shd w:val="clear" w:color="auto" w:fill="C0C0C0"/>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88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rPr>
              <w:t>42%</w:t>
            </w:r>
          </w:p>
        </w:tc>
        <w:tc>
          <w:tcPr>
            <w:tcW w:w="1040" w:type="dxa"/>
            <w:vAlign w:val="bottom"/>
            <w:gridSpan w:val="2"/>
            <w:shd w:val="clear" w:color="auto" w:fill="C0C0C0"/>
          </w:tcPr>
          <w:p>
            <w:pPr>
              <w:jc w:val="right"/>
              <w:spacing w:after="0" w:line="202" w:lineRule="exact"/>
              <w:rPr>
                <w:sz w:val="20"/>
                <w:szCs w:val="20"/>
                <w:color w:val="auto"/>
              </w:rPr>
            </w:pPr>
            <w:r>
              <w:rPr>
                <w:rFonts w:ascii="Arial" w:cs="Arial" w:eastAsia="Arial" w:hAnsi="Arial"/>
                <w:sz w:val="18"/>
                <w:szCs w:val="18"/>
                <w:color w:val="auto"/>
              </w:rPr>
              <w:t>43%</w:t>
            </w: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62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45%</w:t>
            </w:r>
          </w:p>
        </w:tc>
        <w:tc>
          <w:tcPr>
            <w:tcW w:w="940" w:type="dxa"/>
            <w:vAlign w:val="bottom"/>
            <w:gridSpan w:val="2"/>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rPr>
              <w:t>40%</w:t>
            </w:r>
          </w:p>
        </w:tc>
        <w:tc>
          <w:tcPr>
            <w:tcW w:w="940" w:type="dxa"/>
            <w:vAlign w:val="bottom"/>
            <w:gridSpan w:val="2"/>
            <w:shd w:val="clear" w:color="auto" w:fill="C0C0C0"/>
          </w:tcPr>
          <w:p>
            <w:pPr>
              <w:jc w:val="right"/>
              <w:spacing w:after="0" w:line="202" w:lineRule="exact"/>
              <w:rPr>
                <w:sz w:val="20"/>
                <w:szCs w:val="20"/>
                <w:color w:val="auto"/>
              </w:rPr>
            </w:pPr>
            <w:r>
              <w:rPr>
                <w:rFonts w:ascii="Arial" w:cs="Arial" w:eastAsia="Arial" w:hAnsi="Arial"/>
                <w:sz w:val="18"/>
                <w:szCs w:val="18"/>
                <w:color w:val="auto"/>
              </w:rPr>
              <w:t>38%</w:t>
            </w:r>
          </w:p>
        </w:tc>
        <w:tc>
          <w:tcPr>
            <w:tcW w:w="1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64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37%</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0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Weighted-average expected award</w:t>
            </w:r>
          </w:p>
        </w:tc>
        <w:tc>
          <w:tcPr>
            <w:tcW w:w="880" w:type="dxa"/>
            <w:vAlign w:val="bottom"/>
          </w:tcPr>
          <w:p>
            <w:pPr>
              <w:jc w:val="right"/>
              <w:ind w:right="135"/>
              <w:spacing w:after="0" w:line="201" w:lineRule="exact"/>
              <w:rPr>
                <w:sz w:val="20"/>
                <w:szCs w:val="20"/>
                <w:color w:val="auto"/>
              </w:rPr>
            </w:pPr>
            <w:r>
              <w:rPr>
                <w:rFonts w:ascii="Arial" w:cs="Arial" w:eastAsia="Arial" w:hAnsi="Arial"/>
                <w:sz w:val="18"/>
                <w:szCs w:val="18"/>
                <w:b w:val="1"/>
                <w:bCs w:val="1"/>
                <w:color w:val="auto"/>
              </w:rPr>
              <w:t>6.0</w:t>
            </w:r>
          </w:p>
        </w:tc>
        <w:tc>
          <w:tcPr>
            <w:tcW w:w="1040" w:type="dxa"/>
            <w:vAlign w:val="bottom"/>
            <w:gridSpan w:val="2"/>
          </w:tcPr>
          <w:p>
            <w:pPr>
              <w:jc w:val="right"/>
              <w:ind w:right="130"/>
              <w:spacing w:after="0" w:line="201" w:lineRule="exact"/>
              <w:rPr>
                <w:sz w:val="20"/>
                <w:szCs w:val="20"/>
                <w:color w:val="auto"/>
              </w:rPr>
            </w:pPr>
            <w:r>
              <w:rPr>
                <w:rFonts w:ascii="Arial" w:cs="Arial" w:eastAsia="Arial" w:hAnsi="Arial"/>
                <w:sz w:val="18"/>
                <w:szCs w:val="18"/>
                <w:color w:val="auto"/>
              </w:rPr>
              <w:t>5.5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133"/>
              <w:spacing w:after="0" w:line="201" w:lineRule="exact"/>
              <w:rPr>
                <w:sz w:val="20"/>
                <w:szCs w:val="20"/>
                <w:color w:val="auto"/>
              </w:rPr>
            </w:pPr>
            <w:r>
              <w:rPr>
                <w:rFonts w:ascii="Arial" w:cs="Arial" w:eastAsia="Arial" w:hAnsi="Arial"/>
                <w:sz w:val="18"/>
                <w:szCs w:val="18"/>
                <w:color w:val="auto"/>
              </w:rPr>
              <w:t>5.0</w:t>
            </w:r>
          </w:p>
        </w:tc>
        <w:tc>
          <w:tcPr>
            <w:tcW w:w="940" w:type="dxa"/>
            <w:vAlign w:val="bottom"/>
            <w:gridSpan w:val="2"/>
          </w:tcPr>
          <w:p>
            <w:pPr>
              <w:jc w:val="right"/>
              <w:ind w:right="119"/>
              <w:spacing w:after="0" w:line="201" w:lineRule="exact"/>
              <w:rPr>
                <w:sz w:val="20"/>
                <w:szCs w:val="20"/>
                <w:color w:val="auto"/>
              </w:rPr>
            </w:pPr>
            <w:r>
              <w:rPr>
                <w:rFonts w:ascii="Arial" w:cs="Arial" w:eastAsia="Arial" w:hAnsi="Arial"/>
                <w:sz w:val="18"/>
                <w:szCs w:val="18"/>
                <w:b w:val="1"/>
                <w:bCs w:val="1"/>
                <w:color w:val="auto"/>
              </w:rPr>
              <w:t>1.0</w:t>
            </w:r>
          </w:p>
        </w:tc>
        <w:tc>
          <w:tcPr>
            <w:tcW w:w="940" w:type="dxa"/>
            <w:vAlign w:val="bottom"/>
            <w:gridSpan w:val="2"/>
          </w:tcPr>
          <w:p>
            <w:pPr>
              <w:jc w:val="right"/>
              <w:ind w:right="110"/>
              <w:spacing w:after="0" w:line="201" w:lineRule="exact"/>
              <w:rPr>
                <w:sz w:val="20"/>
                <w:szCs w:val="20"/>
                <w:color w:val="auto"/>
              </w:rPr>
            </w:pPr>
            <w:r>
              <w:rPr>
                <w:rFonts w:ascii="Arial" w:cs="Arial" w:eastAsia="Arial" w:hAnsi="Arial"/>
                <w:sz w:val="18"/>
                <w:szCs w:val="18"/>
                <w:color w:val="auto"/>
              </w:rPr>
              <w:t>1.0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ind w:right="153"/>
              <w:spacing w:after="0" w:line="201" w:lineRule="exact"/>
              <w:rPr>
                <w:sz w:val="20"/>
                <w:szCs w:val="20"/>
                <w:color w:val="auto"/>
              </w:rPr>
            </w:pPr>
            <w:r>
              <w:rPr>
                <w:rFonts w:ascii="Arial" w:cs="Arial" w:eastAsia="Arial" w:hAnsi="Arial"/>
                <w:sz w:val="18"/>
                <w:szCs w:val="18"/>
                <w:color w:val="auto"/>
              </w:rPr>
              <w:t>1.0</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life</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gridSpan w:val="2"/>
          </w:tcPr>
          <w:p>
            <w:pPr>
              <w:ind w:left="200"/>
              <w:spacing w:after="0" w:line="203" w:lineRule="exact"/>
              <w:rPr>
                <w:sz w:val="20"/>
                <w:szCs w:val="20"/>
                <w:color w:val="auto"/>
              </w:rPr>
            </w:pPr>
            <w:r>
              <w:rPr>
                <w:rFonts w:ascii="Arial" w:cs="Arial" w:eastAsia="Arial" w:hAnsi="Arial"/>
                <w:sz w:val="18"/>
                <w:szCs w:val="18"/>
                <w:color w:val="auto"/>
              </w:rPr>
              <w:t>(in years)</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gridSpan w:val="2"/>
            <w:shd w:val="clear" w:color="auto" w:fill="C0C0C0"/>
          </w:tcPr>
          <w:p>
            <w:pPr>
              <w:ind w:left="20"/>
              <w:spacing w:after="0" w:line="202" w:lineRule="exact"/>
              <w:rPr>
                <w:sz w:val="20"/>
                <w:szCs w:val="20"/>
                <w:color w:val="auto"/>
              </w:rPr>
            </w:pPr>
            <w:r>
              <w:rPr>
                <w:rFonts w:ascii="Arial" w:cs="Arial" w:eastAsia="Arial" w:hAnsi="Arial"/>
                <w:sz w:val="18"/>
                <w:szCs w:val="18"/>
                <w:color w:val="auto"/>
              </w:rPr>
              <w:t>Dividend yield</w:t>
            </w:r>
          </w:p>
        </w:tc>
        <w:tc>
          <w:tcPr>
            <w:tcW w:w="88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rPr>
              <w:t>2.3%</w:t>
            </w:r>
          </w:p>
        </w:tc>
        <w:tc>
          <w:tcPr>
            <w:tcW w:w="1040" w:type="dxa"/>
            <w:vAlign w:val="bottom"/>
            <w:gridSpan w:val="2"/>
            <w:shd w:val="clear" w:color="auto" w:fill="C0C0C0"/>
          </w:tcPr>
          <w:p>
            <w:pPr>
              <w:jc w:val="right"/>
              <w:spacing w:after="0" w:line="202" w:lineRule="exact"/>
              <w:rPr>
                <w:sz w:val="20"/>
                <w:szCs w:val="20"/>
                <w:color w:val="auto"/>
              </w:rPr>
            </w:pPr>
            <w:r>
              <w:rPr>
                <w:rFonts w:ascii="Arial" w:cs="Arial" w:eastAsia="Arial" w:hAnsi="Arial"/>
                <w:sz w:val="18"/>
                <w:szCs w:val="18"/>
                <w:color w:val="auto"/>
              </w:rPr>
              <w:t>2.3%</w:t>
            </w: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62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3.5%</w:t>
            </w:r>
          </w:p>
        </w:tc>
        <w:tc>
          <w:tcPr>
            <w:tcW w:w="940" w:type="dxa"/>
            <w:vAlign w:val="bottom"/>
            <w:gridSpan w:val="2"/>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rPr>
              <w:t>2.3%</w:t>
            </w:r>
          </w:p>
        </w:tc>
        <w:tc>
          <w:tcPr>
            <w:tcW w:w="940" w:type="dxa"/>
            <w:vAlign w:val="bottom"/>
            <w:gridSpan w:val="2"/>
            <w:shd w:val="clear" w:color="auto" w:fill="C0C0C0"/>
          </w:tcPr>
          <w:p>
            <w:pPr>
              <w:jc w:val="right"/>
              <w:spacing w:after="0" w:line="202" w:lineRule="exact"/>
              <w:rPr>
                <w:sz w:val="20"/>
                <w:szCs w:val="20"/>
                <w:color w:val="auto"/>
              </w:rPr>
            </w:pPr>
            <w:r>
              <w:rPr>
                <w:rFonts w:ascii="Arial" w:cs="Arial" w:eastAsia="Arial" w:hAnsi="Arial"/>
                <w:sz w:val="18"/>
                <w:szCs w:val="18"/>
                <w:color w:val="auto"/>
              </w:rPr>
              <w:t>2.5%</w:t>
            </w:r>
          </w:p>
        </w:tc>
        <w:tc>
          <w:tcPr>
            <w:tcW w:w="1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64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3.4%</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Weighted-average fair value</w:t>
            </w:r>
          </w:p>
        </w:tc>
        <w:tc>
          <w:tcPr>
            <w:tcW w:w="880" w:type="dxa"/>
            <w:vAlign w:val="bottom"/>
          </w:tcPr>
          <w:p>
            <w:pPr>
              <w:jc w:val="right"/>
              <w:ind w:right="135"/>
              <w:spacing w:after="0"/>
              <w:rPr>
                <w:sz w:val="20"/>
                <w:szCs w:val="20"/>
                <w:color w:val="auto"/>
              </w:rPr>
            </w:pPr>
            <w:r>
              <w:rPr>
                <w:rFonts w:ascii="Arial" w:cs="Arial" w:eastAsia="Arial" w:hAnsi="Arial"/>
                <w:sz w:val="18"/>
                <w:szCs w:val="18"/>
                <w:b w:val="1"/>
                <w:bCs w:val="1"/>
                <w:color w:val="auto"/>
              </w:rPr>
              <w:t>$ 10.98</w:t>
            </w:r>
          </w:p>
        </w:tc>
        <w:tc>
          <w:tcPr>
            <w:tcW w:w="1040" w:type="dxa"/>
            <w:vAlign w:val="bottom"/>
            <w:gridSpan w:val="2"/>
          </w:tcPr>
          <w:p>
            <w:pPr>
              <w:jc w:val="right"/>
              <w:ind w:right="130"/>
              <w:spacing w:after="0"/>
              <w:rPr>
                <w:sz w:val="20"/>
                <w:szCs w:val="20"/>
                <w:color w:val="auto"/>
              </w:rPr>
            </w:pPr>
            <w:r>
              <w:rPr>
                <w:rFonts w:ascii="Arial" w:cs="Arial" w:eastAsia="Arial" w:hAnsi="Arial"/>
                <w:sz w:val="18"/>
                <w:szCs w:val="18"/>
                <w:color w:val="auto"/>
              </w:rPr>
              <w:t>$ 10.13</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3"/>
              <w:spacing w:after="0"/>
              <w:rPr>
                <w:sz w:val="20"/>
                <w:szCs w:val="20"/>
                <w:color w:val="auto"/>
              </w:rPr>
            </w:pPr>
            <w:r>
              <w:rPr>
                <w:rFonts w:ascii="Arial" w:cs="Arial" w:eastAsia="Arial" w:hAnsi="Arial"/>
                <w:sz w:val="18"/>
                <w:szCs w:val="18"/>
                <w:color w:val="auto"/>
              </w:rPr>
              <w:t>5.86</w:t>
            </w:r>
          </w:p>
        </w:tc>
        <w:tc>
          <w:tcPr>
            <w:tcW w:w="940" w:type="dxa"/>
            <w:vAlign w:val="bottom"/>
            <w:gridSpan w:val="2"/>
          </w:tcPr>
          <w:p>
            <w:pPr>
              <w:jc w:val="right"/>
              <w:ind w:right="119"/>
              <w:spacing w:after="0"/>
              <w:rPr>
                <w:sz w:val="20"/>
                <w:szCs w:val="20"/>
                <w:color w:val="auto"/>
              </w:rPr>
            </w:pPr>
            <w:r>
              <w:rPr>
                <w:rFonts w:ascii="Arial" w:cs="Arial" w:eastAsia="Arial" w:hAnsi="Arial"/>
                <w:sz w:val="18"/>
                <w:szCs w:val="18"/>
                <w:b w:val="1"/>
                <w:bCs w:val="1"/>
                <w:color w:val="auto"/>
              </w:rPr>
              <w:t>$ 5.79</w:t>
            </w: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$ 6.11</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3"/>
              <w:spacing w:after="0"/>
              <w:rPr>
                <w:sz w:val="20"/>
                <w:szCs w:val="20"/>
                <w:color w:val="auto"/>
              </w:rPr>
            </w:pPr>
            <w:r>
              <w:rPr>
                <w:rFonts w:ascii="Arial" w:cs="Arial" w:eastAsia="Arial" w:hAnsi="Arial"/>
                <w:sz w:val="18"/>
                <w:szCs w:val="18"/>
                <w:color w:val="auto"/>
              </w:rPr>
              <w:t>3.91</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7"/>
        </w:trPr>
        <w:tc>
          <w:tcPr>
            <w:tcW w:w="8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220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220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16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802" w:right="1139" w:bottom="1440" w:gutter="0" w:footer="0" w:header="0"/>
        </w:sectPr>
      </w:pPr>
    </w:p>
    <w:bookmarkStart w:id="68" w:name="page69"/>
    <w:bookmarkEnd w:id="68"/>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22. Share-Based Compensation – (continued)</w:t>
      </w:r>
    </w:p>
    <w:p>
      <w:pPr>
        <w:spacing w:after="0" w:line="139" w:lineRule="exact"/>
        <w:rPr>
          <w:sz w:val="20"/>
          <w:szCs w:val="20"/>
          <w:color w:val="auto"/>
        </w:rPr>
      </w:pPr>
    </w:p>
    <w:p>
      <w:pPr>
        <w:jc w:val="both"/>
        <w:ind w:left="60" w:right="519"/>
        <w:spacing w:after="0" w:line="254" w:lineRule="auto"/>
        <w:rPr>
          <w:sz w:val="20"/>
          <w:szCs w:val="20"/>
          <w:color w:val="auto"/>
        </w:rPr>
      </w:pPr>
      <w:r>
        <w:rPr>
          <w:rFonts w:ascii="Arial" w:cs="Arial" w:eastAsia="Arial" w:hAnsi="Arial"/>
          <w:sz w:val="18"/>
          <w:szCs w:val="18"/>
          <w:color w:val="auto"/>
        </w:rPr>
        <w:t>Compensation expense related to the Company’s stock options and employee stock purchase plan was $12 million, $10 million, and $8 million for 2013, 2012, and 2011, respectively. As of February 1, 2014, there was $8 million of total unrecognized compensation cost, net of estimated forfeitures, related to nonvested stock options, which is expected to be recognized over a remaining weighted-average period of 0.85 years.</w:t>
      </w:r>
    </w:p>
    <w:p>
      <w:pPr>
        <w:spacing w:after="0" w:line="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information set forth in the following table covers options granted under the Company’s stock option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56577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2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3"/>
          </w:tcPr>
          <w:p>
            <w:pPr>
              <w:jc w:val="right"/>
              <w:ind w:right="618"/>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tcPr>
          <w:p>
            <w:pPr>
              <w:jc w:val="right"/>
              <w:ind w:right="597"/>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5"/>
                <w:szCs w:val="15"/>
                <w:color w:val="auto"/>
              </w:rPr>
            </w:pPr>
          </w:p>
        </w:tc>
        <w:tc>
          <w:tcPr>
            <w:tcW w:w="1220" w:type="dxa"/>
            <w:vAlign w:val="bottom"/>
            <w:gridSpan w:val="5"/>
          </w:tcPr>
          <w:p>
            <w:pPr>
              <w:jc w:val="right"/>
              <w:spacing w:after="0"/>
              <w:rPr>
                <w:sz w:val="20"/>
                <w:szCs w:val="20"/>
                <w:color w:val="auto"/>
              </w:rPr>
            </w:pPr>
            <w:r>
              <w:rPr>
                <w:rFonts w:ascii="Arial" w:cs="Arial" w:eastAsia="Arial" w:hAnsi="Arial"/>
                <w:sz w:val="14"/>
                <w:szCs w:val="14"/>
                <w:b w:val="1"/>
                <w:bCs w:val="1"/>
                <w:color w:val="auto"/>
              </w:rPr>
              <w:t>2011</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2880" w:type="dxa"/>
            <w:vAlign w:val="bottom"/>
          </w:tcPr>
          <w:p>
            <w:pPr>
              <w:spacing w:after="0"/>
              <w:rPr>
                <w:sz w:val="14"/>
                <w:szCs w:val="14"/>
                <w:color w:val="auto"/>
              </w:rPr>
            </w:pPr>
          </w:p>
        </w:tc>
        <w:tc>
          <w:tcPr>
            <w:tcW w:w="7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Number of</w:t>
            </w: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4"/>
                <w:szCs w:val="14"/>
                <w:color w:val="auto"/>
              </w:rPr>
            </w:pPr>
          </w:p>
        </w:tc>
        <w:tc>
          <w:tcPr>
            <w:tcW w:w="7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Number of</w:t>
            </w:r>
          </w:p>
        </w:tc>
        <w:tc>
          <w:tcPr>
            <w:tcW w:w="1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4"/>
                <w:szCs w:val="14"/>
                <w:color w:val="auto"/>
              </w:rPr>
            </w:pPr>
          </w:p>
        </w:tc>
        <w:tc>
          <w:tcPr>
            <w:tcW w:w="7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Number of</w:t>
            </w: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28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2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Exercise</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Exercise</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Exercise</w:t>
            </w:r>
          </w:p>
        </w:tc>
      </w:tr>
      <w:tr>
        <w:trPr>
          <w:trHeight w:val="175"/>
        </w:trPr>
        <w:tc>
          <w:tcPr>
            <w:tcW w:w="28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Price</w:t>
            </w:r>
          </w:p>
        </w:tc>
        <w:tc>
          <w:tcPr>
            <w:tcW w:w="1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9"/>
              </w:rPr>
              <w:t>Price</w:t>
            </w:r>
          </w:p>
        </w:tc>
        <w:tc>
          <w:tcPr>
            <w:tcW w:w="1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9"/>
              </w:rPr>
              <w:t>Price</w:t>
            </w:r>
          </w:p>
        </w:tc>
      </w:tr>
      <w:tr>
        <w:trPr>
          <w:trHeight w:val="196"/>
        </w:trPr>
        <w:tc>
          <w:tcPr>
            <w:tcW w:w="2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20" w:type="dxa"/>
            <w:vAlign w:val="bottom"/>
            <w:gridSpan w:val="12"/>
          </w:tcPr>
          <w:p>
            <w:pPr>
              <w:jc w:val="right"/>
              <w:ind w:right="580"/>
              <w:spacing w:after="0"/>
              <w:rPr>
                <w:sz w:val="20"/>
                <w:szCs w:val="20"/>
                <w:color w:val="auto"/>
              </w:rPr>
            </w:pPr>
            <w:r>
              <w:rPr>
                <w:rFonts w:ascii="Arial" w:cs="Arial" w:eastAsia="Arial" w:hAnsi="Arial"/>
                <w:sz w:val="14"/>
                <w:szCs w:val="14"/>
                <w:b w:val="1"/>
                <w:bCs w:val="1"/>
                <w:color w:val="auto"/>
              </w:rPr>
              <w:t>(in thousands, except prices per share)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880" w:type="dxa"/>
            <w:vAlign w:val="bottom"/>
            <w:shd w:val="clear" w:color="auto" w:fill="C0C0C0"/>
          </w:tcPr>
          <w:p>
            <w:pPr>
              <w:ind w:left="20"/>
              <w:spacing w:after="0" w:line="201" w:lineRule="exact"/>
              <w:rPr>
                <w:sz w:val="20"/>
                <w:szCs w:val="20"/>
                <w:color w:val="auto"/>
              </w:rPr>
            </w:pPr>
            <w:r>
              <w:rPr>
                <w:rFonts w:ascii="Arial" w:cs="Arial" w:eastAsia="Arial" w:hAnsi="Arial"/>
                <w:sz w:val="18"/>
                <w:szCs w:val="18"/>
                <w:color w:val="auto"/>
              </w:rPr>
              <w:t>Options outstanding at beginning</w:t>
            </w:r>
          </w:p>
        </w:tc>
        <w:tc>
          <w:tcPr>
            <w:tcW w:w="760" w:type="dxa"/>
            <w:vAlign w:val="bottom"/>
            <w:gridSpan w:val="2"/>
            <w:shd w:val="clear" w:color="auto" w:fill="C0C0C0"/>
          </w:tcPr>
          <w:p>
            <w:pPr>
              <w:jc w:val="right"/>
              <w:ind w:right="120"/>
              <w:spacing w:after="0" w:line="201" w:lineRule="exact"/>
              <w:rPr>
                <w:sz w:val="20"/>
                <w:szCs w:val="20"/>
                <w:color w:val="auto"/>
              </w:rPr>
            </w:pPr>
            <w:r>
              <w:rPr>
                <w:rFonts w:ascii="Arial" w:cs="Arial" w:eastAsia="Arial" w:hAnsi="Arial"/>
                <w:sz w:val="18"/>
                <w:szCs w:val="18"/>
                <w:b w:val="1"/>
                <w:bCs w:val="1"/>
                <w:color w:val="auto"/>
              </w:rPr>
              <w:t>5,907</w:t>
            </w:r>
          </w:p>
        </w:tc>
        <w:tc>
          <w:tcPr>
            <w:tcW w:w="280" w:type="dxa"/>
            <w:vAlign w:val="bottom"/>
            <w:gridSpan w:val="2"/>
            <w:shd w:val="clear" w:color="auto" w:fill="C0C0C0"/>
          </w:tcPr>
          <w:p>
            <w:pPr>
              <w:jc w:val="right"/>
              <w:ind w:right="20"/>
              <w:spacing w:after="0" w:line="201"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0C0C0"/>
          </w:tcPr>
          <w:p>
            <w:pPr>
              <w:jc w:val="right"/>
              <w:ind w:right="100"/>
              <w:spacing w:after="0" w:line="201" w:lineRule="exact"/>
              <w:rPr>
                <w:sz w:val="20"/>
                <w:szCs w:val="20"/>
                <w:color w:val="auto"/>
              </w:rPr>
            </w:pPr>
            <w:r>
              <w:rPr>
                <w:rFonts w:ascii="Arial" w:cs="Arial" w:eastAsia="Arial" w:hAnsi="Arial"/>
                <w:sz w:val="18"/>
                <w:szCs w:val="18"/>
                <w:b w:val="1"/>
                <w:bCs w:val="1"/>
                <w:color w:val="auto"/>
              </w:rPr>
              <w:t>19.93</w:t>
            </w:r>
          </w:p>
        </w:tc>
        <w:tc>
          <w:tcPr>
            <w:tcW w:w="920" w:type="dxa"/>
            <w:vAlign w:val="bottom"/>
            <w:gridSpan w:val="3"/>
            <w:shd w:val="clear" w:color="auto" w:fill="C0C0C0"/>
          </w:tcPr>
          <w:p>
            <w:pPr>
              <w:jc w:val="right"/>
              <w:ind w:right="120"/>
              <w:spacing w:after="0" w:line="201" w:lineRule="exact"/>
              <w:rPr>
                <w:sz w:val="20"/>
                <w:szCs w:val="20"/>
                <w:color w:val="auto"/>
              </w:rPr>
            </w:pPr>
            <w:r>
              <w:rPr>
                <w:rFonts w:ascii="Arial" w:cs="Arial" w:eastAsia="Arial" w:hAnsi="Arial"/>
                <w:sz w:val="18"/>
                <w:szCs w:val="18"/>
                <w:color w:val="auto"/>
              </w:rPr>
              <w:t>7,227</w:t>
            </w:r>
          </w:p>
        </w:tc>
        <w:tc>
          <w:tcPr>
            <w:tcW w:w="280" w:type="dxa"/>
            <w:vAlign w:val="bottom"/>
            <w:gridSpan w:val="2"/>
            <w:shd w:val="clear" w:color="auto" w:fill="C0C0C0"/>
          </w:tcPr>
          <w:p>
            <w:pPr>
              <w:jc w:val="right"/>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0C0C0"/>
          </w:tcPr>
          <w:p>
            <w:pPr>
              <w:jc w:val="right"/>
              <w:ind w:right="100"/>
              <w:spacing w:after="0" w:line="201" w:lineRule="exact"/>
              <w:rPr>
                <w:sz w:val="20"/>
                <w:szCs w:val="20"/>
                <w:color w:val="auto"/>
              </w:rPr>
            </w:pPr>
            <w:r>
              <w:rPr>
                <w:rFonts w:ascii="Arial" w:cs="Arial" w:eastAsia="Arial" w:hAnsi="Arial"/>
                <w:sz w:val="18"/>
                <w:szCs w:val="18"/>
                <w:color w:val="auto"/>
              </w:rPr>
              <w:t>18.44</w:t>
            </w:r>
          </w:p>
        </w:tc>
        <w:tc>
          <w:tcPr>
            <w:tcW w:w="920" w:type="dxa"/>
            <w:vAlign w:val="bottom"/>
            <w:gridSpan w:val="3"/>
            <w:shd w:val="clear" w:color="auto" w:fill="C0C0C0"/>
          </w:tcPr>
          <w:p>
            <w:pPr>
              <w:jc w:val="right"/>
              <w:ind w:right="120"/>
              <w:spacing w:after="0" w:line="201" w:lineRule="exact"/>
              <w:rPr>
                <w:sz w:val="20"/>
                <w:szCs w:val="20"/>
                <w:color w:val="auto"/>
              </w:rPr>
            </w:pPr>
            <w:r>
              <w:rPr>
                <w:rFonts w:ascii="Arial" w:cs="Arial" w:eastAsia="Arial" w:hAnsi="Arial"/>
                <w:sz w:val="18"/>
                <w:szCs w:val="18"/>
                <w:color w:val="auto"/>
              </w:rPr>
              <w:t>7,220</w:t>
            </w:r>
          </w:p>
        </w:tc>
        <w:tc>
          <w:tcPr>
            <w:tcW w:w="300" w:type="dxa"/>
            <w:vAlign w:val="bottom"/>
            <w:gridSpan w:val="2"/>
            <w:shd w:val="clear" w:color="auto" w:fill="C0C0C0"/>
          </w:tcPr>
          <w:p>
            <w:pPr>
              <w:jc w:val="right"/>
              <w:spacing w:after="0" w:line="201"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0C0C0"/>
          </w:tcPr>
          <w:p>
            <w:pPr>
              <w:jc w:val="right"/>
              <w:ind w:right="100"/>
              <w:spacing w:after="0" w:line="201" w:lineRule="exact"/>
              <w:rPr>
                <w:sz w:val="20"/>
                <w:szCs w:val="20"/>
                <w:color w:val="auto"/>
              </w:rPr>
            </w:pPr>
            <w:r>
              <w:rPr>
                <w:rFonts w:ascii="Arial" w:cs="Arial" w:eastAsia="Arial" w:hAnsi="Arial"/>
                <w:sz w:val="18"/>
                <w:szCs w:val="18"/>
                <w:color w:val="auto"/>
              </w:rPr>
              <w:t>17.17</w:t>
            </w:r>
          </w:p>
        </w:tc>
      </w:tr>
      <w:tr>
        <w:trPr>
          <w:trHeight w:val="203"/>
        </w:trPr>
        <w:tc>
          <w:tcPr>
            <w:tcW w:w="2880" w:type="dxa"/>
            <w:vAlign w:val="bottom"/>
            <w:shd w:val="clear" w:color="auto" w:fill="C0C0C0"/>
          </w:tcPr>
          <w:p>
            <w:pPr>
              <w:ind w:left="200"/>
              <w:spacing w:after="0" w:line="203" w:lineRule="exact"/>
              <w:rPr>
                <w:sz w:val="20"/>
                <w:szCs w:val="20"/>
                <w:color w:val="auto"/>
              </w:rPr>
            </w:pPr>
            <w:r>
              <w:rPr>
                <w:rFonts w:ascii="Arial" w:cs="Arial" w:eastAsia="Arial" w:hAnsi="Arial"/>
                <w:sz w:val="18"/>
                <w:szCs w:val="18"/>
                <w:color w:val="auto"/>
              </w:rPr>
              <w:t>of year</w:t>
            </w:r>
          </w:p>
        </w:tc>
        <w:tc>
          <w:tcPr>
            <w:tcW w:w="6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76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74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r>
      <w:tr>
        <w:trPr>
          <w:trHeight w:val="203"/>
        </w:trPr>
        <w:tc>
          <w:tcPr>
            <w:tcW w:w="288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1,154</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34.25</w:t>
            </w:r>
          </w:p>
        </w:tc>
        <w:tc>
          <w:tcPr>
            <w:tcW w:w="9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940</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30.96</w:t>
            </w:r>
          </w:p>
        </w:tc>
        <w:tc>
          <w:tcPr>
            <w:tcW w:w="9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1,612</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19.13</w:t>
            </w:r>
          </w:p>
        </w:tc>
      </w:tr>
      <w:tr>
        <w:trPr>
          <w:trHeight w:val="203"/>
        </w:trPr>
        <w:tc>
          <w:tcPr>
            <w:tcW w:w="288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Exercised</w:t>
            </w:r>
          </w:p>
        </w:tc>
        <w:tc>
          <w:tcPr>
            <w:tcW w:w="760" w:type="dxa"/>
            <w:vAlign w:val="bottom"/>
            <w:gridSpan w:val="2"/>
            <w:shd w:val="clear" w:color="auto" w:fill="C0C0C0"/>
          </w:tcPr>
          <w:p>
            <w:pPr>
              <w:jc w:val="right"/>
              <w:ind w:right="60"/>
              <w:spacing w:after="0" w:line="202" w:lineRule="exact"/>
              <w:rPr>
                <w:sz w:val="20"/>
                <w:szCs w:val="20"/>
                <w:color w:val="auto"/>
              </w:rPr>
            </w:pPr>
            <w:r>
              <w:rPr>
                <w:rFonts w:ascii="Arial" w:cs="Arial" w:eastAsia="Arial" w:hAnsi="Arial"/>
                <w:sz w:val="18"/>
                <w:szCs w:val="18"/>
                <w:b w:val="1"/>
                <w:bCs w:val="1"/>
                <w:color w:val="auto"/>
              </w:rPr>
              <w:t>(1,328)</w:t>
            </w:r>
          </w:p>
        </w:tc>
        <w:tc>
          <w:tcPr>
            <w:tcW w:w="280" w:type="dxa"/>
            <w:vAlign w:val="bottom"/>
            <w:gridSpan w:val="2"/>
            <w:shd w:val="clear" w:color="auto" w:fill="C0C0C0"/>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0C0C0"/>
          </w:tcPr>
          <w:p>
            <w:pPr>
              <w:jc w:val="right"/>
              <w:ind w:right="100"/>
              <w:spacing w:after="0" w:line="202" w:lineRule="exact"/>
              <w:rPr>
                <w:sz w:val="20"/>
                <w:szCs w:val="20"/>
                <w:color w:val="auto"/>
              </w:rPr>
            </w:pPr>
            <w:r>
              <w:rPr>
                <w:rFonts w:ascii="Arial" w:cs="Arial" w:eastAsia="Arial" w:hAnsi="Arial"/>
                <w:sz w:val="18"/>
                <w:szCs w:val="18"/>
                <w:b w:val="1"/>
                <w:bCs w:val="1"/>
                <w:color w:val="auto"/>
              </w:rPr>
              <w:t>20.26</w:t>
            </w:r>
          </w:p>
        </w:tc>
        <w:tc>
          <w:tcPr>
            <w:tcW w:w="920" w:type="dxa"/>
            <w:vAlign w:val="bottom"/>
            <w:gridSpan w:val="3"/>
            <w:shd w:val="clear" w:color="auto" w:fill="C0C0C0"/>
          </w:tcPr>
          <w:p>
            <w:pPr>
              <w:jc w:val="right"/>
              <w:ind w:right="60"/>
              <w:spacing w:after="0" w:line="202" w:lineRule="exact"/>
              <w:rPr>
                <w:sz w:val="20"/>
                <w:szCs w:val="20"/>
                <w:color w:val="auto"/>
              </w:rPr>
            </w:pPr>
            <w:r>
              <w:rPr>
                <w:rFonts w:ascii="Arial" w:cs="Arial" w:eastAsia="Arial" w:hAnsi="Arial"/>
                <w:sz w:val="18"/>
                <w:szCs w:val="18"/>
                <w:color w:val="auto"/>
              </w:rPr>
              <w:t>(2,213)</w:t>
            </w:r>
          </w:p>
        </w:tc>
        <w:tc>
          <w:tcPr>
            <w:tcW w:w="280" w:type="dxa"/>
            <w:vAlign w:val="bottom"/>
            <w:gridSpan w:val="2"/>
            <w:shd w:val="clear" w:color="auto" w:fill="C0C0C0"/>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19.67</w:t>
            </w:r>
          </w:p>
        </w:tc>
        <w:tc>
          <w:tcPr>
            <w:tcW w:w="920" w:type="dxa"/>
            <w:vAlign w:val="bottom"/>
            <w:gridSpan w:val="3"/>
            <w:shd w:val="clear" w:color="auto" w:fill="C0C0C0"/>
          </w:tcPr>
          <w:p>
            <w:pPr>
              <w:jc w:val="right"/>
              <w:ind w:right="60"/>
              <w:spacing w:after="0" w:line="202" w:lineRule="exact"/>
              <w:rPr>
                <w:sz w:val="20"/>
                <w:szCs w:val="20"/>
                <w:color w:val="auto"/>
              </w:rPr>
            </w:pPr>
            <w:r>
              <w:rPr>
                <w:rFonts w:ascii="Arial" w:cs="Arial" w:eastAsia="Arial" w:hAnsi="Arial"/>
                <w:sz w:val="18"/>
                <w:szCs w:val="18"/>
                <w:color w:val="auto"/>
              </w:rPr>
              <w:t>(1,454)</w:t>
            </w:r>
          </w:p>
        </w:tc>
        <w:tc>
          <w:tcPr>
            <w:tcW w:w="300" w:type="dxa"/>
            <w:vAlign w:val="bottom"/>
            <w:gridSpan w:val="2"/>
            <w:shd w:val="clear" w:color="auto" w:fill="C0C0C0"/>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13.02</w:t>
            </w:r>
          </w:p>
        </w:tc>
      </w:tr>
      <w:tr>
        <w:trPr>
          <w:trHeight w:val="203"/>
        </w:trPr>
        <w:tc>
          <w:tcPr>
            <w:tcW w:w="2880" w:type="dxa"/>
            <w:vAlign w:val="bottom"/>
          </w:tcPr>
          <w:p>
            <w:pPr>
              <w:ind w:left="20"/>
              <w:spacing w:after="0" w:line="202" w:lineRule="exact"/>
              <w:rPr>
                <w:sz w:val="20"/>
                <w:szCs w:val="20"/>
                <w:color w:val="auto"/>
              </w:rPr>
            </w:pPr>
            <w:r>
              <w:rPr>
                <w:rFonts w:ascii="Arial" w:cs="Arial" w:eastAsia="Arial" w:hAnsi="Arial"/>
                <w:sz w:val="18"/>
                <w:szCs w:val="18"/>
                <w:color w:val="auto"/>
              </w:rPr>
              <w:t>Expired or cancelled</w:t>
            </w: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(65)</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29.55</w:t>
            </w:r>
          </w:p>
        </w:tc>
        <w:tc>
          <w:tcPr>
            <w:tcW w:w="9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(47)</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23.74</w:t>
            </w:r>
          </w:p>
        </w:tc>
        <w:tc>
          <w:tcPr>
            <w:tcW w:w="9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(151)</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17.38</w:t>
            </w:r>
          </w:p>
        </w:tc>
      </w:tr>
      <w:tr>
        <w:trPr>
          <w:trHeight w:val="20"/>
        </w:trPr>
        <w:tc>
          <w:tcPr>
            <w:tcW w:w="28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2880" w:type="dxa"/>
            <w:vAlign w:val="bottom"/>
            <w:shd w:val="clear" w:color="auto" w:fill="C0C0C0"/>
          </w:tcPr>
          <w:p>
            <w:pPr>
              <w:ind w:left="20"/>
              <w:spacing w:after="0" w:line="195" w:lineRule="exact"/>
              <w:rPr>
                <w:sz w:val="20"/>
                <w:szCs w:val="20"/>
                <w:color w:val="auto"/>
              </w:rPr>
            </w:pPr>
            <w:r>
              <w:rPr>
                <w:rFonts w:ascii="Arial" w:cs="Arial" w:eastAsia="Arial" w:hAnsi="Arial"/>
                <w:sz w:val="18"/>
                <w:szCs w:val="18"/>
                <w:color w:val="auto"/>
              </w:rPr>
              <w:t>Options outstanding at end of</w:t>
            </w:r>
          </w:p>
        </w:tc>
        <w:tc>
          <w:tcPr>
            <w:tcW w:w="760" w:type="dxa"/>
            <w:vAlign w:val="bottom"/>
            <w:gridSpan w:val="2"/>
            <w:shd w:val="clear" w:color="auto" w:fill="C0C0C0"/>
          </w:tcPr>
          <w:p>
            <w:pPr>
              <w:jc w:val="right"/>
              <w:ind w:right="120"/>
              <w:spacing w:after="0" w:line="195" w:lineRule="exact"/>
              <w:rPr>
                <w:sz w:val="20"/>
                <w:szCs w:val="20"/>
                <w:color w:val="auto"/>
              </w:rPr>
            </w:pPr>
            <w:r>
              <w:rPr>
                <w:rFonts w:ascii="Arial" w:cs="Arial" w:eastAsia="Arial" w:hAnsi="Arial"/>
                <w:sz w:val="18"/>
                <w:szCs w:val="18"/>
                <w:b w:val="1"/>
                <w:bCs w:val="1"/>
                <w:color w:val="auto"/>
              </w:rPr>
              <w:t>5,668</w:t>
            </w:r>
          </w:p>
        </w:tc>
        <w:tc>
          <w:tcPr>
            <w:tcW w:w="280" w:type="dxa"/>
            <w:vAlign w:val="bottom"/>
            <w:gridSpan w:val="2"/>
            <w:shd w:val="clear" w:color="auto" w:fill="C0C0C0"/>
          </w:tcPr>
          <w:p>
            <w:pPr>
              <w:jc w:val="right"/>
              <w:ind w:right="20"/>
              <w:spacing w:after="0" w:line="195"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0C0C0"/>
          </w:tcPr>
          <w:p>
            <w:pPr>
              <w:jc w:val="right"/>
              <w:ind w:right="100"/>
              <w:spacing w:after="0" w:line="195" w:lineRule="exact"/>
              <w:rPr>
                <w:sz w:val="20"/>
                <w:szCs w:val="20"/>
                <w:color w:val="auto"/>
              </w:rPr>
            </w:pPr>
            <w:r>
              <w:rPr>
                <w:rFonts w:ascii="Arial" w:cs="Arial" w:eastAsia="Arial" w:hAnsi="Arial"/>
                <w:sz w:val="18"/>
                <w:szCs w:val="18"/>
                <w:b w:val="1"/>
                <w:bCs w:val="1"/>
                <w:color w:val="auto"/>
              </w:rPr>
              <w:t>22.66</w:t>
            </w:r>
          </w:p>
        </w:tc>
        <w:tc>
          <w:tcPr>
            <w:tcW w:w="920" w:type="dxa"/>
            <w:vAlign w:val="bottom"/>
            <w:gridSpan w:val="3"/>
            <w:shd w:val="clear" w:color="auto" w:fill="C0C0C0"/>
          </w:tcPr>
          <w:p>
            <w:pPr>
              <w:jc w:val="right"/>
              <w:ind w:right="120"/>
              <w:spacing w:after="0" w:line="195" w:lineRule="exact"/>
              <w:rPr>
                <w:sz w:val="20"/>
                <w:szCs w:val="20"/>
                <w:color w:val="auto"/>
              </w:rPr>
            </w:pPr>
            <w:r>
              <w:rPr>
                <w:rFonts w:ascii="Arial" w:cs="Arial" w:eastAsia="Arial" w:hAnsi="Arial"/>
                <w:sz w:val="18"/>
                <w:szCs w:val="18"/>
                <w:color w:val="auto"/>
              </w:rPr>
              <w:t>5,907</w:t>
            </w:r>
          </w:p>
        </w:tc>
        <w:tc>
          <w:tcPr>
            <w:tcW w:w="280" w:type="dxa"/>
            <w:vAlign w:val="bottom"/>
            <w:gridSpan w:val="2"/>
            <w:shd w:val="clear" w:color="auto" w:fill="C0C0C0"/>
          </w:tcPr>
          <w:p>
            <w:pPr>
              <w:jc w:val="right"/>
              <w:spacing w:after="0" w:line="195"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0C0C0"/>
          </w:tcPr>
          <w:p>
            <w:pPr>
              <w:jc w:val="right"/>
              <w:ind w:right="100"/>
              <w:spacing w:after="0" w:line="195" w:lineRule="exact"/>
              <w:rPr>
                <w:sz w:val="20"/>
                <w:szCs w:val="20"/>
                <w:color w:val="auto"/>
              </w:rPr>
            </w:pPr>
            <w:r>
              <w:rPr>
                <w:rFonts w:ascii="Arial" w:cs="Arial" w:eastAsia="Arial" w:hAnsi="Arial"/>
                <w:sz w:val="18"/>
                <w:szCs w:val="18"/>
                <w:color w:val="auto"/>
              </w:rPr>
              <w:t>19.93</w:t>
            </w:r>
          </w:p>
        </w:tc>
        <w:tc>
          <w:tcPr>
            <w:tcW w:w="920" w:type="dxa"/>
            <w:vAlign w:val="bottom"/>
            <w:gridSpan w:val="3"/>
            <w:shd w:val="clear" w:color="auto" w:fill="C0C0C0"/>
          </w:tcPr>
          <w:p>
            <w:pPr>
              <w:jc w:val="right"/>
              <w:ind w:right="120"/>
              <w:spacing w:after="0" w:line="195" w:lineRule="exact"/>
              <w:rPr>
                <w:sz w:val="20"/>
                <w:szCs w:val="20"/>
                <w:color w:val="auto"/>
              </w:rPr>
            </w:pPr>
            <w:r>
              <w:rPr>
                <w:rFonts w:ascii="Arial" w:cs="Arial" w:eastAsia="Arial" w:hAnsi="Arial"/>
                <w:sz w:val="18"/>
                <w:szCs w:val="18"/>
                <w:color w:val="auto"/>
              </w:rPr>
              <w:t>7,227</w:t>
            </w:r>
          </w:p>
        </w:tc>
        <w:tc>
          <w:tcPr>
            <w:tcW w:w="300" w:type="dxa"/>
            <w:vAlign w:val="bottom"/>
            <w:gridSpan w:val="2"/>
            <w:shd w:val="clear" w:color="auto" w:fill="C0C0C0"/>
          </w:tcPr>
          <w:p>
            <w:pPr>
              <w:jc w:val="right"/>
              <w:spacing w:after="0" w:line="195"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0C0C0"/>
          </w:tcPr>
          <w:p>
            <w:pPr>
              <w:jc w:val="right"/>
              <w:ind w:right="100"/>
              <w:spacing w:after="0" w:line="195" w:lineRule="exact"/>
              <w:rPr>
                <w:sz w:val="20"/>
                <w:szCs w:val="20"/>
                <w:color w:val="auto"/>
              </w:rPr>
            </w:pPr>
            <w:r>
              <w:rPr>
                <w:rFonts w:ascii="Arial" w:cs="Arial" w:eastAsia="Arial" w:hAnsi="Arial"/>
                <w:sz w:val="18"/>
                <w:szCs w:val="18"/>
                <w:color w:val="auto"/>
              </w:rPr>
              <w:t>18.44</w:t>
            </w:r>
          </w:p>
        </w:tc>
      </w:tr>
      <w:tr>
        <w:trPr>
          <w:trHeight w:val="244"/>
        </w:trPr>
        <w:tc>
          <w:tcPr>
            <w:tcW w:w="2880" w:type="dxa"/>
            <w:vAlign w:val="bottom"/>
            <w:tcBorders>
              <w:bottom w:val="single" w:sz="8" w:color="C0C0C0"/>
            </w:tcBorders>
            <w:shd w:val="clear" w:color="auto" w:fill="C0C0C0"/>
          </w:tcPr>
          <w:p>
            <w:pPr>
              <w:ind w:left="200"/>
              <w:spacing w:after="0" w:line="203" w:lineRule="exact"/>
              <w:rPr>
                <w:sz w:val="20"/>
                <w:szCs w:val="20"/>
                <w:color w:val="auto"/>
              </w:rPr>
            </w:pPr>
            <w:r>
              <w:rPr>
                <w:rFonts w:ascii="Arial" w:cs="Arial" w:eastAsia="Arial" w:hAnsi="Arial"/>
                <w:sz w:val="18"/>
                <w:szCs w:val="18"/>
                <w:color w:val="auto"/>
              </w:rPr>
              <w:t>year</w:t>
            </w:r>
          </w:p>
        </w:tc>
        <w:tc>
          <w:tcPr>
            <w:tcW w:w="620" w:type="dxa"/>
            <w:vAlign w:val="bottom"/>
            <w:tcBorders>
              <w:bottom w:val="single" w:sz="8" w:color="auto"/>
            </w:tcBorders>
            <w:shd w:val="clear" w:color="auto" w:fill="C0C0C0"/>
          </w:tcPr>
          <w:p>
            <w:pPr>
              <w:spacing w:after="0"/>
              <w:rPr>
                <w:sz w:val="21"/>
                <w:szCs w:val="21"/>
                <w:color w:val="auto"/>
              </w:rPr>
            </w:pPr>
          </w:p>
        </w:tc>
        <w:tc>
          <w:tcPr>
            <w:tcW w:w="140" w:type="dxa"/>
            <w:vAlign w:val="bottom"/>
            <w:tcBorders>
              <w:bottom w:val="single" w:sz="8" w:color="C0C0C0"/>
            </w:tcBorders>
            <w:shd w:val="clear" w:color="auto" w:fill="C0C0C0"/>
          </w:tcPr>
          <w:p>
            <w:pPr>
              <w:spacing w:after="0"/>
              <w:rPr>
                <w:sz w:val="21"/>
                <w:szCs w:val="21"/>
                <w:color w:val="auto"/>
              </w:rPr>
            </w:pPr>
          </w:p>
        </w:tc>
        <w:tc>
          <w:tcPr>
            <w:tcW w:w="160" w:type="dxa"/>
            <w:vAlign w:val="bottom"/>
            <w:tcBorders>
              <w:bottom w:val="single" w:sz="8" w:color="C0C0C0"/>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160" w:type="dxa"/>
            <w:vAlign w:val="bottom"/>
            <w:tcBorders>
              <w:bottom w:val="single" w:sz="8" w:color="C0C0C0"/>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spacing w:after="0"/>
              <w:rPr>
                <w:sz w:val="21"/>
                <w:szCs w:val="21"/>
                <w:color w:val="auto"/>
              </w:rPr>
            </w:pPr>
          </w:p>
        </w:tc>
        <w:tc>
          <w:tcPr>
            <w:tcW w:w="120" w:type="dxa"/>
            <w:vAlign w:val="bottom"/>
            <w:tcBorders>
              <w:bottom w:val="single" w:sz="8" w:color="C0C0C0"/>
            </w:tcBorders>
            <w:shd w:val="clear" w:color="auto" w:fill="C0C0C0"/>
          </w:tcPr>
          <w:p>
            <w:pPr>
              <w:spacing w:after="0"/>
              <w:rPr>
                <w:sz w:val="21"/>
                <w:szCs w:val="21"/>
                <w:color w:val="auto"/>
              </w:rPr>
            </w:pPr>
          </w:p>
        </w:tc>
        <w:tc>
          <w:tcPr>
            <w:tcW w:w="18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740" w:type="dxa"/>
            <w:vAlign w:val="bottom"/>
            <w:tcBorders>
              <w:bottom w:val="single" w:sz="8" w:color="auto"/>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160" w:type="dxa"/>
            <w:vAlign w:val="bottom"/>
            <w:tcBorders>
              <w:bottom w:val="single" w:sz="8" w:color="C0C0C0"/>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spacing w:after="0"/>
              <w:rPr>
                <w:sz w:val="21"/>
                <w:szCs w:val="21"/>
                <w:color w:val="auto"/>
              </w:rPr>
            </w:pPr>
          </w:p>
        </w:tc>
        <w:tc>
          <w:tcPr>
            <w:tcW w:w="120" w:type="dxa"/>
            <w:vAlign w:val="bottom"/>
            <w:tcBorders>
              <w:bottom w:val="single" w:sz="8" w:color="C0C0C0"/>
            </w:tcBorders>
            <w:shd w:val="clear" w:color="auto" w:fill="C0C0C0"/>
          </w:tcPr>
          <w:p>
            <w:pPr>
              <w:spacing w:after="0"/>
              <w:rPr>
                <w:sz w:val="21"/>
                <w:szCs w:val="21"/>
                <w:color w:val="auto"/>
              </w:rPr>
            </w:pPr>
          </w:p>
        </w:tc>
        <w:tc>
          <w:tcPr>
            <w:tcW w:w="180" w:type="dxa"/>
            <w:vAlign w:val="bottom"/>
            <w:tcBorders>
              <w:bottom w:val="single" w:sz="8" w:color="C0C0C0"/>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r>
      <w:tr>
        <w:trPr>
          <w:trHeight w:val="195"/>
        </w:trPr>
        <w:tc>
          <w:tcPr>
            <w:tcW w:w="2880" w:type="dxa"/>
            <w:vAlign w:val="bottom"/>
          </w:tcPr>
          <w:p>
            <w:pPr>
              <w:ind w:left="20"/>
              <w:spacing w:after="0" w:line="195" w:lineRule="exact"/>
              <w:rPr>
                <w:sz w:val="20"/>
                <w:szCs w:val="20"/>
                <w:color w:val="auto"/>
              </w:rPr>
            </w:pPr>
            <w:r>
              <w:rPr>
                <w:rFonts w:ascii="Arial" w:cs="Arial" w:eastAsia="Arial" w:hAnsi="Arial"/>
                <w:sz w:val="18"/>
                <w:szCs w:val="18"/>
                <w:color w:val="auto"/>
              </w:rPr>
              <w:t>Options exercisable at end of</w:t>
            </w:r>
          </w:p>
        </w:tc>
        <w:tc>
          <w:tcPr>
            <w:tcW w:w="760" w:type="dxa"/>
            <w:vAlign w:val="bottom"/>
            <w:gridSpan w:val="2"/>
          </w:tcPr>
          <w:p>
            <w:pPr>
              <w:jc w:val="right"/>
              <w:ind w:right="120"/>
              <w:spacing w:after="0" w:line="195" w:lineRule="exact"/>
              <w:rPr>
                <w:sz w:val="20"/>
                <w:szCs w:val="20"/>
                <w:color w:val="auto"/>
              </w:rPr>
            </w:pPr>
            <w:r>
              <w:rPr>
                <w:rFonts w:ascii="Arial" w:cs="Arial" w:eastAsia="Arial" w:hAnsi="Arial"/>
                <w:sz w:val="18"/>
                <w:szCs w:val="18"/>
                <w:b w:val="1"/>
                <w:bCs w:val="1"/>
                <w:color w:val="auto"/>
              </w:rPr>
              <w:t>3,495</w:t>
            </w:r>
          </w:p>
        </w:tc>
        <w:tc>
          <w:tcPr>
            <w:tcW w:w="280" w:type="dxa"/>
            <w:vAlign w:val="bottom"/>
            <w:gridSpan w:val="2"/>
          </w:tcPr>
          <w:p>
            <w:pPr>
              <w:jc w:val="right"/>
              <w:ind w:right="20"/>
              <w:spacing w:after="0" w:line="195"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100"/>
              <w:spacing w:after="0" w:line="195" w:lineRule="exact"/>
              <w:rPr>
                <w:sz w:val="20"/>
                <w:szCs w:val="20"/>
                <w:color w:val="auto"/>
              </w:rPr>
            </w:pPr>
            <w:r>
              <w:rPr>
                <w:rFonts w:ascii="Arial" w:cs="Arial" w:eastAsia="Arial" w:hAnsi="Arial"/>
                <w:sz w:val="18"/>
                <w:szCs w:val="18"/>
                <w:b w:val="1"/>
                <w:bCs w:val="1"/>
                <w:color w:val="auto"/>
              </w:rPr>
              <w:t>18.02</w:t>
            </w:r>
          </w:p>
        </w:tc>
        <w:tc>
          <w:tcPr>
            <w:tcW w:w="920" w:type="dxa"/>
            <w:vAlign w:val="bottom"/>
            <w:gridSpan w:val="3"/>
          </w:tcPr>
          <w:p>
            <w:pPr>
              <w:jc w:val="right"/>
              <w:ind w:right="120"/>
              <w:spacing w:after="0" w:line="195" w:lineRule="exact"/>
              <w:rPr>
                <w:sz w:val="20"/>
                <w:szCs w:val="20"/>
                <w:color w:val="auto"/>
              </w:rPr>
            </w:pPr>
            <w:r>
              <w:rPr>
                <w:rFonts w:ascii="Arial" w:cs="Arial" w:eastAsia="Arial" w:hAnsi="Arial"/>
                <w:sz w:val="18"/>
                <w:szCs w:val="18"/>
                <w:color w:val="auto"/>
              </w:rPr>
              <w:t>3,593</w:t>
            </w:r>
          </w:p>
        </w:tc>
        <w:tc>
          <w:tcPr>
            <w:tcW w:w="28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line="195" w:lineRule="exact"/>
              <w:rPr>
                <w:sz w:val="20"/>
                <w:szCs w:val="20"/>
                <w:color w:val="auto"/>
              </w:rPr>
            </w:pPr>
            <w:r>
              <w:rPr>
                <w:rFonts w:ascii="Arial" w:cs="Arial" w:eastAsia="Arial" w:hAnsi="Arial"/>
                <w:sz w:val="18"/>
                <w:szCs w:val="18"/>
                <w:color w:val="auto"/>
              </w:rPr>
              <w:t>17.83</w:t>
            </w:r>
          </w:p>
        </w:tc>
        <w:tc>
          <w:tcPr>
            <w:tcW w:w="920" w:type="dxa"/>
            <w:vAlign w:val="bottom"/>
            <w:gridSpan w:val="3"/>
          </w:tcPr>
          <w:p>
            <w:pPr>
              <w:jc w:val="right"/>
              <w:ind w:right="120"/>
              <w:spacing w:after="0" w:line="195" w:lineRule="exact"/>
              <w:rPr>
                <w:sz w:val="20"/>
                <w:szCs w:val="20"/>
                <w:color w:val="auto"/>
              </w:rPr>
            </w:pPr>
            <w:r>
              <w:rPr>
                <w:rFonts w:ascii="Arial" w:cs="Arial" w:eastAsia="Arial" w:hAnsi="Arial"/>
                <w:sz w:val="18"/>
                <w:szCs w:val="18"/>
                <w:color w:val="auto"/>
              </w:rPr>
              <w:t>4,598</w:t>
            </w:r>
          </w:p>
        </w:tc>
        <w:tc>
          <w:tcPr>
            <w:tcW w:w="30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line="195" w:lineRule="exact"/>
              <w:rPr>
                <w:sz w:val="20"/>
                <w:szCs w:val="20"/>
                <w:color w:val="auto"/>
              </w:rPr>
            </w:pPr>
            <w:r>
              <w:rPr>
                <w:rFonts w:ascii="Arial" w:cs="Arial" w:eastAsia="Arial" w:hAnsi="Arial"/>
                <w:sz w:val="18"/>
                <w:szCs w:val="18"/>
                <w:color w:val="auto"/>
              </w:rPr>
              <w:t>19.35</w:t>
            </w:r>
          </w:p>
        </w:tc>
      </w:tr>
      <w:tr>
        <w:trPr>
          <w:trHeight w:val="203"/>
        </w:trPr>
        <w:tc>
          <w:tcPr>
            <w:tcW w:w="2880" w:type="dxa"/>
            <w:vAlign w:val="bottom"/>
          </w:tcPr>
          <w:p>
            <w:pPr>
              <w:ind w:left="200"/>
              <w:spacing w:after="0" w:line="203" w:lineRule="exact"/>
              <w:rPr>
                <w:sz w:val="20"/>
                <w:szCs w:val="20"/>
                <w:color w:val="auto"/>
              </w:rPr>
            </w:pPr>
            <w:r>
              <w:rPr>
                <w:rFonts w:ascii="Arial" w:cs="Arial" w:eastAsia="Arial" w:hAnsi="Arial"/>
                <w:sz w:val="18"/>
                <w:szCs w:val="18"/>
                <w:color w:val="auto"/>
              </w:rPr>
              <w:t>year</w:t>
            </w:r>
          </w:p>
        </w:tc>
        <w:tc>
          <w:tcPr>
            <w:tcW w:w="6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5"/>
        </w:trPr>
        <w:tc>
          <w:tcPr>
            <w:tcW w:w="2880" w:type="dxa"/>
            <w:vAlign w:val="bottom"/>
            <w:shd w:val="clear" w:color="auto" w:fill="C0C0C0"/>
          </w:tcPr>
          <w:p>
            <w:pPr>
              <w:ind w:left="20"/>
              <w:spacing w:after="0" w:line="195" w:lineRule="exact"/>
              <w:rPr>
                <w:sz w:val="20"/>
                <w:szCs w:val="20"/>
                <w:color w:val="auto"/>
              </w:rPr>
            </w:pPr>
            <w:r>
              <w:rPr>
                <w:rFonts w:ascii="Arial" w:cs="Arial" w:eastAsia="Arial" w:hAnsi="Arial"/>
                <w:sz w:val="18"/>
                <w:szCs w:val="18"/>
                <w:color w:val="auto"/>
              </w:rPr>
              <w:t>Options available for future grant</w:t>
            </w:r>
          </w:p>
        </w:tc>
        <w:tc>
          <w:tcPr>
            <w:tcW w:w="760" w:type="dxa"/>
            <w:vAlign w:val="bottom"/>
            <w:gridSpan w:val="2"/>
            <w:shd w:val="clear" w:color="auto" w:fill="C0C0C0"/>
          </w:tcPr>
          <w:p>
            <w:pPr>
              <w:jc w:val="right"/>
              <w:ind w:right="120"/>
              <w:spacing w:after="0" w:line="195" w:lineRule="exact"/>
              <w:rPr>
                <w:sz w:val="20"/>
                <w:szCs w:val="20"/>
                <w:color w:val="auto"/>
              </w:rPr>
            </w:pPr>
            <w:r>
              <w:rPr>
                <w:rFonts w:ascii="Arial" w:cs="Arial" w:eastAsia="Arial" w:hAnsi="Arial"/>
                <w:sz w:val="18"/>
                <w:szCs w:val="18"/>
                <w:b w:val="1"/>
                <w:bCs w:val="1"/>
                <w:color w:val="auto"/>
              </w:rPr>
              <w:t>3,267</w:t>
            </w:r>
          </w:p>
        </w:tc>
        <w:tc>
          <w:tcPr>
            <w:tcW w:w="16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76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920" w:type="dxa"/>
            <w:vAlign w:val="bottom"/>
            <w:gridSpan w:val="3"/>
            <w:shd w:val="clear" w:color="auto" w:fill="C0C0C0"/>
          </w:tcPr>
          <w:p>
            <w:pPr>
              <w:jc w:val="right"/>
              <w:ind w:right="120"/>
              <w:spacing w:after="0" w:line="195" w:lineRule="exact"/>
              <w:rPr>
                <w:sz w:val="20"/>
                <w:szCs w:val="20"/>
                <w:color w:val="auto"/>
              </w:rPr>
            </w:pPr>
            <w:r>
              <w:rPr>
                <w:rFonts w:ascii="Arial" w:cs="Arial" w:eastAsia="Arial" w:hAnsi="Arial"/>
                <w:sz w:val="18"/>
                <w:szCs w:val="18"/>
                <w:color w:val="auto"/>
              </w:rPr>
              <w:t>5,518</w:t>
            </w:r>
          </w:p>
        </w:tc>
        <w:tc>
          <w:tcPr>
            <w:tcW w:w="18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74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920" w:type="dxa"/>
            <w:vAlign w:val="bottom"/>
            <w:gridSpan w:val="3"/>
            <w:shd w:val="clear" w:color="auto" w:fill="C0C0C0"/>
          </w:tcPr>
          <w:p>
            <w:pPr>
              <w:jc w:val="right"/>
              <w:ind w:right="120"/>
              <w:spacing w:after="0" w:line="195" w:lineRule="exact"/>
              <w:rPr>
                <w:sz w:val="20"/>
                <w:szCs w:val="20"/>
                <w:color w:val="auto"/>
              </w:rPr>
            </w:pPr>
            <w:r>
              <w:rPr>
                <w:rFonts w:ascii="Arial" w:cs="Arial" w:eastAsia="Arial" w:hAnsi="Arial"/>
                <w:sz w:val="18"/>
                <w:szCs w:val="18"/>
                <w:color w:val="auto"/>
              </w:rPr>
              <w:t>7,155</w:t>
            </w:r>
          </w:p>
        </w:tc>
        <w:tc>
          <w:tcPr>
            <w:tcW w:w="18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64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r>
      <w:tr>
        <w:trPr>
          <w:trHeight w:val="244"/>
        </w:trPr>
        <w:tc>
          <w:tcPr>
            <w:tcW w:w="2880" w:type="dxa"/>
            <w:vAlign w:val="bottom"/>
            <w:tcBorders>
              <w:bottom w:val="single" w:sz="8" w:color="C0C0C0"/>
            </w:tcBorders>
            <w:shd w:val="clear" w:color="auto" w:fill="C0C0C0"/>
          </w:tcPr>
          <w:p>
            <w:pPr>
              <w:ind w:left="200"/>
              <w:spacing w:after="0" w:line="203" w:lineRule="exact"/>
              <w:rPr>
                <w:sz w:val="20"/>
                <w:szCs w:val="20"/>
                <w:color w:val="auto"/>
              </w:rPr>
            </w:pPr>
            <w:r>
              <w:rPr>
                <w:rFonts w:ascii="Arial" w:cs="Arial" w:eastAsia="Arial" w:hAnsi="Arial"/>
                <w:sz w:val="18"/>
                <w:szCs w:val="18"/>
                <w:color w:val="auto"/>
              </w:rPr>
              <w:t>at end of year</w:t>
            </w:r>
          </w:p>
        </w:tc>
        <w:tc>
          <w:tcPr>
            <w:tcW w:w="620" w:type="dxa"/>
            <w:vAlign w:val="bottom"/>
            <w:tcBorders>
              <w:bottom w:val="single" w:sz="8" w:color="auto"/>
            </w:tcBorders>
            <w:shd w:val="clear" w:color="auto" w:fill="C0C0C0"/>
          </w:tcPr>
          <w:p>
            <w:pPr>
              <w:spacing w:after="0"/>
              <w:rPr>
                <w:sz w:val="21"/>
                <w:szCs w:val="21"/>
                <w:color w:val="auto"/>
              </w:rPr>
            </w:pPr>
          </w:p>
        </w:tc>
        <w:tc>
          <w:tcPr>
            <w:tcW w:w="140" w:type="dxa"/>
            <w:vAlign w:val="bottom"/>
            <w:tcBorders>
              <w:bottom w:val="single" w:sz="8" w:color="C0C0C0"/>
            </w:tcBorders>
            <w:shd w:val="clear" w:color="auto" w:fill="C0C0C0"/>
          </w:tcPr>
          <w:p>
            <w:pPr>
              <w:spacing w:after="0"/>
              <w:rPr>
                <w:sz w:val="21"/>
                <w:szCs w:val="21"/>
                <w:color w:val="auto"/>
              </w:rPr>
            </w:pPr>
          </w:p>
        </w:tc>
        <w:tc>
          <w:tcPr>
            <w:tcW w:w="160" w:type="dxa"/>
            <w:vAlign w:val="bottom"/>
            <w:tcBorders>
              <w:bottom w:val="single" w:sz="8" w:color="C0C0C0"/>
            </w:tcBorders>
            <w:shd w:val="clear" w:color="auto" w:fill="C0C0C0"/>
          </w:tcPr>
          <w:p>
            <w:pPr>
              <w:spacing w:after="0"/>
              <w:rPr>
                <w:sz w:val="21"/>
                <w:szCs w:val="21"/>
                <w:color w:val="auto"/>
              </w:rPr>
            </w:pPr>
          </w:p>
        </w:tc>
        <w:tc>
          <w:tcPr>
            <w:tcW w:w="120" w:type="dxa"/>
            <w:vAlign w:val="bottom"/>
            <w:tcBorders>
              <w:bottom w:val="single" w:sz="8" w:color="C0C0C0"/>
            </w:tcBorders>
            <w:shd w:val="clear" w:color="auto" w:fill="C0C0C0"/>
          </w:tcPr>
          <w:p>
            <w:pPr>
              <w:spacing w:after="0"/>
              <w:rPr>
                <w:sz w:val="21"/>
                <w:szCs w:val="21"/>
                <w:color w:val="auto"/>
              </w:rPr>
            </w:pPr>
          </w:p>
        </w:tc>
        <w:tc>
          <w:tcPr>
            <w:tcW w:w="76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160" w:type="dxa"/>
            <w:vAlign w:val="bottom"/>
            <w:tcBorders>
              <w:bottom w:val="single" w:sz="8" w:color="C0C0C0"/>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spacing w:after="0"/>
              <w:rPr>
                <w:sz w:val="21"/>
                <w:szCs w:val="21"/>
                <w:color w:val="auto"/>
              </w:rPr>
            </w:pPr>
          </w:p>
        </w:tc>
        <w:tc>
          <w:tcPr>
            <w:tcW w:w="120" w:type="dxa"/>
            <w:vAlign w:val="bottom"/>
            <w:tcBorders>
              <w:bottom w:val="single" w:sz="8" w:color="C0C0C0"/>
            </w:tcBorders>
            <w:shd w:val="clear" w:color="auto" w:fill="C0C0C0"/>
          </w:tcPr>
          <w:p>
            <w:pPr>
              <w:spacing w:after="0"/>
              <w:rPr>
                <w:sz w:val="21"/>
                <w:szCs w:val="21"/>
                <w:color w:val="auto"/>
              </w:rPr>
            </w:pPr>
          </w:p>
        </w:tc>
        <w:tc>
          <w:tcPr>
            <w:tcW w:w="18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74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160" w:type="dxa"/>
            <w:vAlign w:val="bottom"/>
            <w:tcBorders>
              <w:bottom w:val="single" w:sz="8" w:color="C0C0C0"/>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spacing w:after="0"/>
              <w:rPr>
                <w:sz w:val="21"/>
                <w:szCs w:val="21"/>
                <w:color w:val="auto"/>
              </w:rPr>
            </w:pPr>
          </w:p>
        </w:tc>
        <w:tc>
          <w:tcPr>
            <w:tcW w:w="120" w:type="dxa"/>
            <w:vAlign w:val="bottom"/>
            <w:tcBorders>
              <w:bottom w:val="single" w:sz="8" w:color="C0C0C0"/>
            </w:tcBorders>
            <w:shd w:val="clear" w:color="auto" w:fill="C0C0C0"/>
          </w:tcPr>
          <w:p>
            <w:pPr>
              <w:spacing w:after="0"/>
              <w:rPr>
                <w:sz w:val="21"/>
                <w:szCs w:val="21"/>
                <w:color w:val="auto"/>
              </w:rPr>
            </w:pPr>
          </w:p>
        </w:tc>
        <w:tc>
          <w:tcPr>
            <w:tcW w:w="180" w:type="dxa"/>
            <w:vAlign w:val="bottom"/>
            <w:tcBorders>
              <w:bottom w:val="single" w:sz="8" w:color="C0C0C0"/>
            </w:tcBorders>
            <w:shd w:val="clear" w:color="auto" w:fill="C0C0C0"/>
          </w:tcPr>
          <w:p>
            <w:pPr>
              <w:spacing w:after="0"/>
              <w:rPr>
                <w:sz w:val="21"/>
                <w:szCs w:val="21"/>
                <w:color w:val="auto"/>
              </w:rPr>
            </w:pPr>
          </w:p>
        </w:tc>
        <w:tc>
          <w:tcPr>
            <w:tcW w:w="120" w:type="dxa"/>
            <w:vAlign w:val="bottom"/>
            <w:tcBorders>
              <w:bottom w:val="single" w:sz="8" w:color="C0C0C0"/>
            </w:tcBorders>
            <w:shd w:val="clear" w:color="auto" w:fill="C0C0C0"/>
          </w:tcPr>
          <w:p>
            <w:pPr>
              <w:spacing w:after="0"/>
              <w:rPr>
                <w:sz w:val="21"/>
                <w:szCs w:val="21"/>
                <w:color w:val="auto"/>
              </w:rPr>
            </w:pPr>
          </w:p>
        </w:tc>
        <w:tc>
          <w:tcPr>
            <w:tcW w:w="64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-591185</wp:posOffset>
            </wp:positionV>
            <wp:extent cx="5565775" cy="3003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565775" cy="3003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565775" cy="342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565775" cy="34290"/>
                    </a:xfrm>
                    <a:prstGeom prst="rect">
                      <a:avLst/>
                    </a:prstGeom>
                    <a:noFill/>
                  </pic:spPr>
                </pic:pic>
              </a:graphicData>
            </a:graphic>
          </wp:anchor>
        </w:drawing>
      </w:r>
    </w:p>
    <w:p>
      <w:pPr>
        <w:spacing w:after="0" w:line="87" w:lineRule="exact"/>
        <w:rPr>
          <w:sz w:val="20"/>
          <w:szCs w:val="20"/>
          <w:color w:val="auto"/>
        </w:rPr>
      </w:pPr>
    </w:p>
    <w:p>
      <w:pPr>
        <w:jc w:val="both"/>
        <w:ind w:left="60" w:right="539"/>
        <w:spacing w:after="0" w:line="251" w:lineRule="auto"/>
        <w:rPr>
          <w:sz w:val="20"/>
          <w:szCs w:val="20"/>
          <w:color w:val="auto"/>
        </w:rPr>
      </w:pPr>
      <w:r>
        <w:rPr>
          <w:rFonts w:ascii="Arial" w:cs="Arial" w:eastAsia="Arial" w:hAnsi="Arial"/>
          <w:sz w:val="18"/>
          <w:szCs w:val="18"/>
          <w:color w:val="auto"/>
        </w:rPr>
        <w:t>The total intrinsic value of options exercised (the difference between the market price of the Company’s common stock on the exercise date and the price paid by the optionee to exercise the option)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-76200</wp:posOffset>
            </wp:positionV>
            <wp:extent cx="556577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ind w:left="6040"/>
        <w:spacing w:after="0"/>
        <w:tabs>
          <w:tab w:leader="none" w:pos="7040" w:val="left"/>
          <w:tab w:leader="none" w:pos="812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3659505</wp:posOffset>
            </wp:positionH>
            <wp:positionV relativeFrom="paragraph">
              <wp:posOffset>8890</wp:posOffset>
            </wp:positionV>
            <wp:extent cx="1912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2"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auto"/>
        </w:rPr>
        <w:t>(in millions)</w:t>
      </w:r>
    </w:p>
    <w:p>
      <w:pPr>
        <w:spacing w:after="0" w:line="27" w:lineRule="exact"/>
        <w:rPr>
          <w:sz w:val="20"/>
          <w:szCs w:val="20"/>
          <w:color w:val="auto"/>
        </w:rPr>
      </w:pPr>
    </w:p>
    <w:p>
      <w:pPr>
        <w:ind w:left="20"/>
        <w:spacing w:after="0"/>
        <w:tabs>
          <w:tab w:leader="none" w:pos="5740" w:val="left"/>
          <w:tab w:leader="none" w:pos="6300" w:val="left"/>
          <w:tab w:leader="none" w:pos="6780" w:val="left"/>
          <w:tab w:leader="none" w:pos="7320" w:val="left"/>
          <w:tab w:leader="none" w:pos="7800" w:val="left"/>
          <w:tab w:leader="none" w:pos="8420" w:val="left"/>
        </w:tabs>
        <w:rPr>
          <w:sz w:val="20"/>
          <w:szCs w:val="20"/>
          <w:color w:val="auto"/>
        </w:rPr>
      </w:pPr>
      <w:r>
        <w:rPr>
          <w:rFonts w:ascii="Arial" w:cs="Arial" w:eastAsia="Arial" w:hAnsi="Arial"/>
          <w:sz w:val="18"/>
          <w:szCs w:val="18"/>
          <w:color w:val="auto"/>
        </w:rPr>
        <w:t>Exercised</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29</w:t>
        <w:tab/>
        <w:t>$</w:t>
      </w:r>
      <w:r>
        <w:rPr>
          <w:sz w:val="20"/>
          <w:szCs w:val="20"/>
          <w:color w:val="auto"/>
        </w:rPr>
        <w:tab/>
      </w:r>
      <w:r>
        <w:rPr>
          <w:rFonts w:ascii="Arial" w:cs="Arial" w:eastAsia="Arial" w:hAnsi="Arial"/>
          <w:sz w:val="17"/>
          <w:szCs w:val="17"/>
          <w:color w:val="auto"/>
        </w:rPr>
        <w:t>15</w:t>
      </w:r>
    </w:p>
    <w:p>
      <w:pPr>
        <w:spacing w:after="0" w:line="104" w:lineRule="exact"/>
        <w:rPr>
          <w:sz w:val="20"/>
          <w:szCs w:val="20"/>
          <w:color w:val="auto"/>
        </w:rPr>
      </w:pPr>
    </w:p>
    <w:p>
      <w:pPr>
        <w:jc w:val="both"/>
        <w:ind w:left="60" w:right="539"/>
        <w:spacing w:after="0" w:line="250" w:lineRule="auto"/>
        <w:rPr>
          <w:sz w:val="20"/>
          <w:szCs w:val="20"/>
          <w:color w:val="auto"/>
        </w:rPr>
      </w:pPr>
      <w:r>
        <w:rPr>
          <w:rFonts w:ascii="Arial" w:cs="Arial" w:eastAsia="Arial" w:hAnsi="Arial"/>
          <w:sz w:val="18"/>
          <w:szCs w:val="18"/>
          <w:color w:val="auto"/>
        </w:rPr>
        <w:t>The aggregate intrinsic value for stock options outstanding and for stock options exercisable (the difference between the Company’s closing stock price on the last trading day of the period and the exercise price of the options, multiplied by the number of in-the-money stock options)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-74930</wp:posOffset>
            </wp:positionV>
            <wp:extent cx="556577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57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5"/>
        </w:trPr>
        <w:tc>
          <w:tcPr>
            <w:tcW w:w="5760" w:type="dxa"/>
            <w:vAlign w:val="bottom"/>
          </w:tcPr>
          <w:p>
            <w:pPr>
              <w:spacing w:after="0"/>
              <w:rPr>
                <w:sz w:val="16"/>
                <w:szCs w:val="16"/>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60" w:type="dxa"/>
            <w:vAlign w:val="bottom"/>
            <w:vMerge w:val="restart"/>
          </w:tcPr>
          <w:p>
            <w:pPr>
              <w:jc w:val="right"/>
              <w:ind w:right="16"/>
              <w:spacing w:after="0"/>
              <w:rPr>
                <w:sz w:val="20"/>
                <w:szCs w:val="20"/>
                <w:color w:val="auto"/>
              </w:rPr>
            </w:pPr>
            <w:r>
              <w:rPr>
                <w:rFonts w:ascii="Arial" w:cs="Arial" w:eastAsia="Arial" w:hAnsi="Arial"/>
                <w:sz w:val="18"/>
                <w:szCs w:val="18"/>
                <w:b w:val="1"/>
                <w:bCs w:val="1"/>
                <w:color w:val="auto"/>
              </w:rPr>
              <w:t>90</w:t>
            </w:r>
          </w:p>
        </w:tc>
        <w:tc>
          <w:tcPr>
            <w:tcW w:w="160" w:type="dxa"/>
            <w:vAlign w:val="bottom"/>
          </w:tcPr>
          <w:p>
            <w:pPr>
              <w:spacing w:after="0"/>
              <w:rPr>
                <w:sz w:val="16"/>
                <w:szCs w:val="16"/>
                <w:color w:val="auto"/>
              </w:rPr>
            </w:pP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3" w:lineRule="exact"/>
              <w:rPr>
                <w:sz w:val="20"/>
                <w:szCs w:val="20"/>
                <w:color w:val="auto"/>
              </w:rPr>
            </w:pPr>
            <w:r>
              <w:rPr>
                <w:rFonts w:ascii="Arial" w:cs="Arial" w:eastAsia="Arial" w:hAnsi="Arial"/>
                <w:sz w:val="18"/>
                <w:szCs w:val="18"/>
                <w:color w:val="auto"/>
              </w:rPr>
              <w:t>Outstanding</w:t>
            </w:r>
          </w:p>
        </w:tc>
        <w:tc>
          <w:tcPr>
            <w:tcW w:w="20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360" w:type="dxa"/>
            <w:vAlign w:val="bottom"/>
            <w:gridSpan w:val="2"/>
          </w:tcPr>
          <w:p>
            <w:pPr>
              <w:jc w:val="right"/>
              <w:ind w:right="8"/>
              <w:spacing w:after="0" w:line="203"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36"/>
              <w:spacing w:after="0" w:line="203" w:lineRule="exact"/>
              <w:rPr>
                <w:sz w:val="20"/>
                <w:szCs w:val="20"/>
                <w:color w:val="auto"/>
              </w:rPr>
            </w:pPr>
            <w:r>
              <w:rPr>
                <w:rFonts w:ascii="Arial" w:cs="Arial" w:eastAsia="Arial" w:hAnsi="Arial"/>
                <w:sz w:val="18"/>
                <w:szCs w:val="18"/>
                <w:color w:val="auto"/>
              </w:rPr>
              <w:t>86</w:t>
            </w:r>
          </w:p>
        </w:tc>
        <w:tc>
          <w:tcPr>
            <w:tcW w:w="160" w:type="dxa"/>
            <w:vAlign w:val="bottom"/>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ind w:right="56"/>
              <w:spacing w:after="0" w:line="203"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3"/>
        </w:trPr>
        <w:tc>
          <w:tcPr>
            <w:tcW w:w="57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Outstanding and exercisable</w:t>
            </w:r>
          </w:p>
        </w:tc>
        <w:tc>
          <w:tcPr>
            <w:tcW w:w="20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0C0C0"/>
          </w:tcPr>
          <w:p>
            <w:pPr>
              <w:jc w:val="right"/>
              <w:ind w:right="16"/>
              <w:spacing w:after="0" w:line="202" w:lineRule="exact"/>
              <w:rPr>
                <w:sz w:val="20"/>
                <w:szCs w:val="20"/>
                <w:color w:val="auto"/>
              </w:rPr>
            </w:pPr>
            <w:r>
              <w:rPr>
                <w:rFonts w:ascii="Arial" w:cs="Arial" w:eastAsia="Arial" w:hAnsi="Arial"/>
                <w:sz w:val="18"/>
                <w:szCs w:val="18"/>
                <w:b w:val="1"/>
                <w:bCs w:val="1"/>
                <w:color w:val="auto"/>
              </w:rPr>
              <w:t>72</w:t>
            </w:r>
          </w:p>
        </w:tc>
        <w:tc>
          <w:tcPr>
            <w:tcW w:w="360" w:type="dxa"/>
            <w:vAlign w:val="bottom"/>
            <w:gridSpan w:val="2"/>
            <w:shd w:val="clear" w:color="auto" w:fill="C0C0C0"/>
          </w:tcPr>
          <w:p>
            <w:pPr>
              <w:jc w:val="right"/>
              <w:ind w:right="8"/>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ind w:right="36"/>
              <w:spacing w:after="0" w:line="202" w:lineRule="exact"/>
              <w:rPr>
                <w:sz w:val="20"/>
                <w:szCs w:val="20"/>
                <w:color w:val="auto"/>
              </w:rPr>
            </w:pPr>
            <w:r>
              <w:rPr>
                <w:rFonts w:ascii="Arial" w:cs="Arial" w:eastAsia="Arial" w:hAnsi="Arial"/>
                <w:sz w:val="18"/>
                <w:szCs w:val="18"/>
                <w:color w:val="auto"/>
              </w:rPr>
              <w:t>60</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0C0C0"/>
          </w:tcPr>
          <w:p>
            <w:pPr>
              <w:jc w:val="right"/>
              <w:ind w:right="56"/>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0" w:right="539"/>
        <w:spacing w:after="0" w:line="262" w:lineRule="auto"/>
        <w:rPr>
          <w:sz w:val="20"/>
          <w:szCs w:val="20"/>
          <w:color w:val="auto"/>
        </w:rPr>
      </w:pPr>
      <w:r>
        <w:rPr>
          <w:rFonts w:ascii="Arial" w:cs="Arial" w:eastAsia="Arial" w:hAnsi="Arial"/>
          <w:sz w:val="18"/>
          <w:szCs w:val="18"/>
          <w:color w:val="auto"/>
        </w:rPr>
        <w:t>The Company received $27 million in cash from option exercises for the year ended February 1, 2014. The tax benefit realized from option exercises was $7 million, $11 million, and $6 million for 2013, 2012, and 2011, respectively.</w:t>
      </w:r>
    </w:p>
    <w:p>
      <w:pPr>
        <w:spacing w:after="0" w:line="200" w:lineRule="exact"/>
        <w:rPr>
          <w:sz w:val="20"/>
          <w:szCs w:val="20"/>
          <w:color w:val="auto"/>
        </w:rPr>
      </w:pPr>
    </w:p>
    <w:p>
      <w:pPr>
        <w:spacing w:after="0" w:line="34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96520</wp:posOffset>
            </wp:positionV>
            <wp:extent cx="6114415" cy="596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69" w:name="page70"/>
    <w:bookmarkEnd w:id="69"/>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22. Share-Based Compensation – (continued)</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information about stock options outstanding and exercisable at February 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63435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63435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2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Options Outstanding</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42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4"/>
                <w:szCs w:val="14"/>
                <w:b w:val="1"/>
                <w:bCs w:val="1"/>
                <w:color w:val="auto"/>
              </w:rPr>
              <w:t>Options Exercisable</w:t>
            </w:r>
          </w:p>
        </w:tc>
      </w:tr>
      <w:tr>
        <w:trPr>
          <w:trHeight w:val="169"/>
        </w:trPr>
        <w:tc>
          <w:tcPr>
            <w:tcW w:w="2340" w:type="dxa"/>
            <w:vAlign w:val="bottom"/>
            <w:gridSpan w:val="2"/>
          </w:tcPr>
          <w:p>
            <w:pPr>
              <w:ind w:left="20"/>
              <w:spacing w:after="0"/>
              <w:rPr>
                <w:sz w:val="20"/>
                <w:szCs w:val="20"/>
                <w:color w:val="auto"/>
              </w:rPr>
            </w:pPr>
            <w:r>
              <w:rPr>
                <w:rFonts w:ascii="Arial" w:cs="Arial" w:eastAsia="Arial" w:hAnsi="Arial"/>
                <w:sz w:val="14"/>
                <w:szCs w:val="14"/>
                <w:b w:val="1"/>
                <w:bCs w:val="1"/>
                <w:color w:val="auto"/>
              </w:rPr>
              <w:t>Range of Exercise Prices</w:t>
            </w:r>
          </w:p>
        </w:tc>
        <w:tc>
          <w:tcPr>
            <w:tcW w:w="10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15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Weighted-Average</w:t>
            </w:r>
          </w:p>
        </w:tc>
        <w:tc>
          <w:tcPr>
            <w:tcW w:w="18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4"/>
                <w:szCs w:val="14"/>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4"/>
                <w:szCs w:val="14"/>
                <w:color w:val="auto"/>
              </w:rPr>
            </w:pPr>
          </w:p>
        </w:tc>
        <w:tc>
          <w:tcPr>
            <w:tcW w:w="15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Remaining</w:t>
            </w: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Average Exercise</w:t>
            </w:r>
          </w:p>
        </w:tc>
        <w:tc>
          <w:tcPr>
            <w:tcW w:w="160" w:type="dxa"/>
            <w:vAlign w:val="bottom"/>
          </w:tcPr>
          <w:p>
            <w:pPr>
              <w:spacing w:after="0"/>
              <w:rPr>
                <w:sz w:val="14"/>
                <w:szCs w:val="14"/>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Exercisable</w:t>
            </w:r>
          </w:p>
        </w:tc>
        <w:tc>
          <w:tcPr>
            <w:tcW w:w="18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Contractual</w:t>
            </w:r>
          </w:p>
        </w:tc>
        <w:tc>
          <w:tcPr>
            <w:tcW w:w="18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Price</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rPr>
              <w:t>Exercise Price</w:t>
            </w:r>
          </w:p>
        </w:tc>
      </w:tr>
      <w:tr>
        <w:trPr>
          <w:trHeight w:val="175"/>
        </w:trPr>
        <w:tc>
          <w:tcPr>
            <w:tcW w:w="21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Life</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r>
      <w:tr>
        <w:trPr>
          <w:trHeight w:val="196"/>
        </w:trPr>
        <w:tc>
          <w:tcPr>
            <w:tcW w:w="2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120" w:type="dxa"/>
            <w:vAlign w:val="bottom"/>
            <w:gridSpan w:val="10"/>
          </w:tcPr>
          <w:p>
            <w:pPr>
              <w:ind w:left="20"/>
              <w:spacing w:after="0"/>
              <w:rPr>
                <w:sz w:val="20"/>
                <w:szCs w:val="20"/>
                <w:color w:val="auto"/>
              </w:rPr>
            </w:pPr>
            <w:r>
              <w:rPr>
                <w:rFonts w:ascii="Arial" w:cs="Arial" w:eastAsia="Arial" w:hAnsi="Arial"/>
                <w:sz w:val="14"/>
                <w:szCs w:val="14"/>
                <w:b w:val="1"/>
                <w:bCs w:val="1"/>
                <w:color w:val="auto"/>
              </w:rPr>
              <w:t>(in thousands, except prices per share and contractual life)</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340" w:type="dxa"/>
            <w:vAlign w:val="bottom"/>
            <w:gridSpan w:val="2"/>
            <w:shd w:val="clear" w:color="auto" w:fill="C0C0C0"/>
          </w:tcPr>
          <w:p>
            <w:pPr>
              <w:ind w:left="20"/>
              <w:spacing w:after="0" w:line="202" w:lineRule="exact"/>
              <w:rPr>
                <w:sz w:val="20"/>
                <w:szCs w:val="20"/>
                <w:color w:val="auto"/>
              </w:rPr>
            </w:pPr>
            <w:r>
              <w:rPr>
                <w:rFonts w:ascii="Arial" w:cs="Arial" w:eastAsia="Arial" w:hAnsi="Arial"/>
                <w:sz w:val="18"/>
                <w:szCs w:val="18"/>
                <w:color w:val="auto"/>
              </w:rPr>
              <w:t>$ 9.85 to $15.10</w:t>
            </w:r>
          </w:p>
        </w:tc>
        <w:tc>
          <w:tcPr>
            <w:tcW w:w="108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1,665</w:t>
            </w:r>
          </w:p>
        </w:tc>
        <w:tc>
          <w:tcPr>
            <w:tcW w:w="1500" w:type="dxa"/>
            <w:vAlign w:val="bottom"/>
            <w:gridSpan w:val="3"/>
            <w:shd w:val="clear" w:color="auto" w:fill="C0C0C0"/>
          </w:tcPr>
          <w:p>
            <w:pPr>
              <w:jc w:val="right"/>
              <w:ind w:right="180"/>
              <w:spacing w:after="0" w:line="202" w:lineRule="exact"/>
              <w:rPr>
                <w:sz w:val="20"/>
                <w:szCs w:val="20"/>
                <w:color w:val="auto"/>
              </w:rPr>
            </w:pPr>
            <w:r>
              <w:rPr>
                <w:rFonts w:ascii="Arial" w:cs="Arial" w:eastAsia="Arial" w:hAnsi="Arial"/>
                <w:sz w:val="18"/>
                <w:szCs w:val="18"/>
                <w:color w:val="auto"/>
              </w:rPr>
              <w:t>5.63</w:t>
            </w:r>
          </w:p>
        </w:tc>
        <w:tc>
          <w:tcPr>
            <w:tcW w:w="16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12.53</w:t>
            </w:r>
          </w:p>
        </w:tc>
        <w:tc>
          <w:tcPr>
            <w:tcW w:w="1240" w:type="dxa"/>
            <w:vAlign w:val="bottom"/>
            <w:gridSpan w:val="3"/>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1,665</w:t>
            </w:r>
          </w:p>
        </w:tc>
        <w:tc>
          <w:tcPr>
            <w:tcW w:w="160" w:type="dxa"/>
            <w:vAlign w:val="bottom"/>
            <w:shd w:val="clear" w:color="auto" w:fill="C0C0C0"/>
          </w:tcPr>
          <w:p>
            <w:pPr>
              <w:spacing w:after="0"/>
              <w:rPr>
                <w:sz w:val="17"/>
                <w:szCs w:val="17"/>
                <w:color w:val="auto"/>
              </w:rPr>
            </w:pPr>
          </w:p>
        </w:tc>
        <w:tc>
          <w:tcPr>
            <w:tcW w:w="18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12.53</w:t>
            </w:r>
          </w:p>
        </w:tc>
      </w:tr>
      <w:tr>
        <w:trPr>
          <w:trHeight w:val="203"/>
        </w:trPr>
        <w:tc>
          <w:tcPr>
            <w:tcW w:w="2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$18.01 to $23.42</w:t>
            </w: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1,569</w:t>
            </w:r>
          </w:p>
        </w:tc>
        <w:tc>
          <w:tcPr>
            <w:tcW w:w="15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6.15</w:t>
            </w:r>
          </w:p>
        </w:tc>
        <w:tc>
          <w:tcPr>
            <w:tcW w:w="160" w:type="dxa"/>
            <w:vAlign w:val="bottom"/>
          </w:tcPr>
          <w:p>
            <w:pPr>
              <w:spacing w:after="0"/>
              <w:rPr>
                <w:sz w:val="17"/>
                <w:szCs w:val="17"/>
                <w:color w:val="auto"/>
              </w:rPr>
            </w:pP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19.70</w:t>
            </w:r>
          </w:p>
        </w:tc>
        <w:tc>
          <w:tcPr>
            <w:tcW w:w="12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1,123</w:t>
            </w:r>
          </w:p>
        </w:tc>
        <w:tc>
          <w:tcPr>
            <w:tcW w:w="16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20.03</w:t>
            </w:r>
          </w:p>
        </w:tc>
      </w:tr>
      <w:tr>
        <w:trPr>
          <w:trHeight w:val="203"/>
        </w:trPr>
        <w:tc>
          <w:tcPr>
            <w:tcW w:w="2340" w:type="dxa"/>
            <w:vAlign w:val="bottom"/>
            <w:gridSpan w:val="2"/>
            <w:shd w:val="clear" w:color="auto" w:fill="C0C0C0"/>
          </w:tcPr>
          <w:p>
            <w:pPr>
              <w:ind w:left="20"/>
              <w:spacing w:after="0" w:line="202" w:lineRule="exact"/>
              <w:rPr>
                <w:sz w:val="20"/>
                <w:szCs w:val="20"/>
                <w:color w:val="auto"/>
              </w:rPr>
            </w:pPr>
            <w:r>
              <w:rPr>
                <w:rFonts w:ascii="Arial" w:cs="Arial" w:eastAsia="Arial" w:hAnsi="Arial"/>
                <w:sz w:val="18"/>
                <w:szCs w:val="18"/>
                <w:color w:val="auto"/>
              </w:rPr>
              <w:t>$23.63 to $34.24</w:t>
            </w:r>
          </w:p>
        </w:tc>
        <w:tc>
          <w:tcPr>
            <w:tcW w:w="108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2,397</w:t>
            </w:r>
          </w:p>
        </w:tc>
        <w:tc>
          <w:tcPr>
            <w:tcW w:w="1500" w:type="dxa"/>
            <w:vAlign w:val="bottom"/>
            <w:gridSpan w:val="3"/>
            <w:shd w:val="clear" w:color="auto" w:fill="C0C0C0"/>
          </w:tcPr>
          <w:p>
            <w:pPr>
              <w:jc w:val="right"/>
              <w:ind w:right="180"/>
              <w:spacing w:after="0" w:line="202" w:lineRule="exact"/>
              <w:rPr>
                <w:sz w:val="20"/>
                <w:szCs w:val="20"/>
                <w:color w:val="auto"/>
              </w:rPr>
            </w:pPr>
            <w:r>
              <w:rPr>
                <w:rFonts w:ascii="Arial" w:cs="Arial" w:eastAsia="Arial" w:hAnsi="Arial"/>
                <w:sz w:val="18"/>
                <w:szCs w:val="18"/>
                <w:color w:val="auto"/>
              </w:rPr>
              <w:t>7.47</w:t>
            </w:r>
          </w:p>
        </w:tc>
        <w:tc>
          <w:tcPr>
            <w:tcW w:w="16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31.44</w:t>
            </w:r>
          </w:p>
        </w:tc>
        <w:tc>
          <w:tcPr>
            <w:tcW w:w="1240" w:type="dxa"/>
            <w:vAlign w:val="bottom"/>
            <w:gridSpan w:val="3"/>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704</w:t>
            </w:r>
          </w:p>
        </w:tc>
        <w:tc>
          <w:tcPr>
            <w:tcW w:w="160" w:type="dxa"/>
            <w:vAlign w:val="bottom"/>
            <w:shd w:val="clear" w:color="auto" w:fill="C0C0C0"/>
          </w:tcPr>
          <w:p>
            <w:pPr>
              <w:spacing w:after="0"/>
              <w:rPr>
                <w:sz w:val="17"/>
                <w:szCs w:val="17"/>
                <w:color w:val="auto"/>
              </w:rPr>
            </w:pPr>
          </w:p>
        </w:tc>
        <w:tc>
          <w:tcPr>
            <w:tcW w:w="18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27.75</w:t>
            </w:r>
          </w:p>
        </w:tc>
      </w:tr>
      <w:tr>
        <w:trPr>
          <w:trHeight w:val="203"/>
        </w:trPr>
        <w:tc>
          <w:tcPr>
            <w:tcW w:w="2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$34.27 to $36.59</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9.21</w:t>
            </w:r>
          </w:p>
        </w:tc>
        <w:tc>
          <w:tcPr>
            <w:tcW w:w="160" w:type="dxa"/>
            <w:vAlign w:val="bottom"/>
          </w:tcPr>
          <w:p>
            <w:pPr>
              <w:spacing w:after="0"/>
              <w:rPr>
                <w:sz w:val="17"/>
                <w:szCs w:val="17"/>
                <w:color w:val="auto"/>
              </w:rPr>
            </w:pP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34.96</w:t>
            </w:r>
          </w:p>
        </w:tc>
        <w:tc>
          <w:tcPr>
            <w:tcW w:w="12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3</w:t>
            </w:r>
          </w:p>
        </w:tc>
        <w:tc>
          <w:tcPr>
            <w:tcW w:w="16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35.27</w:t>
            </w:r>
          </w:p>
        </w:tc>
      </w:tr>
      <w:tr>
        <w:trPr>
          <w:trHeight w:val="20"/>
        </w:trPr>
        <w:tc>
          <w:tcPr>
            <w:tcW w:w="2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218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96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color w:val="auto"/>
              </w:rPr>
              <w:t>5,668</w:t>
            </w:r>
          </w:p>
        </w:tc>
        <w:tc>
          <w:tcPr>
            <w:tcW w:w="12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1340" w:type="dxa"/>
            <w:vAlign w:val="bottom"/>
            <w:gridSpan w:val="2"/>
            <w:shd w:val="clear" w:color="auto" w:fill="C0C0C0"/>
          </w:tcPr>
          <w:p>
            <w:pPr>
              <w:jc w:val="right"/>
              <w:ind w:right="180"/>
              <w:spacing w:after="0" w:line="196" w:lineRule="exact"/>
              <w:rPr>
                <w:sz w:val="20"/>
                <w:szCs w:val="20"/>
                <w:color w:val="auto"/>
              </w:rPr>
            </w:pPr>
            <w:r>
              <w:rPr>
                <w:rFonts w:ascii="Arial" w:cs="Arial" w:eastAsia="Arial" w:hAnsi="Arial"/>
                <w:sz w:val="18"/>
                <w:szCs w:val="18"/>
                <w:color w:val="auto"/>
              </w:rPr>
              <w:t>6.58</w:t>
            </w:r>
          </w:p>
        </w:tc>
        <w:tc>
          <w:tcPr>
            <w:tcW w:w="16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0C0C0"/>
          </w:tcPr>
          <w:p>
            <w:pPr>
              <w:jc w:val="right"/>
              <w:ind w:right="120"/>
              <w:spacing w:after="0" w:line="196" w:lineRule="exact"/>
              <w:rPr>
                <w:sz w:val="20"/>
                <w:szCs w:val="20"/>
                <w:color w:val="auto"/>
              </w:rPr>
            </w:pPr>
            <w:r>
              <w:rPr>
                <w:rFonts w:ascii="Arial" w:cs="Arial" w:eastAsia="Arial" w:hAnsi="Arial"/>
                <w:sz w:val="18"/>
                <w:szCs w:val="18"/>
                <w:color w:val="auto"/>
              </w:rPr>
              <w:t>22.66</w:t>
            </w:r>
          </w:p>
        </w:tc>
        <w:tc>
          <w:tcPr>
            <w:tcW w:w="1240" w:type="dxa"/>
            <w:vAlign w:val="bottom"/>
            <w:gridSpan w:val="3"/>
            <w:shd w:val="clear" w:color="auto" w:fill="C0C0C0"/>
          </w:tcPr>
          <w:p>
            <w:pPr>
              <w:jc w:val="right"/>
              <w:ind w:right="120"/>
              <w:spacing w:after="0" w:line="196" w:lineRule="exact"/>
              <w:rPr>
                <w:sz w:val="20"/>
                <w:szCs w:val="20"/>
                <w:color w:val="auto"/>
              </w:rPr>
            </w:pPr>
            <w:r>
              <w:rPr>
                <w:rFonts w:ascii="Arial" w:cs="Arial" w:eastAsia="Arial" w:hAnsi="Arial"/>
                <w:sz w:val="18"/>
                <w:szCs w:val="18"/>
                <w:color w:val="auto"/>
              </w:rPr>
              <w:t>3,495</w:t>
            </w:r>
          </w:p>
        </w:tc>
        <w:tc>
          <w:tcPr>
            <w:tcW w:w="160" w:type="dxa"/>
            <w:vAlign w:val="bottom"/>
            <w:shd w:val="clear" w:color="auto" w:fill="C0C0C0"/>
          </w:tcPr>
          <w:p>
            <w:pPr>
              <w:spacing w:after="0"/>
              <w:rPr>
                <w:sz w:val="18"/>
                <w:szCs w:val="18"/>
                <w:color w:val="auto"/>
              </w:rPr>
            </w:pPr>
          </w:p>
        </w:tc>
        <w:tc>
          <w:tcPr>
            <w:tcW w:w="18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0C0C0"/>
          </w:tcPr>
          <w:p>
            <w:pPr>
              <w:jc w:val="right"/>
              <w:ind w:right="120"/>
              <w:spacing w:after="0" w:line="196" w:lineRule="exact"/>
              <w:rPr>
                <w:sz w:val="20"/>
                <w:szCs w:val="20"/>
                <w:color w:val="auto"/>
              </w:rPr>
            </w:pPr>
            <w:r>
              <w:rPr>
                <w:rFonts w:ascii="Arial" w:cs="Arial" w:eastAsia="Arial" w:hAnsi="Arial"/>
                <w:sz w:val="18"/>
                <w:szCs w:val="18"/>
                <w:color w:val="auto"/>
              </w:rPr>
              <w:t>18.02</w:t>
            </w:r>
          </w:p>
        </w:tc>
      </w:tr>
      <w:tr>
        <w:trPr>
          <w:trHeight w:val="20"/>
        </w:trPr>
        <w:tc>
          <w:tcPr>
            <w:tcW w:w="218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C0C0"/>
            </w:tcBorders>
            <w:shd w:val="clear" w:color="auto" w:fill="C0C0C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147510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47510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-8255</wp:posOffset>
            </wp:positionV>
            <wp:extent cx="147510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475105" cy="8890"/>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-33655</wp:posOffset>
            </wp:positionV>
            <wp:extent cx="18034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-8255</wp:posOffset>
            </wp:positionV>
            <wp:extent cx="18034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3007360</wp:posOffset>
            </wp:positionH>
            <wp:positionV relativeFrom="paragraph">
              <wp:posOffset>-33655</wp:posOffset>
            </wp:positionV>
            <wp:extent cx="21463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3007360</wp:posOffset>
            </wp:positionH>
            <wp:positionV relativeFrom="paragraph">
              <wp:posOffset>-8255</wp:posOffset>
            </wp:positionV>
            <wp:extent cx="21463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3916680</wp:posOffset>
            </wp:positionH>
            <wp:positionV relativeFrom="paragraph">
              <wp:posOffset>-33655</wp:posOffset>
            </wp:positionV>
            <wp:extent cx="18859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3916680</wp:posOffset>
            </wp:positionH>
            <wp:positionV relativeFrom="paragraph">
              <wp:posOffset>-8255</wp:posOffset>
            </wp:positionV>
            <wp:extent cx="18859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-33655</wp:posOffset>
            </wp:positionV>
            <wp:extent cx="18034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-8255</wp:posOffset>
            </wp:positionV>
            <wp:extent cx="18034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5563235</wp:posOffset>
            </wp:positionH>
            <wp:positionV relativeFrom="paragraph">
              <wp:posOffset>-33655</wp:posOffset>
            </wp:positionV>
            <wp:extent cx="7747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5563235</wp:posOffset>
            </wp:positionH>
            <wp:positionV relativeFrom="paragraph">
              <wp:posOffset>-8255</wp:posOffset>
            </wp:positionV>
            <wp:extent cx="7747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Changes in the Company’s nonvested options at February 1, 2014 are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56577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636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6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Grant Date</w:t>
            </w:r>
          </w:p>
        </w:tc>
      </w:tr>
      <w:tr>
        <w:trPr>
          <w:trHeight w:val="162"/>
        </w:trPr>
        <w:tc>
          <w:tcPr>
            <w:tcW w:w="6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Fair Value</w:t>
            </w:r>
          </w:p>
        </w:tc>
      </w:tr>
      <w:tr>
        <w:trPr>
          <w:trHeight w:val="175"/>
        </w:trPr>
        <w:tc>
          <w:tcPr>
            <w:tcW w:w="63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rPr>
              <w:t>per share</w:t>
            </w:r>
          </w:p>
        </w:tc>
      </w:tr>
      <w:tr>
        <w:trPr>
          <w:trHeight w:val="169"/>
        </w:trPr>
        <w:tc>
          <w:tcPr>
            <w:tcW w:w="6360" w:type="dxa"/>
            <w:vAlign w:val="bottom"/>
          </w:tcPr>
          <w:p>
            <w:pPr>
              <w:spacing w:after="0"/>
              <w:rPr>
                <w:sz w:val="14"/>
                <w:szCs w:val="14"/>
                <w:color w:val="auto"/>
              </w:rPr>
            </w:pPr>
          </w:p>
        </w:tc>
        <w:tc>
          <w:tcPr>
            <w:tcW w:w="24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(in thousands, except</w:t>
            </w:r>
          </w:p>
        </w:tc>
      </w:tr>
      <w:tr>
        <w:trPr>
          <w:trHeight w:val="174"/>
        </w:trPr>
        <w:tc>
          <w:tcPr>
            <w:tcW w:w="6360" w:type="dxa"/>
            <w:vAlign w:val="bottom"/>
          </w:tcPr>
          <w:p>
            <w:pPr>
              <w:spacing w:after="0"/>
              <w:rPr>
                <w:sz w:val="15"/>
                <w:szCs w:val="15"/>
                <w:color w:val="auto"/>
              </w:rPr>
            </w:pPr>
          </w:p>
        </w:tc>
        <w:tc>
          <w:tcPr>
            <w:tcW w:w="24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prices per share)</w:t>
            </w:r>
          </w:p>
        </w:tc>
      </w:tr>
      <w:tr>
        <w:trPr>
          <w:trHeight w:val="203"/>
        </w:trPr>
        <w:tc>
          <w:tcPr>
            <w:tcW w:w="6360" w:type="dxa"/>
            <w:vAlign w:val="bottom"/>
          </w:tcPr>
          <w:p>
            <w:pPr>
              <w:ind w:left="20"/>
              <w:spacing w:after="0" w:line="203" w:lineRule="exact"/>
              <w:rPr>
                <w:sz w:val="20"/>
                <w:szCs w:val="20"/>
                <w:color w:val="auto"/>
              </w:rPr>
            </w:pPr>
            <w:r>
              <w:rPr>
                <w:rFonts w:ascii="Arial" w:cs="Arial" w:eastAsia="Arial" w:hAnsi="Arial"/>
                <w:sz w:val="18"/>
                <w:szCs w:val="18"/>
                <w:color w:val="auto"/>
              </w:rPr>
              <w:t>Nonvested at February 2, 2013</w:t>
            </w: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2,314</w:t>
            </w:r>
          </w:p>
        </w:tc>
        <w:tc>
          <w:tcPr>
            <w:tcW w:w="220" w:type="dxa"/>
            <w:vAlign w:val="bottom"/>
          </w:tcPr>
          <w:p>
            <w:pPr>
              <w:spacing w:after="0"/>
              <w:rPr>
                <w:sz w:val="17"/>
                <w:szCs w:val="17"/>
                <w:color w:val="auto"/>
              </w:rPr>
            </w:pPr>
          </w:p>
        </w:tc>
        <w:tc>
          <w:tcPr>
            <w:tcW w:w="3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23.18</w:t>
            </w:r>
          </w:p>
        </w:tc>
      </w:tr>
      <w:tr>
        <w:trPr>
          <w:trHeight w:val="203"/>
        </w:trPr>
        <w:tc>
          <w:tcPr>
            <w:tcW w:w="63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Granted</w:t>
            </w:r>
          </w:p>
        </w:tc>
        <w:tc>
          <w:tcPr>
            <w:tcW w:w="86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1,154</w:t>
            </w: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020" w:type="dxa"/>
            <w:vAlign w:val="bottom"/>
            <w:gridSpan w:val="2"/>
            <w:shd w:val="clear" w:color="auto" w:fill="C0C0C0"/>
          </w:tcPr>
          <w:p>
            <w:pPr>
              <w:jc w:val="right"/>
              <w:ind w:right="140"/>
              <w:spacing w:after="0" w:line="202" w:lineRule="exact"/>
              <w:rPr>
                <w:sz w:val="20"/>
                <w:szCs w:val="20"/>
                <w:color w:val="auto"/>
              </w:rPr>
            </w:pPr>
            <w:r>
              <w:rPr>
                <w:rFonts w:ascii="Arial" w:cs="Arial" w:eastAsia="Arial" w:hAnsi="Arial"/>
                <w:sz w:val="18"/>
                <w:szCs w:val="18"/>
                <w:color w:val="auto"/>
              </w:rPr>
              <w:t>34.25</w:t>
            </w:r>
          </w:p>
        </w:tc>
      </w:tr>
      <w:tr>
        <w:trPr>
          <w:trHeight w:val="203"/>
        </w:trPr>
        <w:tc>
          <w:tcPr>
            <w:tcW w:w="6360" w:type="dxa"/>
            <w:vAlign w:val="bottom"/>
          </w:tcPr>
          <w:p>
            <w:pPr>
              <w:ind w:left="20"/>
              <w:spacing w:after="0" w:line="202" w:lineRule="exact"/>
              <w:rPr>
                <w:sz w:val="20"/>
                <w:szCs w:val="20"/>
                <w:color w:val="auto"/>
              </w:rPr>
            </w:pPr>
            <w:r>
              <w:rPr>
                <w:rFonts w:ascii="Arial" w:cs="Arial" w:eastAsia="Arial" w:hAnsi="Arial"/>
                <w:sz w:val="18"/>
                <w:szCs w:val="18"/>
                <w:color w:val="auto"/>
              </w:rPr>
              <w:t>Vested</w:t>
            </w: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(1,230)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21.00</w:t>
            </w:r>
          </w:p>
        </w:tc>
      </w:tr>
      <w:tr>
        <w:trPr>
          <w:trHeight w:val="203"/>
        </w:trPr>
        <w:tc>
          <w:tcPr>
            <w:tcW w:w="63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Expired or cancelled</w:t>
            </w:r>
          </w:p>
        </w:tc>
        <w:tc>
          <w:tcPr>
            <w:tcW w:w="1080" w:type="dxa"/>
            <w:vAlign w:val="bottom"/>
            <w:gridSpan w:val="2"/>
            <w:shd w:val="clear" w:color="auto" w:fill="C0C0C0"/>
          </w:tcPr>
          <w:p>
            <w:pPr>
              <w:jc w:val="right"/>
              <w:ind w:right="160"/>
              <w:spacing w:after="0" w:line="202" w:lineRule="exact"/>
              <w:rPr>
                <w:sz w:val="20"/>
                <w:szCs w:val="20"/>
                <w:color w:val="auto"/>
              </w:rPr>
            </w:pPr>
            <w:r>
              <w:rPr>
                <w:rFonts w:ascii="Arial" w:cs="Arial" w:eastAsia="Arial" w:hAnsi="Arial"/>
                <w:sz w:val="18"/>
                <w:szCs w:val="18"/>
                <w:color w:val="auto"/>
              </w:rPr>
              <w:t>(65)</w:t>
            </w: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020" w:type="dxa"/>
            <w:vAlign w:val="bottom"/>
            <w:gridSpan w:val="2"/>
            <w:shd w:val="clear" w:color="auto" w:fill="C0C0C0"/>
          </w:tcPr>
          <w:p>
            <w:pPr>
              <w:jc w:val="right"/>
              <w:ind w:right="140"/>
              <w:spacing w:after="0" w:line="202" w:lineRule="exact"/>
              <w:rPr>
                <w:sz w:val="20"/>
                <w:szCs w:val="20"/>
                <w:color w:val="auto"/>
              </w:rPr>
            </w:pPr>
            <w:r>
              <w:rPr>
                <w:rFonts w:ascii="Arial" w:cs="Arial" w:eastAsia="Arial" w:hAnsi="Arial"/>
                <w:sz w:val="18"/>
                <w:szCs w:val="18"/>
                <w:color w:val="auto"/>
              </w:rPr>
              <w:t>29.55</w:t>
            </w:r>
          </w:p>
        </w:tc>
      </w:tr>
      <w:tr>
        <w:trPr>
          <w:trHeight w:val="20"/>
        </w:trPr>
        <w:tc>
          <w:tcPr>
            <w:tcW w:w="6360" w:type="dxa"/>
            <w:vAlign w:val="bottom"/>
            <w:shd w:val="clear" w:color="auto" w:fill="C0C0C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r>
      <w:tr>
        <w:trPr>
          <w:trHeight w:val="196"/>
        </w:trPr>
        <w:tc>
          <w:tcPr>
            <w:tcW w:w="6360" w:type="dxa"/>
            <w:vAlign w:val="bottom"/>
          </w:tcPr>
          <w:p>
            <w:pPr>
              <w:ind w:left="20"/>
              <w:spacing w:after="0" w:line="196" w:lineRule="exact"/>
              <w:rPr>
                <w:sz w:val="20"/>
                <w:szCs w:val="20"/>
                <w:color w:val="auto"/>
              </w:rPr>
            </w:pPr>
            <w:r>
              <w:rPr>
                <w:rFonts w:ascii="Arial" w:cs="Arial" w:eastAsia="Arial" w:hAnsi="Arial"/>
                <w:sz w:val="18"/>
                <w:szCs w:val="18"/>
                <w:color w:val="auto"/>
              </w:rPr>
              <w:t>Nonvested at February 1, 2014</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2,173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30.10</w:t>
            </w:r>
          </w:p>
        </w:tc>
      </w:tr>
      <w:tr>
        <w:trPr>
          <w:trHeight w:val="21"/>
        </w:trPr>
        <w:tc>
          <w:tcPr>
            <w:tcW w:w="63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-170815</wp:posOffset>
            </wp:positionV>
            <wp:extent cx="5565775" cy="1714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565775" cy="171450"/>
                    </a:xfrm>
                    <a:prstGeom prst="rect">
                      <a:avLst/>
                    </a:prstGeom>
                    <a:noFill/>
                  </pic:spPr>
                </pic:pic>
              </a:graphicData>
            </a:graphic>
          </wp:anchor>
        </w:drawing>
      </w:r>
    </w:p>
    <w:p>
      <w:pPr>
        <w:spacing w:after="0" w:line="6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 and Units</w:t>
      </w:r>
    </w:p>
    <w:p>
      <w:pPr>
        <w:spacing w:after="0" w:line="135" w:lineRule="exact"/>
        <w:rPr>
          <w:sz w:val="20"/>
          <w:szCs w:val="20"/>
          <w:color w:val="auto"/>
        </w:rPr>
      </w:pPr>
    </w:p>
    <w:p>
      <w:pPr>
        <w:jc w:val="both"/>
        <w:ind w:left="60" w:right="519"/>
        <w:spacing w:after="0" w:line="253" w:lineRule="auto"/>
        <w:rPr>
          <w:sz w:val="20"/>
          <w:szCs w:val="20"/>
          <w:color w:val="auto"/>
        </w:rPr>
      </w:pPr>
      <w:r>
        <w:rPr>
          <w:rFonts w:ascii="Arial" w:cs="Arial" w:eastAsia="Arial" w:hAnsi="Arial"/>
          <w:sz w:val="18"/>
          <w:szCs w:val="18"/>
          <w:color w:val="auto"/>
        </w:rPr>
        <w:t>Restricted shares of the Company’s common stock and restricted stock units may be awarded to certain officers and key employees of the Company. Awards made to executives outside of the United States and to nonemployee directors are made in the form of restricted stock units. Each restricted stock unit represents the right to receive one share of the Company’s common stock provided that the vesting conditions are satisfied. In 2013, 2012, and 2011, there were 1,027,542, 1,254,876, and 1,098,177 restricted stock units outstanding, respectively.</w:t>
      </w:r>
    </w:p>
    <w:p>
      <w:pPr>
        <w:spacing w:after="0" w:line="97"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Generally, awards fully vest after the passage of time, typically three years. However, restricted stock unit grants made in connection with the Company’s long-term incentive program vest after the attainment of certain performance metrics and the passage of time. Restricted stock is considered outstanding at the time of grant and the holders have voting rights. Dividends are paid to holders of restricted stock that vest with the passage of time; for performance-based restricted stock, dividends will be accumulated and paid after the performance criteria are met. No dividends are paid on restricted stock units.</w:t>
      </w:r>
    </w:p>
    <w:p>
      <w:pPr>
        <w:spacing w:after="0" w:line="101" w:lineRule="exact"/>
        <w:rPr>
          <w:sz w:val="20"/>
          <w:szCs w:val="20"/>
          <w:color w:val="auto"/>
        </w:rPr>
      </w:pPr>
    </w:p>
    <w:p>
      <w:pPr>
        <w:jc w:val="both"/>
        <w:ind w:left="60" w:right="519"/>
        <w:spacing w:after="0" w:line="253" w:lineRule="auto"/>
        <w:rPr>
          <w:sz w:val="20"/>
          <w:szCs w:val="20"/>
          <w:color w:val="auto"/>
        </w:rPr>
      </w:pPr>
      <w:r>
        <w:rPr>
          <w:rFonts w:ascii="Arial" w:cs="Arial" w:eastAsia="Arial" w:hAnsi="Arial"/>
          <w:sz w:val="18"/>
          <w:szCs w:val="18"/>
          <w:color w:val="auto"/>
        </w:rPr>
        <w:t>Compensation expense is recognized using the fair market value at the date of grant and is amortized over the vesting period, provided the recipient continues to be employed by the Company. The Company recorded compensation expense related to restricted shares, net of estimated forfeitures, of $13 million, $10 million, and $10 million for 2013, 2012, and 2011, respectively. At February 1, 2014, there was $11 million of total unrecognized compensation cost net of estimated forfeitures, related to nonvested restricted stock awards.</w:t>
      </w:r>
    </w:p>
    <w:p>
      <w:pPr>
        <w:spacing w:after="0" w:line="200" w:lineRule="exact"/>
        <w:rPr>
          <w:sz w:val="20"/>
          <w:szCs w:val="20"/>
          <w:color w:val="auto"/>
        </w:rPr>
      </w:pPr>
    </w:p>
    <w:p>
      <w:pPr>
        <w:spacing w:after="0" w:line="35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96520</wp:posOffset>
            </wp:positionV>
            <wp:extent cx="6114415" cy="596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1" w:right="1440" w:bottom="1440" w:gutter="0" w:footer="0" w:header="0"/>
        </w:sectPr>
      </w:pPr>
    </w:p>
    <w:bookmarkStart w:id="70" w:name="page71"/>
    <w:bookmarkEnd w:id="70"/>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right="5339" w:firstLine="8"/>
        <w:spacing w:after="0" w:line="345" w:lineRule="auto"/>
        <w:tabs>
          <w:tab w:leader="none" w:pos="410"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Share-Based Compensation – (continued) </w:t>
      </w:r>
      <w:r>
        <w:rPr>
          <w:rFonts w:ascii="Arial" w:cs="Arial" w:eastAsia="Arial" w:hAnsi="Arial"/>
          <w:sz w:val="17"/>
          <w:szCs w:val="17"/>
          <w:color w:val="auto"/>
        </w:rPr>
        <w:t>Restricted share and unit activity is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556577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57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10"/>
          </w:tcPr>
          <w:p>
            <w:pPr>
              <w:jc w:val="right"/>
              <w:ind w:right="540"/>
              <w:spacing w:after="0"/>
              <w:rPr>
                <w:sz w:val="20"/>
                <w:szCs w:val="20"/>
                <w:color w:val="auto"/>
              </w:rPr>
            </w:pPr>
            <w:r>
              <w:rPr>
                <w:rFonts w:ascii="Arial" w:cs="Arial" w:eastAsia="Arial" w:hAnsi="Arial"/>
                <w:sz w:val="14"/>
                <w:szCs w:val="14"/>
                <w:b w:val="1"/>
                <w:bCs w:val="1"/>
                <w:color w:val="auto"/>
              </w:rPr>
              <w:t>Number of Shares and Units</w:t>
            </w:r>
          </w:p>
        </w:tc>
      </w:tr>
      <w:tr>
        <w:trPr>
          <w:trHeight w:val="183"/>
        </w:trPr>
        <w:tc>
          <w:tcPr>
            <w:tcW w:w="57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auto"/>
            </w:tcBorders>
          </w:tcPr>
          <w:p>
            <w:pPr>
              <w:spacing w:after="0"/>
              <w:rPr>
                <w:sz w:val="15"/>
                <w:szCs w:val="15"/>
                <w:color w:val="auto"/>
              </w:rPr>
            </w:pPr>
          </w:p>
        </w:tc>
      </w:tr>
      <w:tr>
        <w:trPr>
          <w:trHeight w:val="196"/>
        </w:trPr>
        <w:tc>
          <w:tcPr>
            <w:tcW w:w="5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5"/>
          </w:tcPr>
          <w:p>
            <w:pPr>
              <w:ind w:left="16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57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Outstanding at beginning of year</w:t>
            </w:r>
          </w:p>
        </w:tc>
        <w:tc>
          <w:tcPr>
            <w:tcW w:w="18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160"/>
              <w:spacing w:after="0" w:line="202" w:lineRule="exact"/>
              <w:rPr>
                <w:sz w:val="20"/>
                <w:szCs w:val="20"/>
                <w:color w:val="auto"/>
              </w:rPr>
            </w:pPr>
            <w:r>
              <w:rPr>
                <w:rFonts w:ascii="Arial" w:cs="Arial" w:eastAsia="Arial" w:hAnsi="Arial"/>
                <w:sz w:val="18"/>
                <w:szCs w:val="18"/>
                <w:b w:val="1"/>
                <w:bCs w:val="1"/>
                <w:color w:val="auto"/>
              </w:rPr>
              <w:t>1,564</w:t>
            </w:r>
          </w:p>
        </w:tc>
        <w:tc>
          <w:tcPr>
            <w:tcW w:w="16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700" w:type="dxa"/>
            <w:vAlign w:val="bottom"/>
            <w:gridSpan w:val="2"/>
            <w:shd w:val="clear" w:color="auto" w:fill="C0C0C0"/>
          </w:tcPr>
          <w:p>
            <w:pPr>
              <w:jc w:val="right"/>
              <w:ind w:right="160"/>
              <w:spacing w:after="0" w:line="202" w:lineRule="exact"/>
              <w:rPr>
                <w:sz w:val="20"/>
                <w:szCs w:val="20"/>
                <w:color w:val="auto"/>
              </w:rPr>
            </w:pPr>
            <w:r>
              <w:rPr>
                <w:rFonts w:ascii="Arial" w:cs="Arial" w:eastAsia="Arial" w:hAnsi="Arial"/>
                <w:sz w:val="18"/>
                <w:szCs w:val="18"/>
                <w:color w:val="auto"/>
              </w:rPr>
              <w:t>2,068</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80"/>
              <w:spacing w:after="0" w:line="202" w:lineRule="exact"/>
              <w:rPr>
                <w:sz w:val="20"/>
                <w:szCs w:val="20"/>
                <w:color w:val="auto"/>
              </w:rPr>
            </w:pPr>
            <w:r>
              <w:rPr>
                <w:rFonts w:ascii="Arial" w:cs="Arial" w:eastAsia="Arial" w:hAnsi="Arial"/>
                <w:sz w:val="18"/>
                <w:szCs w:val="18"/>
                <w:color w:val="auto"/>
              </w:rPr>
              <w:t>1,759</w:t>
            </w: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180" w:type="dxa"/>
            <w:vAlign w:val="bottom"/>
          </w:tcPr>
          <w:p>
            <w:pPr>
              <w:spacing w:after="0"/>
              <w:rPr>
                <w:sz w:val="17"/>
                <w:szCs w:val="17"/>
                <w:color w:val="auto"/>
              </w:rPr>
            </w:pPr>
          </w:p>
        </w:tc>
        <w:tc>
          <w:tcPr>
            <w:tcW w:w="68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469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278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686</w:t>
            </w:r>
          </w:p>
        </w:tc>
      </w:tr>
      <w:tr>
        <w:trPr>
          <w:trHeight w:val="203"/>
        </w:trPr>
        <w:tc>
          <w:tcPr>
            <w:tcW w:w="57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Vested</w:t>
            </w:r>
          </w:p>
        </w:tc>
        <w:tc>
          <w:tcPr>
            <w:tcW w:w="18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100"/>
              <w:spacing w:after="0" w:line="202" w:lineRule="exact"/>
              <w:rPr>
                <w:sz w:val="20"/>
                <w:szCs w:val="20"/>
                <w:color w:val="auto"/>
              </w:rPr>
            </w:pPr>
            <w:r>
              <w:rPr>
                <w:rFonts w:ascii="Arial" w:cs="Arial" w:eastAsia="Arial" w:hAnsi="Arial"/>
                <w:sz w:val="18"/>
                <w:szCs w:val="18"/>
                <w:b w:val="1"/>
                <w:bCs w:val="1"/>
                <w:color w:val="auto"/>
              </w:rPr>
              <w:t>(649)</w:t>
            </w:r>
          </w:p>
        </w:tc>
        <w:tc>
          <w:tcPr>
            <w:tcW w:w="16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700" w:type="dxa"/>
            <w:vAlign w:val="bottom"/>
            <w:gridSpan w:val="2"/>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(782)</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140"/>
              <w:spacing w:after="0" w:line="202" w:lineRule="exact"/>
              <w:rPr>
                <w:sz w:val="20"/>
                <w:szCs w:val="20"/>
                <w:color w:val="auto"/>
              </w:rPr>
            </w:pPr>
            <w:r>
              <w:rPr>
                <w:rFonts w:ascii="Arial" w:cs="Arial" w:eastAsia="Arial" w:hAnsi="Arial"/>
                <w:sz w:val="18"/>
                <w:szCs w:val="18"/>
                <w:color w:val="auto"/>
              </w:rPr>
              <w:t>(327)</w:t>
            </w: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Cancelled or forfeited</w:t>
            </w:r>
          </w:p>
        </w:tc>
        <w:tc>
          <w:tcPr>
            <w:tcW w:w="18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(50)</w:t>
            </w:r>
          </w:p>
        </w:tc>
      </w:tr>
      <w:tr>
        <w:trPr>
          <w:trHeight w:val="20"/>
        </w:trPr>
        <w:tc>
          <w:tcPr>
            <w:tcW w:w="5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7"/>
        </w:trPr>
        <w:tc>
          <w:tcPr>
            <w:tcW w:w="5760" w:type="dxa"/>
            <w:vAlign w:val="bottom"/>
            <w:shd w:val="clear" w:color="auto" w:fill="C0C0C0"/>
          </w:tcPr>
          <w:p>
            <w:pPr>
              <w:ind w:left="20"/>
              <w:spacing w:after="0" w:line="196" w:lineRule="exact"/>
              <w:rPr>
                <w:sz w:val="20"/>
                <w:szCs w:val="20"/>
                <w:color w:val="auto"/>
              </w:rPr>
            </w:pPr>
            <w:r>
              <w:rPr>
                <w:rFonts w:ascii="Arial" w:cs="Arial" w:eastAsia="Arial" w:hAnsi="Arial"/>
                <w:sz w:val="18"/>
                <w:szCs w:val="18"/>
                <w:color w:val="auto"/>
              </w:rPr>
              <w:t>Outstanding at end of year</w:t>
            </w:r>
          </w:p>
        </w:tc>
        <w:tc>
          <w:tcPr>
            <w:tcW w:w="180" w:type="dxa"/>
            <w:vAlign w:val="bottom"/>
            <w:shd w:val="clear" w:color="auto" w:fill="C0C0C0"/>
          </w:tcPr>
          <w:p>
            <w:pPr>
              <w:spacing w:after="0"/>
              <w:rPr>
                <w:sz w:val="18"/>
                <w:szCs w:val="18"/>
                <w:color w:val="auto"/>
              </w:rPr>
            </w:pPr>
          </w:p>
        </w:tc>
        <w:tc>
          <w:tcPr>
            <w:tcW w:w="680" w:type="dxa"/>
            <w:vAlign w:val="bottom"/>
            <w:gridSpan w:val="2"/>
            <w:shd w:val="clear" w:color="auto" w:fill="C0C0C0"/>
          </w:tcPr>
          <w:p>
            <w:pPr>
              <w:jc w:val="right"/>
              <w:ind w:right="160"/>
              <w:spacing w:after="0" w:line="196" w:lineRule="exact"/>
              <w:rPr>
                <w:sz w:val="20"/>
                <w:szCs w:val="20"/>
                <w:color w:val="auto"/>
              </w:rPr>
            </w:pPr>
            <w:r>
              <w:rPr>
                <w:rFonts w:ascii="Arial" w:cs="Arial" w:eastAsia="Arial" w:hAnsi="Arial"/>
                <w:sz w:val="18"/>
                <w:szCs w:val="18"/>
                <w:b w:val="1"/>
                <w:bCs w:val="1"/>
                <w:color w:val="auto"/>
              </w:rPr>
              <w:t>1,369</w:t>
            </w:r>
          </w:p>
        </w:tc>
        <w:tc>
          <w:tcPr>
            <w:tcW w:w="16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700" w:type="dxa"/>
            <w:vAlign w:val="bottom"/>
            <w:gridSpan w:val="2"/>
            <w:shd w:val="clear" w:color="auto" w:fill="C0C0C0"/>
          </w:tcPr>
          <w:p>
            <w:pPr>
              <w:jc w:val="right"/>
              <w:ind w:right="160"/>
              <w:spacing w:after="0" w:line="196" w:lineRule="exact"/>
              <w:rPr>
                <w:sz w:val="20"/>
                <w:szCs w:val="20"/>
                <w:color w:val="auto"/>
              </w:rPr>
            </w:pPr>
            <w:r>
              <w:rPr>
                <w:rFonts w:ascii="Arial" w:cs="Arial" w:eastAsia="Arial" w:hAnsi="Arial"/>
                <w:sz w:val="18"/>
                <w:szCs w:val="18"/>
                <w:color w:val="auto"/>
              </w:rPr>
              <w:t>1,564</w:t>
            </w:r>
          </w:p>
        </w:tc>
        <w:tc>
          <w:tcPr>
            <w:tcW w:w="16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760" w:type="dxa"/>
            <w:vAlign w:val="bottom"/>
            <w:gridSpan w:val="2"/>
            <w:shd w:val="clear" w:color="auto" w:fill="C0C0C0"/>
          </w:tcPr>
          <w:p>
            <w:pPr>
              <w:jc w:val="right"/>
              <w:ind w:right="180"/>
              <w:spacing w:after="0" w:line="196" w:lineRule="exact"/>
              <w:rPr>
                <w:sz w:val="20"/>
                <w:szCs w:val="20"/>
                <w:color w:val="auto"/>
              </w:rPr>
            </w:pPr>
            <w:r>
              <w:rPr>
                <w:rFonts w:ascii="Arial" w:cs="Arial" w:eastAsia="Arial" w:hAnsi="Arial"/>
                <w:sz w:val="18"/>
                <w:szCs w:val="18"/>
                <w:color w:val="auto"/>
              </w:rPr>
              <w:t>2,068</w:t>
            </w:r>
          </w:p>
        </w:tc>
      </w:tr>
      <w:tr>
        <w:trPr>
          <w:trHeight w:val="20"/>
        </w:trPr>
        <w:tc>
          <w:tcPr>
            <w:tcW w:w="5760" w:type="dxa"/>
            <w:vAlign w:val="bottom"/>
            <w:tcBorders>
              <w:top w:val="single" w:sz="8" w:color="C0C0C0"/>
            </w:tcBorders>
            <w:shd w:val="clear" w:color="auto" w:fill="C0C0C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0C0C0"/>
            </w:tcBorders>
            <w:shd w:val="clear" w:color="auto" w:fill="C0C0C0"/>
          </w:tcPr>
          <w:p>
            <w:pPr>
              <w:spacing w:after="0" w:line="20" w:lineRule="exact"/>
              <w:rPr>
                <w:sz w:val="1"/>
                <w:szCs w:val="1"/>
                <w:color w:val="auto"/>
              </w:rPr>
            </w:pPr>
          </w:p>
        </w:tc>
      </w:tr>
      <w:tr>
        <w:trPr>
          <w:trHeight w:val="196"/>
        </w:trPr>
        <w:tc>
          <w:tcPr>
            <w:tcW w:w="5760" w:type="dxa"/>
            <w:vAlign w:val="bottom"/>
          </w:tcPr>
          <w:p>
            <w:pPr>
              <w:ind w:left="20"/>
              <w:spacing w:after="0" w:line="196" w:lineRule="exact"/>
              <w:rPr>
                <w:sz w:val="20"/>
                <w:szCs w:val="20"/>
                <w:color w:val="auto"/>
              </w:rPr>
            </w:pPr>
            <w:r>
              <w:rPr>
                <w:rFonts w:ascii="Arial" w:cs="Arial" w:eastAsia="Arial" w:hAnsi="Arial"/>
                <w:sz w:val="18"/>
                <w:szCs w:val="18"/>
                <w:color w:val="auto"/>
              </w:rPr>
              <w:t>Aggregate value (in millions)</w:t>
            </w:r>
          </w:p>
        </w:tc>
        <w:tc>
          <w:tcPr>
            <w:tcW w:w="1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680" w:type="dxa"/>
            <w:vAlign w:val="bottom"/>
            <w:gridSpan w:val="2"/>
          </w:tcPr>
          <w:p>
            <w:pPr>
              <w:jc w:val="right"/>
              <w:ind w:right="160"/>
              <w:spacing w:after="0" w:line="196" w:lineRule="exact"/>
              <w:rPr>
                <w:sz w:val="20"/>
                <w:szCs w:val="20"/>
                <w:color w:val="auto"/>
              </w:rPr>
            </w:pPr>
            <w:r>
              <w:rPr>
                <w:rFonts w:ascii="Arial" w:cs="Arial" w:eastAsia="Arial" w:hAnsi="Arial"/>
                <w:sz w:val="18"/>
                <w:szCs w:val="18"/>
                <w:b w:val="1"/>
                <w:bCs w:val="1"/>
                <w:color w:val="auto"/>
              </w:rPr>
              <w:t>37</w:t>
            </w:r>
          </w:p>
        </w:tc>
        <w:tc>
          <w:tcPr>
            <w:tcW w:w="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30</w:t>
            </w:r>
          </w:p>
        </w:tc>
        <w:tc>
          <w:tcPr>
            <w:tcW w:w="16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30</w:t>
            </w:r>
          </w:p>
        </w:tc>
      </w:tr>
      <w:tr>
        <w:trPr>
          <w:trHeight w:val="203"/>
        </w:trPr>
        <w:tc>
          <w:tcPr>
            <w:tcW w:w="57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Weighted-average remaining contractual life (in years)</w:t>
            </w:r>
          </w:p>
        </w:tc>
        <w:tc>
          <w:tcPr>
            <w:tcW w:w="180" w:type="dxa"/>
            <w:vAlign w:val="bottom"/>
            <w:shd w:val="clear" w:color="auto" w:fill="C0C0C0"/>
          </w:tcPr>
          <w:p>
            <w:pPr>
              <w:spacing w:after="0"/>
              <w:rPr>
                <w:sz w:val="17"/>
                <w:szCs w:val="17"/>
                <w:color w:val="auto"/>
              </w:rPr>
            </w:pPr>
          </w:p>
        </w:tc>
        <w:tc>
          <w:tcPr>
            <w:tcW w:w="680" w:type="dxa"/>
            <w:vAlign w:val="bottom"/>
            <w:gridSpan w:val="2"/>
            <w:shd w:val="clear" w:color="auto" w:fill="C0C0C0"/>
          </w:tcPr>
          <w:p>
            <w:pPr>
              <w:jc w:val="right"/>
              <w:ind w:right="160"/>
              <w:spacing w:after="0" w:line="202" w:lineRule="exact"/>
              <w:rPr>
                <w:sz w:val="20"/>
                <w:szCs w:val="20"/>
                <w:color w:val="auto"/>
              </w:rPr>
            </w:pPr>
            <w:r>
              <w:rPr>
                <w:rFonts w:ascii="Arial" w:cs="Arial" w:eastAsia="Arial" w:hAnsi="Arial"/>
                <w:sz w:val="18"/>
                <w:szCs w:val="18"/>
                <w:b w:val="1"/>
                <w:bCs w:val="1"/>
                <w:color w:val="auto"/>
              </w:rPr>
              <w:t>0.89</w:t>
            </w:r>
          </w:p>
        </w:tc>
        <w:tc>
          <w:tcPr>
            <w:tcW w:w="16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700" w:type="dxa"/>
            <w:vAlign w:val="bottom"/>
            <w:gridSpan w:val="2"/>
            <w:shd w:val="clear" w:color="auto" w:fill="C0C0C0"/>
          </w:tcPr>
          <w:p>
            <w:pPr>
              <w:jc w:val="right"/>
              <w:ind w:right="160"/>
              <w:spacing w:after="0" w:line="202" w:lineRule="exact"/>
              <w:rPr>
                <w:sz w:val="20"/>
                <w:szCs w:val="20"/>
                <w:color w:val="auto"/>
              </w:rPr>
            </w:pPr>
            <w:r>
              <w:rPr>
                <w:rFonts w:ascii="Arial" w:cs="Arial" w:eastAsia="Arial" w:hAnsi="Arial"/>
                <w:sz w:val="18"/>
                <w:szCs w:val="18"/>
                <w:color w:val="auto"/>
              </w:rPr>
              <w:t>0.84</w:t>
            </w: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200"/>
              <w:spacing w:after="0" w:line="202" w:lineRule="exact"/>
              <w:rPr>
                <w:sz w:val="20"/>
                <w:szCs w:val="20"/>
                <w:color w:val="auto"/>
              </w:rPr>
            </w:pPr>
            <w:r>
              <w:rPr>
                <w:rFonts w:ascii="Arial" w:cs="Arial" w:eastAsia="Arial" w:hAnsi="Arial"/>
                <w:sz w:val="18"/>
                <w:szCs w:val="18"/>
                <w:color w:val="auto"/>
              </w:rPr>
              <w:t>1.19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-290830</wp:posOffset>
            </wp:positionV>
            <wp:extent cx="5565775" cy="16319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565775" cy="163195"/>
                    </a:xfrm>
                    <a:prstGeom prst="rect">
                      <a:avLst/>
                    </a:prstGeom>
                    <a:noFill/>
                  </pic:spPr>
                </pic:pic>
              </a:graphicData>
            </a:graphic>
          </wp:anchor>
        </w:drawing>
      </w:r>
    </w:p>
    <w:p>
      <w:pPr>
        <w:spacing w:after="0" w:line="87" w:lineRule="exact"/>
        <w:rPr>
          <w:sz w:val="20"/>
          <w:szCs w:val="20"/>
          <w:color w:val="auto"/>
        </w:rPr>
      </w:pPr>
    </w:p>
    <w:p>
      <w:pPr>
        <w:jc w:val="both"/>
        <w:ind w:left="60" w:right="539"/>
        <w:spacing w:after="0" w:line="256" w:lineRule="auto"/>
        <w:rPr>
          <w:sz w:val="20"/>
          <w:szCs w:val="20"/>
          <w:color w:val="auto"/>
        </w:rPr>
      </w:pPr>
      <w:r>
        <w:rPr>
          <w:rFonts w:ascii="Arial" w:cs="Arial" w:eastAsia="Arial" w:hAnsi="Arial"/>
          <w:sz w:val="18"/>
          <w:szCs w:val="18"/>
          <w:color w:val="auto"/>
        </w:rPr>
        <w:t>The weighted-average grant-date fair value per share was $35.03, $30.89, and $20.18 for 2013, 2012, and 2011, respectively. The total fair value of awards for which restrictions lapsed was $9 million, $8 million, and $4 million for 2013, 2012, and 2011, respectively.</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23. Legal Proceedings</w:t>
      </w:r>
    </w:p>
    <w:p>
      <w:pPr>
        <w:spacing w:after="0" w:line="139" w:lineRule="exact"/>
        <w:rPr>
          <w:sz w:val="20"/>
          <w:szCs w:val="20"/>
          <w:color w:val="auto"/>
        </w:rPr>
      </w:pPr>
    </w:p>
    <w:p>
      <w:pPr>
        <w:jc w:val="both"/>
        <w:ind w:left="60" w:right="539"/>
        <w:spacing w:after="0" w:line="254" w:lineRule="auto"/>
        <w:rPr>
          <w:sz w:val="20"/>
          <w:szCs w:val="20"/>
          <w:color w:val="auto"/>
        </w:rPr>
      </w:pPr>
      <w:r>
        <w:rPr>
          <w:rFonts w:ascii="Arial" w:cs="Arial" w:eastAsia="Arial" w:hAnsi="Arial"/>
          <w:sz w:val="18"/>
          <w:szCs w:val="18"/>
          <w:color w:val="auto"/>
        </w:rPr>
        <w:t>Legal proceedings pending against the Company or its consolidated subsidiaries consist of ordinary, routine litigation, including administrative proceedings, incidental to the business of the Company or businesses that have been sold or disposed of by the Company in past years. These legal proceedings include commercial, intellectual property, customer, environmental, and employment-related claims.</w:t>
      </w:r>
    </w:p>
    <w:p>
      <w:pPr>
        <w:spacing w:after="0" w:line="96" w:lineRule="exact"/>
        <w:rPr>
          <w:sz w:val="20"/>
          <w:szCs w:val="20"/>
          <w:color w:val="auto"/>
        </w:rPr>
      </w:pPr>
    </w:p>
    <w:p>
      <w:pPr>
        <w:jc w:val="both"/>
        <w:ind w:left="60" w:right="539"/>
        <w:spacing w:after="0" w:line="256" w:lineRule="auto"/>
        <w:rPr>
          <w:sz w:val="20"/>
          <w:szCs w:val="20"/>
          <w:color w:val="auto"/>
        </w:rPr>
      </w:pPr>
      <w:r>
        <w:rPr>
          <w:rFonts w:ascii="Arial" w:cs="Arial" w:eastAsia="Arial" w:hAnsi="Arial"/>
          <w:sz w:val="18"/>
          <w:szCs w:val="18"/>
          <w:color w:val="auto"/>
        </w:rPr>
        <w:t>Certain of the Company’s subsidiaries are defendants in a number of lawsuits filed in state and federal courts containing various class action allegations under federal or state wage and hour laws, including allegations concerning unpaid overtime, meal and rest breaks, and uniforms.</w:t>
      </w:r>
    </w:p>
    <w:p>
      <w:pPr>
        <w:spacing w:after="0" w:line="94" w:lineRule="exact"/>
        <w:rPr>
          <w:sz w:val="20"/>
          <w:szCs w:val="20"/>
          <w:color w:val="auto"/>
        </w:rPr>
      </w:pPr>
    </w:p>
    <w:p>
      <w:pPr>
        <w:jc w:val="both"/>
        <w:ind w:left="60" w:right="519"/>
        <w:spacing w:after="0" w:line="252" w:lineRule="auto"/>
        <w:rPr>
          <w:sz w:val="20"/>
          <w:szCs w:val="20"/>
          <w:color w:val="auto"/>
        </w:rPr>
      </w:pPr>
      <w:r>
        <w:rPr>
          <w:rFonts w:ascii="Arial" w:cs="Arial" w:eastAsia="Arial" w:hAnsi="Arial"/>
          <w:sz w:val="18"/>
          <w:szCs w:val="18"/>
          <w:color w:val="auto"/>
        </w:rPr>
        <w:t xml:space="preserve">The Company is a defendant in one such case in which plaintiff alleges that the Company permitted unpaid off-the-clock hours in violation of the Fair Labor Standards Act and state labor laws. The case, </w:t>
      </w:r>
      <w:r>
        <w:rPr>
          <w:rFonts w:ascii="Arial" w:cs="Arial" w:eastAsia="Arial" w:hAnsi="Arial"/>
          <w:sz w:val="18"/>
          <w:szCs w:val="18"/>
          <w:i w:val="1"/>
          <w:iCs w:val="1"/>
          <w:color w:val="auto"/>
        </w:rPr>
        <w:t>Pereira v. Foot Locker</w:t>
      </w:r>
      <w:r>
        <w:rPr>
          <w:rFonts w:ascii="Arial" w:cs="Arial" w:eastAsia="Arial" w:hAnsi="Arial"/>
          <w:sz w:val="18"/>
          <w:szCs w:val="18"/>
          <w:color w:val="auto"/>
        </w:rPr>
        <w:t>, was filed in the U.S. District Court for the Eastern District of Pennsylvania in 2007. In his complaint, in addition to unpaid wage and overtime allegations, plaintiff seeks compensatory and punitive damages, injunctive relief, and attorneys’ fees and costs. In 2009, the Court conditionally certified a nationwide collective action. During the course of 2010, notices were sent to approximately 81,888 current and former employees of the Company offering them the opportunity to participate in the class action, and approximately 5,027 have opted in.</w:t>
      </w:r>
    </w:p>
    <w:p>
      <w:pPr>
        <w:spacing w:after="0" w:line="99" w:lineRule="exact"/>
        <w:rPr>
          <w:sz w:val="20"/>
          <w:szCs w:val="20"/>
          <w:color w:val="auto"/>
        </w:rPr>
      </w:pPr>
    </w:p>
    <w:p>
      <w:pPr>
        <w:jc w:val="both"/>
        <w:ind w:left="60" w:right="519"/>
        <w:spacing w:after="0" w:line="251" w:lineRule="auto"/>
        <w:rPr>
          <w:sz w:val="20"/>
          <w:szCs w:val="20"/>
          <w:color w:val="auto"/>
        </w:rPr>
      </w:pPr>
      <w:r>
        <w:rPr>
          <w:rFonts w:ascii="Arial" w:cs="Arial" w:eastAsia="Arial" w:hAnsi="Arial"/>
          <w:sz w:val="18"/>
          <w:szCs w:val="18"/>
          <w:color w:val="auto"/>
        </w:rPr>
        <w:t xml:space="preserve">The Company is a defendant in additional purported wage and hour class actions that assert claims similar to those asserted in </w:t>
      </w:r>
      <w:r>
        <w:rPr>
          <w:rFonts w:ascii="Arial" w:cs="Arial" w:eastAsia="Arial" w:hAnsi="Arial"/>
          <w:sz w:val="18"/>
          <w:szCs w:val="18"/>
          <w:i w:val="1"/>
          <w:iCs w:val="1"/>
          <w:color w:val="auto"/>
        </w:rPr>
        <w:t>Pereira</w:t>
      </w:r>
      <w:r>
        <w:rPr>
          <w:rFonts w:ascii="Arial" w:cs="Arial" w:eastAsia="Arial" w:hAnsi="Arial"/>
          <w:sz w:val="18"/>
          <w:szCs w:val="18"/>
          <w:color w:val="auto"/>
        </w:rPr>
        <w:t xml:space="preserve"> and seek similar remedies. With the exception of </w:t>
      </w:r>
      <w:r>
        <w:rPr>
          <w:rFonts w:ascii="Arial" w:cs="Arial" w:eastAsia="Arial" w:hAnsi="Arial"/>
          <w:sz w:val="18"/>
          <w:szCs w:val="18"/>
          <w:i w:val="1"/>
          <w:iCs w:val="1"/>
          <w:color w:val="auto"/>
        </w:rPr>
        <w:t>Hill v. Foot Locker</w:t>
      </w:r>
      <w:r>
        <w:rPr>
          <w:rFonts w:ascii="Arial" w:cs="Arial" w:eastAsia="Arial" w:hAnsi="Arial"/>
          <w:sz w:val="18"/>
          <w:szCs w:val="18"/>
          <w:color w:val="auto"/>
        </w:rPr>
        <w:t xml:space="preserve"> filed in state court in Illinois, </w:t>
      </w:r>
      <w:r>
        <w:rPr>
          <w:rFonts w:ascii="Arial" w:cs="Arial" w:eastAsia="Arial" w:hAnsi="Arial"/>
          <w:sz w:val="18"/>
          <w:szCs w:val="18"/>
          <w:i w:val="1"/>
          <w:iCs w:val="1"/>
          <w:color w:val="auto"/>
        </w:rPr>
        <w:t xml:space="preserve">Kissinger v. Foot Locker </w:t>
      </w:r>
      <w:r>
        <w:rPr>
          <w:rFonts w:ascii="Arial" w:cs="Arial" w:eastAsia="Arial" w:hAnsi="Arial"/>
          <w:sz w:val="18"/>
          <w:szCs w:val="18"/>
          <w:color w:val="auto"/>
        </w:rPr>
        <w:t>filed in state court of California, and</w:t>
      </w:r>
      <w:r>
        <w:rPr>
          <w:rFonts w:ascii="Arial" w:cs="Arial" w:eastAsia="Arial" w:hAnsi="Arial"/>
          <w:sz w:val="18"/>
          <w:szCs w:val="18"/>
          <w:i w:val="1"/>
          <w:iCs w:val="1"/>
          <w:color w:val="auto"/>
        </w:rPr>
        <w:t xml:space="preserve"> Cortes v. Foot Locker </w:t>
      </w:r>
      <w:r>
        <w:rPr>
          <w:rFonts w:ascii="Arial" w:cs="Arial" w:eastAsia="Arial" w:hAnsi="Arial"/>
          <w:sz w:val="18"/>
          <w:szCs w:val="18"/>
          <w:color w:val="auto"/>
        </w:rPr>
        <w:t>filed in federal court of New York, all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these actions were consolidated by the United States Judicial Panel on Multidistrict Litigation with </w:t>
      </w:r>
      <w:r>
        <w:rPr>
          <w:rFonts w:ascii="Arial" w:cs="Arial" w:eastAsia="Arial" w:hAnsi="Arial"/>
          <w:sz w:val="18"/>
          <w:szCs w:val="18"/>
          <w:i w:val="1"/>
          <w:iCs w:val="1"/>
          <w:color w:val="auto"/>
        </w:rPr>
        <w:t>Pereira</w:t>
      </w:r>
      <w:r>
        <w:rPr>
          <w:rFonts w:ascii="Arial" w:cs="Arial" w:eastAsia="Arial" w:hAnsi="Arial"/>
          <w:sz w:val="18"/>
          <w:szCs w:val="18"/>
          <w:color w:val="auto"/>
        </w:rPr>
        <w:t xml:space="preserve"> under the caption </w:t>
      </w:r>
      <w:r>
        <w:rPr>
          <w:rFonts w:ascii="Arial" w:cs="Arial" w:eastAsia="Arial" w:hAnsi="Arial"/>
          <w:sz w:val="18"/>
          <w:szCs w:val="18"/>
          <w:i w:val="1"/>
          <w:iCs w:val="1"/>
          <w:color w:val="auto"/>
        </w:rPr>
        <w:t>In re Foot Locker, Inc. Fair Labor Standards Act and Wage and Hour Litigation.</w:t>
      </w:r>
      <w:r>
        <w:rPr>
          <w:rFonts w:ascii="Arial" w:cs="Arial" w:eastAsia="Arial" w:hAnsi="Arial"/>
          <w:sz w:val="18"/>
          <w:szCs w:val="18"/>
          <w:color w:val="auto"/>
        </w:rPr>
        <w:t xml:space="preserve"> The consolidated cases are in the discovery stages of proceedings. In </w:t>
      </w:r>
      <w:r>
        <w:rPr>
          <w:rFonts w:ascii="Arial" w:cs="Arial" w:eastAsia="Arial" w:hAnsi="Arial"/>
          <w:sz w:val="18"/>
          <w:szCs w:val="18"/>
          <w:i w:val="1"/>
          <w:iCs w:val="1"/>
          <w:color w:val="auto"/>
        </w:rPr>
        <w:t>Hill v. Foot Locker,</w:t>
      </w:r>
      <w:r>
        <w:rPr>
          <w:rFonts w:ascii="Arial" w:cs="Arial" w:eastAsia="Arial" w:hAnsi="Arial"/>
          <w:sz w:val="18"/>
          <w:szCs w:val="18"/>
          <w:color w:val="auto"/>
        </w:rPr>
        <w:t xml:space="preserve"> in May 2011, the court granted plaintiffs’ motion for certification of an opt-out class covering certain Illinois employees only. The Company’s motion for leave to appeal was denied. The Company has had and may in the future have discussions with plaintiffs’ counsel in an attempt to determine whether it will be possible to resolve the consolidated cases and </w:t>
      </w:r>
      <w:r>
        <w:rPr>
          <w:rFonts w:ascii="Arial" w:cs="Arial" w:eastAsia="Arial" w:hAnsi="Arial"/>
          <w:sz w:val="18"/>
          <w:szCs w:val="18"/>
          <w:i w:val="1"/>
          <w:iCs w:val="1"/>
          <w:color w:val="auto"/>
        </w:rPr>
        <w:t>Hill</w:t>
      </w:r>
      <w:r>
        <w:rPr>
          <w:rFonts w:ascii="Arial" w:cs="Arial" w:eastAsia="Arial" w:hAnsi="Arial"/>
          <w:sz w:val="18"/>
          <w:szCs w:val="18"/>
          <w:color w:val="auto"/>
        </w:rPr>
        <w:t xml:space="preserve">. Meanwhile, the Company is vigorously defending these class actions. During 2013, in </w:t>
      </w:r>
      <w:r>
        <w:rPr>
          <w:rFonts w:ascii="Arial" w:cs="Arial" w:eastAsia="Arial" w:hAnsi="Arial"/>
          <w:sz w:val="18"/>
          <w:szCs w:val="18"/>
          <w:i w:val="1"/>
          <w:iCs w:val="1"/>
          <w:color w:val="auto"/>
        </w:rPr>
        <w:t>Ghattas v. Foot Locker,</w:t>
      </w:r>
      <w:r>
        <w:rPr>
          <w:rFonts w:ascii="Arial" w:cs="Arial" w:eastAsia="Arial" w:hAnsi="Arial"/>
          <w:sz w:val="18"/>
          <w:szCs w:val="18"/>
          <w:color w:val="auto"/>
        </w:rPr>
        <w:t xml:space="preserve"> the court gave final approval to a settlement of the action for an amount that was not material to the results of operations.</w:t>
      </w:r>
    </w:p>
    <w:p>
      <w:pPr>
        <w:spacing w:after="0" w:line="200" w:lineRule="exact"/>
        <w:rPr>
          <w:sz w:val="20"/>
          <w:szCs w:val="20"/>
          <w:color w:val="auto"/>
        </w:rPr>
      </w:pPr>
    </w:p>
    <w:p>
      <w:pPr>
        <w:spacing w:after="0" w:line="34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96520</wp:posOffset>
            </wp:positionV>
            <wp:extent cx="6114415" cy="596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Foot Locker, Inc.</w:t>
      </w:r>
    </w:p>
    <w:p>
      <w:pPr>
        <w:jc w:val="center"/>
        <w:ind w:right="5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23. Legal Proceedings – (continued)</w:t>
      </w:r>
    </w:p>
    <w:p>
      <w:pPr>
        <w:spacing w:after="0" w:line="121"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The Company and the Company’s U.S. retirement plan are defendants in a purported class action (</w:t>
      </w:r>
      <w:r>
        <w:rPr>
          <w:rFonts w:ascii="Arial" w:cs="Arial" w:eastAsia="Arial" w:hAnsi="Arial"/>
          <w:sz w:val="18"/>
          <w:szCs w:val="18"/>
          <w:i w:val="1"/>
          <w:iCs w:val="1"/>
          <w:color w:val="auto"/>
        </w:rPr>
        <w:t>Osberg v. Foot</w:t>
      </w:r>
      <w:r>
        <w:rPr>
          <w:rFonts w:ascii="Arial" w:cs="Arial" w:eastAsia="Arial" w:hAnsi="Arial"/>
          <w:sz w:val="18"/>
          <w:szCs w:val="18"/>
          <w:color w:val="auto"/>
        </w:rPr>
        <w:t xml:space="preserve"> </w:t>
      </w:r>
      <w:r>
        <w:rPr>
          <w:rFonts w:ascii="Arial" w:cs="Arial" w:eastAsia="Arial" w:hAnsi="Arial"/>
          <w:sz w:val="18"/>
          <w:szCs w:val="18"/>
          <w:i w:val="1"/>
          <w:iCs w:val="1"/>
          <w:color w:val="auto"/>
        </w:rPr>
        <w:t>Locker</w:t>
      </w:r>
      <w:r>
        <w:rPr>
          <w:rFonts w:ascii="Arial" w:cs="Arial" w:eastAsia="Arial" w:hAnsi="Arial"/>
          <w:sz w:val="18"/>
          <w:szCs w:val="18"/>
          <w:color w:val="auto"/>
        </w:rPr>
        <w:t>, filed in the U.S. District Court for the Southern District of New York) in which the plaintiff alleges that,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1996 conversion of the retirement plan to a defined benefit plan with a cash balance formula, the Company and the retirement plan failed to properly advise plan participants of the “wear-away” effect of the conversion. Plaintiff asserted claims for: (a) breach of fiduciary duty under the Employee Retirement Income Security Act of 1974 (ERISA); (b) violation of the statutory provisions governing the content of the Summary Plan Description; (c) violation of the notice provision of Section 204(h) of ERISA; and (d) violation of ERISA’s age discrimination provisions. In September 2009, the court granted the Company’s motion to dismiss the Section 204(h) claim and the age discrimination claim. In December 2012, the court granted the Company’s motion for summary judgment on the remaining two claims, dismissing the action. Plaintiff appealed to the U.S. Court of Appeals for the Second Circuit, which issued a Summary Order on February 13, 2014 that affirmed the judgment of the District Court in part, and vacated and remanded in part.</w:t>
      </w:r>
    </w:p>
    <w:p>
      <w:pPr>
        <w:spacing w:after="0" w:line="101"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 xml:space="preserve">Management does not believe that the outcome of any such legal proceedings pending against the Company or its consolidated subsidiaries, including </w:t>
      </w:r>
      <w:r>
        <w:rPr>
          <w:rFonts w:ascii="Arial" w:cs="Arial" w:eastAsia="Arial" w:hAnsi="Arial"/>
          <w:sz w:val="18"/>
          <w:szCs w:val="18"/>
          <w:i w:val="1"/>
          <w:iCs w:val="1"/>
          <w:color w:val="auto"/>
        </w:rPr>
        <w:t>In re Foot Locker, Inc. Fair Labor Standards Act and Wage and Hour Litigation</w:t>
      </w:r>
      <w:r>
        <w:rPr>
          <w:rFonts w:ascii="Arial" w:cs="Arial" w:eastAsia="Arial" w:hAnsi="Arial"/>
          <w:sz w:val="18"/>
          <w:szCs w:val="18"/>
          <w:color w:val="auto"/>
        </w:rPr>
        <w:t xml:space="preserve">, </w:t>
      </w:r>
      <w:r>
        <w:rPr>
          <w:rFonts w:ascii="Arial" w:cs="Arial" w:eastAsia="Arial" w:hAnsi="Arial"/>
          <w:sz w:val="18"/>
          <w:szCs w:val="18"/>
          <w:i w:val="1"/>
          <w:iCs w:val="1"/>
          <w:color w:val="auto"/>
        </w:rPr>
        <w:t>Hill,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Cortes, Kissinger, </w:t>
      </w:r>
      <w:r>
        <w:rPr>
          <w:rFonts w:ascii="Arial" w:cs="Arial" w:eastAsia="Arial" w:hAnsi="Arial"/>
          <w:sz w:val="18"/>
          <w:szCs w:val="18"/>
          <w:color w:val="auto"/>
        </w:rPr>
        <w:t>and</w:t>
      </w:r>
      <w:r>
        <w:rPr>
          <w:rFonts w:ascii="Arial" w:cs="Arial" w:eastAsia="Arial" w:hAnsi="Arial"/>
          <w:sz w:val="18"/>
          <w:szCs w:val="18"/>
          <w:i w:val="1"/>
          <w:iCs w:val="1"/>
          <w:color w:val="auto"/>
        </w:rPr>
        <w:t xml:space="preserve"> Osberg</w:t>
      </w:r>
      <w:r>
        <w:rPr>
          <w:rFonts w:ascii="Arial" w:cs="Arial" w:eastAsia="Arial" w:hAnsi="Arial"/>
          <w:sz w:val="18"/>
          <w:szCs w:val="18"/>
          <w:color w:val="auto"/>
        </w:rPr>
        <w:t>, as described above, would have a material adverse effect on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position, liquidity, or results of operations, taken as a whole. Litigation is inherently unpredictable, and judgments could be rendered or settlements entered that could adversely affect the Company’s operating results or cash flows in a particular period.</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24. Commitments</w:t>
      </w:r>
    </w:p>
    <w:p>
      <w:pPr>
        <w:spacing w:after="0" w:line="139"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In connection with the sale of various businesses and assets, the Company may be obligated for certain lease commitments transferred to third parties and pursuant to certain normal representations, warranties, or indemnifications entered into with the purchasers of such businesses or assets. Although the maximum potential amounts for such obligations cannot be readily determined, management believes that the resolution of such contingencies will not have a material effect on the Company’s consolidated financial position, liquidity, or results of operations. The Company is also operating certain stores and making rental payments for which lease agreements are in the process of being negotiated with landlords. Although there is no contractual commitment to make these payments, it is likely that a lease will be executed.</w:t>
      </w:r>
    </w:p>
    <w:p>
      <w:pPr>
        <w:spacing w:after="0" w:line="98"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The Company does not have any off-balance sheet financing (other than operating leases entered into in the normal course of business and disclosed above) or unconsolidated special purpose entities. The Company does not participate in transactions that generate relationships with unconsolidated entities or financial partnerships, including variable interest entities.</w:t>
      </w:r>
    </w:p>
    <w:p>
      <w:pPr>
        <w:spacing w:after="0" w:line="200" w:lineRule="exact"/>
        <w:rPr>
          <w:sz w:val="20"/>
          <w:szCs w:val="20"/>
          <w:color w:val="auto"/>
        </w:rPr>
      </w:pPr>
    </w:p>
    <w:p>
      <w:pPr>
        <w:spacing w:after="0" w:line="34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96520</wp:posOffset>
            </wp:positionV>
            <wp:extent cx="6114415" cy="596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72" w:name="page73"/>
    <w:bookmarkEnd w:id="72"/>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Foot Locker, Inc.</w:t>
      </w:r>
    </w:p>
    <w:p>
      <w:pPr>
        <w:jc w:val="center"/>
        <w:ind w:right="49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25. Quarterly Results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-56515</wp:posOffset>
            </wp:positionV>
            <wp:extent cx="554863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54863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8"/>
        </w:trPr>
        <w:tc>
          <w:tcPr>
            <w:tcW w:w="3600" w:type="dxa"/>
            <w:vAlign w:val="bottom"/>
          </w:tcPr>
          <w:p>
            <w:pPr>
              <w:spacing w:after="0"/>
              <w:rPr>
                <w:sz w:val="18"/>
                <w:szCs w:val="18"/>
                <w:color w:val="auto"/>
              </w:rPr>
            </w:pPr>
          </w:p>
        </w:tc>
        <w:tc>
          <w:tcPr>
            <w:tcW w:w="880" w:type="dxa"/>
            <w:vAlign w:val="bottom"/>
            <w:tcBorders>
              <w:bottom w:val="single" w:sz="8" w:color="auto"/>
            </w:tcBorders>
          </w:tcPr>
          <w:p>
            <w:pPr>
              <w:jc w:val="right"/>
              <w:ind w:right="171"/>
              <w:spacing w:after="0" w:line="208" w:lineRule="exact"/>
              <w:rPr>
                <w:sz w:val="20"/>
                <w:szCs w:val="20"/>
                <w:color w:val="auto"/>
              </w:rPr>
            </w:pPr>
            <w:r>
              <w:rPr>
                <w:rFonts w:ascii="Arial" w:cs="Arial" w:eastAsia="Arial" w:hAnsi="Arial"/>
                <w:sz w:val="14"/>
                <w:szCs w:val="14"/>
                <w:b w:val="1"/>
                <w:bCs w:val="1"/>
                <w:color w:val="auto"/>
              </w:rPr>
              <w:t>1</w:t>
            </w:r>
            <w:r>
              <w:rPr>
                <w:rFonts w:ascii="Arial" w:cs="Arial" w:eastAsia="Arial" w:hAnsi="Arial"/>
                <w:sz w:val="23"/>
                <w:szCs w:val="23"/>
                <w:b w:val="1"/>
                <w:bCs w:val="1"/>
                <w:color w:val="auto"/>
                <w:vertAlign w:val="superscript"/>
              </w:rPr>
              <w:t>st</w:t>
            </w:r>
            <w:r>
              <w:rPr>
                <w:rFonts w:ascii="Arial" w:cs="Arial" w:eastAsia="Arial" w:hAnsi="Arial"/>
                <w:sz w:val="14"/>
                <w:szCs w:val="14"/>
                <w:b w:val="1"/>
                <w:bCs w:val="1"/>
                <w:color w:val="auto"/>
              </w:rPr>
              <w:t xml:space="preserve"> Q</w:t>
            </w:r>
          </w:p>
        </w:tc>
        <w:tc>
          <w:tcPr>
            <w:tcW w:w="160" w:type="dxa"/>
            <w:vAlign w:val="bottom"/>
          </w:tcPr>
          <w:p>
            <w:pPr>
              <w:spacing w:after="0"/>
              <w:rPr>
                <w:sz w:val="18"/>
                <w:szCs w:val="18"/>
                <w:color w:val="auto"/>
              </w:rPr>
            </w:pPr>
          </w:p>
        </w:tc>
        <w:tc>
          <w:tcPr>
            <w:tcW w:w="900" w:type="dxa"/>
            <w:vAlign w:val="bottom"/>
            <w:tcBorders>
              <w:bottom w:val="single" w:sz="8" w:color="auto"/>
            </w:tcBorders>
          </w:tcPr>
          <w:p>
            <w:pPr>
              <w:jc w:val="right"/>
              <w:ind w:right="188"/>
              <w:spacing w:after="0" w:line="208" w:lineRule="exact"/>
              <w:rPr>
                <w:sz w:val="20"/>
                <w:szCs w:val="20"/>
                <w:color w:val="auto"/>
              </w:rPr>
            </w:pPr>
            <w:r>
              <w:rPr>
                <w:rFonts w:ascii="Arial" w:cs="Arial" w:eastAsia="Arial" w:hAnsi="Arial"/>
                <w:sz w:val="14"/>
                <w:szCs w:val="14"/>
                <w:b w:val="1"/>
                <w:bCs w:val="1"/>
                <w:color w:val="auto"/>
              </w:rPr>
              <w:t>2</w:t>
            </w:r>
            <w:r>
              <w:rPr>
                <w:rFonts w:ascii="Arial" w:cs="Arial" w:eastAsia="Arial" w:hAnsi="Arial"/>
                <w:sz w:val="23"/>
                <w:szCs w:val="23"/>
                <w:b w:val="1"/>
                <w:bCs w:val="1"/>
                <w:color w:val="auto"/>
                <w:vertAlign w:val="superscript"/>
              </w:rPr>
              <w:t>nd</w:t>
            </w:r>
            <w:r>
              <w:rPr>
                <w:rFonts w:ascii="Arial" w:cs="Arial" w:eastAsia="Arial" w:hAnsi="Arial"/>
                <w:sz w:val="14"/>
                <w:szCs w:val="14"/>
                <w:b w:val="1"/>
                <w:bCs w:val="1"/>
                <w:color w:val="auto"/>
              </w:rPr>
              <w:t xml:space="preserve"> Q</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right"/>
              <w:ind w:right="188"/>
              <w:spacing w:after="0" w:line="208" w:lineRule="exact"/>
              <w:rPr>
                <w:sz w:val="20"/>
                <w:szCs w:val="20"/>
                <w:color w:val="auto"/>
              </w:rPr>
            </w:pPr>
            <w:r>
              <w:rPr>
                <w:rFonts w:ascii="Arial" w:cs="Arial" w:eastAsia="Arial" w:hAnsi="Arial"/>
                <w:sz w:val="14"/>
                <w:szCs w:val="14"/>
                <w:b w:val="1"/>
                <w:bCs w:val="1"/>
                <w:color w:val="auto"/>
              </w:rPr>
              <w:t>3</w:t>
            </w:r>
            <w:r>
              <w:rPr>
                <w:rFonts w:ascii="Arial" w:cs="Arial" w:eastAsia="Arial" w:hAnsi="Arial"/>
                <w:sz w:val="23"/>
                <w:szCs w:val="23"/>
                <w:b w:val="1"/>
                <w:bCs w:val="1"/>
                <w:color w:val="auto"/>
                <w:vertAlign w:val="superscript"/>
              </w:rPr>
              <w:t>rd</w:t>
            </w:r>
            <w:r>
              <w:rPr>
                <w:rFonts w:ascii="Arial" w:cs="Arial" w:eastAsia="Arial" w:hAnsi="Arial"/>
                <w:sz w:val="14"/>
                <w:szCs w:val="14"/>
                <w:b w:val="1"/>
                <w:bCs w:val="1"/>
                <w:color w:val="auto"/>
              </w:rPr>
              <w:t xml:space="preserve"> Q</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right"/>
              <w:ind w:right="125"/>
              <w:spacing w:after="0" w:line="207" w:lineRule="exact"/>
              <w:rPr>
                <w:sz w:val="20"/>
                <w:szCs w:val="20"/>
                <w:color w:val="auto"/>
              </w:rPr>
            </w:pPr>
            <w:r>
              <w:rPr>
                <w:rFonts w:ascii="Arial" w:cs="Arial" w:eastAsia="Arial" w:hAnsi="Arial"/>
                <w:sz w:val="24"/>
                <w:szCs w:val="24"/>
                <w:b w:val="1"/>
                <w:bCs w:val="1"/>
                <w:color w:val="auto"/>
                <w:vertAlign w:val="subscript"/>
              </w:rPr>
              <w:t>4</w:t>
            </w:r>
            <w:r>
              <w:rPr>
                <w:rFonts w:ascii="Arial" w:cs="Arial" w:eastAsia="Arial" w:hAnsi="Arial"/>
                <w:sz w:val="11"/>
                <w:szCs w:val="11"/>
                <w:b w:val="1"/>
                <w:bCs w:val="1"/>
                <w:color w:val="auto"/>
              </w:rPr>
              <w:t xml:space="preserve">th </w:t>
            </w:r>
            <w:r>
              <w:rPr>
                <w:rFonts w:ascii="Arial" w:cs="Arial" w:eastAsia="Arial" w:hAnsi="Arial"/>
                <w:sz w:val="24"/>
                <w:szCs w:val="24"/>
                <w:b w:val="1"/>
                <w:bCs w:val="1"/>
                <w:color w:val="auto"/>
                <w:vertAlign w:val="subscript"/>
              </w:rPr>
              <w:t>Q</w:t>
            </w:r>
            <w:r>
              <w:rPr>
                <w:rFonts w:ascii="Arial" w:cs="Arial" w:eastAsia="Arial" w:hAnsi="Arial"/>
                <w:sz w:val="11"/>
                <w:szCs w:val="11"/>
                <w:b w:val="1"/>
                <w:bCs w:val="1"/>
                <w:color w:val="auto"/>
              </w:rPr>
              <w:t>(1)</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198"/>
        </w:trPr>
        <w:tc>
          <w:tcPr>
            <w:tcW w:w="3600" w:type="dxa"/>
            <w:vAlign w:val="bottom"/>
            <w:vMerge w:val="restart"/>
          </w:tcPr>
          <w:p>
            <w:pPr>
              <w:ind w:left="20"/>
              <w:spacing w:after="0"/>
              <w:rPr>
                <w:sz w:val="20"/>
                <w:szCs w:val="20"/>
                <w:color w:val="auto"/>
              </w:rPr>
            </w:pPr>
            <w:r>
              <w:rPr>
                <w:rFonts w:ascii="Arial" w:cs="Arial" w:eastAsia="Arial" w:hAnsi="Arial"/>
                <w:sz w:val="18"/>
                <w:szCs w:val="18"/>
                <w:color w:val="auto"/>
              </w:rPr>
              <w:t>Sales</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80" w:type="dxa"/>
            <w:vAlign w:val="bottom"/>
            <w:gridSpan w:val="5"/>
          </w:tcPr>
          <w:p>
            <w:pPr>
              <w:jc w:val="right"/>
              <w:ind w:right="45"/>
              <w:spacing w:after="0"/>
              <w:rPr>
                <w:sz w:val="20"/>
                <w:szCs w:val="20"/>
                <w:color w:val="auto"/>
              </w:rPr>
            </w:pPr>
            <w:r>
              <w:rPr>
                <w:rFonts w:ascii="Arial" w:cs="Arial" w:eastAsia="Arial" w:hAnsi="Arial"/>
                <w:sz w:val="14"/>
                <w:szCs w:val="14"/>
                <w:b w:val="1"/>
                <w:bCs w:val="1"/>
                <w:color w:val="auto"/>
              </w:rPr>
              <w:t>(in millions, except per share amounts)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0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shd w:val="clear" w:color="auto" w:fill="C0C0C0"/>
          </w:tcPr>
          <w:p>
            <w:pPr>
              <w:jc w:val="right"/>
              <w:ind w:right="2911"/>
              <w:spacing w:after="0" w:line="202" w:lineRule="exact"/>
              <w:rPr>
                <w:sz w:val="20"/>
                <w:szCs w:val="20"/>
                <w:color w:val="auto"/>
              </w:rPr>
            </w:pPr>
            <w:r>
              <w:rPr>
                <w:rFonts w:ascii="Arial" w:cs="Arial" w:eastAsia="Arial" w:hAnsi="Arial"/>
                <w:sz w:val="18"/>
                <w:szCs w:val="18"/>
                <w:b w:val="1"/>
                <w:bCs w:val="1"/>
                <w:color w:val="auto"/>
              </w:rPr>
              <w:t>2013</w:t>
            </w:r>
          </w:p>
        </w:tc>
        <w:tc>
          <w:tcPr>
            <w:tcW w:w="880" w:type="dxa"/>
            <w:vAlign w:val="bottom"/>
            <w:shd w:val="clear" w:color="auto" w:fill="C0C0C0"/>
          </w:tcPr>
          <w:p>
            <w:pPr>
              <w:jc w:val="right"/>
              <w:ind w:right="11"/>
              <w:spacing w:after="0" w:line="202" w:lineRule="exact"/>
              <w:rPr>
                <w:sz w:val="20"/>
                <w:szCs w:val="20"/>
                <w:color w:val="auto"/>
              </w:rPr>
            </w:pPr>
            <w:r>
              <w:rPr>
                <w:rFonts w:ascii="Arial" w:cs="Arial" w:eastAsia="Arial" w:hAnsi="Arial"/>
                <w:sz w:val="18"/>
                <w:szCs w:val="18"/>
                <w:b w:val="1"/>
                <w:bCs w:val="1"/>
                <w:color w:val="auto"/>
              </w:rPr>
              <w:t>1,638</w:t>
            </w:r>
          </w:p>
        </w:tc>
        <w:tc>
          <w:tcPr>
            <w:tcW w:w="1060" w:type="dxa"/>
            <w:vAlign w:val="bottom"/>
            <w:gridSpan w:val="2"/>
            <w:shd w:val="clear" w:color="auto" w:fill="C0C0C0"/>
          </w:tcPr>
          <w:p>
            <w:pPr>
              <w:jc w:val="right"/>
              <w:ind w:right="28"/>
              <w:spacing w:after="0" w:line="202" w:lineRule="exact"/>
              <w:rPr>
                <w:sz w:val="20"/>
                <w:szCs w:val="20"/>
                <w:color w:val="auto"/>
              </w:rPr>
            </w:pPr>
            <w:r>
              <w:rPr>
                <w:rFonts w:ascii="Arial" w:cs="Arial" w:eastAsia="Arial" w:hAnsi="Arial"/>
                <w:sz w:val="18"/>
                <w:szCs w:val="18"/>
                <w:b w:val="1"/>
                <w:bCs w:val="1"/>
                <w:color w:val="auto"/>
              </w:rPr>
              <w:t>1,454</w:t>
            </w:r>
          </w:p>
        </w:tc>
        <w:tc>
          <w:tcPr>
            <w:tcW w:w="1040" w:type="dxa"/>
            <w:vAlign w:val="bottom"/>
            <w:gridSpan w:val="2"/>
            <w:shd w:val="clear" w:color="auto" w:fill="C0C0C0"/>
          </w:tcPr>
          <w:p>
            <w:pPr>
              <w:jc w:val="right"/>
              <w:ind w:right="28"/>
              <w:spacing w:after="0" w:line="202" w:lineRule="exact"/>
              <w:rPr>
                <w:sz w:val="20"/>
                <w:szCs w:val="20"/>
                <w:color w:val="auto"/>
              </w:rPr>
            </w:pPr>
            <w:r>
              <w:rPr>
                <w:rFonts w:ascii="Arial" w:cs="Arial" w:eastAsia="Arial" w:hAnsi="Arial"/>
                <w:sz w:val="18"/>
                <w:szCs w:val="18"/>
                <w:b w:val="1"/>
                <w:bCs w:val="1"/>
                <w:color w:val="auto"/>
              </w:rPr>
              <w:t>1,622</w:t>
            </w:r>
          </w:p>
        </w:tc>
        <w:tc>
          <w:tcPr>
            <w:tcW w:w="1040" w:type="dxa"/>
            <w:vAlign w:val="bottom"/>
            <w:gridSpan w:val="2"/>
            <w:shd w:val="clear" w:color="auto" w:fill="C0C0C0"/>
          </w:tcPr>
          <w:p>
            <w:pPr>
              <w:jc w:val="right"/>
              <w:ind w:right="5"/>
              <w:spacing w:after="0" w:line="202" w:lineRule="exact"/>
              <w:rPr>
                <w:sz w:val="20"/>
                <w:szCs w:val="20"/>
                <w:color w:val="auto"/>
              </w:rPr>
            </w:pPr>
            <w:r>
              <w:rPr>
                <w:rFonts w:ascii="Arial" w:cs="Arial" w:eastAsia="Arial" w:hAnsi="Arial"/>
                <w:sz w:val="18"/>
                <w:szCs w:val="18"/>
                <w:b w:val="1"/>
                <w:bCs w:val="1"/>
                <w:color w:val="auto"/>
              </w:rPr>
              <w:t>1,791</w:t>
            </w:r>
          </w:p>
        </w:tc>
        <w:tc>
          <w:tcPr>
            <w:tcW w:w="40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0C0C0"/>
          </w:tcPr>
          <w:p>
            <w:pPr>
              <w:jc w:val="right"/>
              <w:ind w:right="11"/>
              <w:spacing w:after="0" w:line="202" w:lineRule="exact"/>
              <w:rPr>
                <w:sz w:val="20"/>
                <w:szCs w:val="20"/>
                <w:color w:val="auto"/>
              </w:rPr>
            </w:pPr>
            <w:r>
              <w:rPr>
                <w:rFonts w:ascii="Arial" w:cs="Arial" w:eastAsia="Arial" w:hAnsi="Arial"/>
                <w:sz w:val="18"/>
                <w:szCs w:val="18"/>
                <w:b w:val="1"/>
                <w:bCs w:val="1"/>
                <w:color w:val="auto"/>
              </w:rPr>
              <w:t>6,505</w:t>
            </w:r>
          </w:p>
        </w:tc>
        <w:tc>
          <w:tcPr>
            <w:tcW w:w="0" w:type="dxa"/>
            <w:vAlign w:val="bottom"/>
          </w:tcPr>
          <w:p>
            <w:pPr>
              <w:spacing w:after="0"/>
              <w:rPr>
                <w:sz w:val="1"/>
                <w:szCs w:val="1"/>
                <w:color w:val="auto"/>
              </w:rPr>
            </w:pPr>
          </w:p>
        </w:tc>
      </w:tr>
      <w:tr>
        <w:trPr>
          <w:trHeight w:val="203"/>
        </w:trPr>
        <w:tc>
          <w:tcPr>
            <w:tcW w:w="3600" w:type="dxa"/>
            <w:vAlign w:val="bottom"/>
          </w:tcPr>
          <w:p>
            <w:pPr>
              <w:jc w:val="right"/>
              <w:ind w:right="2911"/>
              <w:spacing w:after="0" w:line="202" w:lineRule="exact"/>
              <w:rPr>
                <w:sz w:val="20"/>
                <w:szCs w:val="20"/>
                <w:color w:val="auto"/>
              </w:rPr>
            </w:pPr>
            <w:r>
              <w:rPr>
                <w:rFonts w:ascii="Arial" w:cs="Arial" w:eastAsia="Arial" w:hAnsi="Arial"/>
                <w:sz w:val="18"/>
                <w:szCs w:val="18"/>
                <w:color w:val="auto"/>
              </w:rPr>
              <w:t>2012</w:t>
            </w:r>
          </w:p>
        </w:tc>
        <w:tc>
          <w:tcPr>
            <w:tcW w:w="8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1,578</w:t>
            </w:r>
          </w:p>
        </w:tc>
        <w:tc>
          <w:tcPr>
            <w:tcW w:w="106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1,367</w:t>
            </w:r>
          </w:p>
        </w:tc>
        <w:tc>
          <w:tcPr>
            <w:tcW w:w="104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1,524</w:t>
            </w:r>
          </w:p>
        </w:tc>
        <w:tc>
          <w:tcPr>
            <w:tcW w:w="1040" w:type="dxa"/>
            <w:vAlign w:val="bottom"/>
            <w:gridSpan w:val="2"/>
          </w:tcPr>
          <w:p>
            <w:pPr>
              <w:jc w:val="right"/>
              <w:ind w:right="5"/>
              <w:spacing w:after="0" w:line="202" w:lineRule="exact"/>
              <w:rPr>
                <w:sz w:val="20"/>
                <w:szCs w:val="20"/>
                <w:color w:val="auto"/>
              </w:rPr>
            </w:pPr>
            <w:r>
              <w:rPr>
                <w:rFonts w:ascii="Arial" w:cs="Arial" w:eastAsia="Arial" w:hAnsi="Arial"/>
                <w:sz w:val="18"/>
                <w:szCs w:val="18"/>
                <w:color w:val="auto"/>
              </w:rPr>
              <w:t>1,713</w:t>
            </w:r>
          </w:p>
        </w:tc>
        <w:tc>
          <w:tcPr>
            <w:tcW w:w="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6,182</w:t>
            </w:r>
          </w:p>
        </w:tc>
        <w:tc>
          <w:tcPr>
            <w:tcW w:w="0" w:type="dxa"/>
            <w:vAlign w:val="bottom"/>
          </w:tcPr>
          <w:p>
            <w:pPr>
              <w:spacing w:after="0"/>
              <w:rPr>
                <w:sz w:val="1"/>
                <w:szCs w:val="1"/>
                <w:color w:val="auto"/>
              </w:rPr>
            </w:pPr>
          </w:p>
        </w:tc>
      </w:tr>
      <w:tr>
        <w:trPr>
          <w:trHeight w:val="243"/>
        </w:trPr>
        <w:tc>
          <w:tcPr>
            <w:tcW w:w="3600" w:type="dxa"/>
            <w:vAlign w:val="bottom"/>
            <w:shd w:val="clear" w:color="auto" w:fill="C0C0C0"/>
          </w:tcPr>
          <w:p>
            <w:pPr>
              <w:ind w:left="20"/>
              <w:spacing w:after="0" w:line="243" w:lineRule="exact"/>
              <w:rPr>
                <w:sz w:val="20"/>
                <w:szCs w:val="20"/>
                <w:color w:val="auto"/>
              </w:rPr>
            </w:pPr>
            <w:r>
              <w:rPr>
                <w:rFonts w:ascii="Arial" w:cs="Arial" w:eastAsia="Arial" w:hAnsi="Arial"/>
                <w:sz w:val="17"/>
                <w:szCs w:val="17"/>
                <w:color w:val="auto"/>
              </w:rPr>
              <w:t>Gross margin</w:t>
            </w:r>
            <w:r>
              <w:rPr>
                <w:rFonts w:ascii="Arial" w:cs="Arial" w:eastAsia="Arial" w:hAnsi="Arial"/>
                <w:sz w:val="28"/>
                <w:szCs w:val="28"/>
                <w:color w:val="auto"/>
                <w:vertAlign w:val="superscript"/>
              </w:rPr>
              <w:t>(2)</w:t>
            </w:r>
          </w:p>
        </w:tc>
        <w:tc>
          <w:tcPr>
            <w:tcW w:w="8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600" w:type="dxa"/>
            <w:vAlign w:val="bottom"/>
          </w:tcPr>
          <w:p>
            <w:pPr>
              <w:jc w:val="right"/>
              <w:ind w:right="2911"/>
              <w:spacing w:after="0" w:line="202" w:lineRule="exact"/>
              <w:rPr>
                <w:sz w:val="20"/>
                <w:szCs w:val="20"/>
                <w:color w:val="auto"/>
              </w:rPr>
            </w:pPr>
            <w:r>
              <w:rPr>
                <w:rFonts w:ascii="Arial" w:cs="Arial" w:eastAsia="Arial" w:hAnsi="Arial"/>
                <w:sz w:val="18"/>
                <w:szCs w:val="18"/>
                <w:color w:val="auto"/>
              </w:rPr>
              <w:t>2013</w:t>
            </w:r>
          </w:p>
        </w:tc>
        <w:tc>
          <w:tcPr>
            <w:tcW w:w="88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561</w:t>
            </w:r>
          </w:p>
        </w:tc>
        <w:tc>
          <w:tcPr>
            <w:tcW w:w="1060" w:type="dxa"/>
            <w:vAlign w:val="bottom"/>
            <w:gridSpan w:val="2"/>
          </w:tcPr>
          <w:p>
            <w:pPr>
              <w:jc w:val="right"/>
              <w:ind w:right="28"/>
              <w:spacing w:after="0" w:line="202" w:lineRule="exact"/>
              <w:rPr>
                <w:sz w:val="20"/>
                <w:szCs w:val="20"/>
                <w:color w:val="auto"/>
              </w:rPr>
            </w:pPr>
            <w:r>
              <w:rPr>
                <w:rFonts w:ascii="Arial" w:cs="Arial" w:eastAsia="Arial" w:hAnsi="Arial"/>
                <w:sz w:val="18"/>
                <w:szCs w:val="18"/>
                <w:b w:val="1"/>
                <w:bCs w:val="1"/>
                <w:color w:val="auto"/>
              </w:rPr>
              <w:t>453</w:t>
            </w:r>
          </w:p>
        </w:tc>
        <w:tc>
          <w:tcPr>
            <w:tcW w:w="1040" w:type="dxa"/>
            <w:vAlign w:val="bottom"/>
            <w:gridSpan w:val="2"/>
          </w:tcPr>
          <w:p>
            <w:pPr>
              <w:jc w:val="right"/>
              <w:ind w:right="28"/>
              <w:spacing w:after="0" w:line="202" w:lineRule="exact"/>
              <w:rPr>
                <w:sz w:val="20"/>
                <w:szCs w:val="20"/>
                <w:color w:val="auto"/>
              </w:rPr>
            </w:pPr>
            <w:r>
              <w:rPr>
                <w:rFonts w:ascii="Arial" w:cs="Arial" w:eastAsia="Arial" w:hAnsi="Arial"/>
                <w:sz w:val="18"/>
                <w:szCs w:val="18"/>
                <w:b w:val="1"/>
                <w:bCs w:val="1"/>
                <w:color w:val="auto"/>
              </w:rPr>
              <w:t>537</w:t>
            </w:r>
          </w:p>
        </w:tc>
        <w:tc>
          <w:tcPr>
            <w:tcW w:w="1040" w:type="dxa"/>
            <w:vAlign w:val="bottom"/>
            <w:gridSpan w:val="2"/>
          </w:tcPr>
          <w:p>
            <w:pPr>
              <w:jc w:val="right"/>
              <w:ind w:right="5"/>
              <w:spacing w:after="0" w:line="202" w:lineRule="exact"/>
              <w:rPr>
                <w:sz w:val="20"/>
                <w:szCs w:val="20"/>
                <w:color w:val="auto"/>
              </w:rPr>
            </w:pPr>
            <w:r>
              <w:rPr>
                <w:rFonts w:ascii="Arial" w:cs="Arial" w:eastAsia="Arial" w:hAnsi="Arial"/>
                <w:sz w:val="18"/>
                <w:szCs w:val="18"/>
                <w:b w:val="1"/>
                <w:bCs w:val="1"/>
                <w:color w:val="auto"/>
              </w:rPr>
              <w:t>582</w:t>
            </w:r>
          </w:p>
        </w:tc>
        <w:tc>
          <w:tcPr>
            <w:tcW w:w="40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2,133</w:t>
            </w:r>
          </w:p>
        </w:tc>
        <w:tc>
          <w:tcPr>
            <w:tcW w:w="0" w:type="dxa"/>
            <w:vAlign w:val="bottom"/>
          </w:tcPr>
          <w:p>
            <w:pPr>
              <w:spacing w:after="0"/>
              <w:rPr>
                <w:sz w:val="1"/>
                <w:szCs w:val="1"/>
                <w:color w:val="auto"/>
              </w:rPr>
            </w:pPr>
          </w:p>
        </w:tc>
      </w:tr>
      <w:tr>
        <w:trPr>
          <w:trHeight w:val="203"/>
        </w:trPr>
        <w:tc>
          <w:tcPr>
            <w:tcW w:w="3600" w:type="dxa"/>
            <w:vAlign w:val="bottom"/>
            <w:shd w:val="clear" w:color="auto" w:fill="C0C0C0"/>
          </w:tcPr>
          <w:p>
            <w:pPr>
              <w:jc w:val="right"/>
              <w:ind w:right="2911"/>
              <w:spacing w:after="0" w:line="202" w:lineRule="exact"/>
              <w:rPr>
                <w:sz w:val="20"/>
                <w:szCs w:val="20"/>
                <w:color w:val="auto"/>
              </w:rPr>
            </w:pPr>
            <w:r>
              <w:rPr>
                <w:rFonts w:ascii="Arial" w:cs="Arial" w:eastAsia="Arial" w:hAnsi="Arial"/>
                <w:sz w:val="18"/>
                <w:szCs w:val="18"/>
                <w:color w:val="auto"/>
              </w:rPr>
              <w:t>2012</w:t>
            </w:r>
          </w:p>
        </w:tc>
        <w:tc>
          <w:tcPr>
            <w:tcW w:w="880" w:type="dxa"/>
            <w:vAlign w:val="bottom"/>
            <w:shd w:val="clear" w:color="auto" w:fill="C0C0C0"/>
          </w:tcPr>
          <w:p>
            <w:pPr>
              <w:jc w:val="right"/>
              <w:ind w:right="11"/>
              <w:spacing w:after="0" w:line="202" w:lineRule="exact"/>
              <w:rPr>
                <w:sz w:val="20"/>
                <w:szCs w:val="20"/>
                <w:color w:val="auto"/>
              </w:rPr>
            </w:pPr>
            <w:r>
              <w:rPr>
                <w:rFonts w:ascii="Arial" w:cs="Arial" w:eastAsia="Arial" w:hAnsi="Arial"/>
                <w:sz w:val="18"/>
                <w:szCs w:val="18"/>
                <w:color w:val="auto"/>
              </w:rPr>
              <w:t>537</w:t>
            </w:r>
          </w:p>
        </w:tc>
        <w:tc>
          <w:tcPr>
            <w:tcW w:w="1060" w:type="dxa"/>
            <w:vAlign w:val="bottom"/>
            <w:gridSpan w:val="2"/>
            <w:shd w:val="clear" w:color="auto" w:fill="C0C0C0"/>
          </w:tcPr>
          <w:p>
            <w:pPr>
              <w:jc w:val="right"/>
              <w:ind w:right="28"/>
              <w:spacing w:after="0" w:line="202" w:lineRule="exact"/>
              <w:rPr>
                <w:sz w:val="20"/>
                <w:szCs w:val="20"/>
                <w:color w:val="auto"/>
              </w:rPr>
            </w:pPr>
            <w:r>
              <w:rPr>
                <w:rFonts w:ascii="Arial" w:cs="Arial" w:eastAsia="Arial" w:hAnsi="Arial"/>
                <w:sz w:val="18"/>
                <w:szCs w:val="18"/>
                <w:color w:val="auto"/>
              </w:rPr>
              <w:t>428</w:t>
            </w:r>
          </w:p>
        </w:tc>
        <w:tc>
          <w:tcPr>
            <w:tcW w:w="1040" w:type="dxa"/>
            <w:vAlign w:val="bottom"/>
            <w:gridSpan w:val="2"/>
            <w:shd w:val="clear" w:color="auto" w:fill="C0C0C0"/>
          </w:tcPr>
          <w:p>
            <w:pPr>
              <w:jc w:val="right"/>
              <w:ind w:right="28"/>
              <w:spacing w:after="0" w:line="202" w:lineRule="exact"/>
              <w:rPr>
                <w:sz w:val="20"/>
                <w:szCs w:val="20"/>
                <w:color w:val="auto"/>
              </w:rPr>
            </w:pPr>
            <w:r>
              <w:rPr>
                <w:rFonts w:ascii="Arial" w:cs="Arial" w:eastAsia="Arial" w:hAnsi="Arial"/>
                <w:sz w:val="18"/>
                <w:szCs w:val="18"/>
                <w:color w:val="auto"/>
              </w:rPr>
              <w:t>505</w:t>
            </w:r>
          </w:p>
        </w:tc>
        <w:tc>
          <w:tcPr>
            <w:tcW w:w="1040" w:type="dxa"/>
            <w:vAlign w:val="bottom"/>
            <w:gridSpan w:val="2"/>
            <w:shd w:val="clear" w:color="auto" w:fill="C0C0C0"/>
          </w:tcPr>
          <w:p>
            <w:pPr>
              <w:jc w:val="right"/>
              <w:ind w:right="5"/>
              <w:spacing w:after="0" w:line="202" w:lineRule="exact"/>
              <w:rPr>
                <w:sz w:val="20"/>
                <w:szCs w:val="20"/>
                <w:color w:val="auto"/>
              </w:rPr>
            </w:pPr>
            <w:r>
              <w:rPr>
                <w:rFonts w:ascii="Arial" w:cs="Arial" w:eastAsia="Arial" w:hAnsi="Arial"/>
                <w:sz w:val="18"/>
                <w:szCs w:val="18"/>
                <w:color w:val="auto"/>
              </w:rPr>
              <w:t>564</w:t>
            </w:r>
          </w:p>
        </w:tc>
        <w:tc>
          <w:tcPr>
            <w:tcW w:w="40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ind w:right="11"/>
              <w:spacing w:after="0" w:line="202" w:lineRule="exact"/>
              <w:rPr>
                <w:sz w:val="20"/>
                <w:szCs w:val="20"/>
                <w:color w:val="auto"/>
              </w:rPr>
            </w:pPr>
            <w:r>
              <w:rPr>
                <w:rFonts w:ascii="Arial" w:cs="Arial" w:eastAsia="Arial" w:hAnsi="Arial"/>
                <w:sz w:val="18"/>
                <w:szCs w:val="18"/>
                <w:color w:val="auto"/>
              </w:rPr>
              <w:t>2,034</w:t>
            </w:r>
          </w:p>
        </w:tc>
        <w:tc>
          <w:tcPr>
            <w:tcW w:w="0" w:type="dxa"/>
            <w:vAlign w:val="bottom"/>
          </w:tcPr>
          <w:p>
            <w:pPr>
              <w:spacing w:after="0"/>
              <w:rPr>
                <w:sz w:val="1"/>
                <w:szCs w:val="1"/>
                <w:color w:val="auto"/>
              </w:rPr>
            </w:pPr>
          </w:p>
        </w:tc>
      </w:tr>
      <w:tr>
        <w:trPr>
          <w:trHeight w:val="243"/>
        </w:trPr>
        <w:tc>
          <w:tcPr>
            <w:tcW w:w="3600" w:type="dxa"/>
            <w:vAlign w:val="bottom"/>
          </w:tcPr>
          <w:p>
            <w:pPr>
              <w:ind w:left="20"/>
              <w:spacing w:after="0" w:line="243" w:lineRule="exact"/>
              <w:rPr>
                <w:sz w:val="20"/>
                <w:szCs w:val="20"/>
                <w:color w:val="auto"/>
              </w:rPr>
            </w:pPr>
            <w:r>
              <w:rPr>
                <w:rFonts w:ascii="Arial" w:cs="Arial" w:eastAsia="Arial" w:hAnsi="Arial"/>
                <w:sz w:val="17"/>
                <w:szCs w:val="17"/>
                <w:color w:val="auto"/>
              </w:rPr>
              <w:t>Operating profit</w:t>
            </w:r>
            <w:r>
              <w:rPr>
                <w:rFonts w:ascii="Arial" w:cs="Arial" w:eastAsia="Arial" w:hAnsi="Arial"/>
                <w:sz w:val="28"/>
                <w:szCs w:val="28"/>
                <w:color w:val="auto"/>
                <w:vertAlign w:val="superscript"/>
              </w:rPr>
              <w:t>(3)</w:t>
            </w: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600" w:type="dxa"/>
            <w:vAlign w:val="bottom"/>
            <w:shd w:val="clear" w:color="auto" w:fill="C0C0C0"/>
          </w:tcPr>
          <w:p>
            <w:pPr>
              <w:jc w:val="right"/>
              <w:ind w:right="2911"/>
              <w:spacing w:after="0" w:line="202" w:lineRule="exact"/>
              <w:rPr>
                <w:sz w:val="20"/>
                <w:szCs w:val="20"/>
                <w:color w:val="auto"/>
              </w:rPr>
            </w:pPr>
            <w:r>
              <w:rPr>
                <w:rFonts w:ascii="Arial" w:cs="Arial" w:eastAsia="Arial" w:hAnsi="Arial"/>
                <w:sz w:val="18"/>
                <w:szCs w:val="18"/>
                <w:b w:val="1"/>
                <w:bCs w:val="1"/>
                <w:color w:val="auto"/>
              </w:rPr>
              <w:t>2013</w:t>
            </w:r>
          </w:p>
        </w:tc>
        <w:tc>
          <w:tcPr>
            <w:tcW w:w="880" w:type="dxa"/>
            <w:vAlign w:val="bottom"/>
            <w:shd w:val="clear" w:color="auto" w:fill="C0C0C0"/>
          </w:tcPr>
          <w:p>
            <w:pPr>
              <w:jc w:val="right"/>
              <w:ind w:right="11"/>
              <w:spacing w:after="0" w:line="202" w:lineRule="exact"/>
              <w:rPr>
                <w:sz w:val="20"/>
                <w:szCs w:val="20"/>
                <w:color w:val="auto"/>
              </w:rPr>
            </w:pPr>
            <w:r>
              <w:rPr>
                <w:rFonts w:ascii="Arial" w:cs="Arial" w:eastAsia="Arial" w:hAnsi="Arial"/>
                <w:sz w:val="18"/>
                <w:szCs w:val="18"/>
                <w:b w:val="1"/>
                <w:bCs w:val="1"/>
                <w:color w:val="auto"/>
              </w:rPr>
              <w:t>215</w:t>
            </w:r>
          </w:p>
        </w:tc>
        <w:tc>
          <w:tcPr>
            <w:tcW w:w="1060" w:type="dxa"/>
            <w:vAlign w:val="bottom"/>
            <w:gridSpan w:val="2"/>
            <w:shd w:val="clear" w:color="auto" w:fill="C0C0C0"/>
          </w:tcPr>
          <w:p>
            <w:pPr>
              <w:jc w:val="right"/>
              <w:ind w:right="28"/>
              <w:spacing w:after="0" w:line="202" w:lineRule="exact"/>
              <w:rPr>
                <w:sz w:val="20"/>
                <w:szCs w:val="20"/>
                <w:color w:val="auto"/>
              </w:rPr>
            </w:pPr>
            <w:r>
              <w:rPr>
                <w:rFonts w:ascii="Arial" w:cs="Arial" w:eastAsia="Arial" w:hAnsi="Arial"/>
                <w:sz w:val="18"/>
                <w:szCs w:val="18"/>
                <w:b w:val="1"/>
                <w:bCs w:val="1"/>
                <w:color w:val="auto"/>
              </w:rPr>
              <w:t>106</w:t>
            </w:r>
          </w:p>
        </w:tc>
        <w:tc>
          <w:tcPr>
            <w:tcW w:w="1040" w:type="dxa"/>
            <w:vAlign w:val="bottom"/>
            <w:gridSpan w:val="2"/>
            <w:shd w:val="clear" w:color="auto" w:fill="C0C0C0"/>
          </w:tcPr>
          <w:p>
            <w:pPr>
              <w:jc w:val="right"/>
              <w:ind w:right="28"/>
              <w:spacing w:after="0" w:line="202" w:lineRule="exact"/>
              <w:rPr>
                <w:sz w:val="20"/>
                <w:szCs w:val="20"/>
                <w:color w:val="auto"/>
              </w:rPr>
            </w:pPr>
            <w:r>
              <w:rPr>
                <w:rFonts w:ascii="Arial" w:cs="Arial" w:eastAsia="Arial" w:hAnsi="Arial"/>
                <w:sz w:val="18"/>
                <w:szCs w:val="18"/>
                <w:b w:val="1"/>
                <w:bCs w:val="1"/>
                <w:color w:val="auto"/>
              </w:rPr>
              <w:t>162</w:t>
            </w:r>
          </w:p>
        </w:tc>
        <w:tc>
          <w:tcPr>
            <w:tcW w:w="1040" w:type="dxa"/>
            <w:vAlign w:val="bottom"/>
            <w:gridSpan w:val="2"/>
            <w:shd w:val="clear" w:color="auto" w:fill="C0C0C0"/>
          </w:tcPr>
          <w:p>
            <w:pPr>
              <w:jc w:val="right"/>
              <w:ind w:right="5"/>
              <w:spacing w:after="0" w:line="202" w:lineRule="exact"/>
              <w:rPr>
                <w:sz w:val="20"/>
                <w:szCs w:val="20"/>
                <w:color w:val="auto"/>
              </w:rPr>
            </w:pPr>
            <w:r>
              <w:rPr>
                <w:rFonts w:ascii="Arial" w:cs="Arial" w:eastAsia="Arial" w:hAnsi="Arial"/>
                <w:sz w:val="18"/>
                <w:szCs w:val="18"/>
                <w:b w:val="1"/>
                <w:bCs w:val="1"/>
                <w:color w:val="auto"/>
              </w:rPr>
              <w:t>181</w:t>
            </w:r>
          </w:p>
        </w:tc>
        <w:tc>
          <w:tcPr>
            <w:tcW w:w="40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0C0C0"/>
          </w:tcPr>
          <w:p>
            <w:pPr>
              <w:jc w:val="right"/>
              <w:ind w:right="11"/>
              <w:spacing w:after="0" w:line="202" w:lineRule="exact"/>
              <w:rPr>
                <w:sz w:val="20"/>
                <w:szCs w:val="20"/>
                <w:color w:val="auto"/>
              </w:rPr>
            </w:pPr>
            <w:r>
              <w:rPr>
                <w:rFonts w:ascii="Arial" w:cs="Arial" w:eastAsia="Arial" w:hAnsi="Arial"/>
                <w:sz w:val="18"/>
                <w:szCs w:val="18"/>
                <w:b w:val="1"/>
                <w:bCs w:val="1"/>
                <w:color w:val="auto"/>
              </w:rPr>
              <w:t>664</w:t>
            </w:r>
          </w:p>
        </w:tc>
        <w:tc>
          <w:tcPr>
            <w:tcW w:w="0" w:type="dxa"/>
            <w:vAlign w:val="bottom"/>
          </w:tcPr>
          <w:p>
            <w:pPr>
              <w:spacing w:after="0"/>
              <w:rPr>
                <w:sz w:val="1"/>
                <w:szCs w:val="1"/>
                <w:color w:val="auto"/>
              </w:rPr>
            </w:pPr>
          </w:p>
        </w:tc>
      </w:tr>
      <w:tr>
        <w:trPr>
          <w:trHeight w:val="203"/>
        </w:trPr>
        <w:tc>
          <w:tcPr>
            <w:tcW w:w="3600" w:type="dxa"/>
            <w:vAlign w:val="bottom"/>
          </w:tcPr>
          <w:p>
            <w:pPr>
              <w:jc w:val="right"/>
              <w:ind w:right="2911"/>
              <w:spacing w:after="0" w:line="202" w:lineRule="exact"/>
              <w:rPr>
                <w:sz w:val="20"/>
                <w:szCs w:val="20"/>
                <w:color w:val="auto"/>
              </w:rPr>
            </w:pPr>
            <w:r>
              <w:rPr>
                <w:rFonts w:ascii="Arial" w:cs="Arial" w:eastAsia="Arial" w:hAnsi="Arial"/>
                <w:sz w:val="18"/>
                <w:szCs w:val="18"/>
                <w:color w:val="auto"/>
              </w:rPr>
              <w:t>2012</w:t>
            </w:r>
          </w:p>
        </w:tc>
        <w:tc>
          <w:tcPr>
            <w:tcW w:w="8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202</w:t>
            </w:r>
          </w:p>
        </w:tc>
        <w:tc>
          <w:tcPr>
            <w:tcW w:w="106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93</w:t>
            </w:r>
          </w:p>
        </w:tc>
        <w:tc>
          <w:tcPr>
            <w:tcW w:w="104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156</w:t>
            </w:r>
          </w:p>
        </w:tc>
        <w:tc>
          <w:tcPr>
            <w:tcW w:w="1040" w:type="dxa"/>
            <w:vAlign w:val="bottom"/>
            <w:gridSpan w:val="2"/>
          </w:tcPr>
          <w:p>
            <w:pPr>
              <w:jc w:val="right"/>
              <w:ind w:right="5"/>
              <w:spacing w:after="0" w:line="202" w:lineRule="exact"/>
              <w:rPr>
                <w:sz w:val="20"/>
                <w:szCs w:val="20"/>
                <w:color w:val="auto"/>
              </w:rPr>
            </w:pPr>
            <w:r>
              <w:rPr>
                <w:rFonts w:ascii="Arial" w:cs="Arial" w:eastAsia="Arial" w:hAnsi="Arial"/>
                <w:sz w:val="18"/>
                <w:szCs w:val="18"/>
                <w:color w:val="auto"/>
              </w:rPr>
              <w:t>159</w:t>
            </w:r>
          </w:p>
        </w:tc>
        <w:tc>
          <w:tcPr>
            <w:tcW w:w="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03"/>
        </w:trPr>
        <w:tc>
          <w:tcPr>
            <w:tcW w:w="360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Net income</w:t>
            </w:r>
          </w:p>
        </w:tc>
        <w:tc>
          <w:tcPr>
            <w:tcW w:w="88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9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88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88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76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jc w:val="right"/>
              <w:ind w:right="2911"/>
              <w:spacing w:after="0" w:line="202" w:lineRule="exact"/>
              <w:rPr>
                <w:sz w:val="20"/>
                <w:szCs w:val="20"/>
                <w:color w:val="auto"/>
              </w:rPr>
            </w:pPr>
            <w:r>
              <w:rPr>
                <w:rFonts w:ascii="Arial" w:cs="Arial" w:eastAsia="Arial" w:hAnsi="Arial"/>
                <w:sz w:val="18"/>
                <w:szCs w:val="18"/>
                <w:b w:val="1"/>
                <w:bCs w:val="1"/>
                <w:color w:val="auto"/>
              </w:rPr>
              <w:t>2013</w:t>
            </w:r>
          </w:p>
        </w:tc>
        <w:tc>
          <w:tcPr>
            <w:tcW w:w="88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138</w:t>
            </w:r>
          </w:p>
        </w:tc>
        <w:tc>
          <w:tcPr>
            <w:tcW w:w="1060" w:type="dxa"/>
            <w:vAlign w:val="bottom"/>
            <w:gridSpan w:val="2"/>
          </w:tcPr>
          <w:p>
            <w:pPr>
              <w:jc w:val="right"/>
              <w:ind w:right="28"/>
              <w:spacing w:after="0" w:line="202" w:lineRule="exact"/>
              <w:rPr>
                <w:sz w:val="20"/>
                <w:szCs w:val="20"/>
                <w:color w:val="auto"/>
              </w:rPr>
            </w:pPr>
            <w:r>
              <w:rPr>
                <w:rFonts w:ascii="Arial" w:cs="Arial" w:eastAsia="Arial" w:hAnsi="Arial"/>
                <w:sz w:val="18"/>
                <w:szCs w:val="18"/>
                <w:b w:val="1"/>
                <w:bCs w:val="1"/>
                <w:color w:val="auto"/>
              </w:rPr>
              <w:t>66</w:t>
            </w:r>
          </w:p>
        </w:tc>
        <w:tc>
          <w:tcPr>
            <w:tcW w:w="1040" w:type="dxa"/>
            <w:vAlign w:val="bottom"/>
            <w:gridSpan w:val="2"/>
          </w:tcPr>
          <w:p>
            <w:pPr>
              <w:jc w:val="right"/>
              <w:ind w:right="28"/>
              <w:spacing w:after="0" w:line="202" w:lineRule="exact"/>
              <w:rPr>
                <w:sz w:val="20"/>
                <w:szCs w:val="20"/>
                <w:color w:val="auto"/>
              </w:rPr>
            </w:pPr>
            <w:r>
              <w:rPr>
                <w:rFonts w:ascii="Arial" w:cs="Arial" w:eastAsia="Arial" w:hAnsi="Arial"/>
                <w:sz w:val="18"/>
                <w:szCs w:val="18"/>
                <w:b w:val="1"/>
                <w:bCs w:val="1"/>
                <w:color w:val="auto"/>
              </w:rPr>
              <w:t>104</w:t>
            </w:r>
          </w:p>
        </w:tc>
        <w:tc>
          <w:tcPr>
            <w:tcW w:w="1040" w:type="dxa"/>
            <w:vAlign w:val="bottom"/>
            <w:gridSpan w:val="2"/>
          </w:tcPr>
          <w:p>
            <w:pPr>
              <w:jc w:val="right"/>
              <w:ind w:right="5"/>
              <w:spacing w:after="0" w:line="202" w:lineRule="exact"/>
              <w:rPr>
                <w:sz w:val="20"/>
                <w:szCs w:val="20"/>
                <w:color w:val="auto"/>
              </w:rPr>
            </w:pPr>
            <w:r>
              <w:rPr>
                <w:rFonts w:ascii="Arial" w:cs="Arial" w:eastAsia="Arial" w:hAnsi="Arial"/>
                <w:sz w:val="18"/>
                <w:szCs w:val="18"/>
                <w:b w:val="1"/>
                <w:bCs w:val="1"/>
                <w:color w:val="auto"/>
              </w:rPr>
              <w:t>121</w:t>
            </w:r>
          </w:p>
        </w:tc>
        <w:tc>
          <w:tcPr>
            <w:tcW w:w="40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429</w:t>
            </w:r>
          </w:p>
        </w:tc>
        <w:tc>
          <w:tcPr>
            <w:tcW w:w="0" w:type="dxa"/>
            <w:vAlign w:val="bottom"/>
          </w:tcPr>
          <w:p>
            <w:pPr>
              <w:spacing w:after="0"/>
              <w:rPr>
                <w:sz w:val="1"/>
                <w:szCs w:val="1"/>
                <w:color w:val="auto"/>
              </w:rPr>
            </w:pPr>
          </w:p>
        </w:tc>
      </w:tr>
      <w:tr>
        <w:trPr>
          <w:trHeight w:val="243"/>
        </w:trPr>
        <w:tc>
          <w:tcPr>
            <w:tcW w:w="3600" w:type="dxa"/>
            <w:vAlign w:val="bottom"/>
            <w:shd w:val="clear" w:color="auto" w:fill="C0C0C0"/>
          </w:tcPr>
          <w:p>
            <w:pPr>
              <w:jc w:val="right"/>
              <w:ind w:right="2911"/>
              <w:spacing w:after="0"/>
              <w:rPr>
                <w:sz w:val="20"/>
                <w:szCs w:val="20"/>
                <w:color w:val="auto"/>
              </w:rPr>
            </w:pPr>
            <w:r>
              <w:rPr>
                <w:rFonts w:ascii="Arial" w:cs="Arial" w:eastAsia="Arial" w:hAnsi="Arial"/>
                <w:sz w:val="18"/>
                <w:szCs w:val="18"/>
                <w:color w:val="auto"/>
              </w:rPr>
              <w:t>2012</w:t>
            </w:r>
          </w:p>
        </w:tc>
        <w:tc>
          <w:tcPr>
            <w:tcW w:w="880" w:type="dxa"/>
            <w:vAlign w:val="bottom"/>
            <w:shd w:val="clear" w:color="auto" w:fill="C0C0C0"/>
          </w:tcPr>
          <w:p>
            <w:pPr>
              <w:jc w:val="right"/>
              <w:ind w:right="11"/>
              <w:spacing w:after="0"/>
              <w:rPr>
                <w:sz w:val="20"/>
                <w:szCs w:val="20"/>
                <w:color w:val="auto"/>
              </w:rPr>
            </w:pPr>
            <w:r>
              <w:rPr>
                <w:rFonts w:ascii="Arial" w:cs="Arial" w:eastAsia="Arial" w:hAnsi="Arial"/>
                <w:sz w:val="18"/>
                <w:szCs w:val="18"/>
                <w:color w:val="auto"/>
              </w:rPr>
              <w:t>128</w:t>
            </w:r>
          </w:p>
        </w:tc>
        <w:tc>
          <w:tcPr>
            <w:tcW w:w="1060" w:type="dxa"/>
            <w:vAlign w:val="bottom"/>
            <w:gridSpan w:val="2"/>
            <w:shd w:val="clear" w:color="auto" w:fill="C0C0C0"/>
          </w:tcPr>
          <w:p>
            <w:pPr>
              <w:jc w:val="right"/>
              <w:ind w:right="28"/>
              <w:spacing w:after="0"/>
              <w:rPr>
                <w:sz w:val="20"/>
                <w:szCs w:val="20"/>
                <w:color w:val="auto"/>
              </w:rPr>
            </w:pPr>
            <w:r>
              <w:rPr>
                <w:rFonts w:ascii="Arial" w:cs="Arial" w:eastAsia="Arial" w:hAnsi="Arial"/>
                <w:sz w:val="18"/>
                <w:szCs w:val="18"/>
                <w:color w:val="auto"/>
              </w:rPr>
              <w:t>59</w:t>
            </w:r>
          </w:p>
        </w:tc>
        <w:tc>
          <w:tcPr>
            <w:tcW w:w="1040" w:type="dxa"/>
            <w:vAlign w:val="bottom"/>
            <w:gridSpan w:val="2"/>
            <w:shd w:val="clear" w:color="auto" w:fill="C0C0C0"/>
          </w:tcPr>
          <w:p>
            <w:pPr>
              <w:jc w:val="right"/>
              <w:ind w:right="28"/>
              <w:spacing w:after="0"/>
              <w:rPr>
                <w:sz w:val="20"/>
                <w:szCs w:val="20"/>
                <w:color w:val="auto"/>
              </w:rPr>
            </w:pPr>
            <w:r>
              <w:rPr>
                <w:rFonts w:ascii="Arial" w:cs="Arial" w:eastAsia="Arial" w:hAnsi="Arial"/>
                <w:sz w:val="18"/>
                <w:szCs w:val="18"/>
                <w:color w:val="auto"/>
              </w:rPr>
              <w:t>106</w:t>
            </w:r>
          </w:p>
        </w:tc>
        <w:tc>
          <w:tcPr>
            <w:tcW w:w="1040" w:type="dxa"/>
            <w:vAlign w:val="bottom"/>
            <w:gridSpan w:val="2"/>
            <w:shd w:val="clear" w:color="auto" w:fill="C0C0C0"/>
          </w:tcPr>
          <w:p>
            <w:pPr>
              <w:jc w:val="right"/>
              <w:ind w:right="5"/>
              <w:spacing w:after="0" w:line="243" w:lineRule="exact"/>
              <w:rPr>
                <w:sz w:val="20"/>
                <w:szCs w:val="20"/>
                <w:color w:val="auto"/>
              </w:rPr>
            </w:pPr>
            <w:r>
              <w:rPr>
                <w:rFonts w:ascii="Arial" w:cs="Arial" w:eastAsia="Arial" w:hAnsi="Arial"/>
                <w:sz w:val="28"/>
                <w:szCs w:val="28"/>
                <w:color w:val="auto"/>
                <w:vertAlign w:val="subscript"/>
              </w:rPr>
              <w:t>104</w:t>
            </w:r>
            <w:r>
              <w:rPr>
                <w:rFonts w:ascii="Arial" w:cs="Arial" w:eastAsia="Arial" w:hAnsi="Arial"/>
                <w:sz w:val="13"/>
                <w:szCs w:val="13"/>
                <w:color w:val="auto"/>
              </w:rPr>
              <w:t xml:space="preserve"> (4)</w:t>
            </w:r>
          </w:p>
        </w:tc>
        <w:tc>
          <w:tcPr>
            <w:tcW w:w="40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ind w:right="11"/>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03"/>
        </w:trPr>
        <w:tc>
          <w:tcPr>
            <w:tcW w:w="3600" w:type="dxa"/>
            <w:vAlign w:val="bottom"/>
          </w:tcPr>
          <w:p>
            <w:pPr>
              <w:ind w:left="20"/>
              <w:spacing w:after="0" w:line="202" w:lineRule="exact"/>
              <w:rPr>
                <w:sz w:val="20"/>
                <w:szCs w:val="20"/>
                <w:color w:val="auto"/>
              </w:rPr>
            </w:pPr>
            <w:r>
              <w:rPr>
                <w:rFonts w:ascii="Arial" w:cs="Arial" w:eastAsia="Arial" w:hAnsi="Arial"/>
                <w:sz w:val="18"/>
                <w:szCs w:val="18"/>
                <w:color w:val="auto"/>
              </w:rPr>
              <w:t>Basic earnings per share:</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shd w:val="clear" w:color="auto" w:fill="C0C0C0"/>
          </w:tcPr>
          <w:p>
            <w:pPr>
              <w:jc w:val="right"/>
              <w:ind w:right="2911"/>
              <w:spacing w:after="0" w:line="202" w:lineRule="exact"/>
              <w:rPr>
                <w:sz w:val="20"/>
                <w:szCs w:val="20"/>
                <w:color w:val="auto"/>
              </w:rPr>
            </w:pPr>
            <w:r>
              <w:rPr>
                <w:rFonts w:ascii="Arial" w:cs="Arial" w:eastAsia="Arial" w:hAnsi="Arial"/>
                <w:sz w:val="18"/>
                <w:szCs w:val="18"/>
                <w:b w:val="1"/>
                <w:bCs w:val="1"/>
                <w:color w:val="auto"/>
              </w:rPr>
              <w:t>2013</w:t>
            </w:r>
          </w:p>
        </w:tc>
        <w:tc>
          <w:tcPr>
            <w:tcW w:w="880" w:type="dxa"/>
            <w:vAlign w:val="bottom"/>
            <w:shd w:val="clear" w:color="auto" w:fill="C0C0C0"/>
          </w:tcPr>
          <w:p>
            <w:pPr>
              <w:jc w:val="right"/>
              <w:ind w:right="11"/>
              <w:spacing w:after="0" w:line="202" w:lineRule="exact"/>
              <w:rPr>
                <w:sz w:val="20"/>
                <w:szCs w:val="20"/>
                <w:color w:val="auto"/>
              </w:rPr>
            </w:pPr>
            <w:r>
              <w:rPr>
                <w:rFonts w:ascii="Arial" w:cs="Arial" w:eastAsia="Arial" w:hAnsi="Arial"/>
                <w:sz w:val="18"/>
                <w:szCs w:val="18"/>
                <w:b w:val="1"/>
                <w:bCs w:val="1"/>
                <w:color w:val="auto"/>
              </w:rPr>
              <w:t>0.92</w:t>
            </w:r>
          </w:p>
        </w:tc>
        <w:tc>
          <w:tcPr>
            <w:tcW w:w="1060" w:type="dxa"/>
            <w:vAlign w:val="bottom"/>
            <w:gridSpan w:val="2"/>
            <w:shd w:val="clear" w:color="auto" w:fill="C0C0C0"/>
          </w:tcPr>
          <w:p>
            <w:pPr>
              <w:jc w:val="right"/>
              <w:ind w:right="28"/>
              <w:spacing w:after="0" w:line="202" w:lineRule="exact"/>
              <w:rPr>
                <w:sz w:val="20"/>
                <w:szCs w:val="20"/>
                <w:color w:val="auto"/>
              </w:rPr>
            </w:pPr>
            <w:r>
              <w:rPr>
                <w:rFonts w:ascii="Arial" w:cs="Arial" w:eastAsia="Arial" w:hAnsi="Arial"/>
                <w:sz w:val="18"/>
                <w:szCs w:val="18"/>
                <w:b w:val="1"/>
                <w:bCs w:val="1"/>
                <w:color w:val="auto"/>
              </w:rPr>
              <w:t>0.44</w:t>
            </w:r>
          </w:p>
        </w:tc>
        <w:tc>
          <w:tcPr>
            <w:tcW w:w="1040" w:type="dxa"/>
            <w:vAlign w:val="bottom"/>
            <w:gridSpan w:val="2"/>
            <w:shd w:val="clear" w:color="auto" w:fill="C0C0C0"/>
          </w:tcPr>
          <w:p>
            <w:pPr>
              <w:jc w:val="right"/>
              <w:ind w:right="28"/>
              <w:spacing w:after="0" w:line="202" w:lineRule="exact"/>
              <w:rPr>
                <w:sz w:val="20"/>
                <w:szCs w:val="20"/>
                <w:color w:val="auto"/>
              </w:rPr>
            </w:pPr>
            <w:r>
              <w:rPr>
                <w:rFonts w:ascii="Arial" w:cs="Arial" w:eastAsia="Arial" w:hAnsi="Arial"/>
                <w:sz w:val="18"/>
                <w:szCs w:val="18"/>
                <w:b w:val="1"/>
                <w:bCs w:val="1"/>
                <w:color w:val="auto"/>
              </w:rPr>
              <w:t>0.70</w:t>
            </w:r>
          </w:p>
        </w:tc>
        <w:tc>
          <w:tcPr>
            <w:tcW w:w="1040" w:type="dxa"/>
            <w:vAlign w:val="bottom"/>
            <w:gridSpan w:val="2"/>
            <w:shd w:val="clear" w:color="auto" w:fill="C0C0C0"/>
          </w:tcPr>
          <w:p>
            <w:pPr>
              <w:jc w:val="right"/>
              <w:ind w:right="5"/>
              <w:spacing w:after="0" w:line="202" w:lineRule="exact"/>
              <w:rPr>
                <w:sz w:val="20"/>
                <w:szCs w:val="20"/>
                <w:color w:val="auto"/>
              </w:rPr>
            </w:pPr>
            <w:r>
              <w:rPr>
                <w:rFonts w:ascii="Arial" w:cs="Arial" w:eastAsia="Arial" w:hAnsi="Arial"/>
                <w:sz w:val="18"/>
                <w:szCs w:val="18"/>
                <w:b w:val="1"/>
                <w:bCs w:val="1"/>
                <w:color w:val="auto"/>
              </w:rPr>
              <w:t>0.83</w:t>
            </w:r>
          </w:p>
        </w:tc>
        <w:tc>
          <w:tcPr>
            <w:tcW w:w="40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0C0C0"/>
          </w:tcPr>
          <w:p>
            <w:pPr>
              <w:jc w:val="right"/>
              <w:ind w:right="11"/>
              <w:spacing w:after="0" w:line="202" w:lineRule="exact"/>
              <w:rPr>
                <w:sz w:val="20"/>
                <w:szCs w:val="20"/>
                <w:color w:val="auto"/>
              </w:rPr>
            </w:pPr>
            <w:r>
              <w:rPr>
                <w:rFonts w:ascii="Arial" w:cs="Arial" w:eastAsia="Arial" w:hAnsi="Arial"/>
                <w:sz w:val="18"/>
                <w:szCs w:val="18"/>
                <w:b w:val="1"/>
                <w:bCs w:val="1"/>
                <w:color w:val="auto"/>
              </w:rPr>
              <w:t>2.89</w:t>
            </w:r>
          </w:p>
        </w:tc>
        <w:tc>
          <w:tcPr>
            <w:tcW w:w="0" w:type="dxa"/>
            <w:vAlign w:val="bottom"/>
          </w:tcPr>
          <w:p>
            <w:pPr>
              <w:spacing w:after="0"/>
              <w:rPr>
                <w:sz w:val="1"/>
                <w:szCs w:val="1"/>
                <w:color w:val="auto"/>
              </w:rPr>
            </w:pPr>
          </w:p>
        </w:tc>
      </w:tr>
      <w:tr>
        <w:trPr>
          <w:trHeight w:val="203"/>
        </w:trPr>
        <w:tc>
          <w:tcPr>
            <w:tcW w:w="3600" w:type="dxa"/>
            <w:vAlign w:val="bottom"/>
          </w:tcPr>
          <w:p>
            <w:pPr>
              <w:jc w:val="right"/>
              <w:ind w:right="2911"/>
              <w:spacing w:after="0" w:line="202" w:lineRule="exact"/>
              <w:rPr>
                <w:sz w:val="20"/>
                <w:szCs w:val="20"/>
                <w:color w:val="auto"/>
              </w:rPr>
            </w:pPr>
            <w:r>
              <w:rPr>
                <w:rFonts w:ascii="Arial" w:cs="Arial" w:eastAsia="Arial" w:hAnsi="Arial"/>
                <w:sz w:val="18"/>
                <w:szCs w:val="18"/>
                <w:color w:val="auto"/>
              </w:rPr>
              <w:t>2012</w:t>
            </w:r>
          </w:p>
        </w:tc>
        <w:tc>
          <w:tcPr>
            <w:tcW w:w="8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0.84</w:t>
            </w:r>
          </w:p>
        </w:tc>
        <w:tc>
          <w:tcPr>
            <w:tcW w:w="106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0.39</w:t>
            </w:r>
          </w:p>
        </w:tc>
        <w:tc>
          <w:tcPr>
            <w:tcW w:w="104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0.70</w:t>
            </w:r>
          </w:p>
        </w:tc>
        <w:tc>
          <w:tcPr>
            <w:tcW w:w="1040" w:type="dxa"/>
            <w:vAlign w:val="bottom"/>
            <w:gridSpan w:val="2"/>
          </w:tcPr>
          <w:p>
            <w:pPr>
              <w:jc w:val="right"/>
              <w:ind w:right="5"/>
              <w:spacing w:after="0" w:line="202" w:lineRule="exact"/>
              <w:rPr>
                <w:sz w:val="20"/>
                <w:szCs w:val="20"/>
                <w:color w:val="auto"/>
              </w:rPr>
            </w:pPr>
            <w:r>
              <w:rPr>
                <w:rFonts w:ascii="Arial" w:cs="Arial" w:eastAsia="Arial" w:hAnsi="Arial"/>
                <w:sz w:val="18"/>
                <w:szCs w:val="18"/>
                <w:color w:val="auto"/>
              </w:rPr>
              <w:t>0.69</w:t>
            </w:r>
          </w:p>
        </w:tc>
        <w:tc>
          <w:tcPr>
            <w:tcW w:w="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3"/>
        </w:trPr>
        <w:tc>
          <w:tcPr>
            <w:tcW w:w="360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color w:val="auto"/>
              </w:rPr>
              <w:t>Diluted earnings per share:</w:t>
            </w:r>
          </w:p>
        </w:tc>
        <w:tc>
          <w:tcPr>
            <w:tcW w:w="88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9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88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88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76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jc w:val="right"/>
              <w:ind w:right="2911"/>
              <w:spacing w:after="0" w:line="202" w:lineRule="exact"/>
              <w:rPr>
                <w:sz w:val="20"/>
                <w:szCs w:val="20"/>
                <w:color w:val="auto"/>
              </w:rPr>
            </w:pPr>
            <w:r>
              <w:rPr>
                <w:rFonts w:ascii="Arial" w:cs="Arial" w:eastAsia="Arial" w:hAnsi="Arial"/>
                <w:sz w:val="18"/>
                <w:szCs w:val="18"/>
                <w:b w:val="1"/>
                <w:bCs w:val="1"/>
                <w:color w:val="auto"/>
              </w:rPr>
              <w:t>2013</w:t>
            </w:r>
          </w:p>
        </w:tc>
        <w:tc>
          <w:tcPr>
            <w:tcW w:w="88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0.90</w:t>
            </w:r>
          </w:p>
        </w:tc>
        <w:tc>
          <w:tcPr>
            <w:tcW w:w="1060" w:type="dxa"/>
            <w:vAlign w:val="bottom"/>
            <w:gridSpan w:val="2"/>
          </w:tcPr>
          <w:p>
            <w:pPr>
              <w:jc w:val="right"/>
              <w:ind w:right="28"/>
              <w:spacing w:after="0" w:line="202" w:lineRule="exact"/>
              <w:rPr>
                <w:sz w:val="20"/>
                <w:szCs w:val="20"/>
                <w:color w:val="auto"/>
              </w:rPr>
            </w:pPr>
            <w:r>
              <w:rPr>
                <w:rFonts w:ascii="Arial" w:cs="Arial" w:eastAsia="Arial" w:hAnsi="Arial"/>
                <w:sz w:val="18"/>
                <w:szCs w:val="18"/>
                <w:b w:val="1"/>
                <w:bCs w:val="1"/>
                <w:color w:val="auto"/>
              </w:rPr>
              <w:t>0.44</w:t>
            </w:r>
          </w:p>
        </w:tc>
        <w:tc>
          <w:tcPr>
            <w:tcW w:w="1040" w:type="dxa"/>
            <w:vAlign w:val="bottom"/>
            <w:gridSpan w:val="2"/>
          </w:tcPr>
          <w:p>
            <w:pPr>
              <w:jc w:val="right"/>
              <w:ind w:right="28"/>
              <w:spacing w:after="0" w:line="202" w:lineRule="exact"/>
              <w:rPr>
                <w:sz w:val="20"/>
                <w:szCs w:val="20"/>
                <w:color w:val="auto"/>
              </w:rPr>
            </w:pPr>
            <w:r>
              <w:rPr>
                <w:rFonts w:ascii="Arial" w:cs="Arial" w:eastAsia="Arial" w:hAnsi="Arial"/>
                <w:sz w:val="18"/>
                <w:szCs w:val="18"/>
                <w:b w:val="1"/>
                <w:bCs w:val="1"/>
                <w:color w:val="auto"/>
              </w:rPr>
              <w:t>0.70</w:t>
            </w:r>
          </w:p>
        </w:tc>
        <w:tc>
          <w:tcPr>
            <w:tcW w:w="1040" w:type="dxa"/>
            <w:vAlign w:val="bottom"/>
            <w:gridSpan w:val="2"/>
          </w:tcPr>
          <w:p>
            <w:pPr>
              <w:jc w:val="right"/>
              <w:ind w:right="5"/>
              <w:spacing w:after="0" w:line="202" w:lineRule="exact"/>
              <w:rPr>
                <w:sz w:val="20"/>
                <w:szCs w:val="20"/>
                <w:color w:val="auto"/>
              </w:rPr>
            </w:pPr>
            <w:r>
              <w:rPr>
                <w:rFonts w:ascii="Arial" w:cs="Arial" w:eastAsia="Arial" w:hAnsi="Arial"/>
                <w:sz w:val="18"/>
                <w:szCs w:val="18"/>
                <w:b w:val="1"/>
                <w:bCs w:val="1"/>
                <w:color w:val="auto"/>
              </w:rPr>
              <w:t>0.81</w:t>
            </w:r>
          </w:p>
        </w:tc>
        <w:tc>
          <w:tcPr>
            <w:tcW w:w="40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2.85</w:t>
            </w:r>
          </w:p>
        </w:tc>
        <w:tc>
          <w:tcPr>
            <w:tcW w:w="0" w:type="dxa"/>
            <w:vAlign w:val="bottom"/>
          </w:tcPr>
          <w:p>
            <w:pPr>
              <w:spacing w:after="0"/>
              <w:rPr>
                <w:sz w:val="1"/>
                <w:szCs w:val="1"/>
                <w:color w:val="auto"/>
              </w:rPr>
            </w:pPr>
          </w:p>
        </w:tc>
      </w:tr>
      <w:tr>
        <w:trPr>
          <w:trHeight w:val="203"/>
        </w:trPr>
        <w:tc>
          <w:tcPr>
            <w:tcW w:w="3600" w:type="dxa"/>
            <w:vAlign w:val="bottom"/>
            <w:shd w:val="clear" w:color="auto" w:fill="C0C0C0"/>
          </w:tcPr>
          <w:p>
            <w:pPr>
              <w:jc w:val="right"/>
              <w:ind w:right="2911"/>
              <w:spacing w:after="0" w:line="202" w:lineRule="exact"/>
              <w:rPr>
                <w:sz w:val="20"/>
                <w:szCs w:val="20"/>
                <w:color w:val="auto"/>
              </w:rPr>
            </w:pPr>
            <w:r>
              <w:rPr>
                <w:rFonts w:ascii="Arial" w:cs="Arial" w:eastAsia="Arial" w:hAnsi="Arial"/>
                <w:sz w:val="18"/>
                <w:szCs w:val="18"/>
                <w:color w:val="auto"/>
              </w:rPr>
              <w:t>2012</w:t>
            </w:r>
          </w:p>
        </w:tc>
        <w:tc>
          <w:tcPr>
            <w:tcW w:w="880" w:type="dxa"/>
            <w:vAlign w:val="bottom"/>
            <w:shd w:val="clear" w:color="auto" w:fill="C0C0C0"/>
          </w:tcPr>
          <w:p>
            <w:pPr>
              <w:jc w:val="right"/>
              <w:ind w:right="11"/>
              <w:spacing w:after="0" w:line="202" w:lineRule="exact"/>
              <w:rPr>
                <w:sz w:val="20"/>
                <w:szCs w:val="20"/>
                <w:color w:val="auto"/>
              </w:rPr>
            </w:pPr>
            <w:r>
              <w:rPr>
                <w:rFonts w:ascii="Arial" w:cs="Arial" w:eastAsia="Arial" w:hAnsi="Arial"/>
                <w:sz w:val="18"/>
                <w:szCs w:val="18"/>
                <w:color w:val="auto"/>
              </w:rPr>
              <w:t>0.83</w:t>
            </w:r>
          </w:p>
        </w:tc>
        <w:tc>
          <w:tcPr>
            <w:tcW w:w="1060" w:type="dxa"/>
            <w:vAlign w:val="bottom"/>
            <w:gridSpan w:val="2"/>
            <w:shd w:val="clear" w:color="auto" w:fill="C0C0C0"/>
          </w:tcPr>
          <w:p>
            <w:pPr>
              <w:jc w:val="right"/>
              <w:ind w:right="28"/>
              <w:spacing w:after="0" w:line="202" w:lineRule="exact"/>
              <w:rPr>
                <w:sz w:val="20"/>
                <w:szCs w:val="20"/>
                <w:color w:val="auto"/>
              </w:rPr>
            </w:pPr>
            <w:r>
              <w:rPr>
                <w:rFonts w:ascii="Arial" w:cs="Arial" w:eastAsia="Arial" w:hAnsi="Arial"/>
                <w:sz w:val="18"/>
                <w:szCs w:val="18"/>
                <w:color w:val="auto"/>
              </w:rPr>
              <w:t>0.39</w:t>
            </w:r>
          </w:p>
        </w:tc>
        <w:tc>
          <w:tcPr>
            <w:tcW w:w="1040" w:type="dxa"/>
            <w:vAlign w:val="bottom"/>
            <w:gridSpan w:val="2"/>
            <w:shd w:val="clear" w:color="auto" w:fill="C0C0C0"/>
          </w:tcPr>
          <w:p>
            <w:pPr>
              <w:jc w:val="right"/>
              <w:ind w:right="28"/>
              <w:spacing w:after="0" w:line="202" w:lineRule="exact"/>
              <w:rPr>
                <w:sz w:val="20"/>
                <w:szCs w:val="20"/>
                <w:color w:val="auto"/>
              </w:rPr>
            </w:pPr>
            <w:r>
              <w:rPr>
                <w:rFonts w:ascii="Arial" w:cs="Arial" w:eastAsia="Arial" w:hAnsi="Arial"/>
                <w:sz w:val="18"/>
                <w:szCs w:val="18"/>
                <w:color w:val="auto"/>
              </w:rPr>
              <w:t>0.69</w:t>
            </w:r>
          </w:p>
        </w:tc>
        <w:tc>
          <w:tcPr>
            <w:tcW w:w="1040" w:type="dxa"/>
            <w:vAlign w:val="bottom"/>
            <w:gridSpan w:val="2"/>
            <w:shd w:val="clear" w:color="auto" w:fill="C0C0C0"/>
          </w:tcPr>
          <w:p>
            <w:pPr>
              <w:jc w:val="right"/>
              <w:ind w:right="5"/>
              <w:spacing w:after="0" w:line="202" w:lineRule="exact"/>
              <w:rPr>
                <w:sz w:val="20"/>
                <w:szCs w:val="20"/>
                <w:color w:val="auto"/>
              </w:rPr>
            </w:pPr>
            <w:r>
              <w:rPr>
                <w:rFonts w:ascii="Arial" w:cs="Arial" w:eastAsia="Arial" w:hAnsi="Arial"/>
                <w:sz w:val="18"/>
                <w:szCs w:val="18"/>
                <w:color w:val="auto"/>
              </w:rPr>
              <w:t>0.68</w:t>
            </w:r>
          </w:p>
        </w:tc>
        <w:tc>
          <w:tcPr>
            <w:tcW w:w="40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ind w:right="11"/>
              <w:spacing w:after="0" w:line="202" w:lineRule="exact"/>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300" w:hanging="272"/>
        <w:spacing w:after="0"/>
        <w:tabs>
          <w:tab w:leader="none" w:pos="3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fourth quarter of 2012 represents the 14 weeks ended February 2, 2013.</w:t>
      </w:r>
    </w:p>
    <w:p>
      <w:pPr>
        <w:spacing w:after="0" w:line="122" w:lineRule="exact"/>
        <w:rPr>
          <w:rFonts w:ascii="Arial" w:cs="Arial" w:eastAsia="Arial" w:hAnsi="Arial"/>
          <w:sz w:val="14"/>
          <w:szCs w:val="14"/>
          <w:color w:val="auto"/>
        </w:rPr>
      </w:pPr>
    </w:p>
    <w:p>
      <w:pPr>
        <w:ind w:left="300" w:hanging="272"/>
        <w:spacing w:after="0"/>
        <w:tabs>
          <w:tab w:leader="none" w:pos="3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Gross margin represents sales less cost of sales.</w:t>
      </w:r>
    </w:p>
    <w:p>
      <w:pPr>
        <w:spacing w:after="0" w:line="122" w:lineRule="exact"/>
        <w:rPr>
          <w:rFonts w:ascii="Arial" w:cs="Arial" w:eastAsia="Arial" w:hAnsi="Arial"/>
          <w:sz w:val="14"/>
          <w:szCs w:val="14"/>
          <w:color w:val="auto"/>
        </w:rPr>
      </w:pPr>
    </w:p>
    <w:p>
      <w:pPr>
        <w:ind w:left="300" w:hanging="272"/>
        <w:spacing w:after="0"/>
        <w:tabs>
          <w:tab w:leader="none" w:pos="3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Operating profit represents income before income taxes, interest expense, net, and non-operating income.</w:t>
      </w:r>
    </w:p>
    <w:p>
      <w:pPr>
        <w:spacing w:after="0" w:line="122" w:lineRule="exact"/>
        <w:rPr>
          <w:rFonts w:ascii="Arial" w:cs="Arial" w:eastAsia="Arial" w:hAnsi="Arial"/>
          <w:sz w:val="14"/>
          <w:szCs w:val="14"/>
          <w:color w:val="auto"/>
        </w:rPr>
      </w:pPr>
    </w:p>
    <w:p>
      <w:pPr>
        <w:ind w:left="300" w:right="519" w:hanging="272"/>
        <w:spacing w:after="0" w:line="278" w:lineRule="auto"/>
        <w:tabs>
          <w:tab w:leader="none" w:pos="3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During the fourth quarter of 2012, the Company recorded impairment and other charges totaling $12 million related to its CCS tradename and impairment of CCS long-lived assets.</w:t>
      </w:r>
    </w:p>
    <w:p>
      <w:pPr>
        <w:spacing w:after="0" w:line="200" w:lineRule="exact"/>
        <w:rPr>
          <w:sz w:val="20"/>
          <w:szCs w:val="20"/>
          <w:color w:val="auto"/>
        </w:rPr>
      </w:pPr>
    </w:p>
    <w:p>
      <w:pPr>
        <w:spacing w:after="0" w:line="34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96520</wp:posOffset>
            </wp:positionV>
            <wp:extent cx="6114415" cy="596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Item 9. Changes in and Disagreements with Accountants on Accounting and Financial Disclosure</w:t>
      </w:r>
    </w:p>
    <w:p>
      <w:pPr>
        <w:spacing w:after="0" w:line="139" w:lineRule="exact"/>
        <w:rPr>
          <w:sz w:val="20"/>
          <w:szCs w:val="20"/>
          <w:color w:val="auto"/>
        </w:rPr>
      </w:pPr>
    </w:p>
    <w:p>
      <w:pPr>
        <w:ind w:left="40" w:right="539"/>
        <w:spacing w:after="0" w:line="262" w:lineRule="auto"/>
        <w:rPr>
          <w:sz w:val="20"/>
          <w:szCs w:val="20"/>
          <w:color w:val="auto"/>
        </w:rPr>
      </w:pPr>
      <w:r>
        <w:rPr>
          <w:rFonts w:ascii="Arial" w:cs="Arial" w:eastAsia="Arial" w:hAnsi="Arial"/>
          <w:sz w:val="18"/>
          <w:szCs w:val="18"/>
          <w:color w:val="auto"/>
        </w:rPr>
        <w:t>There were no disagreements between the Company and its independent registered public accounting firm on matters of accounting principles or practices.</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Item 9A. Controls and Procedures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 Evaluation of Disclosure Controls and Procedures.</w:t>
      </w:r>
    </w:p>
    <w:p>
      <w:pPr>
        <w:spacing w:after="0" w:line="117" w:lineRule="exact"/>
        <w:rPr>
          <w:sz w:val="20"/>
          <w:szCs w:val="20"/>
          <w:color w:val="auto"/>
        </w:rPr>
      </w:pPr>
    </w:p>
    <w:p>
      <w:pPr>
        <w:jc w:val="both"/>
        <w:ind w:left="320" w:right="519"/>
        <w:spacing w:after="0" w:line="251" w:lineRule="auto"/>
        <w:rPr>
          <w:sz w:val="20"/>
          <w:szCs w:val="20"/>
          <w:color w:val="auto"/>
        </w:rPr>
      </w:pPr>
      <w:r>
        <w:rPr>
          <w:rFonts w:ascii="Arial" w:cs="Arial" w:eastAsia="Arial" w:hAnsi="Arial"/>
          <w:sz w:val="18"/>
          <w:szCs w:val="18"/>
          <w:color w:val="auto"/>
        </w:rPr>
        <w:t>The Company’s management performed an evaluation under the supervision and with the participation of the Company’s Chief Executive Officer (“CEO”) and Chief Financial Officer (“CFO”), and completed an evaluation of the effectiveness of the design and operation of the Company’s disclosure controls and procedures (as that term is defined in Rules 13a-15(e) and 15d-15(e) under the Securities Exchange Act of 1934, as amended (the “Exchange Act”)) as of February 1, 2014. Based on that evaluation, the Company’s CEO and CFO concluded that the Company’s disclosure controls and procedures were effective to ensure that information relating to the Company that is required to be disclosed in the reports that we file or submit under the Exchange Act is recorded, processed, summarized and reported, within the time periods specified in the SEC rules and forms, and is accumulated and communicated to management, including the CEO and CFO, as appropriate to allow timely decisions regarding required disclosure.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(b) Management’s Annual Report on Internal Control over Financial Reporting.</w:t>
      </w:r>
    </w:p>
    <w:p>
      <w:pPr>
        <w:spacing w:after="0" w:line="117" w:lineRule="exact"/>
        <w:rPr>
          <w:sz w:val="20"/>
          <w:szCs w:val="20"/>
          <w:color w:val="auto"/>
        </w:rPr>
      </w:pPr>
    </w:p>
    <w:p>
      <w:pPr>
        <w:jc w:val="both"/>
        <w:ind w:left="320" w:right="519"/>
        <w:spacing w:after="0" w:line="251"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(as that term is defined in Exchange Act Rules 13a-15(f) and 15d-15(f)). To evaluate the effectiveness of the Company’s internal control over financial reporting, the Company uses the framework in Internal Control-Integrated Framework (1992) issued by the Committee of Sponsoring Organizations of the Treadway Commission (the “1992 COSO Framework”). Using the 1992 COSO Framework, the Company’s management, including the CEO and CFO, evaluated the Company’s internal control over financial reporting and concluded that the Company’s internal control over financial reporting was effective as of February 1, 2014. KPMG LLP, the independent registered public accounting firm that audits the Company’s consolidated financial statements included in this annual report, has issued an attestation report on the Company’s effectiveness of internal control over financial reporting, which is included in Item 9A(d).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 Changes in Internal Control over Financial Reporting.</w:t>
      </w:r>
    </w:p>
    <w:p>
      <w:pPr>
        <w:spacing w:after="0" w:line="117" w:lineRule="exact"/>
        <w:rPr>
          <w:sz w:val="20"/>
          <w:szCs w:val="20"/>
          <w:color w:val="auto"/>
        </w:rPr>
      </w:pPr>
    </w:p>
    <w:p>
      <w:pPr>
        <w:jc w:val="both"/>
        <w:ind w:left="320" w:right="539"/>
        <w:spacing w:after="0" w:line="256" w:lineRule="auto"/>
        <w:rPr>
          <w:sz w:val="20"/>
          <w:szCs w:val="20"/>
          <w:color w:val="auto"/>
        </w:rPr>
      </w:pPr>
      <w:r>
        <w:rPr>
          <w:rFonts w:ascii="Arial" w:cs="Arial" w:eastAsia="Arial" w:hAnsi="Arial"/>
          <w:sz w:val="18"/>
          <w:szCs w:val="18"/>
          <w:color w:val="auto"/>
        </w:rPr>
        <w:t>During the Company’s last fiscal quarter there were no changes in internal control over financial reporting that materially affected, or are reasonably likely to materially affect, the Company’s internal control over financial reporting.</w:t>
      </w:r>
    </w:p>
    <w:p>
      <w:pPr>
        <w:spacing w:after="0" w:line="94" w:lineRule="exact"/>
        <w:rPr>
          <w:sz w:val="20"/>
          <w:szCs w:val="20"/>
          <w:color w:val="auto"/>
        </w:rPr>
      </w:pPr>
    </w:p>
    <w:p>
      <w:pPr>
        <w:ind w:left="280" w:right="519" w:hanging="272"/>
        <w:spacing w:after="0" w:line="262" w:lineRule="auto"/>
        <w:tabs>
          <w:tab w:leader="none" w:pos="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 on Internal Control Over Financial Reporting-the report appears on the following page.</w:t>
      </w:r>
    </w:p>
    <w:p>
      <w:pPr>
        <w:spacing w:after="0" w:line="200" w:lineRule="exact"/>
        <w:rPr>
          <w:sz w:val="20"/>
          <w:szCs w:val="20"/>
          <w:color w:val="auto"/>
        </w:rPr>
      </w:pPr>
    </w:p>
    <w:p>
      <w:pPr>
        <w:spacing w:after="0" w:line="33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96520</wp:posOffset>
            </wp:positionV>
            <wp:extent cx="6114415" cy="596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Board of Directors and Stockholders of</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Foot Locker, Inc.:</w:t>
      </w:r>
    </w:p>
    <w:p>
      <w:pPr>
        <w:spacing w:after="0" w:line="117"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 xml:space="preserve">We have audited Foot Locker, Inc.’s internal control over financial reporting as of February 1, 2014,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(1992) issued by the Committee of Sponsoring Organizations of the Treadway Commission. Foot Locker,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(Item 9A(b)). Our responsibility is to express an opinion on the Company’s internal control over financial reporting based on our audit.</w:t>
      </w:r>
    </w:p>
    <w:p>
      <w:pPr>
        <w:spacing w:after="0" w:line="101"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99" w:lineRule="exact"/>
        <w:rPr>
          <w:sz w:val="20"/>
          <w:szCs w:val="20"/>
          <w:color w:val="auto"/>
        </w:rPr>
      </w:pPr>
    </w:p>
    <w:p>
      <w:pPr>
        <w:jc w:val="both"/>
        <w:ind w:left="40" w:right="519"/>
        <w:spacing w:after="0" w:line="251"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4"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6" w:lineRule="exact"/>
        <w:rPr>
          <w:sz w:val="20"/>
          <w:szCs w:val="20"/>
          <w:color w:val="auto"/>
        </w:rPr>
      </w:pPr>
    </w:p>
    <w:p>
      <w:pPr>
        <w:jc w:val="both"/>
        <w:ind w:left="40" w:right="519"/>
        <w:spacing w:after="0" w:line="256" w:lineRule="auto"/>
        <w:rPr>
          <w:sz w:val="20"/>
          <w:szCs w:val="20"/>
          <w:color w:val="auto"/>
        </w:rPr>
      </w:pPr>
      <w:r>
        <w:rPr>
          <w:rFonts w:ascii="Arial" w:cs="Arial" w:eastAsia="Arial" w:hAnsi="Arial"/>
          <w:sz w:val="18"/>
          <w:szCs w:val="18"/>
          <w:color w:val="auto"/>
        </w:rPr>
        <w:t xml:space="preserve">In our opinion, Foot Locker, Inc. maintained, in all material respects, effective internal control over financial reporting as of February 1, 2014,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(1992) issued by the Committee of Sponsoring Organizations of the Treadway Commission.</w:t>
      </w:r>
    </w:p>
    <w:p>
      <w:pPr>
        <w:spacing w:after="0" w:line="94"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Foot Locker, Inc. and subsidiaries as of February 1, 2014, and February 2, 2013, and the related consolidated statements of operations, comprehensive income, shareholders’ equity, and cash flows for each of the years in the three-year period ended February 1, 2014, and our report dated March 31, 2014, expressed an unqualified opinion on these consolidated financial statements.</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31, 2014</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96520</wp:posOffset>
            </wp:positionV>
            <wp:extent cx="6114415" cy="596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Item 9B. Other Information</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None.</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PART III</w:t>
      </w:r>
    </w:p>
    <w:p>
      <w:pPr>
        <w:spacing w:after="0" w:line="148" w:lineRule="exact"/>
        <w:rPr>
          <w:sz w:val="20"/>
          <w:szCs w:val="20"/>
          <w:color w:val="auto"/>
        </w:rPr>
      </w:pPr>
    </w:p>
    <w:p>
      <w:pPr>
        <w:ind w:right="4439" w:firstLine="40"/>
        <w:spacing w:after="0" w:line="388" w:lineRule="auto"/>
        <w:rPr>
          <w:sz w:val="20"/>
          <w:szCs w:val="20"/>
          <w:color w:val="auto"/>
        </w:rPr>
      </w:pPr>
      <w:r>
        <w:rPr>
          <w:rFonts w:ascii="Arial" w:cs="Arial" w:eastAsia="Arial" w:hAnsi="Arial"/>
          <w:sz w:val="18"/>
          <w:szCs w:val="18"/>
          <w:b w:val="1"/>
          <w:bCs w:val="1"/>
          <w:i w:val="1"/>
          <w:iCs w:val="1"/>
          <w:color w:val="auto"/>
        </w:rPr>
        <w:t xml:space="preserve">Item 10. Directors, Executive Officers and Corporate Governance </w:t>
      </w:r>
      <w:r>
        <w:rPr>
          <w:rFonts w:ascii="Arial" w:cs="Arial" w:eastAsia="Arial" w:hAnsi="Arial"/>
          <w:sz w:val="18"/>
          <w:szCs w:val="18"/>
          <w:color w:val="auto"/>
        </w:rPr>
        <w:t>(a) Directors of the Company</w:t>
      </w:r>
    </w:p>
    <w:p>
      <w:pPr>
        <w:spacing w:after="0" w:line="1" w:lineRule="exact"/>
        <w:rPr>
          <w:sz w:val="20"/>
          <w:szCs w:val="20"/>
          <w:color w:val="auto"/>
        </w:rPr>
      </w:pPr>
    </w:p>
    <w:p>
      <w:pPr>
        <w:ind w:left="320" w:right="519"/>
        <w:spacing w:after="0" w:line="262" w:lineRule="auto"/>
        <w:rPr>
          <w:sz w:val="20"/>
          <w:szCs w:val="20"/>
          <w:color w:val="auto"/>
        </w:rPr>
      </w:pPr>
      <w:r>
        <w:rPr>
          <w:rFonts w:ascii="Arial" w:cs="Arial" w:eastAsia="Arial" w:hAnsi="Arial"/>
          <w:sz w:val="18"/>
          <w:szCs w:val="18"/>
          <w:color w:val="auto"/>
        </w:rPr>
        <w:t>Information relative to directors of the Company is set forth under the section captioned “Proposal 1-Election of Directors” in the Proxy Statement and is incorporated herein by reference.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(b) Executive Officers of the Company</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Information with respect to executive officers of the Company is set forth immediately following Item 4 in Part I.</w:t>
      </w:r>
    </w:p>
    <w:p>
      <w:pPr>
        <w:spacing w:after="0" w:line="117" w:lineRule="exact"/>
        <w:rPr>
          <w:sz w:val="20"/>
          <w:szCs w:val="20"/>
          <w:color w:val="auto"/>
        </w:rPr>
      </w:pPr>
    </w:p>
    <w:p>
      <w:pPr>
        <w:jc w:val="both"/>
        <w:ind w:left="280" w:right="539" w:hanging="272"/>
        <w:spacing w:after="0" w:line="256" w:lineRule="auto"/>
        <w:tabs>
          <w:tab w:leader="none" w:pos="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Information with respect to compliance with Section 16(a) of the Securities Exchange Act of 1934 is set forth under the section captioned “Section 16(a) Beneficial Ownership Reporting Compliance” in the Proxy Statement and is incorporated herein by reference.</w:t>
      </w:r>
    </w:p>
    <w:p>
      <w:pPr>
        <w:spacing w:after="0" w:line="93" w:lineRule="exact"/>
        <w:rPr>
          <w:rFonts w:ascii="Arial" w:cs="Arial" w:eastAsia="Arial" w:hAnsi="Arial"/>
          <w:sz w:val="18"/>
          <w:szCs w:val="18"/>
          <w:color w:val="auto"/>
        </w:rPr>
      </w:pPr>
    </w:p>
    <w:p>
      <w:pPr>
        <w:ind w:left="280" w:right="519" w:hanging="272"/>
        <w:spacing w:after="0" w:line="262" w:lineRule="auto"/>
        <w:tabs>
          <w:tab w:leader="none" w:pos="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Information on our audit committee and the audit committee financial expert is contained in the Proxy Statement under the section captioned “Committees of the Board of Directors” and is incorporated herein by reference.</w:t>
      </w:r>
    </w:p>
    <w:p>
      <w:pPr>
        <w:spacing w:after="0" w:line="88" w:lineRule="exact"/>
        <w:rPr>
          <w:rFonts w:ascii="Arial" w:cs="Arial" w:eastAsia="Arial" w:hAnsi="Arial"/>
          <w:sz w:val="18"/>
          <w:szCs w:val="18"/>
          <w:color w:val="auto"/>
        </w:rPr>
      </w:pPr>
    </w:p>
    <w:p>
      <w:pPr>
        <w:jc w:val="both"/>
        <w:ind w:left="280" w:right="519" w:hanging="272"/>
        <w:spacing w:after="0" w:line="254" w:lineRule="auto"/>
        <w:tabs>
          <w:tab w:leader="none" w:pos="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Information about the Code of Business Conduct governing our employees, including our Chief Executive Officer, Chief Financial Officer, Chief Accounting Officer, and the Board of Directors, is set forth under the heading “Code of Business Conduct” under the Corporate Governance Information section of the Proxy Statement and is incorporated herein by reference.</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Item 11. Executive Compensation</w:t>
      </w:r>
    </w:p>
    <w:p>
      <w:pPr>
        <w:spacing w:after="0" w:line="139"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Information set forth in the Proxy Statement beginning with the section captioned “Directors Compensation and Benefits” through and including the section captioned “Pension Benefits” is incorporated herein by reference, and information set forth in the Proxy Statement under the heading “Compensation Committee Interlocks and Insider Participation” is incorporated herein by reference.</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Item 12. Security Ownership of Certain Beneficial Owners and Management and Related Stockholder Matters</w:t>
      </w:r>
    </w:p>
    <w:p>
      <w:pPr>
        <w:spacing w:after="0" w:line="139" w:lineRule="exact"/>
        <w:rPr>
          <w:sz w:val="20"/>
          <w:szCs w:val="20"/>
          <w:color w:val="auto"/>
        </w:rPr>
      </w:pPr>
    </w:p>
    <w:p>
      <w:pPr>
        <w:jc w:val="both"/>
        <w:ind w:left="40" w:right="539"/>
        <w:spacing w:after="0" w:line="262" w:lineRule="auto"/>
        <w:rPr>
          <w:sz w:val="20"/>
          <w:szCs w:val="20"/>
          <w:color w:val="auto"/>
        </w:rPr>
      </w:pPr>
      <w:r>
        <w:rPr>
          <w:rFonts w:ascii="Arial" w:cs="Arial" w:eastAsia="Arial" w:hAnsi="Arial"/>
          <w:sz w:val="18"/>
          <w:szCs w:val="18"/>
          <w:color w:val="auto"/>
        </w:rPr>
        <w:t>Information set forth in the Proxy Statement under the sections captioned “Equity Compensation Plan Information” and “Beneficial Ownership of the Company’s Stock” is incorporated herein by reference.</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Item 13. Certain Relationships and Related Transactions, and Director Independence</w:t>
      </w:r>
    </w:p>
    <w:p>
      <w:pPr>
        <w:spacing w:after="0" w:line="139" w:lineRule="exact"/>
        <w:rPr>
          <w:sz w:val="20"/>
          <w:szCs w:val="20"/>
          <w:color w:val="auto"/>
        </w:rPr>
      </w:pPr>
    </w:p>
    <w:p>
      <w:pPr>
        <w:jc w:val="both"/>
        <w:ind w:left="40" w:right="539"/>
        <w:spacing w:after="0" w:line="262" w:lineRule="auto"/>
        <w:rPr>
          <w:sz w:val="20"/>
          <w:szCs w:val="20"/>
          <w:color w:val="auto"/>
        </w:rPr>
      </w:pPr>
      <w:r>
        <w:rPr>
          <w:rFonts w:ascii="Arial" w:cs="Arial" w:eastAsia="Arial" w:hAnsi="Arial"/>
          <w:sz w:val="18"/>
          <w:szCs w:val="18"/>
          <w:color w:val="auto"/>
        </w:rPr>
        <w:t>Information set forth in the Proxy Statement under the section captioned “Related Person Transactions” and under the section captioned “Directors’ Independence” is incorporated herein by reference.</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Item 14. Principal Accounting Fees and Services</w:t>
      </w:r>
    </w:p>
    <w:p>
      <w:pPr>
        <w:spacing w:after="0" w:line="139"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Information about the principal accounting fees and services is set forth under the section captioned “Audit and Non-Audit Fees” in the Proxy Statement and is incorporated herein by reference. Information about the Audit Committee’s pre-approval policies and procedures is set forth in the section captioned “Audit Committee Pre-Approval Policies and Procedures” in the Proxy Statement and is incorporated herein by reference.</w:t>
      </w:r>
    </w:p>
    <w:p>
      <w:pPr>
        <w:spacing w:after="0" w:line="200" w:lineRule="exact"/>
        <w:rPr>
          <w:sz w:val="20"/>
          <w:szCs w:val="20"/>
          <w:color w:val="auto"/>
        </w:rPr>
      </w:pPr>
    </w:p>
    <w:p>
      <w:pPr>
        <w:spacing w:after="0" w:line="35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96520</wp:posOffset>
            </wp:positionV>
            <wp:extent cx="6114415" cy="596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PART IV</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Item 15. Exhibits and Financial Statement Schedules</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(a)(1) and (2) Financial Statements</w:t>
      </w:r>
    </w:p>
    <w:p>
      <w:pPr>
        <w:spacing w:after="0" w:line="117" w:lineRule="exact"/>
        <w:rPr>
          <w:sz w:val="20"/>
          <w:szCs w:val="20"/>
          <w:color w:val="auto"/>
        </w:rPr>
      </w:pPr>
    </w:p>
    <w:p>
      <w:pPr>
        <w:jc w:val="both"/>
        <w:ind w:left="320" w:right="519"/>
        <w:spacing w:after="0" w:line="254" w:lineRule="auto"/>
        <w:rPr>
          <w:sz w:val="20"/>
          <w:szCs w:val="20"/>
          <w:color w:val="auto"/>
        </w:rPr>
      </w:pPr>
      <w:r>
        <w:rPr>
          <w:rFonts w:ascii="Arial" w:cs="Arial" w:eastAsia="Arial" w:hAnsi="Arial"/>
          <w:sz w:val="18"/>
          <w:szCs w:val="18"/>
          <w:color w:val="auto"/>
        </w:rPr>
        <w:t>The list of financial statements required by this item is set forth in Item 8. “Consolidated Financial Statements and Supplementary Data.” All other schedules specified under Regulation S-X have been omitted because they are not applicable, because they are not required or because the information required is included in the financial statements or notes thereto.</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color w:val="auto"/>
        </w:rPr>
        <w:t>(a)(3) and (c) Exhibits</w:t>
      </w:r>
    </w:p>
    <w:p>
      <w:pPr>
        <w:spacing w:after="0" w:line="117" w:lineRule="exact"/>
        <w:rPr>
          <w:sz w:val="20"/>
          <w:szCs w:val="20"/>
          <w:color w:val="auto"/>
        </w:rPr>
      </w:pPr>
    </w:p>
    <w:p>
      <w:pPr>
        <w:jc w:val="both"/>
        <w:ind w:left="320" w:right="539"/>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An index of the exhibits which are required by this item and which are included or incorporated herein by reference in this report appears on pages </w:t>
      </w:r>
      <w:hyperlink w:anchor="page79">
        <w:r>
          <w:rPr>
            <w:rFonts w:ascii="Arial" w:cs="Arial" w:eastAsia="Arial" w:hAnsi="Arial"/>
            <w:sz w:val="18"/>
            <w:szCs w:val="18"/>
            <w:u w:val="single" w:color="auto"/>
            <w:color w:val="0000EE"/>
          </w:rPr>
          <w:t>77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through </w:t>
      </w:r>
      <w:hyperlink w:anchor="page81">
        <w:r>
          <w:rPr>
            <w:rFonts w:ascii="Arial" w:cs="Arial" w:eastAsia="Arial" w:hAnsi="Arial"/>
            <w:sz w:val="18"/>
            <w:szCs w:val="18"/>
            <w:u w:val="single" w:color="auto"/>
            <w:color w:val="0000EE"/>
          </w:rPr>
          <w:t>79</w:t>
        </w:r>
      </w:hyperlink>
      <w:r>
        <w:rPr>
          <w:rFonts w:ascii="Arial" w:cs="Arial" w:eastAsia="Arial" w:hAnsi="Arial"/>
          <w:sz w:val="18"/>
          <w:szCs w:val="18"/>
          <w:color w:val="auto"/>
        </w:rPr>
        <w:t>.</w:t>
      </w:r>
    </w:p>
    <w:p>
      <w:pPr>
        <w:spacing w:after="0" w:line="200" w:lineRule="exact"/>
        <w:rPr>
          <w:sz w:val="20"/>
          <w:szCs w:val="20"/>
          <w:color w:val="auto"/>
        </w:rPr>
      </w:pPr>
    </w:p>
    <w:p>
      <w:pPr>
        <w:spacing w:after="0" w:line="33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96520</wp:posOffset>
            </wp:positionV>
            <wp:extent cx="6114415" cy="596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1" w:right="1440"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139" w:lineRule="exact"/>
        <w:rPr>
          <w:sz w:val="20"/>
          <w:szCs w:val="20"/>
          <w:color w:val="auto"/>
        </w:rPr>
      </w:pPr>
    </w:p>
    <w:p>
      <w:pPr>
        <w:ind w:left="40" w:right="539"/>
        <w:spacing w:after="0" w:line="242"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-66675</wp:posOffset>
            </wp:positionV>
            <wp:extent cx="556577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ind w:left="3920"/>
        <w:spacing w:after="0" w:line="236" w:lineRule="auto"/>
        <w:rPr>
          <w:sz w:val="20"/>
          <w:szCs w:val="20"/>
          <w:color w:val="auto"/>
        </w:rPr>
      </w:pPr>
      <w:r>
        <w:rPr>
          <w:rFonts w:ascii="Arial" w:cs="Arial" w:eastAsia="Arial" w:hAnsi="Arial"/>
          <w:sz w:val="18"/>
          <w:szCs w:val="18"/>
          <w:color w:val="auto"/>
        </w:rPr>
        <w:t>FOOT LOCKER, INC.</w:t>
      </w:r>
    </w:p>
    <w:p>
      <w:pPr>
        <w:ind w:left="3920"/>
        <w:spacing w:after="0"/>
        <w:rPr>
          <w:sz w:val="20"/>
          <w:szCs w:val="20"/>
          <w:color w:val="auto"/>
        </w:rPr>
      </w:pPr>
      <w:r>
        <w:rPr>
          <w:rFonts w:ascii="Arial" w:cs="Arial" w:eastAsia="Arial" w:hAnsi="Arial"/>
          <w:sz w:val="18"/>
          <w:szCs w:val="18"/>
          <w:color w:val="auto"/>
        </w:rPr>
        <w:t>By:  /s/ KEN C. HICKS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-1270</wp:posOffset>
            </wp:positionV>
            <wp:extent cx="282130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ind w:left="4320"/>
        <w:spacing w:after="0"/>
        <w:rPr>
          <w:sz w:val="20"/>
          <w:szCs w:val="20"/>
          <w:color w:val="auto"/>
        </w:rPr>
      </w:pPr>
      <w:r>
        <w:rPr>
          <w:rFonts w:ascii="Arial" w:cs="Arial" w:eastAsia="Arial" w:hAnsi="Arial"/>
          <w:sz w:val="18"/>
          <w:szCs w:val="18"/>
          <w:color w:val="auto"/>
        </w:rPr>
        <w:t>Ken C. Hicks</w:t>
      </w:r>
    </w:p>
    <w:p>
      <w:pPr>
        <w:ind w:left="4320"/>
        <w:spacing w:after="0" w:line="234" w:lineRule="auto"/>
        <w:rPr>
          <w:sz w:val="20"/>
          <w:szCs w:val="20"/>
          <w:color w:val="auto"/>
        </w:rPr>
      </w:pPr>
      <w:r>
        <w:rPr>
          <w:rFonts w:ascii="Arial" w:cs="Arial" w:eastAsia="Arial" w:hAnsi="Arial"/>
          <w:sz w:val="18"/>
          <w:szCs w:val="18"/>
          <w:i w:val="1"/>
          <w:iCs w:val="1"/>
          <w:color w:val="auto"/>
        </w:rPr>
        <w:t>Chairman of the Board, President and</w:t>
      </w:r>
    </w:p>
    <w:p>
      <w:pPr>
        <w:ind w:left="4320"/>
        <w:spacing w:after="0" w:line="235" w:lineRule="auto"/>
        <w:rPr>
          <w:sz w:val="20"/>
          <w:szCs w:val="20"/>
          <w:color w:val="auto"/>
        </w:rPr>
      </w:pPr>
      <w:r>
        <w:rPr>
          <w:rFonts w:ascii="Arial" w:cs="Arial" w:eastAsia="Arial" w:hAnsi="Arial"/>
          <w:sz w:val="18"/>
          <w:szCs w:val="18"/>
          <w:i w:val="1"/>
          <w:iCs w:val="1"/>
          <w:color w:val="auto"/>
        </w:rPr>
        <w:t>Chief Executive Officer</w:t>
      </w:r>
    </w:p>
    <w:p>
      <w:pPr>
        <w:spacing w:after="0" w:line="1"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Date: March 31, 2014</w:t>
      </w:r>
    </w:p>
    <w:p>
      <w:pPr>
        <w:spacing w:after="0" w:line="104" w:lineRule="exact"/>
        <w:rPr>
          <w:sz w:val="20"/>
          <w:szCs w:val="20"/>
          <w:color w:val="auto"/>
        </w:rPr>
      </w:pPr>
    </w:p>
    <w:p>
      <w:pPr>
        <w:ind w:left="40" w:right="539"/>
        <w:spacing w:after="0" w:line="24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March 31, 2014, by the following persons on behalf of the Company and in the capacities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-66675</wp:posOffset>
            </wp:positionV>
            <wp:extent cx="553974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539740" cy="8890"/>
                    </a:xfrm>
                    <a:prstGeom prst="rect">
                      <a:avLst/>
                    </a:prstGeom>
                    <a:noFill/>
                  </pic:spPr>
                </pic:pic>
              </a:graphicData>
            </a:graphic>
          </wp:anchor>
        </w:drawing>
      </w:r>
    </w:p>
    <w:p>
      <w:pPr>
        <w:ind w:left="1380"/>
        <w:spacing w:after="0"/>
        <w:tabs>
          <w:tab w:leader="none" w:pos="5580" w:val="left"/>
        </w:tabs>
        <w:rPr>
          <w:sz w:val="20"/>
          <w:szCs w:val="20"/>
          <w:color w:val="auto"/>
        </w:rPr>
      </w:pPr>
      <w:r>
        <w:rPr>
          <w:rFonts w:ascii="Arial" w:cs="Arial" w:eastAsia="Arial" w:hAnsi="Arial"/>
          <w:sz w:val="18"/>
          <w:szCs w:val="18"/>
          <w:color w:val="auto"/>
        </w:rPr>
        <w:t>/s/ KEN C. HICKS</w:t>
      </w:r>
      <w:r>
        <w:rPr>
          <w:sz w:val="20"/>
          <w:szCs w:val="20"/>
          <w:color w:val="auto"/>
        </w:rPr>
        <w:tab/>
      </w:r>
      <w:r>
        <w:rPr>
          <w:rFonts w:ascii="Arial" w:cs="Arial" w:eastAsia="Arial" w:hAnsi="Arial"/>
          <w:sz w:val="17"/>
          <w:szCs w:val="17"/>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556577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ectPr>
          <w:pgSz w:w="11900" w:h="16838" w:orient="portrait"/>
          <w:cols w:equalWidth="0" w:num="1">
            <w:col w:w="10079"/>
          </w:cols>
          <w:pgMar w:left="380" w:top="801" w:right="1440" w:bottom="1440" w:gutter="0" w:footer="0" w:header="0"/>
        </w:sectPr>
      </w:pPr>
    </w:p>
    <w:p>
      <w:pPr>
        <w:spacing w:after="0" w:line="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Ken C. Hicks</w:t>
      </w:r>
    </w:p>
    <w:p>
      <w:pPr>
        <w:jc w:val="center"/>
        <w:ind w:right="440"/>
        <w:spacing w:after="0" w:line="234" w:lineRule="auto"/>
        <w:rPr>
          <w:sz w:val="20"/>
          <w:szCs w:val="20"/>
          <w:color w:val="auto"/>
        </w:rPr>
      </w:pPr>
      <w:r>
        <w:rPr>
          <w:rFonts w:ascii="Arial" w:cs="Arial" w:eastAsia="Arial" w:hAnsi="Arial"/>
          <w:sz w:val="18"/>
          <w:szCs w:val="18"/>
          <w:color w:val="auto"/>
        </w:rPr>
        <w:t>Chairman of the Board,</w:t>
      </w:r>
    </w:p>
    <w:p>
      <w:pPr>
        <w:jc w:val="center"/>
        <w:ind w:right="440"/>
        <w:spacing w:after="0" w:line="235" w:lineRule="auto"/>
        <w:rPr>
          <w:sz w:val="20"/>
          <w:szCs w:val="20"/>
          <w:color w:val="auto"/>
        </w:rPr>
      </w:pPr>
      <w:r>
        <w:rPr>
          <w:rFonts w:ascii="Arial" w:cs="Arial" w:eastAsia="Arial" w:hAnsi="Arial"/>
          <w:sz w:val="18"/>
          <w:szCs w:val="18"/>
          <w:color w:val="auto"/>
        </w:rPr>
        <w:t>President and</w:t>
      </w:r>
    </w:p>
    <w:p>
      <w:pPr>
        <w:jc w:val="center"/>
        <w:ind w:right="440"/>
        <w:spacing w:after="0" w:line="235"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 GIOVANNA CIPRIANO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268414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jc w:val="center"/>
        <w:ind w:right="440"/>
        <w:spacing w:after="0"/>
        <w:rPr>
          <w:sz w:val="20"/>
          <w:szCs w:val="20"/>
          <w:color w:val="auto"/>
        </w:rPr>
      </w:pPr>
      <w:r>
        <w:rPr>
          <w:rFonts w:ascii="Arial" w:cs="Arial" w:eastAsia="Arial" w:hAnsi="Arial"/>
          <w:sz w:val="18"/>
          <w:szCs w:val="18"/>
          <w:color w:val="auto"/>
        </w:rPr>
        <w:t>Giovanna Cipriano</w:t>
      </w:r>
    </w:p>
    <w:p>
      <w:pPr>
        <w:jc w:val="center"/>
        <w:ind w:right="440"/>
        <w:spacing w:after="0"/>
        <w:rPr>
          <w:sz w:val="20"/>
          <w:szCs w:val="20"/>
          <w:color w:val="auto"/>
        </w:rPr>
      </w:pPr>
      <w:r>
        <w:rPr>
          <w:rFonts w:ascii="Arial" w:cs="Arial" w:eastAsia="Arial" w:hAnsi="Arial"/>
          <w:sz w:val="17"/>
          <w:szCs w:val="17"/>
          <w:color w:val="auto"/>
        </w:rPr>
        <w:t>Senior Vice President and Chief Accounting Officer</w:t>
      </w:r>
    </w:p>
    <w:p>
      <w:pPr>
        <w:spacing w:after="0" w:line="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 MAXINE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268414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jc w:val="center"/>
        <w:ind w:right="440"/>
        <w:spacing w:after="0"/>
        <w:rPr>
          <w:sz w:val="20"/>
          <w:szCs w:val="20"/>
          <w:color w:val="auto"/>
        </w:rPr>
      </w:pPr>
      <w:r>
        <w:rPr>
          <w:rFonts w:ascii="Arial" w:cs="Arial" w:eastAsia="Arial" w:hAnsi="Arial"/>
          <w:sz w:val="18"/>
          <w:szCs w:val="18"/>
          <w:color w:val="auto"/>
        </w:rPr>
        <w:t>Maxine Clark</w:t>
      </w:r>
    </w:p>
    <w:p>
      <w:pPr>
        <w:jc w:val="center"/>
        <w:ind w:right="440"/>
        <w:spacing w:after="0" w:line="234" w:lineRule="auto"/>
        <w:rPr>
          <w:sz w:val="20"/>
          <w:szCs w:val="20"/>
          <w:color w:val="auto"/>
        </w:rPr>
      </w:pPr>
      <w:r>
        <w:rPr>
          <w:rFonts w:ascii="Arial" w:cs="Arial" w:eastAsia="Arial" w:hAnsi="Arial"/>
          <w:sz w:val="18"/>
          <w:szCs w:val="18"/>
          <w:color w:val="auto"/>
        </w:rPr>
        <w:t>Director</w:t>
      </w:r>
    </w:p>
    <w:p>
      <w:pPr>
        <w:spacing w:after="0" w:line="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 NICHOLAS DIPAOLO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268414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jc w:val="center"/>
        <w:ind w:right="440"/>
        <w:spacing w:after="0"/>
        <w:rPr>
          <w:sz w:val="20"/>
          <w:szCs w:val="20"/>
          <w:color w:val="auto"/>
        </w:rPr>
      </w:pPr>
      <w:r>
        <w:rPr>
          <w:rFonts w:ascii="Arial" w:cs="Arial" w:eastAsia="Arial" w:hAnsi="Arial"/>
          <w:sz w:val="18"/>
          <w:szCs w:val="18"/>
          <w:color w:val="auto"/>
        </w:rPr>
        <w:t>Nicholas DiPaolo</w:t>
      </w:r>
    </w:p>
    <w:p>
      <w:pPr>
        <w:jc w:val="center"/>
        <w:ind w:right="440"/>
        <w:spacing w:after="0" w:line="234" w:lineRule="auto"/>
        <w:rPr>
          <w:sz w:val="20"/>
          <w:szCs w:val="20"/>
          <w:color w:val="auto"/>
        </w:rPr>
      </w:pPr>
      <w:r>
        <w:rPr>
          <w:rFonts w:ascii="Arial" w:cs="Arial" w:eastAsia="Arial" w:hAnsi="Arial"/>
          <w:sz w:val="18"/>
          <w:szCs w:val="18"/>
          <w:color w:val="auto"/>
        </w:rPr>
        <w:t>Director</w:t>
      </w:r>
    </w:p>
    <w:p>
      <w:pPr>
        <w:spacing w:after="0" w:line="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 ALAN D. FELDMAN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268414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jc w:val="center"/>
        <w:ind w:right="440"/>
        <w:spacing w:after="0"/>
        <w:rPr>
          <w:sz w:val="20"/>
          <w:szCs w:val="20"/>
          <w:color w:val="auto"/>
        </w:rPr>
      </w:pPr>
      <w:r>
        <w:rPr>
          <w:rFonts w:ascii="Arial" w:cs="Arial" w:eastAsia="Arial" w:hAnsi="Arial"/>
          <w:sz w:val="18"/>
          <w:szCs w:val="18"/>
          <w:color w:val="auto"/>
        </w:rPr>
        <w:t>Alan D. Feldman</w:t>
      </w:r>
    </w:p>
    <w:p>
      <w:pPr>
        <w:jc w:val="center"/>
        <w:ind w:right="440"/>
        <w:spacing w:after="0" w:line="234" w:lineRule="auto"/>
        <w:rPr>
          <w:sz w:val="20"/>
          <w:szCs w:val="20"/>
          <w:color w:val="auto"/>
        </w:rPr>
      </w:pPr>
      <w:r>
        <w:rPr>
          <w:rFonts w:ascii="Arial" w:cs="Arial" w:eastAsia="Arial" w:hAnsi="Arial"/>
          <w:sz w:val="18"/>
          <w:szCs w:val="18"/>
          <w:color w:val="auto"/>
        </w:rPr>
        <w:t>Director</w:t>
      </w:r>
    </w:p>
    <w:p>
      <w:pPr>
        <w:spacing w:after="0" w:line="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 JAROBIN GILBERT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268414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jc w:val="center"/>
        <w:ind w:right="440"/>
        <w:spacing w:after="0"/>
        <w:rPr>
          <w:sz w:val="20"/>
          <w:szCs w:val="20"/>
          <w:color w:val="auto"/>
        </w:rPr>
      </w:pPr>
      <w:r>
        <w:rPr>
          <w:rFonts w:ascii="Arial" w:cs="Arial" w:eastAsia="Arial" w:hAnsi="Arial"/>
          <w:sz w:val="18"/>
          <w:szCs w:val="18"/>
          <w:color w:val="auto"/>
        </w:rPr>
        <w:t>Jarobin Gilbert Jr.</w:t>
      </w:r>
    </w:p>
    <w:p>
      <w:pPr>
        <w:jc w:val="center"/>
        <w:ind w:right="4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jc w:val="center"/>
        <w:ind w:right="2319"/>
        <w:spacing w:after="0"/>
        <w:rPr>
          <w:sz w:val="20"/>
          <w:szCs w:val="20"/>
          <w:color w:val="auto"/>
        </w:rPr>
      </w:pPr>
      <w:r>
        <w:rPr>
          <w:rFonts w:ascii="Arial" w:cs="Arial" w:eastAsia="Arial" w:hAnsi="Arial"/>
          <w:sz w:val="18"/>
          <w:szCs w:val="18"/>
          <w:color w:val="auto"/>
        </w:rPr>
        <w:t>Lauren B. Peters</w:t>
      </w:r>
    </w:p>
    <w:p>
      <w:pPr>
        <w:jc w:val="center"/>
        <w:ind w:right="2319"/>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jc w:val="center"/>
        <w:ind w:right="2319"/>
        <w:spacing w:after="0"/>
        <w:rPr>
          <w:sz w:val="20"/>
          <w:szCs w:val="20"/>
          <w:color w:val="auto"/>
        </w:rPr>
      </w:pPr>
      <w:r>
        <w:rPr>
          <w:rFonts w:ascii="Arial" w:cs="Arial" w:eastAsia="Arial" w:hAnsi="Arial"/>
          <w:sz w:val="18"/>
          <w:szCs w:val="18"/>
          <w:color w:val="auto"/>
        </w:rPr>
        <w:t>Chief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/s/ GUILLERMO G. MARMOL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5080</wp:posOffset>
            </wp:positionV>
            <wp:extent cx="277876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Guillermo G. Marmol</w:t>
      </w:r>
    </w:p>
    <w:p>
      <w:pPr>
        <w:jc w:val="center"/>
        <w:ind w:right="2319"/>
        <w:spacing w:after="0" w:line="234" w:lineRule="auto"/>
        <w:rPr>
          <w:sz w:val="20"/>
          <w:szCs w:val="20"/>
          <w:color w:val="auto"/>
        </w:rPr>
      </w:pPr>
      <w:r>
        <w:rPr>
          <w:rFonts w:ascii="Arial" w:cs="Arial" w:eastAsia="Arial" w:hAnsi="Arial"/>
          <w:sz w:val="18"/>
          <w:szCs w:val="18"/>
          <w:color w:val="auto"/>
        </w:rPr>
        <w:t>Director</w:t>
      </w:r>
    </w:p>
    <w:p>
      <w:pPr>
        <w:spacing w:after="0" w:line="1" w:lineRule="exact"/>
        <w:rPr>
          <w:sz w:val="20"/>
          <w:szCs w:val="20"/>
          <w:color w:val="auto"/>
        </w:rPr>
      </w:pPr>
    </w:p>
    <w:p>
      <w:pPr>
        <w:jc w:val="center"/>
        <w:ind w:right="2319"/>
        <w:spacing w:after="0"/>
        <w:rPr>
          <w:sz w:val="20"/>
          <w:szCs w:val="20"/>
          <w:color w:val="auto"/>
        </w:rPr>
      </w:pPr>
      <w:r>
        <w:rPr>
          <w:rFonts w:ascii="Arial" w:cs="Arial" w:eastAsia="Arial" w:hAnsi="Arial"/>
          <w:sz w:val="18"/>
          <w:szCs w:val="18"/>
          <w:color w:val="auto"/>
        </w:rPr>
        <w:t>/s/ MATTHEW M. MCKENNA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-1905</wp:posOffset>
            </wp:positionV>
            <wp:extent cx="277876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jc w:val="center"/>
        <w:ind w:right="2319"/>
        <w:spacing w:after="0"/>
        <w:rPr>
          <w:sz w:val="20"/>
          <w:szCs w:val="20"/>
          <w:color w:val="auto"/>
        </w:rPr>
      </w:pPr>
      <w:r>
        <w:rPr>
          <w:rFonts w:ascii="Arial" w:cs="Arial" w:eastAsia="Arial" w:hAnsi="Arial"/>
          <w:sz w:val="18"/>
          <w:szCs w:val="18"/>
          <w:color w:val="auto"/>
        </w:rPr>
        <w:t>Matthew M. McKenna</w:t>
      </w:r>
    </w:p>
    <w:p>
      <w:pPr>
        <w:jc w:val="center"/>
        <w:ind w:right="2319"/>
        <w:spacing w:after="0" w:line="234" w:lineRule="auto"/>
        <w:rPr>
          <w:sz w:val="20"/>
          <w:szCs w:val="20"/>
          <w:color w:val="auto"/>
        </w:rPr>
      </w:pPr>
      <w:r>
        <w:rPr>
          <w:rFonts w:ascii="Arial" w:cs="Arial" w:eastAsia="Arial" w:hAnsi="Arial"/>
          <w:sz w:val="18"/>
          <w:szCs w:val="18"/>
          <w:color w:val="auto"/>
        </w:rPr>
        <w:t>Director</w:t>
      </w:r>
    </w:p>
    <w:p>
      <w:pPr>
        <w:spacing w:after="0" w:line="1" w:lineRule="exact"/>
        <w:rPr>
          <w:sz w:val="20"/>
          <w:szCs w:val="20"/>
          <w:color w:val="auto"/>
        </w:rPr>
      </w:pPr>
    </w:p>
    <w:p>
      <w:pPr>
        <w:jc w:val="center"/>
        <w:ind w:right="2319"/>
        <w:spacing w:after="0"/>
        <w:rPr>
          <w:sz w:val="20"/>
          <w:szCs w:val="20"/>
          <w:color w:val="auto"/>
        </w:rPr>
      </w:pPr>
      <w:r>
        <w:rPr>
          <w:rFonts w:ascii="Arial" w:cs="Arial" w:eastAsia="Arial" w:hAnsi="Arial"/>
          <w:sz w:val="18"/>
          <w:szCs w:val="18"/>
          <w:color w:val="auto"/>
        </w:rPr>
        <w:t>/s/ CHERYL NIDO TURPIN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-1270</wp:posOffset>
            </wp:positionV>
            <wp:extent cx="277876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jc w:val="center"/>
        <w:ind w:right="2319"/>
        <w:spacing w:after="0"/>
        <w:rPr>
          <w:sz w:val="20"/>
          <w:szCs w:val="20"/>
          <w:color w:val="auto"/>
        </w:rPr>
      </w:pPr>
      <w:r>
        <w:rPr>
          <w:rFonts w:ascii="Arial" w:cs="Arial" w:eastAsia="Arial" w:hAnsi="Arial"/>
          <w:sz w:val="18"/>
          <w:szCs w:val="18"/>
          <w:color w:val="auto"/>
        </w:rPr>
        <w:t>Cheryl Nido Turpin</w:t>
      </w:r>
    </w:p>
    <w:p>
      <w:pPr>
        <w:jc w:val="center"/>
        <w:ind w:right="2319"/>
        <w:spacing w:after="0" w:line="234" w:lineRule="auto"/>
        <w:rPr>
          <w:sz w:val="20"/>
          <w:szCs w:val="20"/>
          <w:color w:val="auto"/>
        </w:rPr>
      </w:pPr>
      <w:r>
        <w:rPr>
          <w:rFonts w:ascii="Arial" w:cs="Arial" w:eastAsia="Arial" w:hAnsi="Arial"/>
          <w:sz w:val="18"/>
          <w:szCs w:val="18"/>
          <w:color w:val="auto"/>
        </w:rPr>
        <w:t>Director</w:t>
      </w:r>
    </w:p>
    <w:p>
      <w:pPr>
        <w:spacing w:after="0" w:line="1" w:lineRule="exact"/>
        <w:rPr>
          <w:sz w:val="20"/>
          <w:szCs w:val="20"/>
          <w:color w:val="auto"/>
        </w:rPr>
      </w:pPr>
    </w:p>
    <w:p>
      <w:pPr>
        <w:jc w:val="center"/>
        <w:ind w:right="2319"/>
        <w:spacing w:after="0"/>
        <w:rPr>
          <w:sz w:val="20"/>
          <w:szCs w:val="20"/>
          <w:color w:val="auto"/>
        </w:rPr>
      </w:pPr>
      <w:r>
        <w:rPr>
          <w:rFonts w:ascii="Arial" w:cs="Arial" w:eastAsia="Arial" w:hAnsi="Arial"/>
          <w:sz w:val="18"/>
          <w:szCs w:val="18"/>
          <w:color w:val="auto"/>
        </w:rPr>
        <w:t>/s/ STEVEN OAKLAND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-1905</wp:posOffset>
            </wp:positionV>
            <wp:extent cx="277876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jc w:val="center"/>
        <w:ind w:right="2319"/>
        <w:spacing w:after="0"/>
        <w:rPr>
          <w:sz w:val="20"/>
          <w:szCs w:val="20"/>
          <w:color w:val="auto"/>
        </w:rPr>
      </w:pPr>
      <w:r>
        <w:rPr>
          <w:rFonts w:ascii="Arial" w:cs="Arial" w:eastAsia="Arial" w:hAnsi="Arial"/>
          <w:sz w:val="18"/>
          <w:szCs w:val="18"/>
          <w:color w:val="auto"/>
        </w:rPr>
        <w:t>Steven Oakland</w:t>
      </w:r>
    </w:p>
    <w:p>
      <w:pPr>
        <w:jc w:val="center"/>
        <w:ind w:right="2319"/>
        <w:spacing w:after="0" w:line="234" w:lineRule="auto"/>
        <w:rPr>
          <w:sz w:val="20"/>
          <w:szCs w:val="20"/>
          <w:color w:val="auto"/>
        </w:rPr>
      </w:pPr>
      <w:r>
        <w:rPr>
          <w:rFonts w:ascii="Arial" w:cs="Arial" w:eastAsia="Arial" w:hAnsi="Arial"/>
          <w:sz w:val="18"/>
          <w:szCs w:val="18"/>
          <w:color w:val="auto"/>
        </w:rPr>
        <w:t>Director</w:t>
      </w:r>
    </w:p>
    <w:p>
      <w:pPr>
        <w:spacing w:after="0" w:line="1" w:lineRule="exact"/>
        <w:rPr>
          <w:sz w:val="20"/>
          <w:szCs w:val="20"/>
          <w:color w:val="auto"/>
        </w:rPr>
      </w:pPr>
    </w:p>
    <w:p>
      <w:pPr>
        <w:jc w:val="center"/>
        <w:ind w:right="2319"/>
        <w:spacing w:after="0"/>
        <w:rPr>
          <w:sz w:val="20"/>
          <w:szCs w:val="20"/>
          <w:color w:val="auto"/>
        </w:rPr>
      </w:pPr>
      <w:r>
        <w:rPr>
          <w:rFonts w:ascii="Arial" w:cs="Arial" w:eastAsia="Arial" w:hAnsi="Arial"/>
          <w:sz w:val="18"/>
          <w:szCs w:val="18"/>
          <w:color w:val="auto"/>
        </w:rPr>
        <w:t>/s/ DONA D.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-1270</wp:posOffset>
            </wp:positionV>
            <wp:extent cx="277876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jc w:val="center"/>
        <w:ind w:right="2319"/>
        <w:spacing w:after="0"/>
        <w:rPr>
          <w:sz w:val="20"/>
          <w:szCs w:val="20"/>
          <w:color w:val="auto"/>
        </w:rPr>
      </w:pPr>
      <w:r>
        <w:rPr>
          <w:rFonts w:ascii="Arial" w:cs="Arial" w:eastAsia="Arial" w:hAnsi="Arial"/>
          <w:sz w:val="18"/>
          <w:szCs w:val="18"/>
          <w:color w:val="auto"/>
        </w:rPr>
        <w:t>Dona D. Young</w:t>
      </w:r>
    </w:p>
    <w:p>
      <w:pPr>
        <w:jc w:val="center"/>
        <w:ind w:right="2319"/>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4660" w:space="720"/>
            <w:col w:w="4699"/>
          </w:cols>
          <w:pgMar w:left="380" w:top="801" w:right="1440" w:bottom="1440" w:gutter="0" w:footer="0" w:header="0"/>
          <w:type w:val="continuous"/>
        </w:sectPr>
      </w:pPr>
    </w:p>
    <w:p>
      <w:pPr>
        <w:spacing w:after="0" w:line="349"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104140</wp:posOffset>
            </wp:positionV>
            <wp:extent cx="6114415" cy="596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1" w:right="1440" w:bottom="1440" w:gutter="0" w:footer="0" w:header="0"/>
          <w:type w:val="continuous"/>
        </w:sectPr>
      </w:pPr>
    </w:p>
    <w:bookmarkStart w:id="78" w:name="page79"/>
    <w:bookmarkEnd w:id="78"/>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520" w:type="dxa"/>
            <w:vAlign w:val="bottom"/>
          </w:tcPr>
          <w:p>
            <w:pPr>
              <w:jc w:val="center"/>
              <w:ind w:right="350"/>
              <w:spacing w:after="0"/>
              <w:rPr>
                <w:sz w:val="20"/>
                <w:szCs w:val="20"/>
                <w:color w:val="auto"/>
              </w:rPr>
            </w:pPr>
            <w:r>
              <w:rPr>
                <w:rFonts w:ascii="Arial" w:cs="Arial" w:eastAsia="Arial" w:hAnsi="Arial"/>
                <w:sz w:val="22"/>
                <w:szCs w:val="22"/>
                <w:b w:val="1"/>
                <w:bCs w:val="1"/>
                <w:color w:val="auto"/>
                <w:w w:val="97"/>
              </w:rPr>
              <w:t>FOOT LOCKER, INC.</w:t>
            </w:r>
          </w:p>
        </w:tc>
        <w:tc>
          <w:tcPr>
            <w:tcW w:w="1620" w:type="dxa"/>
            <w:vAlign w:val="bottom"/>
          </w:tcPr>
          <w:p>
            <w:pPr>
              <w:spacing w:after="0"/>
              <w:rPr>
                <w:sz w:val="24"/>
                <w:szCs w:val="24"/>
                <w:color w:val="auto"/>
              </w:rPr>
            </w:pPr>
          </w:p>
        </w:tc>
      </w:tr>
      <w:tr>
        <w:trPr>
          <w:trHeight w:val="399"/>
        </w:trPr>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520" w:type="dxa"/>
            <w:vAlign w:val="bottom"/>
          </w:tcPr>
          <w:p>
            <w:pPr>
              <w:jc w:val="center"/>
              <w:ind w:right="350"/>
              <w:spacing w:after="0"/>
              <w:rPr>
                <w:sz w:val="20"/>
                <w:szCs w:val="20"/>
                <w:color w:val="auto"/>
              </w:rPr>
            </w:pPr>
            <w:r>
              <w:rPr>
                <w:rFonts w:ascii="Arial" w:cs="Arial" w:eastAsia="Arial" w:hAnsi="Arial"/>
                <w:sz w:val="18"/>
                <w:szCs w:val="18"/>
                <w:b w:val="1"/>
                <w:bCs w:val="1"/>
                <w:color w:val="auto"/>
                <w:w w:val="99"/>
              </w:rPr>
              <w:t>INDEX OF EXHIBITS REQUIRED BY ITEM 15 OF FORM 10-K</w:t>
            </w:r>
          </w:p>
        </w:tc>
        <w:tc>
          <w:tcPr>
            <w:tcW w:w="1620" w:type="dxa"/>
            <w:vAlign w:val="bottom"/>
          </w:tcPr>
          <w:p>
            <w:pPr>
              <w:spacing w:after="0"/>
              <w:rPr>
                <w:sz w:val="24"/>
                <w:szCs w:val="24"/>
                <w:color w:val="auto"/>
              </w:rPr>
            </w:pPr>
          </w:p>
        </w:tc>
      </w:tr>
      <w:tr>
        <w:trPr>
          <w:trHeight w:val="239"/>
        </w:trPr>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520" w:type="dxa"/>
            <w:vAlign w:val="bottom"/>
          </w:tcPr>
          <w:p>
            <w:pPr>
              <w:jc w:val="center"/>
              <w:ind w:right="370"/>
              <w:spacing w:after="0"/>
              <w:rPr>
                <w:sz w:val="20"/>
                <w:szCs w:val="20"/>
                <w:color w:val="auto"/>
              </w:rPr>
            </w:pPr>
            <w:r>
              <w:rPr>
                <w:rFonts w:ascii="Arial" w:cs="Arial" w:eastAsia="Arial" w:hAnsi="Arial"/>
                <w:sz w:val="18"/>
                <w:szCs w:val="18"/>
                <w:b w:val="1"/>
                <w:bCs w:val="1"/>
                <w:color w:val="auto"/>
                <w:w w:val="99"/>
              </w:rPr>
              <w:t>AND FURNISHED IN ACCORDANCE WITH ITEM 601 OF REGULATION S-K</w:t>
            </w:r>
          </w:p>
        </w:tc>
        <w:tc>
          <w:tcPr>
            <w:tcW w:w="1620" w:type="dxa"/>
            <w:vAlign w:val="bottom"/>
          </w:tcPr>
          <w:p>
            <w:pPr>
              <w:spacing w:after="0"/>
              <w:rPr>
                <w:sz w:val="20"/>
                <w:szCs w:val="20"/>
                <w:color w:val="auto"/>
              </w:rPr>
            </w:pPr>
          </w:p>
        </w:tc>
      </w:tr>
      <w:tr>
        <w:trPr>
          <w:trHeight w:val="162"/>
        </w:trPr>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Exhibit No.</w:t>
            </w:r>
          </w:p>
        </w:tc>
        <w:tc>
          <w:tcPr>
            <w:tcW w:w="160" w:type="dxa"/>
            <w:vAlign w:val="bottom"/>
          </w:tcPr>
          <w:p>
            <w:pPr>
              <w:spacing w:after="0"/>
              <w:rPr>
                <w:sz w:val="14"/>
                <w:szCs w:val="14"/>
                <w:color w:val="auto"/>
              </w:rPr>
            </w:pPr>
          </w:p>
        </w:tc>
        <w:tc>
          <w:tcPr>
            <w:tcW w:w="7520" w:type="dxa"/>
            <w:vAlign w:val="bottom"/>
          </w:tcPr>
          <w:p>
            <w:pPr>
              <w:ind w:left="3360"/>
              <w:spacing w:after="0"/>
              <w:rPr>
                <w:sz w:val="20"/>
                <w:szCs w:val="20"/>
                <w:color w:val="auto"/>
              </w:rPr>
            </w:pPr>
            <w:r>
              <w:rPr>
                <w:rFonts w:ascii="Arial" w:cs="Arial" w:eastAsia="Arial" w:hAnsi="Arial"/>
                <w:sz w:val="14"/>
                <w:szCs w:val="14"/>
                <w:b w:val="1"/>
                <w:bCs w:val="1"/>
                <w:color w:val="auto"/>
              </w:rPr>
              <w:t>Description</w:t>
            </w:r>
          </w:p>
        </w:tc>
        <w:tc>
          <w:tcPr>
            <w:tcW w:w="1620" w:type="dxa"/>
            <w:vAlign w:val="bottom"/>
          </w:tcPr>
          <w:p>
            <w:pPr>
              <w:spacing w:after="0"/>
              <w:rPr>
                <w:sz w:val="14"/>
                <w:szCs w:val="14"/>
                <w:color w:val="auto"/>
              </w:rPr>
            </w:pPr>
          </w:p>
        </w:tc>
      </w:tr>
      <w:tr>
        <w:trPr>
          <w:trHeight w:val="162"/>
        </w:trPr>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 Item 601 of</w:t>
            </w:r>
          </w:p>
        </w:tc>
        <w:tc>
          <w:tcPr>
            <w:tcW w:w="16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5"/>
        </w:trPr>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Regulation S-K</w:t>
            </w:r>
          </w:p>
        </w:tc>
        <w:tc>
          <w:tcPr>
            <w:tcW w:w="160" w:type="dxa"/>
            <w:vAlign w:val="bottom"/>
          </w:tcPr>
          <w:p>
            <w:pPr>
              <w:spacing w:after="0"/>
              <w:rPr>
                <w:sz w:val="15"/>
                <w:szCs w:val="15"/>
                <w:color w:val="auto"/>
              </w:rPr>
            </w:pPr>
          </w:p>
        </w:tc>
        <w:tc>
          <w:tcPr>
            <w:tcW w:w="7520" w:type="dxa"/>
            <w:vAlign w:val="bottom"/>
            <w:tcBorders>
              <w:bottom w:val="single" w:sz="8" w:color="auto"/>
            </w:tcBorders>
          </w:tcPr>
          <w:p>
            <w:pPr>
              <w:spacing w:after="0"/>
              <w:rPr>
                <w:sz w:val="15"/>
                <w:szCs w:val="15"/>
                <w:color w:val="auto"/>
              </w:rPr>
            </w:pPr>
          </w:p>
        </w:tc>
        <w:tc>
          <w:tcPr>
            <w:tcW w:w="1620" w:type="dxa"/>
            <w:vAlign w:val="bottom"/>
          </w:tcPr>
          <w:p>
            <w:pPr>
              <w:spacing w:after="0"/>
              <w:rPr>
                <w:sz w:val="15"/>
                <w:szCs w:val="15"/>
                <w:color w:val="auto"/>
              </w:rPr>
            </w:pPr>
          </w:p>
        </w:tc>
      </w:tr>
      <w:tr>
        <w:trPr>
          <w:trHeight w:val="195"/>
        </w:trPr>
        <w:tc>
          <w:tcPr>
            <w:tcW w:w="1100" w:type="dxa"/>
            <w:vAlign w:val="bottom"/>
            <w:gridSpan w:val="2"/>
          </w:tcPr>
          <w:p>
            <w:pPr>
              <w:jc w:val="center"/>
              <w:ind w:right="20"/>
              <w:spacing w:after="0" w:line="195" w:lineRule="exact"/>
              <w:rPr>
                <w:sz w:val="20"/>
                <w:szCs w:val="20"/>
                <w:color w:val="auto"/>
              </w:rPr>
            </w:pPr>
            <w:r>
              <w:rPr>
                <w:rFonts w:ascii="Arial" w:cs="Arial" w:eastAsia="Arial" w:hAnsi="Arial"/>
                <w:sz w:val="18"/>
                <w:szCs w:val="18"/>
                <w:color w:val="auto"/>
                <w:w w:val="99"/>
              </w:rPr>
              <w:t>3(i)(a)</w:t>
            </w:r>
          </w:p>
        </w:tc>
        <w:tc>
          <w:tcPr>
            <w:tcW w:w="160" w:type="dxa"/>
            <w:vAlign w:val="bottom"/>
          </w:tcPr>
          <w:p>
            <w:pPr>
              <w:spacing w:after="0"/>
              <w:rPr>
                <w:sz w:val="16"/>
                <w:szCs w:val="16"/>
                <w:color w:val="auto"/>
              </w:rPr>
            </w:pPr>
          </w:p>
        </w:tc>
        <w:tc>
          <w:tcPr>
            <w:tcW w:w="7520" w:type="dxa"/>
            <w:vAlign w:val="bottom"/>
          </w:tcPr>
          <w:p>
            <w:pPr>
              <w:spacing w:after="0" w:line="195" w:lineRule="exact"/>
              <w:rPr>
                <w:sz w:val="20"/>
                <w:szCs w:val="20"/>
                <w:color w:val="auto"/>
              </w:rPr>
            </w:pPr>
            <w:r>
              <w:rPr>
                <w:rFonts w:ascii="Arial" w:cs="Arial" w:eastAsia="Arial" w:hAnsi="Arial"/>
                <w:sz w:val="18"/>
                <w:szCs w:val="18"/>
                <w:color w:val="auto"/>
              </w:rPr>
              <w:t>Certificate of Incorporation of the Registrant, as filed by the Department of State of the State</w:t>
            </w:r>
          </w:p>
        </w:tc>
        <w:tc>
          <w:tcPr>
            <w:tcW w:w="1620" w:type="dxa"/>
            <w:vAlign w:val="bottom"/>
          </w:tcPr>
          <w:p>
            <w:pPr>
              <w:spacing w:after="0"/>
              <w:rPr>
                <w:sz w:val="16"/>
                <w:szCs w:val="16"/>
                <w:color w:val="auto"/>
              </w:rPr>
            </w:pPr>
          </w:p>
        </w:tc>
      </w:tr>
      <w:tr>
        <w:trPr>
          <w:trHeight w:val="203"/>
        </w:trPr>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of New York on April 7, 1989 (incorporated herein by reference to Exhibit 3(i)(a) to the</w:t>
            </w:r>
          </w:p>
        </w:tc>
        <w:tc>
          <w:tcPr>
            <w:tcW w:w="16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Quarterly Report on Form 10-Q for the quarterly period ended July 26, 1997, filed by the</w:t>
            </w:r>
          </w:p>
        </w:tc>
        <w:tc>
          <w:tcPr>
            <w:tcW w:w="16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Registrant with the SEC on September 4, 1997 (the “July 26, 1997 Form 10-Q”)).</w:t>
            </w:r>
          </w:p>
        </w:tc>
        <w:tc>
          <w:tcPr>
            <w:tcW w:w="1620" w:type="dxa"/>
            <w:vAlign w:val="bottom"/>
          </w:tcPr>
          <w:p>
            <w:pPr>
              <w:spacing w:after="0"/>
              <w:rPr>
                <w:sz w:val="17"/>
                <w:szCs w:val="17"/>
                <w:color w:val="auto"/>
              </w:rPr>
            </w:pPr>
          </w:p>
        </w:tc>
      </w:tr>
      <w:tr>
        <w:trPr>
          <w:trHeight w:val="203"/>
        </w:trPr>
        <w:tc>
          <w:tcPr>
            <w:tcW w:w="1100" w:type="dxa"/>
            <w:vAlign w:val="bottom"/>
            <w:gridSpan w:val="2"/>
          </w:tcPr>
          <w:p>
            <w:pPr>
              <w:jc w:val="center"/>
              <w:ind w:right="20"/>
              <w:spacing w:after="0" w:line="202" w:lineRule="exact"/>
              <w:rPr>
                <w:sz w:val="20"/>
                <w:szCs w:val="20"/>
                <w:color w:val="auto"/>
              </w:rPr>
            </w:pPr>
            <w:r>
              <w:rPr>
                <w:rFonts w:ascii="Arial" w:cs="Arial" w:eastAsia="Arial" w:hAnsi="Arial"/>
                <w:sz w:val="18"/>
                <w:szCs w:val="18"/>
                <w:color w:val="auto"/>
                <w:w w:val="99"/>
              </w:rPr>
              <w:t>3(i)(b)</w:t>
            </w: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Certificates of Amendment of the Certificate of Incorporation of the Registrant, as filed by the</w:t>
            </w:r>
          </w:p>
        </w:tc>
        <w:tc>
          <w:tcPr>
            <w:tcW w:w="16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Department of State of the State of New York on (a) July 20, 1989, (b) July 24, 1990, (c) July</w:t>
            </w:r>
          </w:p>
        </w:tc>
        <w:tc>
          <w:tcPr>
            <w:tcW w:w="16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9, 1997 (incorporated herein by reference to Exhibit 3(i)(b) to the July 26, 1997 Form 10-Q),</w:t>
            </w:r>
          </w:p>
        </w:tc>
        <w:tc>
          <w:tcPr>
            <w:tcW w:w="16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(d) June 11, 1998 (incorporated herein by reference to Exhibit 4.2(a) of the Registration</w:t>
            </w:r>
          </w:p>
        </w:tc>
        <w:tc>
          <w:tcPr>
            <w:tcW w:w="16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Statement on Form S-8 (Registration No. 333-62425), and (e) November 1, 2001</w:t>
            </w:r>
          </w:p>
        </w:tc>
        <w:tc>
          <w:tcPr>
            <w:tcW w:w="16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(incorporated herein by reference to Exhibit 4.2 to the Registration Statement on Form S-8</w:t>
            </w:r>
          </w:p>
        </w:tc>
        <w:tc>
          <w:tcPr>
            <w:tcW w:w="16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(Registration No. 333-74688) previously filed by the Registrant with the SEC).</w:t>
            </w:r>
          </w:p>
        </w:tc>
        <w:tc>
          <w:tcPr>
            <w:tcW w:w="1620" w:type="dxa"/>
            <w:vAlign w:val="bottom"/>
          </w:tcPr>
          <w:p>
            <w:pPr>
              <w:spacing w:after="0"/>
              <w:rPr>
                <w:sz w:val="17"/>
                <w:szCs w:val="17"/>
                <w:color w:val="auto"/>
              </w:rPr>
            </w:pPr>
          </w:p>
        </w:tc>
      </w:tr>
      <w:tr>
        <w:trPr>
          <w:trHeight w:val="203"/>
        </w:trPr>
        <w:tc>
          <w:tcPr>
            <w:tcW w:w="110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3(ii)</w:t>
            </w: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By-laws of the Registrant, as amended (incorporated herein by reference to Exhibit 3.1 to the</w:t>
            </w:r>
          </w:p>
        </w:tc>
        <w:tc>
          <w:tcPr>
            <w:tcW w:w="16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Registrant’s Current Report on Form 8-K dated May 20, 2009 filed by the Registrant with the</w:t>
            </w:r>
          </w:p>
        </w:tc>
        <w:tc>
          <w:tcPr>
            <w:tcW w:w="16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SEC on May 27, 2009).</w:t>
            </w:r>
          </w:p>
        </w:tc>
        <w:tc>
          <w:tcPr>
            <w:tcW w:w="1620" w:type="dxa"/>
            <w:vAlign w:val="bottom"/>
          </w:tcPr>
          <w:p>
            <w:pPr>
              <w:spacing w:after="0"/>
              <w:rPr>
                <w:sz w:val="17"/>
                <w:szCs w:val="17"/>
                <w:color w:val="auto"/>
              </w:rPr>
            </w:pPr>
          </w:p>
        </w:tc>
      </w:tr>
      <w:tr>
        <w:trPr>
          <w:trHeight w:val="203"/>
        </w:trPr>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95"/>
              </w:rPr>
              <w:t>4.1</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The rights of holders of the Registrant’s equity securities are defined in the Registrant’s</w:t>
            </w:r>
          </w:p>
        </w:tc>
        <w:tc>
          <w:tcPr>
            <w:tcW w:w="16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Certificate of Incorporation, as amended (incorporated herein by reference to (a) Exhibits 3(i)</w:t>
            </w:r>
          </w:p>
        </w:tc>
        <w:tc>
          <w:tcPr>
            <w:tcW w:w="16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(a) and 3(i)(b) to the July 26, 1997 Form 10-Q, Exhibit 4.2(a) to the Registration Statement on</w:t>
            </w:r>
          </w:p>
        </w:tc>
        <w:tc>
          <w:tcPr>
            <w:tcW w:w="16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Form S-8 (Registration No. 333-62425) previously filed by the Registrant with the SEC, and</w:t>
            </w:r>
          </w:p>
        </w:tc>
        <w:tc>
          <w:tcPr>
            <w:tcW w:w="16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w w:val="99"/>
              </w:rPr>
              <w:t>Exhibit 4.2 to the Registration Statement on Form S-8 (Registration No. 333-74688) previously</w:t>
            </w:r>
          </w:p>
        </w:tc>
        <w:tc>
          <w:tcPr>
            <w:tcW w:w="16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filed by the Registrant with the SEC).</w:t>
            </w:r>
          </w:p>
        </w:tc>
        <w:tc>
          <w:tcPr>
            <w:tcW w:w="1620" w:type="dxa"/>
            <w:vAlign w:val="bottom"/>
          </w:tcPr>
          <w:p>
            <w:pPr>
              <w:spacing w:after="0"/>
              <w:rPr>
                <w:sz w:val="17"/>
                <w:szCs w:val="17"/>
                <w:color w:val="auto"/>
              </w:rPr>
            </w:pPr>
          </w:p>
        </w:tc>
      </w:tr>
      <w:tr>
        <w:trPr>
          <w:trHeight w:val="203"/>
        </w:trPr>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95"/>
              </w:rPr>
              <w:t>4.2</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Indenture dated as of October 10, 1991 (incorporated herein by reference to Exhibit 4.1 to the</w:t>
            </w:r>
          </w:p>
        </w:tc>
        <w:tc>
          <w:tcPr>
            <w:tcW w:w="16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Registration Statement on Form S-3 (Registration No. 33-43334) previously filed by the</w:t>
            </w:r>
          </w:p>
        </w:tc>
        <w:tc>
          <w:tcPr>
            <w:tcW w:w="16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Registrant with the SEC).</w:t>
            </w:r>
          </w:p>
        </w:tc>
        <w:tc>
          <w:tcPr>
            <w:tcW w:w="1620" w:type="dxa"/>
            <w:vAlign w:val="bottom"/>
          </w:tcPr>
          <w:p>
            <w:pPr>
              <w:spacing w:after="0"/>
              <w:rPr>
                <w:sz w:val="17"/>
                <w:szCs w:val="17"/>
                <w:color w:val="auto"/>
              </w:rPr>
            </w:pPr>
          </w:p>
        </w:tc>
      </w:tr>
      <w:tr>
        <w:trPr>
          <w:trHeight w:val="203"/>
        </w:trPr>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95"/>
              </w:rPr>
              <w:t>4.3</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Form of 8-1/2% Debentures due 2022 (incorporated herein by reference to Exhibit 4 to the</w:t>
            </w:r>
          </w:p>
        </w:tc>
        <w:tc>
          <w:tcPr>
            <w:tcW w:w="16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Registrant’s Form 8-K dated January 16, 1992).</w:t>
            </w:r>
          </w:p>
        </w:tc>
        <w:tc>
          <w:tcPr>
            <w:tcW w:w="1620" w:type="dxa"/>
            <w:vAlign w:val="bottom"/>
          </w:tcPr>
          <w:p>
            <w:pPr>
              <w:spacing w:after="0"/>
              <w:rPr>
                <w:sz w:val="17"/>
                <w:szCs w:val="17"/>
                <w:color w:val="auto"/>
              </w:rPr>
            </w:pPr>
          </w:p>
        </w:tc>
      </w:tr>
      <w:tr>
        <w:trPr>
          <w:trHeight w:val="203"/>
        </w:trPr>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rPr>
              <w:t>10.1</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Foot Locker 1995 Stock Option and Award Plan (incorporated herein by reference to Exhibit</w:t>
            </w:r>
          </w:p>
        </w:tc>
        <w:tc>
          <w:tcPr>
            <w:tcW w:w="16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10(p) to the Registrant’s Annual Report on Form 10-K for the year ended January 28, 1995</w:t>
            </w:r>
          </w:p>
        </w:tc>
        <w:tc>
          <w:tcPr>
            <w:tcW w:w="16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filed by the Registrant with the SEC on April 24, 1995 (the “1994 Form 10-K”)).</w:t>
            </w:r>
          </w:p>
        </w:tc>
        <w:tc>
          <w:tcPr>
            <w:tcW w:w="1620" w:type="dxa"/>
            <w:vAlign w:val="bottom"/>
          </w:tcPr>
          <w:p>
            <w:pPr>
              <w:spacing w:after="0"/>
              <w:rPr>
                <w:sz w:val="17"/>
                <w:szCs w:val="17"/>
                <w:color w:val="auto"/>
              </w:rPr>
            </w:pPr>
          </w:p>
        </w:tc>
      </w:tr>
      <w:tr>
        <w:trPr>
          <w:trHeight w:val="203"/>
        </w:trPr>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rPr>
              <w:t>10.2</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Foot Locker 1998 Stock Option and Award Plan (incorporated herein by reference to Exhibit</w:t>
            </w:r>
          </w:p>
        </w:tc>
        <w:tc>
          <w:tcPr>
            <w:tcW w:w="16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10.4 to the Registrant’s Annual Report on Form 10-K for the year ended January 31, 1998,</w:t>
            </w:r>
          </w:p>
        </w:tc>
        <w:tc>
          <w:tcPr>
            <w:tcW w:w="16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filed by the Registrant with the SEC on April 21, 1998).</w:t>
            </w:r>
          </w:p>
        </w:tc>
        <w:tc>
          <w:tcPr>
            <w:tcW w:w="1620" w:type="dxa"/>
            <w:vAlign w:val="bottom"/>
          </w:tcPr>
          <w:p>
            <w:pPr>
              <w:spacing w:after="0"/>
              <w:rPr>
                <w:sz w:val="17"/>
                <w:szCs w:val="17"/>
                <w:color w:val="auto"/>
              </w:rPr>
            </w:pPr>
          </w:p>
        </w:tc>
      </w:tr>
      <w:tr>
        <w:trPr>
          <w:trHeight w:val="203"/>
        </w:trPr>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rPr>
              <w:t>10.3</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Amendment to the Foot Locker 1998 Stock Option and Award Plan (incorporated herein by</w:t>
            </w:r>
          </w:p>
        </w:tc>
        <w:tc>
          <w:tcPr>
            <w:tcW w:w="16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reference to Exhibit 10.2 to the Registrant’s Quarterly Report on Form 10-Q for the period</w:t>
            </w:r>
          </w:p>
        </w:tc>
        <w:tc>
          <w:tcPr>
            <w:tcW w:w="16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ended July 29, 2000, filed by the Registrant with the SEC on September 7, 2000 (the “July 29,</w:t>
            </w:r>
          </w:p>
        </w:tc>
        <w:tc>
          <w:tcPr>
            <w:tcW w:w="16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2000 Form 10-Q”)).</w:t>
            </w:r>
          </w:p>
        </w:tc>
        <w:tc>
          <w:tcPr>
            <w:tcW w:w="1620" w:type="dxa"/>
            <w:vAlign w:val="bottom"/>
          </w:tcPr>
          <w:p>
            <w:pPr>
              <w:spacing w:after="0"/>
              <w:rPr>
                <w:sz w:val="17"/>
                <w:szCs w:val="17"/>
                <w:color w:val="auto"/>
              </w:rPr>
            </w:pPr>
          </w:p>
        </w:tc>
      </w:tr>
      <w:tr>
        <w:trPr>
          <w:trHeight w:val="203"/>
        </w:trPr>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rPr>
              <w:t>10.4</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Executive Supplemental Retirement Plan (incorporated herein by reference to Exhibit 10(d) to</w:t>
            </w:r>
          </w:p>
        </w:tc>
        <w:tc>
          <w:tcPr>
            <w:tcW w:w="16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the Registration Statement on Form 8-B filed by the Registrant with the SEC on August 7,</w:t>
            </w:r>
          </w:p>
        </w:tc>
        <w:tc>
          <w:tcPr>
            <w:tcW w:w="16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1989 (Registration No. 1-10299) (the “8-B Registration Statement”)).</w:t>
            </w:r>
          </w:p>
        </w:tc>
        <w:tc>
          <w:tcPr>
            <w:tcW w:w="1620" w:type="dxa"/>
            <w:vAlign w:val="bottom"/>
          </w:tcPr>
          <w:p>
            <w:pPr>
              <w:spacing w:after="0"/>
              <w:rPr>
                <w:sz w:val="17"/>
                <w:szCs w:val="17"/>
                <w:color w:val="auto"/>
              </w:rPr>
            </w:pPr>
          </w:p>
        </w:tc>
      </w:tr>
      <w:tr>
        <w:trPr>
          <w:trHeight w:val="203"/>
        </w:trPr>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rPr>
              <w:t>10.5</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w w:val="99"/>
              </w:rPr>
              <w:t>Amendment to the Executive Supplemental Retirement Plan (incorporated herein by reference</w:t>
            </w:r>
          </w:p>
        </w:tc>
        <w:tc>
          <w:tcPr>
            <w:tcW w:w="16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to Exhibit 10(c)(i) to the 1994 Form 10-K).</w:t>
            </w:r>
          </w:p>
        </w:tc>
        <w:tc>
          <w:tcPr>
            <w:tcW w:w="1620" w:type="dxa"/>
            <w:vAlign w:val="bottom"/>
          </w:tcPr>
          <w:p>
            <w:pPr>
              <w:spacing w:after="0"/>
              <w:rPr>
                <w:sz w:val="17"/>
                <w:szCs w:val="17"/>
                <w:color w:val="auto"/>
              </w:rPr>
            </w:pPr>
          </w:p>
        </w:tc>
      </w:tr>
      <w:tr>
        <w:trPr>
          <w:trHeight w:val="203"/>
        </w:trPr>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rPr>
              <w:t>10.6</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w w:val="99"/>
              </w:rPr>
              <w:t>Amendment to the Executive Supplemental Retirement Plan (incorporated herein by reference</w:t>
            </w:r>
          </w:p>
        </w:tc>
        <w:tc>
          <w:tcPr>
            <w:tcW w:w="16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to Exhibit 10(d)(ii) to the Annual Report on Form 10-K for the year ended January 27, 1996,</w:t>
            </w:r>
          </w:p>
        </w:tc>
        <w:tc>
          <w:tcPr>
            <w:tcW w:w="16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filed by the Registrant with the SEC on April 26, 1996 (the “1995 Form 10-K”)).</w:t>
            </w:r>
          </w:p>
        </w:tc>
        <w:tc>
          <w:tcPr>
            <w:tcW w:w="1620" w:type="dxa"/>
            <w:vAlign w:val="bottom"/>
          </w:tcPr>
          <w:p>
            <w:pPr>
              <w:spacing w:after="0"/>
              <w:rPr>
                <w:sz w:val="17"/>
                <w:szCs w:val="17"/>
                <w:color w:val="auto"/>
              </w:rPr>
            </w:pPr>
          </w:p>
        </w:tc>
      </w:tr>
      <w:tr>
        <w:trPr>
          <w:trHeight w:val="203"/>
        </w:trPr>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rPr>
              <w:t>10.7</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Supplemental Executive Retirement Plan, as Amended and Restated (incorporated herein by</w:t>
            </w:r>
          </w:p>
        </w:tc>
        <w:tc>
          <w:tcPr>
            <w:tcW w:w="16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reference to Exhibit 10.1 to the Current Report on Form 8-K dated August 13, 2007 filed by</w:t>
            </w:r>
          </w:p>
        </w:tc>
        <w:tc>
          <w:tcPr>
            <w:tcW w:w="1620" w:type="dxa"/>
            <w:vAlign w:val="bottom"/>
          </w:tcPr>
          <w:p>
            <w:pPr>
              <w:spacing w:after="0"/>
              <w:rPr>
                <w:sz w:val="17"/>
                <w:szCs w:val="17"/>
                <w:color w:val="auto"/>
              </w:rPr>
            </w:pPr>
          </w:p>
        </w:tc>
      </w:tr>
      <w:tr>
        <w:trPr>
          <w:trHeight w:val="217"/>
        </w:trPr>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the Registrant with the SEC on August 17, 2007).</w:t>
            </w:r>
          </w:p>
        </w:tc>
        <w:tc>
          <w:tcPr>
            <w:tcW w:w="1620" w:type="dxa"/>
            <w:vAlign w:val="bottom"/>
          </w:tcPr>
          <w:p>
            <w:pPr>
              <w:spacing w:after="0"/>
              <w:rPr>
                <w:sz w:val="18"/>
                <w:szCs w:val="18"/>
                <w:color w:val="auto"/>
              </w:rPr>
            </w:pPr>
          </w:p>
        </w:tc>
      </w:tr>
      <w:tr>
        <w:trPr>
          <w:trHeight w:val="756"/>
        </w:trPr>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80" w:type="dxa"/>
            <w:vAlign w:val="bottom"/>
            <w:gridSpan w:val="2"/>
          </w:tcPr>
          <w:p>
            <w:pPr>
              <w:jc w:val="right"/>
              <w:ind w:right="3930"/>
              <w:spacing w:after="0"/>
              <w:rPr>
                <w:sz w:val="20"/>
                <w:szCs w:val="20"/>
                <w:color w:val="auto"/>
              </w:rPr>
            </w:pPr>
            <w:r>
              <w:rPr>
                <w:rFonts w:ascii="Arial" w:cs="Arial" w:eastAsia="Arial" w:hAnsi="Arial"/>
                <w:sz w:val="18"/>
                <w:szCs w:val="18"/>
                <w:color w:val="auto"/>
              </w:rPr>
              <w:t>77</w:t>
            </w:r>
          </w:p>
        </w:tc>
        <w:tc>
          <w:tcPr>
            <w:tcW w:w="1620" w:type="dxa"/>
            <w:vAlign w:val="bottom"/>
          </w:tcPr>
          <w:p>
            <w:pPr>
              <w:spacing w:after="0"/>
              <w:rPr>
                <w:sz w:val="24"/>
                <w:szCs w:val="24"/>
                <w:color w:val="auto"/>
              </w:rPr>
            </w:pPr>
          </w:p>
        </w:tc>
      </w:tr>
      <w:tr>
        <w:trPr>
          <w:trHeight w:val="162"/>
        </w:trPr>
        <w:tc>
          <w:tcPr>
            <w:tcW w:w="800" w:type="dxa"/>
            <w:vAlign w:val="bottom"/>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752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r>
      <w:tr>
        <w:trPr>
          <w:trHeight w:val="21"/>
        </w:trPr>
        <w:tc>
          <w:tcPr>
            <w:tcW w:w="800" w:type="dxa"/>
            <w:vAlign w:val="bottom"/>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520" w:type="dxa"/>
            <w:vAlign w:val="bottom"/>
            <w:tcBorders>
              <w:bottom w:val="single" w:sz="8" w:color="EEEEEE"/>
            </w:tcBorders>
          </w:tcPr>
          <w:p>
            <w:pPr>
              <w:spacing w:after="0" w:line="20" w:lineRule="exact"/>
              <w:rPr>
                <w:sz w:val="1"/>
                <w:szCs w:val="1"/>
                <w:color w:val="auto"/>
              </w:rPr>
            </w:pPr>
          </w:p>
        </w:tc>
        <w:tc>
          <w:tcPr>
            <w:tcW w:w="16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-6945630</wp:posOffset>
            </wp:positionV>
            <wp:extent cx="553148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ectPr>
          <w:pgSz w:w="11900" w:h="16838" w:orient="portrait"/>
          <w:cols w:equalWidth="0" w:num="1">
            <w:col w:w="10400"/>
          </w:cols>
          <w:pgMar w:left="360" w:top="801" w:right="1139" w:bottom="1440" w:gutter="0" w:footer="0" w:header="0"/>
        </w:sectPr>
      </w:pPr>
    </w:p>
    <w:bookmarkStart w:id="79" w:name="page80"/>
    <w:bookmarkEnd w:id="79"/>
    <w:p>
      <w:pPr>
        <w:ind w:left="20"/>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-76200</wp:posOffset>
            </wp:positionV>
            <wp:extent cx="553148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080" w:type="dxa"/>
            <w:vAlign w:val="bottom"/>
            <w:tcBorders>
              <w:top w:val="single" w:sz="8" w:color="0000EE"/>
            </w:tcBorders>
            <w:gridSpan w:val="2"/>
          </w:tcPr>
          <w:p>
            <w:pPr>
              <w:jc w:val="center"/>
              <w:spacing w:after="0" w:line="143" w:lineRule="exact"/>
              <w:rPr>
                <w:sz w:val="20"/>
                <w:szCs w:val="20"/>
                <w:color w:val="auto"/>
              </w:rPr>
            </w:pPr>
            <w:r>
              <w:rPr>
                <w:rFonts w:ascii="Arial" w:cs="Arial" w:eastAsia="Arial" w:hAnsi="Arial"/>
                <w:sz w:val="14"/>
                <w:szCs w:val="14"/>
                <w:b w:val="1"/>
                <w:bCs w:val="1"/>
                <w:color w:val="auto"/>
              </w:rPr>
              <w:t>Exhibit No.</w:t>
            </w:r>
          </w:p>
        </w:tc>
        <w:tc>
          <w:tcPr>
            <w:tcW w:w="160" w:type="dxa"/>
            <w:vAlign w:val="bottom"/>
            <w:tcBorders>
              <w:top w:val="single" w:sz="8" w:color="0000EE"/>
            </w:tcBorders>
          </w:tcPr>
          <w:p>
            <w:pPr>
              <w:spacing w:after="0"/>
              <w:rPr>
                <w:sz w:val="12"/>
                <w:szCs w:val="12"/>
                <w:color w:val="auto"/>
              </w:rPr>
            </w:pPr>
          </w:p>
        </w:tc>
        <w:tc>
          <w:tcPr>
            <w:tcW w:w="300" w:type="dxa"/>
            <w:vAlign w:val="bottom"/>
            <w:tcBorders>
              <w:top w:val="single" w:sz="8" w:color="0000EE"/>
            </w:tcBorders>
          </w:tcPr>
          <w:p>
            <w:pPr>
              <w:spacing w:after="0"/>
              <w:rPr>
                <w:sz w:val="12"/>
                <w:szCs w:val="12"/>
                <w:color w:val="auto"/>
              </w:rPr>
            </w:pPr>
          </w:p>
        </w:tc>
        <w:tc>
          <w:tcPr>
            <w:tcW w:w="7220" w:type="dxa"/>
            <w:vAlign w:val="bottom"/>
          </w:tcPr>
          <w:p>
            <w:pPr>
              <w:jc w:val="right"/>
              <w:ind w:right="3288"/>
              <w:spacing w:after="0" w:line="143" w:lineRule="exact"/>
              <w:rPr>
                <w:sz w:val="20"/>
                <w:szCs w:val="20"/>
                <w:color w:val="auto"/>
              </w:rPr>
            </w:pPr>
            <w:r>
              <w:rPr>
                <w:rFonts w:ascii="Arial" w:cs="Arial" w:eastAsia="Arial" w:hAnsi="Arial"/>
                <w:sz w:val="14"/>
                <w:szCs w:val="14"/>
                <w:b w:val="1"/>
                <w:bCs w:val="1"/>
                <w:color w:val="auto"/>
              </w:rPr>
              <w:t>Description</w:t>
            </w:r>
          </w:p>
        </w:tc>
        <w:tc>
          <w:tcPr>
            <w:tcW w:w="162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 Item 601 of</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5"/>
        </w:trPr>
        <w:tc>
          <w:tcPr>
            <w:tcW w:w="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rPr>
              <w:t>Regulation S-K</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220" w:type="dxa"/>
            <w:vAlign w:val="bottom"/>
            <w:tcBorders>
              <w:bottom w:val="single" w:sz="8" w:color="auto"/>
            </w:tcBorders>
          </w:tcPr>
          <w:p>
            <w:pPr>
              <w:spacing w:after="0"/>
              <w:rPr>
                <w:sz w:val="15"/>
                <w:szCs w:val="15"/>
                <w:color w:val="auto"/>
              </w:rPr>
            </w:pPr>
          </w:p>
        </w:tc>
        <w:tc>
          <w:tcPr>
            <w:tcW w:w="1620" w:type="dxa"/>
            <w:vAlign w:val="bottom"/>
          </w:tcPr>
          <w:p>
            <w:pPr>
              <w:spacing w:after="0"/>
              <w:rPr>
                <w:sz w:val="15"/>
                <w:szCs w:val="15"/>
                <w:color w:val="auto"/>
              </w:rPr>
            </w:pPr>
          </w:p>
        </w:tc>
      </w:tr>
      <w:tr>
        <w:trPr>
          <w:trHeight w:val="195"/>
        </w:trPr>
        <w:tc>
          <w:tcPr>
            <w:tcW w:w="800" w:type="dxa"/>
            <w:vAlign w:val="bottom"/>
            <w:gridSpan w:val="2"/>
          </w:tcPr>
          <w:p>
            <w:pPr>
              <w:ind w:left="240"/>
              <w:spacing w:after="0" w:line="195" w:lineRule="exact"/>
              <w:rPr>
                <w:sz w:val="20"/>
                <w:szCs w:val="20"/>
                <w:color w:val="auto"/>
              </w:rPr>
            </w:pPr>
            <w:r>
              <w:rPr>
                <w:rFonts w:ascii="Arial" w:cs="Arial" w:eastAsia="Arial" w:hAnsi="Arial"/>
                <w:sz w:val="18"/>
                <w:szCs w:val="18"/>
                <w:color w:val="auto"/>
              </w:rPr>
              <w:t>10.8</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520" w:type="dxa"/>
            <w:vAlign w:val="bottom"/>
            <w:gridSpan w:val="2"/>
          </w:tcPr>
          <w:p>
            <w:pPr>
              <w:spacing w:after="0" w:line="195" w:lineRule="exact"/>
              <w:rPr>
                <w:sz w:val="20"/>
                <w:szCs w:val="20"/>
                <w:color w:val="auto"/>
              </w:rPr>
            </w:pPr>
            <w:r>
              <w:rPr>
                <w:rFonts w:ascii="Arial" w:cs="Arial" w:eastAsia="Arial" w:hAnsi="Arial"/>
                <w:sz w:val="18"/>
                <w:szCs w:val="18"/>
                <w:color w:val="auto"/>
              </w:rPr>
              <w:t>Amendment to the Foot Locker Supplemental Executive Retirement Plan (incorporated herein</w:t>
            </w:r>
          </w:p>
        </w:tc>
        <w:tc>
          <w:tcPr>
            <w:tcW w:w="16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2"/>
          </w:tcPr>
          <w:p>
            <w:pPr>
              <w:spacing w:after="0" w:line="202" w:lineRule="exact"/>
              <w:rPr>
                <w:sz w:val="20"/>
                <w:szCs w:val="20"/>
                <w:color w:val="auto"/>
              </w:rPr>
            </w:pPr>
            <w:r>
              <w:rPr>
                <w:rFonts w:ascii="Arial" w:cs="Arial" w:eastAsia="Arial" w:hAnsi="Arial"/>
                <w:sz w:val="18"/>
                <w:szCs w:val="18"/>
                <w:color w:val="auto"/>
              </w:rPr>
              <w:t>by reference to Exhibit 10.1 to the Current Report on form 8-K dated May 25, 2011 filed by the</w:t>
            </w:r>
          </w:p>
        </w:tc>
        <w:tc>
          <w:tcPr>
            <w:tcW w:w="16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2"/>
          </w:tcPr>
          <w:p>
            <w:pPr>
              <w:spacing w:after="0" w:line="202" w:lineRule="exact"/>
              <w:rPr>
                <w:sz w:val="20"/>
                <w:szCs w:val="20"/>
                <w:color w:val="auto"/>
              </w:rPr>
            </w:pPr>
            <w:r>
              <w:rPr>
                <w:rFonts w:ascii="Arial" w:cs="Arial" w:eastAsia="Arial" w:hAnsi="Arial"/>
                <w:sz w:val="18"/>
                <w:szCs w:val="18"/>
                <w:color w:val="auto"/>
              </w:rPr>
              <w:t>Registrant with the SEC on May 27, 2011).</w:t>
            </w:r>
          </w:p>
        </w:tc>
        <w:tc>
          <w:tcPr>
            <w:tcW w:w="1620" w:type="dxa"/>
            <w:vAlign w:val="bottom"/>
          </w:tcPr>
          <w:p>
            <w:pPr>
              <w:spacing w:after="0"/>
              <w:rPr>
                <w:sz w:val="17"/>
                <w:szCs w:val="17"/>
                <w:color w:val="auto"/>
              </w:rPr>
            </w:pPr>
          </w:p>
        </w:tc>
      </w:tr>
      <w:tr>
        <w:trPr>
          <w:trHeight w:val="203"/>
        </w:trPr>
        <w:tc>
          <w:tcPr>
            <w:tcW w:w="8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10.9</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2"/>
          </w:tcPr>
          <w:p>
            <w:pPr>
              <w:spacing w:after="0" w:line="202" w:lineRule="exact"/>
              <w:rPr>
                <w:sz w:val="20"/>
                <w:szCs w:val="20"/>
                <w:color w:val="auto"/>
              </w:rPr>
            </w:pPr>
            <w:r>
              <w:rPr>
                <w:rFonts w:ascii="Arial" w:cs="Arial" w:eastAsia="Arial" w:hAnsi="Arial"/>
                <w:sz w:val="18"/>
                <w:szCs w:val="18"/>
                <w:color w:val="auto"/>
              </w:rPr>
              <w:t>Long-Term Incentive Compensation Plan, as amended and restated (incorporated herein by</w:t>
            </w:r>
          </w:p>
        </w:tc>
        <w:tc>
          <w:tcPr>
            <w:tcW w:w="16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2"/>
          </w:tcPr>
          <w:p>
            <w:pPr>
              <w:spacing w:after="0" w:line="202" w:lineRule="exact"/>
              <w:rPr>
                <w:sz w:val="20"/>
                <w:szCs w:val="20"/>
                <w:color w:val="auto"/>
              </w:rPr>
            </w:pPr>
            <w:r>
              <w:rPr>
                <w:rFonts w:ascii="Arial" w:cs="Arial" w:eastAsia="Arial" w:hAnsi="Arial"/>
                <w:sz w:val="18"/>
                <w:szCs w:val="18"/>
                <w:color w:val="auto"/>
                <w:w w:val="99"/>
              </w:rPr>
              <w:t>reference to Exhibit 10.2 to the Current Report on Form 8-K dated March 28, 2013, filed by the</w:t>
            </w:r>
          </w:p>
        </w:tc>
        <w:tc>
          <w:tcPr>
            <w:tcW w:w="16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2"/>
          </w:tcPr>
          <w:p>
            <w:pPr>
              <w:spacing w:after="0" w:line="202" w:lineRule="exact"/>
              <w:rPr>
                <w:sz w:val="20"/>
                <w:szCs w:val="20"/>
                <w:color w:val="auto"/>
              </w:rPr>
            </w:pPr>
            <w:r>
              <w:rPr>
                <w:rFonts w:ascii="Arial" w:cs="Arial" w:eastAsia="Arial" w:hAnsi="Arial"/>
                <w:sz w:val="18"/>
                <w:szCs w:val="18"/>
                <w:color w:val="auto"/>
              </w:rPr>
              <w:t>Registrant with the SEC on April 1, 2013 (the “March 28, 2013 Form 8-K”)).</w:t>
            </w:r>
          </w:p>
        </w:tc>
        <w:tc>
          <w:tcPr>
            <w:tcW w:w="1620" w:type="dxa"/>
            <w:vAlign w:val="bottom"/>
          </w:tcPr>
          <w:p>
            <w:pPr>
              <w:spacing w:after="0"/>
              <w:rPr>
                <w:sz w:val="17"/>
                <w:szCs w:val="17"/>
                <w:color w:val="auto"/>
              </w:rPr>
            </w:pPr>
          </w:p>
        </w:tc>
      </w:tr>
      <w:tr>
        <w:trPr>
          <w:trHeight w:val="203"/>
        </w:trPr>
        <w:tc>
          <w:tcPr>
            <w:tcW w:w="8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10.10</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2"/>
          </w:tcPr>
          <w:p>
            <w:pPr>
              <w:spacing w:after="0" w:line="202" w:lineRule="exact"/>
              <w:rPr>
                <w:sz w:val="20"/>
                <w:szCs w:val="20"/>
                <w:color w:val="auto"/>
              </w:rPr>
            </w:pPr>
            <w:r>
              <w:rPr>
                <w:rFonts w:ascii="Arial" w:cs="Arial" w:eastAsia="Arial" w:hAnsi="Arial"/>
                <w:sz w:val="18"/>
                <w:szCs w:val="18"/>
                <w:color w:val="auto"/>
              </w:rPr>
              <w:t>Annual Incentive Compensation Plan, as amended and restated (incorporated herein by</w:t>
            </w:r>
          </w:p>
        </w:tc>
        <w:tc>
          <w:tcPr>
            <w:tcW w:w="16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2"/>
          </w:tcPr>
          <w:p>
            <w:pPr>
              <w:spacing w:after="0" w:line="202" w:lineRule="exact"/>
              <w:rPr>
                <w:sz w:val="20"/>
                <w:szCs w:val="20"/>
                <w:color w:val="auto"/>
              </w:rPr>
            </w:pPr>
            <w:r>
              <w:rPr>
                <w:rFonts w:ascii="Arial" w:cs="Arial" w:eastAsia="Arial" w:hAnsi="Arial"/>
                <w:sz w:val="18"/>
                <w:szCs w:val="18"/>
                <w:color w:val="auto"/>
              </w:rPr>
              <w:t>reference to Exhibit 10.1 to the March 28, 2013 Form 8-K).</w:t>
            </w:r>
          </w:p>
        </w:tc>
        <w:tc>
          <w:tcPr>
            <w:tcW w:w="1620" w:type="dxa"/>
            <w:vAlign w:val="bottom"/>
          </w:tcPr>
          <w:p>
            <w:pPr>
              <w:spacing w:after="0"/>
              <w:rPr>
                <w:sz w:val="17"/>
                <w:szCs w:val="17"/>
                <w:color w:val="auto"/>
              </w:rPr>
            </w:pPr>
          </w:p>
        </w:tc>
      </w:tr>
      <w:tr>
        <w:trPr>
          <w:trHeight w:val="203"/>
        </w:trPr>
        <w:tc>
          <w:tcPr>
            <w:tcW w:w="8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10.11</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2"/>
          </w:tcPr>
          <w:p>
            <w:pPr>
              <w:spacing w:after="0" w:line="202" w:lineRule="exact"/>
              <w:rPr>
                <w:sz w:val="20"/>
                <w:szCs w:val="20"/>
                <w:color w:val="auto"/>
              </w:rPr>
            </w:pPr>
            <w:r>
              <w:rPr>
                <w:rFonts w:ascii="Arial" w:cs="Arial" w:eastAsia="Arial" w:hAnsi="Arial"/>
                <w:sz w:val="18"/>
                <w:szCs w:val="18"/>
                <w:color w:val="auto"/>
              </w:rPr>
              <w:t>Form of indemnification agreement, as amended (incorporated herein by reference to Exhibit</w:t>
            </w:r>
          </w:p>
        </w:tc>
        <w:tc>
          <w:tcPr>
            <w:tcW w:w="16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2"/>
          </w:tcPr>
          <w:p>
            <w:pPr>
              <w:spacing w:after="0" w:line="202" w:lineRule="exact"/>
              <w:rPr>
                <w:sz w:val="20"/>
                <w:szCs w:val="20"/>
                <w:color w:val="auto"/>
              </w:rPr>
            </w:pPr>
            <w:r>
              <w:rPr>
                <w:rFonts w:ascii="Arial" w:cs="Arial" w:eastAsia="Arial" w:hAnsi="Arial"/>
                <w:sz w:val="18"/>
                <w:szCs w:val="18"/>
                <w:color w:val="auto"/>
              </w:rPr>
              <w:t>10(g) to the 8-B Registration Statement).</w:t>
            </w:r>
          </w:p>
        </w:tc>
        <w:tc>
          <w:tcPr>
            <w:tcW w:w="1620" w:type="dxa"/>
            <w:vAlign w:val="bottom"/>
          </w:tcPr>
          <w:p>
            <w:pPr>
              <w:spacing w:after="0"/>
              <w:rPr>
                <w:sz w:val="17"/>
                <w:szCs w:val="17"/>
                <w:color w:val="auto"/>
              </w:rPr>
            </w:pPr>
          </w:p>
        </w:tc>
      </w:tr>
      <w:tr>
        <w:trPr>
          <w:trHeight w:val="203"/>
        </w:trPr>
        <w:tc>
          <w:tcPr>
            <w:tcW w:w="8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10.12</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2"/>
          </w:tcPr>
          <w:p>
            <w:pPr>
              <w:spacing w:after="0" w:line="202" w:lineRule="exact"/>
              <w:rPr>
                <w:sz w:val="20"/>
                <w:szCs w:val="20"/>
                <w:color w:val="auto"/>
              </w:rPr>
            </w:pPr>
            <w:r>
              <w:rPr>
                <w:rFonts w:ascii="Arial" w:cs="Arial" w:eastAsia="Arial" w:hAnsi="Arial"/>
                <w:sz w:val="18"/>
                <w:szCs w:val="18"/>
                <w:color w:val="auto"/>
              </w:rPr>
              <w:t>Amendment to form of indemnification agreement (incorporated herein by reference to Exhibit</w:t>
            </w:r>
          </w:p>
        </w:tc>
        <w:tc>
          <w:tcPr>
            <w:tcW w:w="16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2"/>
          </w:tcPr>
          <w:p>
            <w:pPr>
              <w:spacing w:after="0" w:line="202" w:lineRule="exact"/>
              <w:rPr>
                <w:sz w:val="20"/>
                <w:szCs w:val="20"/>
                <w:color w:val="auto"/>
              </w:rPr>
            </w:pPr>
            <w:r>
              <w:rPr>
                <w:rFonts w:ascii="Arial" w:cs="Arial" w:eastAsia="Arial" w:hAnsi="Arial"/>
                <w:sz w:val="18"/>
                <w:szCs w:val="18"/>
                <w:color w:val="auto"/>
              </w:rPr>
              <w:t>10.5 to the Quarterly Report on Form 10-Q for the quarterly period ended May 5, 2001 filed by</w:t>
            </w:r>
          </w:p>
        </w:tc>
        <w:tc>
          <w:tcPr>
            <w:tcW w:w="16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2"/>
          </w:tcPr>
          <w:p>
            <w:pPr>
              <w:spacing w:after="0" w:line="202" w:lineRule="exact"/>
              <w:rPr>
                <w:sz w:val="20"/>
                <w:szCs w:val="20"/>
                <w:color w:val="auto"/>
              </w:rPr>
            </w:pPr>
            <w:r>
              <w:rPr>
                <w:rFonts w:ascii="Arial" w:cs="Arial" w:eastAsia="Arial" w:hAnsi="Arial"/>
                <w:sz w:val="18"/>
                <w:szCs w:val="18"/>
                <w:color w:val="auto"/>
              </w:rPr>
              <w:t>the Registrant with the SEC on June 13, 2001 (the “May 5, 2001 Form 10-Q”)).</w:t>
            </w:r>
          </w:p>
        </w:tc>
        <w:tc>
          <w:tcPr>
            <w:tcW w:w="1620" w:type="dxa"/>
            <w:vAlign w:val="bottom"/>
          </w:tcPr>
          <w:p>
            <w:pPr>
              <w:spacing w:after="0"/>
              <w:rPr>
                <w:sz w:val="17"/>
                <w:szCs w:val="17"/>
                <w:color w:val="auto"/>
              </w:rPr>
            </w:pPr>
          </w:p>
        </w:tc>
      </w:tr>
      <w:tr>
        <w:trPr>
          <w:trHeight w:val="203"/>
        </w:trPr>
        <w:tc>
          <w:tcPr>
            <w:tcW w:w="8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10.13</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2"/>
          </w:tcPr>
          <w:p>
            <w:pPr>
              <w:spacing w:after="0" w:line="202" w:lineRule="exact"/>
              <w:rPr>
                <w:sz w:val="20"/>
                <w:szCs w:val="20"/>
                <w:color w:val="auto"/>
              </w:rPr>
            </w:pPr>
            <w:r>
              <w:rPr>
                <w:rFonts w:ascii="Arial" w:cs="Arial" w:eastAsia="Arial" w:hAnsi="Arial"/>
                <w:sz w:val="18"/>
                <w:szCs w:val="18"/>
                <w:color w:val="auto"/>
              </w:rPr>
              <w:t>Foot Locker Directors Stock Option Plan (incorporated herein by reference to Exhibit 10.1 to</w:t>
            </w:r>
          </w:p>
        </w:tc>
        <w:tc>
          <w:tcPr>
            <w:tcW w:w="16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2"/>
          </w:tcPr>
          <w:p>
            <w:pPr>
              <w:spacing w:after="0" w:line="202" w:lineRule="exact"/>
              <w:rPr>
                <w:sz w:val="20"/>
                <w:szCs w:val="20"/>
                <w:color w:val="auto"/>
              </w:rPr>
            </w:pPr>
            <w:r>
              <w:rPr>
                <w:rFonts w:ascii="Arial" w:cs="Arial" w:eastAsia="Arial" w:hAnsi="Arial"/>
                <w:sz w:val="18"/>
                <w:szCs w:val="18"/>
                <w:color w:val="auto"/>
              </w:rPr>
              <w:t>the July 29, 2000 Form 10-Q).</w:t>
            </w:r>
          </w:p>
        </w:tc>
        <w:tc>
          <w:tcPr>
            <w:tcW w:w="1620" w:type="dxa"/>
            <w:vAlign w:val="bottom"/>
          </w:tcPr>
          <w:p>
            <w:pPr>
              <w:spacing w:after="0"/>
              <w:rPr>
                <w:sz w:val="17"/>
                <w:szCs w:val="17"/>
                <w:color w:val="auto"/>
              </w:rPr>
            </w:pPr>
          </w:p>
        </w:tc>
      </w:tr>
      <w:tr>
        <w:trPr>
          <w:trHeight w:val="203"/>
        </w:trPr>
        <w:tc>
          <w:tcPr>
            <w:tcW w:w="8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10.14</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2"/>
          </w:tcPr>
          <w:p>
            <w:pPr>
              <w:spacing w:after="0" w:line="202" w:lineRule="exact"/>
              <w:rPr>
                <w:sz w:val="20"/>
                <w:szCs w:val="20"/>
                <w:color w:val="auto"/>
              </w:rPr>
            </w:pPr>
            <w:r>
              <w:rPr>
                <w:rFonts w:ascii="Arial" w:cs="Arial" w:eastAsia="Arial" w:hAnsi="Arial"/>
                <w:sz w:val="18"/>
                <w:szCs w:val="18"/>
                <w:color w:val="auto"/>
              </w:rPr>
              <w:t>Trust Agreement dated as of November 12, 1987 (“Trust Agreement”), between F.W.</w:t>
            </w:r>
          </w:p>
        </w:tc>
        <w:tc>
          <w:tcPr>
            <w:tcW w:w="16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2"/>
          </w:tcPr>
          <w:p>
            <w:pPr>
              <w:spacing w:after="0" w:line="202" w:lineRule="exact"/>
              <w:rPr>
                <w:sz w:val="20"/>
                <w:szCs w:val="20"/>
                <w:color w:val="auto"/>
              </w:rPr>
            </w:pPr>
            <w:r>
              <w:rPr>
                <w:rFonts w:ascii="Arial" w:cs="Arial" w:eastAsia="Arial" w:hAnsi="Arial"/>
                <w:sz w:val="18"/>
                <w:szCs w:val="18"/>
                <w:color w:val="auto"/>
              </w:rPr>
              <w:t>Woolworth Co. and The Bank of New York, as amended and assumed by the Registrant</w:t>
            </w:r>
          </w:p>
        </w:tc>
        <w:tc>
          <w:tcPr>
            <w:tcW w:w="16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2"/>
          </w:tcPr>
          <w:p>
            <w:pPr>
              <w:spacing w:after="0" w:line="202" w:lineRule="exact"/>
              <w:rPr>
                <w:sz w:val="20"/>
                <w:szCs w:val="20"/>
                <w:color w:val="auto"/>
              </w:rPr>
            </w:pPr>
            <w:r>
              <w:rPr>
                <w:rFonts w:ascii="Arial" w:cs="Arial" w:eastAsia="Arial" w:hAnsi="Arial"/>
                <w:sz w:val="18"/>
                <w:szCs w:val="18"/>
                <w:color w:val="auto"/>
              </w:rPr>
              <w:t>(incorporated herein by reference to Exhibit 10(j) to the 8-B Registration Statement).</w:t>
            </w:r>
          </w:p>
        </w:tc>
        <w:tc>
          <w:tcPr>
            <w:tcW w:w="1620" w:type="dxa"/>
            <w:vAlign w:val="bottom"/>
          </w:tcPr>
          <w:p>
            <w:pPr>
              <w:spacing w:after="0"/>
              <w:rPr>
                <w:sz w:val="17"/>
                <w:szCs w:val="17"/>
                <w:color w:val="auto"/>
              </w:rPr>
            </w:pPr>
          </w:p>
        </w:tc>
      </w:tr>
      <w:tr>
        <w:trPr>
          <w:trHeight w:val="203"/>
        </w:trPr>
        <w:tc>
          <w:tcPr>
            <w:tcW w:w="8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10.15</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2"/>
          </w:tcPr>
          <w:p>
            <w:pPr>
              <w:spacing w:after="0" w:line="202" w:lineRule="exact"/>
              <w:rPr>
                <w:sz w:val="20"/>
                <w:szCs w:val="20"/>
                <w:color w:val="auto"/>
              </w:rPr>
            </w:pPr>
            <w:r>
              <w:rPr>
                <w:rFonts w:ascii="Arial" w:cs="Arial" w:eastAsia="Arial" w:hAnsi="Arial"/>
                <w:sz w:val="18"/>
                <w:szCs w:val="18"/>
                <w:color w:val="auto"/>
              </w:rPr>
              <w:t>Amendment to Trust Agreement made as of April 11, 2001 (incorporated herein by reference</w:t>
            </w:r>
          </w:p>
        </w:tc>
        <w:tc>
          <w:tcPr>
            <w:tcW w:w="16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2"/>
          </w:tcPr>
          <w:p>
            <w:pPr>
              <w:spacing w:after="0" w:line="202" w:lineRule="exact"/>
              <w:rPr>
                <w:sz w:val="20"/>
                <w:szCs w:val="20"/>
                <w:color w:val="auto"/>
              </w:rPr>
            </w:pPr>
            <w:r>
              <w:rPr>
                <w:rFonts w:ascii="Arial" w:cs="Arial" w:eastAsia="Arial" w:hAnsi="Arial"/>
                <w:sz w:val="18"/>
                <w:szCs w:val="18"/>
                <w:color w:val="auto"/>
              </w:rPr>
              <w:t>to Exhibit 10.4 to the May 5, 2001 Form 10-Q).</w:t>
            </w:r>
          </w:p>
        </w:tc>
        <w:tc>
          <w:tcPr>
            <w:tcW w:w="1620" w:type="dxa"/>
            <w:vAlign w:val="bottom"/>
          </w:tcPr>
          <w:p>
            <w:pPr>
              <w:spacing w:after="0"/>
              <w:rPr>
                <w:sz w:val="17"/>
                <w:szCs w:val="17"/>
                <w:color w:val="auto"/>
              </w:rPr>
            </w:pPr>
          </w:p>
        </w:tc>
      </w:tr>
      <w:tr>
        <w:trPr>
          <w:trHeight w:val="203"/>
        </w:trPr>
        <w:tc>
          <w:tcPr>
            <w:tcW w:w="8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10.16</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2"/>
          </w:tcPr>
          <w:p>
            <w:pPr>
              <w:spacing w:after="0" w:line="202" w:lineRule="exact"/>
              <w:rPr>
                <w:sz w:val="20"/>
                <w:szCs w:val="20"/>
                <w:color w:val="auto"/>
              </w:rPr>
            </w:pPr>
            <w:r>
              <w:rPr>
                <w:rFonts w:ascii="Arial" w:cs="Arial" w:eastAsia="Arial" w:hAnsi="Arial"/>
                <w:sz w:val="18"/>
                <w:szCs w:val="18"/>
                <w:color w:val="auto"/>
              </w:rPr>
              <w:t>Foot Locker Directors’ Retirement Plan, as amended (incorporated herein by reference to</w:t>
            </w:r>
          </w:p>
        </w:tc>
        <w:tc>
          <w:tcPr>
            <w:tcW w:w="16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2"/>
          </w:tcPr>
          <w:p>
            <w:pPr>
              <w:spacing w:after="0" w:line="202" w:lineRule="exact"/>
              <w:rPr>
                <w:sz w:val="20"/>
                <w:szCs w:val="20"/>
                <w:color w:val="auto"/>
              </w:rPr>
            </w:pPr>
            <w:r>
              <w:rPr>
                <w:rFonts w:ascii="Arial" w:cs="Arial" w:eastAsia="Arial" w:hAnsi="Arial"/>
                <w:sz w:val="18"/>
                <w:szCs w:val="18"/>
                <w:color w:val="auto"/>
              </w:rPr>
              <w:t>Exhibit 10(k) to the 8-B Registration Statement).</w:t>
            </w:r>
          </w:p>
        </w:tc>
        <w:tc>
          <w:tcPr>
            <w:tcW w:w="1620" w:type="dxa"/>
            <w:vAlign w:val="bottom"/>
          </w:tcPr>
          <w:p>
            <w:pPr>
              <w:spacing w:after="0"/>
              <w:rPr>
                <w:sz w:val="17"/>
                <w:szCs w:val="17"/>
                <w:color w:val="auto"/>
              </w:rPr>
            </w:pPr>
          </w:p>
        </w:tc>
      </w:tr>
      <w:tr>
        <w:trPr>
          <w:trHeight w:val="203"/>
        </w:trPr>
        <w:tc>
          <w:tcPr>
            <w:tcW w:w="8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10.17</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2"/>
          </w:tcPr>
          <w:p>
            <w:pPr>
              <w:spacing w:after="0" w:line="202" w:lineRule="exact"/>
              <w:rPr>
                <w:sz w:val="20"/>
                <w:szCs w:val="20"/>
                <w:color w:val="auto"/>
              </w:rPr>
            </w:pPr>
            <w:r>
              <w:rPr>
                <w:rFonts w:ascii="Arial" w:cs="Arial" w:eastAsia="Arial" w:hAnsi="Arial"/>
                <w:sz w:val="18"/>
                <w:szCs w:val="18"/>
                <w:color w:val="auto"/>
              </w:rPr>
              <w:t>Amendments to the Foot Locker Directors’ Retirement Plan (incorporated herein by reference</w:t>
            </w:r>
          </w:p>
        </w:tc>
        <w:tc>
          <w:tcPr>
            <w:tcW w:w="16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2"/>
          </w:tcPr>
          <w:p>
            <w:pPr>
              <w:spacing w:after="0" w:line="202" w:lineRule="exact"/>
              <w:rPr>
                <w:sz w:val="20"/>
                <w:szCs w:val="20"/>
                <w:color w:val="auto"/>
              </w:rPr>
            </w:pPr>
            <w:r>
              <w:rPr>
                <w:rFonts w:ascii="Arial" w:cs="Arial" w:eastAsia="Arial" w:hAnsi="Arial"/>
                <w:sz w:val="18"/>
                <w:szCs w:val="18"/>
                <w:color w:val="auto"/>
              </w:rPr>
              <w:t>to Exhibit 10(c) to the Registrant’s Quarterly Report on Form 10-Q for the period ended</w:t>
            </w:r>
          </w:p>
        </w:tc>
        <w:tc>
          <w:tcPr>
            <w:tcW w:w="16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2"/>
          </w:tcPr>
          <w:p>
            <w:pPr>
              <w:spacing w:after="0" w:line="202" w:lineRule="exact"/>
              <w:rPr>
                <w:sz w:val="20"/>
                <w:szCs w:val="20"/>
                <w:color w:val="auto"/>
              </w:rPr>
            </w:pPr>
            <w:r>
              <w:rPr>
                <w:rFonts w:ascii="Arial" w:cs="Arial" w:eastAsia="Arial" w:hAnsi="Arial"/>
                <w:sz w:val="18"/>
                <w:szCs w:val="18"/>
                <w:color w:val="auto"/>
              </w:rPr>
              <w:t>October 28, 1995, filed by the Registrant with the SEC on December 11, 1995).</w:t>
            </w:r>
          </w:p>
        </w:tc>
        <w:tc>
          <w:tcPr>
            <w:tcW w:w="1620" w:type="dxa"/>
            <w:vAlign w:val="bottom"/>
          </w:tcPr>
          <w:p>
            <w:pPr>
              <w:spacing w:after="0"/>
              <w:rPr>
                <w:sz w:val="17"/>
                <w:szCs w:val="17"/>
                <w:color w:val="auto"/>
              </w:rPr>
            </w:pPr>
          </w:p>
        </w:tc>
      </w:tr>
      <w:tr>
        <w:trPr>
          <w:trHeight w:val="203"/>
        </w:trPr>
        <w:tc>
          <w:tcPr>
            <w:tcW w:w="8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10.18</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2"/>
          </w:tcPr>
          <w:p>
            <w:pPr>
              <w:spacing w:after="0" w:line="202" w:lineRule="exact"/>
              <w:rPr>
                <w:sz w:val="20"/>
                <w:szCs w:val="20"/>
                <w:color w:val="auto"/>
              </w:rPr>
            </w:pPr>
            <w:r>
              <w:rPr>
                <w:rFonts w:ascii="Arial" w:cs="Arial" w:eastAsia="Arial" w:hAnsi="Arial"/>
                <w:sz w:val="18"/>
                <w:szCs w:val="18"/>
                <w:color w:val="auto"/>
              </w:rPr>
              <w:t>Employment Agreement with Ken C. Hicks dated June 25, 2009 (incorporated herein by</w:t>
            </w:r>
          </w:p>
        </w:tc>
        <w:tc>
          <w:tcPr>
            <w:tcW w:w="16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2"/>
          </w:tcPr>
          <w:p>
            <w:pPr>
              <w:spacing w:after="0" w:line="202" w:lineRule="exact"/>
              <w:rPr>
                <w:sz w:val="20"/>
                <w:szCs w:val="20"/>
                <w:color w:val="auto"/>
              </w:rPr>
            </w:pPr>
            <w:r>
              <w:rPr>
                <w:rFonts w:ascii="Arial" w:cs="Arial" w:eastAsia="Arial" w:hAnsi="Arial"/>
                <w:sz w:val="18"/>
                <w:szCs w:val="18"/>
                <w:color w:val="auto"/>
              </w:rPr>
              <w:t>reference to Exhibit 10.2 to the June 26, 2009 Form 8-K).</w:t>
            </w:r>
          </w:p>
        </w:tc>
        <w:tc>
          <w:tcPr>
            <w:tcW w:w="1620" w:type="dxa"/>
            <w:vAlign w:val="bottom"/>
          </w:tcPr>
          <w:p>
            <w:pPr>
              <w:spacing w:after="0"/>
              <w:rPr>
                <w:sz w:val="17"/>
                <w:szCs w:val="17"/>
                <w:color w:val="auto"/>
              </w:rPr>
            </w:pPr>
          </w:p>
        </w:tc>
      </w:tr>
      <w:tr>
        <w:trPr>
          <w:trHeight w:val="203"/>
        </w:trPr>
        <w:tc>
          <w:tcPr>
            <w:tcW w:w="8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10.19</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2"/>
          </w:tcPr>
          <w:p>
            <w:pPr>
              <w:spacing w:after="0" w:line="202" w:lineRule="exact"/>
              <w:rPr>
                <w:sz w:val="20"/>
                <w:szCs w:val="20"/>
                <w:color w:val="auto"/>
              </w:rPr>
            </w:pPr>
            <w:r>
              <w:rPr>
                <w:rFonts w:ascii="Arial" w:cs="Arial" w:eastAsia="Arial" w:hAnsi="Arial"/>
                <w:sz w:val="18"/>
                <w:szCs w:val="18"/>
                <w:color w:val="auto"/>
                <w:w w:val="99"/>
              </w:rPr>
              <w:t>Form of Senior Executive Employment Agreement (incorporated herein by reference to Exhibit</w:t>
            </w:r>
          </w:p>
        </w:tc>
        <w:tc>
          <w:tcPr>
            <w:tcW w:w="16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2"/>
          </w:tcPr>
          <w:p>
            <w:pPr>
              <w:spacing w:after="0" w:line="202" w:lineRule="exact"/>
              <w:rPr>
                <w:sz w:val="20"/>
                <w:szCs w:val="20"/>
                <w:color w:val="auto"/>
              </w:rPr>
            </w:pPr>
            <w:r>
              <w:rPr>
                <w:rFonts w:ascii="Arial" w:cs="Arial" w:eastAsia="Arial" w:hAnsi="Arial"/>
                <w:sz w:val="18"/>
                <w:szCs w:val="18"/>
                <w:color w:val="auto"/>
              </w:rPr>
              <w:t>10.2 to the Registrant’s December 12, 2008 Form 8-K).</w:t>
            </w:r>
          </w:p>
        </w:tc>
        <w:tc>
          <w:tcPr>
            <w:tcW w:w="1620" w:type="dxa"/>
            <w:vAlign w:val="bottom"/>
          </w:tcPr>
          <w:p>
            <w:pPr>
              <w:spacing w:after="0"/>
              <w:rPr>
                <w:sz w:val="17"/>
                <w:szCs w:val="17"/>
                <w:color w:val="auto"/>
              </w:rPr>
            </w:pPr>
          </w:p>
        </w:tc>
      </w:tr>
      <w:tr>
        <w:trPr>
          <w:trHeight w:val="203"/>
        </w:trPr>
        <w:tc>
          <w:tcPr>
            <w:tcW w:w="8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10.20</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2"/>
          </w:tcPr>
          <w:p>
            <w:pPr>
              <w:spacing w:after="0" w:line="202" w:lineRule="exact"/>
              <w:rPr>
                <w:sz w:val="20"/>
                <w:szCs w:val="20"/>
                <w:color w:val="auto"/>
              </w:rPr>
            </w:pPr>
            <w:r>
              <w:rPr>
                <w:rFonts w:ascii="Arial" w:cs="Arial" w:eastAsia="Arial" w:hAnsi="Arial"/>
                <w:sz w:val="18"/>
                <w:szCs w:val="18"/>
                <w:color w:val="auto"/>
              </w:rPr>
              <w:t>Form of Executive Employment Agreement (incorporated herein by reference to Exhibit 10.21</w:t>
            </w:r>
          </w:p>
        </w:tc>
        <w:tc>
          <w:tcPr>
            <w:tcW w:w="16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2"/>
          </w:tcPr>
          <w:p>
            <w:pPr>
              <w:spacing w:after="0" w:line="202" w:lineRule="exact"/>
              <w:rPr>
                <w:sz w:val="20"/>
                <w:szCs w:val="20"/>
                <w:color w:val="auto"/>
              </w:rPr>
            </w:pPr>
            <w:r>
              <w:rPr>
                <w:rFonts w:ascii="Arial" w:cs="Arial" w:eastAsia="Arial" w:hAnsi="Arial"/>
                <w:sz w:val="18"/>
                <w:szCs w:val="18"/>
                <w:color w:val="auto"/>
              </w:rPr>
              <w:t>to the 2008 Form 10-K).</w:t>
            </w:r>
          </w:p>
        </w:tc>
        <w:tc>
          <w:tcPr>
            <w:tcW w:w="1620" w:type="dxa"/>
            <w:vAlign w:val="bottom"/>
          </w:tcPr>
          <w:p>
            <w:pPr>
              <w:spacing w:after="0"/>
              <w:rPr>
                <w:sz w:val="17"/>
                <w:szCs w:val="17"/>
                <w:color w:val="auto"/>
              </w:rPr>
            </w:pPr>
          </w:p>
        </w:tc>
      </w:tr>
      <w:tr>
        <w:trPr>
          <w:trHeight w:val="203"/>
        </w:trPr>
        <w:tc>
          <w:tcPr>
            <w:tcW w:w="8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10.21</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2"/>
          </w:tcPr>
          <w:p>
            <w:pPr>
              <w:spacing w:after="0" w:line="202" w:lineRule="exact"/>
              <w:rPr>
                <w:sz w:val="20"/>
                <w:szCs w:val="20"/>
                <w:color w:val="auto"/>
              </w:rPr>
            </w:pPr>
            <w:r>
              <w:rPr>
                <w:rFonts w:ascii="Arial" w:cs="Arial" w:eastAsia="Arial" w:hAnsi="Arial"/>
                <w:sz w:val="18"/>
                <w:szCs w:val="18"/>
                <w:color w:val="auto"/>
              </w:rPr>
              <w:t>Foot Locker, Inc. Excess Cash Balance Plan (incorporated herein by reference to Exhibit</w:t>
            </w:r>
          </w:p>
        </w:tc>
        <w:tc>
          <w:tcPr>
            <w:tcW w:w="16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2"/>
          </w:tcPr>
          <w:p>
            <w:pPr>
              <w:spacing w:after="0" w:line="202" w:lineRule="exact"/>
              <w:rPr>
                <w:sz w:val="20"/>
                <w:szCs w:val="20"/>
                <w:color w:val="auto"/>
              </w:rPr>
            </w:pPr>
            <w:r>
              <w:rPr>
                <w:rFonts w:ascii="Arial" w:cs="Arial" w:eastAsia="Arial" w:hAnsi="Arial"/>
                <w:sz w:val="18"/>
                <w:szCs w:val="18"/>
                <w:color w:val="auto"/>
              </w:rPr>
              <w:t>10.22 to the 2008 Form 10-K).</w:t>
            </w:r>
          </w:p>
        </w:tc>
        <w:tc>
          <w:tcPr>
            <w:tcW w:w="1620" w:type="dxa"/>
            <w:vAlign w:val="bottom"/>
          </w:tcPr>
          <w:p>
            <w:pPr>
              <w:spacing w:after="0"/>
              <w:rPr>
                <w:sz w:val="17"/>
                <w:szCs w:val="17"/>
                <w:color w:val="auto"/>
              </w:rPr>
            </w:pPr>
          </w:p>
        </w:tc>
      </w:tr>
      <w:tr>
        <w:trPr>
          <w:trHeight w:val="203"/>
        </w:trPr>
        <w:tc>
          <w:tcPr>
            <w:tcW w:w="8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10.22</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2"/>
          </w:tcPr>
          <w:p>
            <w:pPr>
              <w:spacing w:after="0" w:line="202" w:lineRule="exact"/>
              <w:rPr>
                <w:sz w:val="20"/>
                <w:szCs w:val="20"/>
                <w:color w:val="auto"/>
              </w:rPr>
            </w:pPr>
            <w:r>
              <w:rPr>
                <w:rFonts w:ascii="Arial" w:cs="Arial" w:eastAsia="Arial" w:hAnsi="Arial"/>
                <w:sz w:val="18"/>
                <w:szCs w:val="18"/>
                <w:color w:val="auto"/>
              </w:rPr>
              <w:t>Form of Restricted Stock Agreement (incorporated herein by reference to Exhibit 10.30 to the</w:t>
            </w:r>
          </w:p>
        </w:tc>
        <w:tc>
          <w:tcPr>
            <w:tcW w:w="16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2"/>
          </w:tcPr>
          <w:p>
            <w:pPr>
              <w:spacing w:after="0" w:line="202" w:lineRule="exact"/>
              <w:rPr>
                <w:sz w:val="20"/>
                <w:szCs w:val="20"/>
                <w:color w:val="auto"/>
              </w:rPr>
            </w:pPr>
            <w:r>
              <w:rPr>
                <w:rFonts w:ascii="Arial" w:cs="Arial" w:eastAsia="Arial" w:hAnsi="Arial"/>
                <w:sz w:val="18"/>
                <w:szCs w:val="18"/>
                <w:color w:val="auto"/>
              </w:rPr>
              <w:t>Registrant’s Annual Report on Form 10-K for the year ended January 30, 1999 filed by the</w:t>
            </w:r>
          </w:p>
        </w:tc>
        <w:tc>
          <w:tcPr>
            <w:tcW w:w="16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2"/>
          </w:tcPr>
          <w:p>
            <w:pPr>
              <w:spacing w:after="0" w:line="202" w:lineRule="exact"/>
              <w:rPr>
                <w:sz w:val="20"/>
                <w:szCs w:val="20"/>
                <w:color w:val="auto"/>
              </w:rPr>
            </w:pPr>
            <w:r>
              <w:rPr>
                <w:rFonts w:ascii="Arial" w:cs="Arial" w:eastAsia="Arial" w:hAnsi="Arial"/>
                <w:sz w:val="18"/>
                <w:szCs w:val="18"/>
                <w:color w:val="auto"/>
              </w:rPr>
              <w:t>Registrant on April 30, 1999 (the “1998 Form 10-K”)).</w:t>
            </w:r>
          </w:p>
        </w:tc>
        <w:tc>
          <w:tcPr>
            <w:tcW w:w="1620" w:type="dxa"/>
            <w:vAlign w:val="bottom"/>
          </w:tcPr>
          <w:p>
            <w:pPr>
              <w:spacing w:after="0"/>
              <w:rPr>
                <w:sz w:val="17"/>
                <w:szCs w:val="17"/>
                <w:color w:val="auto"/>
              </w:rPr>
            </w:pPr>
          </w:p>
        </w:tc>
      </w:tr>
      <w:tr>
        <w:trPr>
          <w:trHeight w:val="203"/>
        </w:trPr>
        <w:tc>
          <w:tcPr>
            <w:tcW w:w="8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10.23</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2"/>
          </w:tcPr>
          <w:p>
            <w:pPr>
              <w:spacing w:after="0" w:line="202" w:lineRule="exact"/>
              <w:rPr>
                <w:sz w:val="20"/>
                <w:szCs w:val="20"/>
                <w:color w:val="auto"/>
              </w:rPr>
            </w:pPr>
            <w:r>
              <w:rPr>
                <w:rFonts w:ascii="Arial" w:cs="Arial" w:eastAsia="Arial" w:hAnsi="Arial"/>
                <w:sz w:val="18"/>
                <w:szCs w:val="18"/>
                <w:color w:val="auto"/>
              </w:rPr>
              <w:t>Foot Locker 2002 Directors Stock Plan (incorporated herein by reference to Exhibit 10.24 to</w:t>
            </w:r>
          </w:p>
        </w:tc>
        <w:tc>
          <w:tcPr>
            <w:tcW w:w="16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2"/>
          </w:tcPr>
          <w:p>
            <w:pPr>
              <w:spacing w:after="0" w:line="202" w:lineRule="exact"/>
              <w:rPr>
                <w:sz w:val="20"/>
                <w:szCs w:val="20"/>
                <w:color w:val="auto"/>
              </w:rPr>
            </w:pPr>
            <w:r>
              <w:rPr>
                <w:rFonts w:ascii="Arial" w:cs="Arial" w:eastAsia="Arial" w:hAnsi="Arial"/>
                <w:sz w:val="18"/>
                <w:szCs w:val="18"/>
                <w:color w:val="auto"/>
              </w:rPr>
              <w:t>the 2008 Form 10-K).</w:t>
            </w:r>
          </w:p>
        </w:tc>
        <w:tc>
          <w:tcPr>
            <w:tcW w:w="1620" w:type="dxa"/>
            <w:vAlign w:val="bottom"/>
          </w:tcPr>
          <w:p>
            <w:pPr>
              <w:spacing w:after="0"/>
              <w:rPr>
                <w:sz w:val="17"/>
                <w:szCs w:val="17"/>
                <w:color w:val="auto"/>
              </w:rPr>
            </w:pPr>
          </w:p>
        </w:tc>
      </w:tr>
      <w:tr>
        <w:trPr>
          <w:trHeight w:val="203"/>
        </w:trPr>
        <w:tc>
          <w:tcPr>
            <w:tcW w:w="8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10.24</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2"/>
          </w:tcPr>
          <w:p>
            <w:pPr>
              <w:spacing w:after="0" w:line="202" w:lineRule="exact"/>
              <w:rPr>
                <w:sz w:val="20"/>
                <w:szCs w:val="20"/>
                <w:color w:val="auto"/>
              </w:rPr>
            </w:pPr>
            <w:r>
              <w:rPr>
                <w:rFonts w:ascii="Arial" w:cs="Arial" w:eastAsia="Arial" w:hAnsi="Arial"/>
                <w:sz w:val="18"/>
                <w:szCs w:val="18"/>
                <w:color w:val="auto"/>
              </w:rPr>
              <w:t>Foot Locker 2003 Stock Option and Award Plan (incorporated herein by reference to Exhibit</w:t>
            </w:r>
          </w:p>
        </w:tc>
        <w:tc>
          <w:tcPr>
            <w:tcW w:w="16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2"/>
          </w:tcPr>
          <w:p>
            <w:pPr>
              <w:spacing w:after="0" w:line="202" w:lineRule="exact"/>
              <w:rPr>
                <w:sz w:val="20"/>
                <w:szCs w:val="20"/>
                <w:color w:val="auto"/>
              </w:rPr>
            </w:pPr>
            <w:r>
              <w:rPr>
                <w:rFonts w:ascii="Arial" w:cs="Arial" w:eastAsia="Arial" w:hAnsi="Arial"/>
                <w:sz w:val="18"/>
                <w:szCs w:val="18"/>
                <w:color w:val="auto"/>
              </w:rPr>
              <w:t>10.2 to the Quarterly Report on Form 10-Q for the quarterly period ended August 2, 2003 filed</w:t>
            </w:r>
          </w:p>
        </w:tc>
        <w:tc>
          <w:tcPr>
            <w:tcW w:w="16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2"/>
          </w:tcPr>
          <w:p>
            <w:pPr>
              <w:spacing w:after="0" w:line="202" w:lineRule="exact"/>
              <w:rPr>
                <w:sz w:val="20"/>
                <w:szCs w:val="20"/>
                <w:color w:val="auto"/>
              </w:rPr>
            </w:pPr>
            <w:r>
              <w:rPr>
                <w:rFonts w:ascii="Arial" w:cs="Arial" w:eastAsia="Arial" w:hAnsi="Arial"/>
                <w:sz w:val="18"/>
                <w:szCs w:val="18"/>
                <w:color w:val="auto"/>
              </w:rPr>
              <w:t>by the Registrant with the SEC on September 15, 2003).</w:t>
            </w:r>
          </w:p>
        </w:tc>
        <w:tc>
          <w:tcPr>
            <w:tcW w:w="1620" w:type="dxa"/>
            <w:vAlign w:val="bottom"/>
          </w:tcPr>
          <w:p>
            <w:pPr>
              <w:spacing w:after="0"/>
              <w:rPr>
                <w:sz w:val="17"/>
                <w:szCs w:val="17"/>
                <w:color w:val="auto"/>
              </w:rPr>
            </w:pPr>
          </w:p>
        </w:tc>
      </w:tr>
      <w:tr>
        <w:trPr>
          <w:trHeight w:val="203"/>
        </w:trPr>
        <w:tc>
          <w:tcPr>
            <w:tcW w:w="8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10.25</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2"/>
          </w:tcPr>
          <w:p>
            <w:pPr>
              <w:spacing w:after="0" w:line="202" w:lineRule="exact"/>
              <w:rPr>
                <w:sz w:val="20"/>
                <w:szCs w:val="20"/>
                <w:color w:val="auto"/>
              </w:rPr>
            </w:pPr>
            <w:r>
              <w:rPr>
                <w:rFonts w:ascii="Arial" w:cs="Arial" w:eastAsia="Arial" w:hAnsi="Arial"/>
                <w:sz w:val="18"/>
                <w:szCs w:val="18"/>
                <w:color w:val="auto"/>
              </w:rPr>
              <w:t>Automobile Expense Reimbursement Program for Senior Executives (incorporated herein by</w:t>
            </w:r>
          </w:p>
        </w:tc>
        <w:tc>
          <w:tcPr>
            <w:tcW w:w="16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2"/>
          </w:tcPr>
          <w:p>
            <w:pPr>
              <w:spacing w:after="0" w:line="202" w:lineRule="exact"/>
              <w:rPr>
                <w:sz w:val="20"/>
                <w:szCs w:val="20"/>
                <w:color w:val="auto"/>
              </w:rPr>
            </w:pPr>
            <w:r>
              <w:rPr>
                <w:rFonts w:ascii="Arial" w:cs="Arial" w:eastAsia="Arial" w:hAnsi="Arial"/>
                <w:sz w:val="18"/>
                <w:szCs w:val="18"/>
                <w:color w:val="auto"/>
              </w:rPr>
              <w:t>reference to Exhibit 10.26 to the 2008 Form 10-K).</w:t>
            </w:r>
          </w:p>
        </w:tc>
        <w:tc>
          <w:tcPr>
            <w:tcW w:w="1620" w:type="dxa"/>
            <w:vAlign w:val="bottom"/>
          </w:tcPr>
          <w:p>
            <w:pPr>
              <w:spacing w:after="0"/>
              <w:rPr>
                <w:sz w:val="17"/>
                <w:szCs w:val="17"/>
                <w:color w:val="auto"/>
              </w:rPr>
            </w:pPr>
          </w:p>
        </w:tc>
      </w:tr>
      <w:tr>
        <w:trPr>
          <w:trHeight w:val="203"/>
        </w:trPr>
        <w:tc>
          <w:tcPr>
            <w:tcW w:w="8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10.26</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2"/>
          </w:tcPr>
          <w:p>
            <w:pPr>
              <w:spacing w:after="0" w:line="202" w:lineRule="exact"/>
              <w:rPr>
                <w:sz w:val="20"/>
                <w:szCs w:val="20"/>
                <w:color w:val="auto"/>
              </w:rPr>
            </w:pPr>
            <w:r>
              <w:rPr>
                <w:rFonts w:ascii="Arial" w:cs="Arial" w:eastAsia="Arial" w:hAnsi="Arial"/>
                <w:sz w:val="18"/>
                <w:szCs w:val="18"/>
                <w:color w:val="auto"/>
              </w:rPr>
              <w:t>Executive Medical Expense Allowance Program for Senior Executives (incorporated herein by</w:t>
            </w:r>
          </w:p>
        </w:tc>
        <w:tc>
          <w:tcPr>
            <w:tcW w:w="16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2"/>
          </w:tcPr>
          <w:p>
            <w:pPr>
              <w:spacing w:after="0" w:line="202" w:lineRule="exact"/>
              <w:rPr>
                <w:sz w:val="20"/>
                <w:szCs w:val="20"/>
                <w:color w:val="auto"/>
              </w:rPr>
            </w:pPr>
            <w:r>
              <w:rPr>
                <w:rFonts w:ascii="Arial" w:cs="Arial" w:eastAsia="Arial" w:hAnsi="Arial"/>
                <w:sz w:val="18"/>
                <w:szCs w:val="18"/>
                <w:color w:val="auto"/>
              </w:rPr>
              <w:t>reference to Exhibit 10.27 to the 2008 Form 10-K).</w:t>
            </w:r>
          </w:p>
        </w:tc>
        <w:tc>
          <w:tcPr>
            <w:tcW w:w="1620" w:type="dxa"/>
            <w:vAlign w:val="bottom"/>
          </w:tcPr>
          <w:p>
            <w:pPr>
              <w:spacing w:after="0"/>
              <w:rPr>
                <w:sz w:val="17"/>
                <w:szCs w:val="17"/>
                <w:color w:val="auto"/>
              </w:rPr>
            </w:pPr>
          </w:p>
        </w:tc>
      </w:tr>
      <w:tr>
        <w:trPr>
          <w:trHeight w:val="203"/>
        </w:trPr>
        <w:tc>
          <w:tcPr>
            <w:tcW w:w="8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10.27</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2"/>
          </w:tcPr>
          <w:p>
            <w:pPr>
              <w:spacing w:after="0" w:line="202" w:lineRule="exact"/>
              <w:rPr>
                <w:sz w:val="20"/>
                <w:szCs w:val="20"/>
                <w:color w:val="auto"/>
              </w:rPr>
            </w:pPr>
            <w:r>
              <w:rPr>
                <w:rFonts w:ascii="Arial" w:cs="Arial" w:eastAsia="Arial" w:hAnsi="Arial"/>
                <w:sz w:val="18"/>
                <w:szCs w:val="18"/>
                <w:color w:val="auto"/>
              </w:rPr>
              <w:t>Financial Planning Allowance Program for Senior Executives (incorporated herein by</w:t>
            </w:r>
          </w:p>
        </w:tc>
        <w:tc>
          <w:tcPr>
            <w:tcW w:w="1620" w:type="dxa"/>
            <w:vAlign w:val="bottom"/>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reference to Exhibit 10.28 to the 2008 Form 10-K).</w:t>
            </w:r>
          </w:p>
        </w:tc>
        <w:tc>
          <w:tcPr>
            <w:tcW w:w="1620" w:type="dxa"/>
            <w:vAlign w:val="bottom"/>
          </w:tcPr>
          <w:p>
            <w:pPr>
              <w:spacing w:after="0"/>
              <w:rPr>
                <w:sz w:val="18"/>
                <w:szCs w:val="18"/>
                <w:color w:val="auto"/>
              </w:rPr>
            </w:pPr>
          </w:p>
        </w:tc>
      </w:tr>
      <w:tr>
        <w:trPr>
          <w:trHeight w:val="756"/>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80" w:type="dxa"/>
            <w:vAlign w:val="bottom"/>
            <w:gridSpan w:val="3"/>
          </w:tcPr>
          <w:p>
            <w:pPr>
              <w:jc w:val="right"/>
              <w:ind w:right="3948"/>
              <w:spacing w:after="0"/>
              <w:rPr>
                <w:sz w:val="20"/>
                <w:szCs w:val="20"/>
                <w:color w:val="auto"/>
              </w:rPr>
            </w:pPr>
            <w:r>
              <w:rPr>
                <w:rFonts w:ascii="Arial" w:cs="Arial" w:eastAsia="Arial" w:hAnsi="Arial"/>
                <w:sz w:val="18"/>
                <w:szCs w:val="18"/>
                <w:color w:val="auto"/>
              </w:rPr>
              <w:t>78</w:t>
            </w:r>
          </w:p>
        </w:tc>
        <w:tc>
          <w:tcPr>
            <w:tcW w:w="162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722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7220" w:type="dxa"/>
            <w:vAlign w:val="bottom"/>
            <w:tcBorders>
              <w:bottom w:val="single" w:sz="8" w:color="EEEEEE"/>
            </w:tcBorders>
          </w:tcPr>
          <w:p>
            <w:pPr>
              <w:spacing w:after="0" w:line="20" w:lineRule="exact"/>
              <w:rPr>
                <w:sz w:val="1"/>
                <w:szCs w:val="1"/>
                <w:color w:val="auto"/>
              </w:rPr>
            </w:pPr>
          </w:p>
        </w:tc>
        <w:tc>
          <w:tcPr>
            <w:tcW w:w="16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802" w:right="1139" w:bottom="1440" w:gutter="0" w:footer="0" w:header="0"/>
        </w:sectPr>
      </w:pPr>
    </w:p>
    <w:bookmarkStart w:id="80" w:name="page81"/>
    <w:bookmarkEnd w:id="80"/>
    <w:p>
      <w:pPr>
        <w:ind w:left="20"/>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-76200</wp:posOffset>
            </wp:positionV>
            <wp:extent cx="553148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080" w:type="dxa"/>
            <w:vAlign w:val="bottom"/>
            <w:tcBorders>
              <w:top w:val="single" w:sz="8" w:color="0000EE"/>
            </w:tcBorders>
          </w:tcPr>
          <w:p>
            <w:pPr>
              <w:jc w:val="center"/>
              <w:spacing w:after="0" w:line="143" w:lineRule="exact"/>
              <w:rPr>
                <w:sz w:val="20"/>
                <w:szCs w:val="20"/>
                <w:color w:val="auto"/>
              </w:rPr>
            </w:pPr>
            <w:r>
              <w:rPr>
                <w:rFonts w:ascii="Arial" w:cs="Arial" w:eastAsia="Arial" w:hAnsi="Arial"/>
                <w:sz w:val="14"/>
                <w:szCs w:val="14"/>
                <w:b w:val="1"/>
                <w:bCs w:val="1"/>
                <w:color w:val="auto"/>
              </w:rPr>
              <w:t>Exhibit No.</w:t>
            </w:r>
          </w:p>
        </w:tc>
        <w:tc>
          <w:tcPr>
            <w:tcW w:w="160" w:type="dxa"/>
            <w:vAlign w:val="bottom"/>
            <w:tcBorders>
              <w:top w:val="single" w:sz="8" w:color="0000EE"/>
            </w:tcBorders>
          </w:tcPr>
          <w:p>
            <w:pPr>
              <w:spacing w:after="0"/>
              <w:rPr>
                <w:sz w:val="12"/>
                <w:szCs w:val="12"/>
                <w:color w:val="auto"/>
              </w:rPr>
            </w:pPr>
          </w:p>
        </w:tc>
        <w:tc>
          <w:tcPr>
            <w:tcW w:w="300" w:type="dxa"/>
            <w:vAlign w:val="bottom"/>
            <w:tcBorders>
              <w:top w:val="single" w:sz="8" w:color="0000EE"/>
            </w:tcBorders>
          </w:tcPr>
          <w:p>
            <w:pPr>
              <w:spacing w:after="0"/>
              <w:rPr>
                <w:sz w:val="12"/>
                <w:szCs w:val="12"/>
                <w:color w:val="auto"/>
              </w:rPr>
            </w:pPr>
          </w:p>
        </w:tc>
        <w:tc>
          <w:tcPr>
            <w:tcW w:w="7240" w:type="dxa"/>
            <w:vAlign w:val="bottom"/>
            <w:gridSpan w:val="2"/>
          </w:tcPr>
          <w:p>
            <w:pPr>
              <w:ind w:left="3060"/>
              <w:spacing w:after="0" w:line="143" w:lineRule="exact"/>
              <w:rPr>
                <w:sz w:val="20"/>
                <w:szCs w:val="20"/>
                <w:color w:val="auto"/>
              </w:rPr>
            </w:pPr>
            <w:r>
              <w:rPr>
                <w:rFonts w:ascii="Arial" w:cs="Arial" w:eastAsia="Arial" w:hAnsi="Arial"/>
                <w:sz w:val="14"/>
                <w:szCs w:val="14"/>
                <w:b w:val="1"/>
                <w:bCs w:val="1"/>
                <w:color w:val="auto"/>
              </w:rPr>
              <w:t>Description</w:t>
            </w:r>
          </w:p>
        </w:tc>
      </w:tr>
      <w:tr>
        <w:trPr>
          <w:trHeight w:val="162"/>
        </w:trPr>
        <w:tc>
          <w:tcPr>
            <w:tcW w:w="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in Item 601 of</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Regulation S-K</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2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95"/>
        </w:trPr>
        <w:tc>
          <w:tcPr>
            <w:tcW w:w="1100" w:type="dxa"/>
            <w:vAlign w:val="bottom"/>
            <w:gridSpan w:val="2"/>
          </w:tcPr>
          <w:p>
            <w:pPr>
              <w:ind w:left="240"/>
              <w:spacing w:after="0" w:line="195" w:lineRule="exact"/>
              <w:rPr>
                <w:sz w:val="20"/>
                <w:szCs w:val="20"/>
                <w:color w:val="auto"/>
              </w:rPr>
            </w:pPr>
            <w:r>
              <w:rPr>
                <w:rFonts w:ascii="Arial" w:cs="Arial" w:eastAsia="Arial" w:hAnsi="Arial"/>
                <w:sz w:val="18"/>
                <w:szCs w:val="18"/>
                <w:color w:val="auto"/>
              </w:rPr>
              <w:t>10.28</w:t>
            </w:r>
          </w:p>
        </w:tc>
        <w:tc>
          <w:tcPr>
            <w:tcW w:w="160" w:type="dxa"/>
            <w:vAlign w:val="bottom"/>
          </w:tcPr>
          <w:p>
            <w:pPr>
              <w:spacing w:after="0"/>
              <w:rPr>
                <w:sz w:val="16"/>
                <w:szCs w:val="16"/>
                <w:color w:val="auto"/>
              </w:rPr>
            </w:pPr>
          </w:p>
        </w:tc>
        <w:tc>
          <w:tcPr>
            <w:tcW w:w="7520" w:type="dxa"/>
            <w:vAlign w:val="bottom"/>
            <w:gridSpan w:val="2"/>
          </w:tcPr>
          <w:p>
            <w:pPr>
              <w:spacing w:after="0" w:line="195" w:lineRule="exact"/>
              <w:rPr>
                <w:sz w:val="20"/>
                <w:szCs w:val="20"/>
                <w:color w:val="auto"/>
              </w:rPr>
            </w:pPr>
            <w:r>
              <w:rPr>
                <w:rFonts w:ascii="Arial" w:cs="Arial" w:eastAsia="Arial" w:hAnsi="Arial"/>
                <w:sz w:val="18"/>
                <w:szCs w:val="18"/>
                <w:color w:val="auto"/>
              </w:rPr>
              <w:t>Form of Nonstatutory Stock Option Award Agreement for Executive Officers (incorporated</w:t>
            </w:r>
          </w:p>
        </w:tc>
        <w:tc>
          <w:tcPr>
            <w:tcW w:w="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40" w:type="dxa"/>
            <w:vAlign w:val="bottom"/>
            <w:gridSpan w:val="3"/>
          </w:tcPr>
          <w:p>
            <w:pPr>
              <w:spacing w:after="0" w:line="202" w:lineRule="exact"/>
              <w:rPr>
                <w:sz w:val="20"/>
                <w:szCs w:val="20"/>
                <w:color w:val="auto"/>
              </w:rPr>
            </w:pPr>
            <w:r>
              <w:rPr>
                <w:rFonts w:ascii="Arial" w:cs="Arial" w:eastAsia="Arial" w:hAnsi="Arial"/>
                <w:sz w:val="18"/>
                <w:szCs w:val="18"/>
                <w:color w:val="auto"/>
              </w:rPr>
              <w:t>herein by reference to Exhibit 10.40 to the Annual Report on Form 10-K for the year ended</w:t>
            </w:r>
          </w:p>
        </w:tc>
      </w:tr>
      <w:tr>
        <w:trPr>
          <w:trHeight w:val="203"/>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40" w:type="dxa"/>
            <w:vAlign w:val="bottom"/>
            <w:gridSpan w:val="3"/>
          </w:tcPr>
          <w:p>
            <w:pPr>
              <w:spacing w:after="0" w:line="202" w:lineRule="exact"/>
              <w:rPr>
                <w:sz w:val="20"/>
                <w:szCs w:val="20"/>
                <w:color w:val="auto"/>
              </w:rPr>
            </w:pPr>
            <w:r>
              <w:rPr>
                <w:rFonts w:ascii="Arial" w:cs="Arial" w:eastAsia="Arial" w:hAnsi="Arial"/>
                <w:sz w:val="18"/>
                <w:szCs w:val="18"/>
                <w:color w:val="auto"/>
              </w:rPr>
              <w:t>January 28, 2006 filed by the Registrant with the SEC on March 27, 2006 (the “2005 Form 10-</w:t>
            </w:r>
          </w:p>
        </w:tc>
      </w:tr>
      <w:tr>
        <w:trPr>
          <w:trHeight w:val="203"/>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40" w:type="dxa"/>
            <w:vAlign w:val="bottom"/>
            <w:gridSpan w:val="3"/>
          </w:tcPr>
          <w:p>
            <w:pPr>
              <w:spacing w:after="0" w:line="202" w:lineRule="exact"/>
              <w:rPr>
                <w:sz w:val="20"/>
                <w:szCs w:val="20"/>
                <w:color w:val="auto"/>
              </w:rPr>
            </w:pPr>
            <w:r>
              <w:rPr>
                <w:rFonts w:ascii="Arial" w:cs="Arial" w:eastAsia="Arial" w:hAnsi="Arial"/>
                <w:sz w:val="18"/>
                <w:szCs w:val="18"/>
                <w:color w:val="auto"/>
              </w:rPr>
              <w:t>K”)).</w:t>
            </w:r>
          </w:p>
        </w:tc>
      </w:tr>
      <w:tr>
        <w:trPr>
          <w:trHeight w:val="203"/>
        </w:trPr>
        <w:tc>
          <w:tcPr>
            <w:tcW w:w="11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10.29</w:t>
            </w:r>
          </w:p>
        </w:tc>
        <w:tc>
          <w:tcPr>
            <w:tcW w:w="160" w:type="dxa"/>
            <w:vAlign w:val="bottom"/>
          </w:tcPr>
          <w:p>
            <w:pPr>
              <w:spacing w:after="0"/>
              <w:rPr>
                <w:sz w:val="17"/>
                <w:szCs w:val="17"/>
                <w:color w:val="auto"/>
              </w:rPr>
            </w:pPr>
          </w:p>
        </w:tc>
        <w:tc>
          <w:tcPr>
            <w:tcW w:w="7540" w:type="dxa"/>
            <w:vAlign w:val="bottom"/>
            <w:gridSpan w:val="3"/>
          </w:tcPr>
          <w:p>
            <w:pPr>
              <w:spacing w:after="0" w:line="202" w:lineRule="exact"/>
              <w:rPr>
                <w:sz w:val="20"/>
                <w:szCs w:val="20"/>
                <w:color w:val="auto"/>
              </w:rPr>
            </w:pPr>
            <w:r>
              <w:rPr>
                <w:rFonts w:ascii="Arial" w:cs="Arial" w:eastAsia="Arial" w:hAnsi="Arial"/>
                <w:sz w:val="18"/>
                <w:szCs w:val="18"/>
                <w:color w:val="auto"/>
              </w:rPr>
              <w:t>Form of Incentive Stock Option Award Agreement for Executive Officers (incorporated herein</w:t>
            </w:r>
          </w:p>
        </w:tc>
      </w:tr>
      <w:tr>
        <w:trPr>
          <w:trHeight w:val="203"/>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40" w:type="dxa"/>
            <w:vAlign w:val="bottom"/>
            <w:gridSpan w:val="3"/>
          </w:tcPr>
          <w:p>
            <w:pPr>
              <w:spacing w:after="0" w:line="202" w:lineRule="exact"/>
              <w:rPr>
                <w:sz w:val="20"/>
                <w:szCs w:val="20"/>
                <w:color w:val="auto"/>
              </w:rPr>
            </w:pPr>
            <w:r>
              <w:rPr>
                <w:rFonts w:ascii="Arial" w:cs="Arial" w:eastAsia="Arial" w:hAnsi="Arial"/>
                <w:sz w:val="18"/>
                <w:szCs w:val="18"/>
                <w:color w:val="auto"/>
              </w:rPr>
              <w:t>by reference to Exhibit 10.41 to the 2005 Form 10-K).</w:t>
            </w:r>
          </w:p>
        </w:tc>
      </w:tr>
      <w:tr>
        <w:trPr>
          <w:trHeight w:val="203"/>
        </w:trPr>
        <w:tc>
          <w:tcPr>
            <w:tcW w:w="11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10.30</w:t>
            </w:r>
          </w:p>
        </w:tc>
        <w:tc>
          <w:tcPr>
            <w:tcW w:w="160" w:type="dxa"/>
            <w:vAlign w:val="bottom"/>
          </w:tcPr>
          <w:p>
            <w:pPr>
              <w:spacing w:after="0"/>
              <w:rPr>
                <w:sz w:val="17"/>
                <w:szCs w:val="17"/>
                <w:color w:val="auto"/>
              </w:rPr>
            </w:pPr>
          </w:p>
        </w:tc>
        <w:tc>
          <w:tcPr>
            <w:tcW w:w="7540" w:type="dxa"/>
            <w:vAlign w:val="bottom"/>
            <w:gridSpan w:val="3"/>
          </w:tcPr>
          <w:p>
            <w:pPr>
              <w:spacing w:after="0" w:line="202" w:lineRule="exact"/>
              <w:rPr>
                <w:sz w:val="20"/>
                <w:szCs w:val="20"/>
                <w:color w:val="auto"/>
              </w:rPr>
            </w:pPr>
            <w:r>
              <w:rPr>
                <w:rFonts w:ascii="Arial" w:cs="Arial" w:eastAsia="Arial" w:hAnsi="Arial"/>
                <w:sz w:val="18"/>
                <w:szCs w:val="18"/>
                <w:color w:val="auto"/>
              </w:rPr>
              <w:t>Form of Nonstatutory Stock Option Award Agreement for Non-employee Directors</w:t>
            </w:r>
          </w:p>
        </w:tc>
      </w:tr>
      <w:tr>
        <w:trPr>
          <w:trHeight w:val="203"/>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40" w:type="dxa"/>
            <w:vAlign w:val="bottom"/>
            <w:gridSpan w:val="3"/>
          </w:tcPr>
          <w:p>
            <w:pPr>
              <w:spacing w:after="0" w:line="202" w:lineRule="exact"/>
              <w:rPr>
                <w:sz w:val="20"/>
                <w:szCs w:val="20"/>
                <w:color w:val="auto"/>
              </w:rPr>
            </w:pPr>
            <w:r>
              <w:rPr>
                <w:rFonts w:ascii="Arial" w:cs="Arial" w:eastAsia="Arial" w:hAnsi="Arial"/>
                <w:sz w:val="18"/>
                <w:szCs w:val="18"/>
                <w:color w:val="auto"/>
              </w:rPr>
              <w:t>(incorporated herein by reference to Exhibit 10.2 to the July 31, 2004 Form 10-Q).</w:t>
            </w:r>
          </w:p>
        </w:tc>
      </w:tr>
      <w:tr>
        <w:trPr>
          <w:trHeight w:val="203"/>
        </w:trPr>
        <w:tc>
          <w:tcPr>
            <w:tcW w:w="11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10.31</w:t>
            </w:r>
          </w:p>
        </w:tc>
        <w:tc>
          <w:tcPr>
            <w:tcW w:w="160" w:type="dxa"/>
            <w:vAlign w:val="bottom"/>
          </w:tcPr>
          <w:p>
            <w:pPr>
              <w:spacing w:after="0"/>
              <w:rPr>
                <w:sz w:val="17"/>
                <w:szCs w:val="17"/>
                <w:color w:val="auto"/>
              </w:rPr>
            </w:pPr>
          </w:p>
        </w:tc>
        <w:tc>
          <w:tcPr>
            <w:tcW w:w="7540" w:type="dxa"/>
            <w:vAlign w:val="bottom"/>
            <w:gridSpan w:val="3"/>
          </w:tcPr>
          <w:p>
            <w:pPr>
              <w:spacing w:after="0" w:line="202" w:lineRule="exact"/>
              <w:rPr>
                <w:sz w:val="20"/>
                <w:szCs w:val="20"/>
                <w:color w:val="auto"/>
              </w:rPr>
            </w:pPr>
            <w:r>
              <w:rPr>
                <w:rFonts w:ascii="Arial" w:cs="Arial" w:eastAsia="Arial" w:hAnsi="Arial"/>
                <w:sz w:val="18"/>
                <w:szCs w:val="18"/>
                <w:color w:val="auto"/>
              </w:rPr>
              <w:t>Long-Term Disability Program for Senior Executives (incorporated herein by reference to</w:t>
            </w:r>
          </w:p>
        </w:tc>
      </w:tr>
      <w:tr>
        <w:trPr>
          <w:trHeight w:val="203"/>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40" w:type="dxa"/>
            <w:vAlign w:val="bottom"/>
            <w:gridSpan w:val="3"/>
          </w:tcPr>
          <w:p>
            <w:pPr>
              <w:spacing w:after="0" w:line="202" w:lineRule="exact"/>
              <w:rPr>
                <w:sz w:val="20"/>
                <w:szCs w:val="20"/>
                <w:color w:val="auto"/>
              </w:rPr>
            </w:pPr>
            <w:r>
              <w:rPr>
                <w:rFonts w:ascii="Arial" w:cs="Arial" w:eastAsia="Arial" w:hAnsi="Arial"/>
                <w:sz w:val="18"/>
                <w:szCs w:val="18"/>
                <w:color w:val="auto"/>
              </w:rPr>
              <w:t>Exhibit 10.32 to the 2008 Form 10-K).</w:t>
            </w:r>
          </w:p>
        </w:tc>
      </w:tr>
      <w:tr>
        <w:trPr>
          <w:trHeight w:val="203"/>
        </w:trPr>
        <w:tc>
          <w:tcPr>
            <w:tcW w:w="11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10.32</w:t>
            </w:r>
          </w:p>
        </w:tc>
        <w:tc>
          <w:tcPr>
            <w:tcW w:w="160" w:type="dxa"/>
            <w:vAlign w:val="bottom"/>
          </w:tcPr>
          <w:p>
            <w:pPr>
              <w:spacing w:after="0"/>
              <w:rPr>
                <w:sz w:val="17"/>
                <w:szCs w:val="17"/>
                <w:color w:val="auto"/>
              </w:rPr>
            </w:pPr>
          </w:p>
        </w:tc>
        <w:tc>
          <w:tcPr>
            <w:tcW w:w="7540" w:type="dxa"/>
            <w:vAlign w:val="bottom"/>
            <w:gridSpan w:val="3"/>
          </w:tcPr>
          <w:p>
            <w:pPr>
              <w:spacing w:after="0" w:line="202" w:lineRule="exact"/>
              <w:rPr>
                <w:sz w:val="20"/>
                <w:szCs w:val="20"/>
                <w:color w:val="auto"/>
              </w:rPr>
            </w:pPr>
            <w:r>
              <w:rPr>
                <w:rFonts w:ascii="Arial" w:cs="Arial" w:eastAsia="Arial" w:hAnsi="Arial"/>
                <w:sz w:val="18"/>
                <w:szCs w:val="18"/>
                <w:color w:val="auto"/>
              </w:rPr>
              <w:t>Foot Locker 2007 Stock Incentive Plan amended and restated as of May 19, 2010</w:t>
            </w:r>
          </w:p>
        </w:tc>
      </w:tr>
      <w:tr>
        <w:trPr>
          <w:trHeight w:val="203"/>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40" w:type="dxa"/>
            <w:vAlign w:val="bottom"/>
            <w:gridSpan w:val="3"/>
          </w:tcPr>
          <w:p>
            <w:pPr>
              <w:spacing w:after="0" w:line="202" w:lineRule="exact"/>
              <w:rPr>
                <w:sz w:val="20"/>
                <w:szCs w:val="20"/>
                <w:color w:val="auto"/>
              </w:rPr>
            </w:pPr>
            <w:r>
              <w:rPr>
                <w:rFonts w:ascii="Arial" w:cs="Arial" w:eastAsia="Arial" w:hAnsi="Arial"/>
                <w:sz w:val="18"/>
                <w:szCs w:val="18"/>
                <w:color w:val="auto"/>
                <w:w w:val="99"/>
              </w:rPr>
              <w:t>(incorporated herein by reference to Exhibit 10.1 to the Registrant’s Current Report on Form 8-</w:t>
            </w:r>
          </w:p>
        </w:tc>
      </w:tr>
      <w:tr>
        <w:trPr>
          <w:trHeight w:val="203"/>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40" w:type="dxa"/>
            <w:vAlign w:val="bottom"/>
            <w:gridSpan w:val="3"/>
          </w:tcPr>
          <w:p>
            <w:pPr>
              <w:spacing w:after="0" w:line="202" w:lineRule="exact"/>
              <w:rPr>
                <w:sz w:val="20"/>
                <w:szCs w:val="20"/>
                <w:color w:val="auto"/>
              </w:rPr>
            </w:pPr>
            <w:r>
              <w:rPr>
                <w:rFonts w:ascii="Arial" w:cs="Arial" w:eastAsia="Arial" w:hAnsi="Arial"/>
                <w:sz w:val="18"/>
                <w:szCs w:val="18"/>
                <w:color w:val="auto"/>
              </w:rPr>
              <w:t>K dated May 19, 2010 filed by the Registrant with the SEC on May 25, 2010).</w:t>
            </w:r>
          </w:p>
        </w:tc>
      </w:tr>
      <w:tr>
        <w:trPr>
          <w:trHeight w:val="203"/>
        </w:trPr>
        <w:tc>
          <w:tcPr>
            <w:tcW w:w="11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10.33</w:t>
            </w:r>
          </w:p>
        </w:tc>
        <w:tc>
          <w:tcPr>
            <w:tcW w:w="160" w:type="dxa"/>
            <w:vAlign w:val="bottom"/>
          </w:tcPr>
          <w:p>
            <w:pPr>
              <w:spacing w:after="0"/>
              <w:rPr>
                <w:sz w:val="17"/>
                <w:szCs w:val="17"/>
                <w:color w:val="auto"/>
              </w:rPr>
            </w:pPr>
          </w:p>
        </w:tc>
        <w:tc>
          <w:tcPr>
            <w:tcW w:w="7540" w:type="dxa"/>
            <w:vAlign w:val="bottom"/>
            <w:gridSpan w:val="3"/>
          </w:tcPr>
          <w:p>
            <w:pPr>
              <w:spacing w:after="0" w:line="202" w:lineRule="exact"/>
              <w:rPr>
                <w:sz w:val="20"/>
                <w:szCs w:val="20"/>
                <w:color w:val="auto"/>
              </w:rPr>
            </w:pPr>
            <w:r>
              <w:rPr>
                <w:rFonts w:ascii="Arial" w:cs="Arial" w:eastAsia="Arial" w:hAnsi="Arial"/>
                <w:sz w:val="18"/>
                <w:szCs w:val="18"/>
                <w:color w:val="auto"/>
              </w:rPr>
              <w:t>Amended and Restated Credit Agreement dated as of January 27, 2012 (incorporated herein</w:t>
            </w:r>
          </w:p>
        </w:tc>
      </w:tr>
      <w:tr>
        <w:trPr>
          <w:trHeight w:val="203"/>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40" w:type="dxa"/>
            <w:vAlign w:val="bottom"/>
            <w:gridSpan w:val="3"/>
          </w:tcPr>
          <w:p>
            <w:pPr>
              <w:spacing w:after="0" w:line="202" w:lineRule="exact"/>
              <w:rPr>
                <w:sz w:val="20"/>
                <w:szCs w:val="20"/>
                <w:color w:val="auto"/>
              </w:rPr>
            </w:pPr>
            <w:r>
              <w:rPr>
                <w:rFonts w:ascii="Arial" w:cs="Arial" w:eastAsia="Arial" w:hAnsi="Arial"/>
                <w:sz w:val="18"/>
                <w:szCs w:val="18"/>
                <w:color w:val="auto"/>
              </w:rPr>
              <w:t>by reference to Exhibit 10.1 to the Registrant’s Current Report on Form 8-K dated January 27,</w:t>
            </w:r>
          </w:p>
        </w:tc>
      </w:tr>
      <w:tr>
        <w:trPr>
          <w:trHeight w:val="203"/>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40" w:type="dxa"/>
            <w:vAlign w:val="bottom"/>
            <w:gridSpan w:val="3"/>
          </w:tcPr>
          <w:p>
            <w:pPr>
              <w:spacing w:after="0" w:line="202" w:lineRule="exact"/>
              <w:rPr>
                <w:sz w:val="20"/>
                <w:szCs w:val="20"/>
                <w:color w:val="auto"/>
              </w:rPr>
            </w:pPr>
            <w:r>
              <w:rPr>
                <w:rFonts w:ascii="Arial" w:cs="Arial" w:eastAsia="Arial" w:hAnsi="Arial"/>
                <w:sz w:val="18"/>
                <w:szCs w:val="18"/>
                <w:color w:val="auto"/>
              </w:rPr>
              <w:t>2012 filed by the Registrant with the SEC on February 2, 2012).</w:t>
            </w:r>
          </w:p>
        </w:tc>
      </w:tr>
      <w:tr>
        <w:trPr>
          <w:trHeight w:val="203"/>
        </w:trPr>
        <w:tc>
          <w:tcPr>
            <w:tcW w:w="11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10.34</w:t>
            </w:r>
          </w:p>
        </w:tc>
        <w:tc>
          <w:tcPr>
            <w:tcW w:w="160" w:type="dxa"/>
            <w:vAlign w:val="bottom"/>
          </w:tcPr>
          <w:p>
            <w:pPr>
              <w:spacing w:after="0"/>
              <w:rPr>
                <w:sz w:val="17"/>
                <w:szCs w:val="17"/>
                <w:color w:val="auto"/>
              </w:rPr>
            </w:pPr>
          </w:p>
        </w:tc>
        <w:tc>
          <w:tcPr>
            <w:tcW w:w="7540" w:type="dxa"/>
            <w:vAlign w:val="bottom"/>
            <w:gridSpan w:val="3"/>
          </w:tcPr>
          <w:p>
            <w:pPr>
              <w:spacing w:after="0" w:line="202" w:lineRule="exact"/>
              <w:rPr>
                <w:sz w:val="20"/>
                <w:szCs w:val="20"/>
                <w:color w:val="auto"/>
              </w:rPr>
            </w:pPr>
            <w:r>
              <w:rPr>
                <w:rFonts w:ascii="Arial" w:cs="Arial" w:eastAsia="Arial" w:hAnsi="Arial"/>
                <w:sz w:val="18"/>
                <w:szCs w:val="18"/>
                <w:color w:val="auto"/>
              </w:rPr>
              <w:t>Guaranty dated as of March 20, 2009 (incorporated herein by reference to Exhibit 10.2 to the</w:t>
            </w:r>
          </w:p>
        </w:tc>
      </w:tr>
      <w:tr>
        <w:trPr>
          <w:trHeight w:val="203"/>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40" w:type="dxa"/>
            <w:vAlign w:val="bottom"/>
            <w:gridSpan w:val="3"/>
          </w:tcPr>
          <w:p>
            <w:pPr>
              <w:spacing w:after="0" w:line="202" w:lineRule="exact"/>
              <w:rPr>
                <w:sz w:val="20"/>
                <w:szCs w:val="20"/>
                <w:color w:val="auto"/>
              </w:rPr>
            </w:pPr>
            <w:r>
              <w:rPr>
                <w:rFonts w:ascii="Arial" w:cs="Arial" w:eastAsia="Arial" w:hAnsi="Arial"/>
                <w:sz w:val="18"/>
                <w:szCs w:val="18"/>
                <w:color w:val="auto"/>
              </w:rPr>
              <w:t>Registrant’s Current Report on Form 8-K dated March 20, 2009 filed by the Registrant with the</w:t>
            </w:r>
          </w:p>
        </w:tc>
      </w:tr>
      <w:tr>
        <w:trPr>
          <w:trHeight w:val="203"/>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40" w:type="dxa"/>
            <w:vAlign w:val="bottom"/>
            <w:gridSpan w:val="3"/>
          </w:tcPr>
          <w:p>
            <w:pPr>
              <w:spacing w:after="0" w:line="202" w:lineRule="exact"/>
              <w:rPr>
                <w:sz w:val="20"/>
                <w:szCs w:val="20"/>
                <w:color w:val="auto"/>
              </w:rPr>
            </w:pPr>
            <w:r>
              <w:rPr>
                <w:rFonts w:ascii="Arial" w:cs="Arial" w:eastAsia="Arial" w:hAnsi="Arial"/>
                <w:sz w:val="18"/>
                <w:szCs w:val="18"/>
                <w:color w:val="auto"/>
              </w:rPr>
              <w:t>SEC on March 24, 2009).</w:t>
            </w:r>
          </w:p>
        </w:tc>
      </w:tr>
      <w:tr>
        <w:trPr>
          <w:trHeight w:val="203"/>
        </w:trPr>
        <w:tc>
          <w:tcPr>
            <w:tcW w:w="11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10.35</w:t>
            </w:r>
          </w:p>
        </w:tc>
        <w:tc>
          <w:tcPr>
            <w:tcW w:w="160" w:type="dxa"/>
            <w:vAlign w:val="bottom"/>
          </w:tcPr>
          <w:p>
            <w:pPr>
              <w:spacing w:after="0"/>
              <w:rPr>
                <w:sz w:val="17"/>
                <w:szCs w:val="17"/>
                <w:color w:val="auto"/>
              </w:rPr>
            </w:pPr>
          </w:p>
        </w:tc>
        <w:tc>
          <w:tcPr>
            <w:tcW w:w="7540" w:type="dxa"/>
            <w:vAlign w:val="bottom"/>
            <w:gridSpan w:val="3"/>
          </w:tcPr>
          <w:p>
            <w:pPr>
              <w:spacing w:after="0" w:line="202" w:lineRule="exact"/>
              <w:rPr>
                <w:sz w:val="20"/>
                <w:szCs w:val="20"/>
                <w:color w:val="auto"/>
              </w:rPr>
            </w:pPr>
            <w:r>
              <w:rPr>
                <w:rFonts w:ascii="Arial" w:cs="Arial" w:eastAsia="Arial" w:hAnsi="Arial"/>
                <w:sz w:val="18"/>
                <w:szCs w:val="18"/>
                <w:color w:val="auto"/>
              </w:rPr>
              <w:t>Amended and Restated Security Agreement dated as of January 27, 2012 (incorporated</w:t>
            </w:r>
          </w:p>
        </w:tc>
      </w:tr>
      <w:tr>
        <w:trPr>
          <w:trHeight w:val="203"/>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40" w:type="dxa"/>
            <w:vAlign w:val="bottom"/>
            <w:gridSpan w:val="3"/>
          </w:tcPr>
          <w:p>
            <w:pPr>
              <w:spacing w:after="0" w:line="202" w:lineRule="exact"/>
              <w:rPr>
                <w:sz w:val="20"/>
                <w:szCs w:val="20"/>
                <w:color w:val="auto"/>
              </w:rPr>
            </w:pPr>
            <w:r>
              <w:rPr>
                <w:rFonts w:ascii="Arial" w:cs="Arial" w:eastAsia="Arial" w:hAnsi="Arial"/>
                <w:sz w:val="18"/>
                <w:szCs w:val="18"/>
                <w:color w:val="auto"/>
              </w:rPr>
              <w:t>herein by reference to Exhibit 10.2 to the Registrant’s Current Report on Form 8-K dated</w:t>
            </w:r>
          </w:p>
        </w:tc>
      </w:tr>
      <w:tr>
        <w:trPr>
          <w:trHeight w:val="203"/>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40" w:type="dxa"/>
            <w:vAlign w:val="bottom"/>
            <w:gridSpan w:val="3"/>
          </w:tcPr>
          <w:p>
            <w:pPr>
              <w:spacing w:after="0" w:line="202" w:lineRule="exact"/>
              <w:rPr>
                <w:sz w:val="20"/>
                <w:szCs w:val="20"/>
                <w:color w:val="auto"/>
              </w:rPr>
            </w:pPr>
            <w:r>
              <w:rPr>
                <w:rFonts w:ascii="Arial" w:cs="Arial" w:eastAsia="Arial" w:hAnsi="Arial"/>
                <w:sz w:val="18"/>
                <w:szCs w:val="18"/>
                <w:color w:val="auto"/>
              </w:rPr>
              <w:t>January 27, 2012 filed by the Registrant with the SEC on February 2, 2012).</w:t>
            </w:r>
          </w:p>
        </w:tc>
      </w:tr>
      <w:tr>
        <w:trPr>
          <w:trHeight w:val="203"/>
        </w:trPr>
        <w:tc>
          <w:tcPr>
            <w:tcW w:w="11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10.36</w:t>
            </w:r>
          </w:p>
        </w:tc>
        <w:tc>
          <w:tcPr>
            <w:tcW w:w="160" w:type="dxa"/>
            <w:vAlign w:val="bottom"/>
          </w:tcPr>
          <w:p>
            <w:pPr>
              <w:spacing w:after="0"/>
              <w:rPr>
                <w:sz w:val="17"/>
                <w:szCs w:val="17"/>
                <w:color w:val="auto"/>
              </w:rPr>
            </w:pPr>
          </w:p>
        </w:tc>
        <w:tc>
          <w:tcPr>
            <w:tcW w:w="7540" w:type="dxa"/>
            <w:vAlign w:val="bottom"/>
            <w:gridSpan w:val="3"/>
          </w:tcPr>
          <w:p>
            <w:pPr>
              <w:spacing w:after="0" w:line="202" w:lineRule="exact"/>
              <w:rPr>
                <w:sz w:val="20"/>
                <w:szCs w:val="20"/>
                <w:color w:val="auto"/>
              </w:rPr>
            </w:pPr>
            <w:r>
              <w:rPr>
                <w:rFonts w:ascii="Arial" w:cs="Arial" w:eastAsia="Arial" w:hAnsi="Arial"/>
                <w:sz w:val="18"/>
                <w:szCs w:val="18"/>
                <w:color w:val="auto"/>
              </w:rPr>
              <w:t>Form of Restricted Stock Unit Agreement (incorporated herein by reference to Exhibit 10.1 to</w:t>
            </w:r>
          </w:p>
        </w:tc>
      </w:tr>
      <w:tr>
        <w:trPr>
          <w:trHeight w:val="203"/>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40" w:type="dxa"/>
            <w:vAlign w:val="bottom"/>
            <w:gridSpan w:val="3"/>
          </w:tcPr>
          <w:p>
            <w:pPr>
              <w:spacing w:after="0" w:line="202" w:lineRule="exact"/>
              <w:rPr>
                <w:sz w:val="20"/>
                <w:szCs w:val="20"/>
                <w:color w:val="auto"/>
              </w:rPr>
            </w:pPr>
            <w:r>
              <w:rPr>
                <w:rFonts w:ascii="Arial" w:cs="Arial" w:eastAsia="Arial" w:hAnsi="Arial"/>
                <w:sz w:val="18"/>
                <w:szCs w:val="18"/>
                <w:color w:val="auto"/>
              </w:rPr>
              <w:t>the Registrant’s Current Report on Form 8-K dated November 5, 2010 filed by the Registrant</w:t>
            </w:r>
          </w:p>
        </w:tc>
      </w:tr>
      <w:tr>
        <w:trPr>
          <w:trHeight w:val="203"/>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40" w:type="dxa"/>
            <w:vAlign w:val="bottom"/>
            <w:gridSpan w:val="3"/>
          </w:tcPr>
          <w:p>
            <w:pPr>
              <w:spacing w:after="0" w:line="202" w:lineRule="exact"/>
              <w:rPr>
                <w:sz w:val="20"/>
                <w:szCs w:val="20"/>
                <w:color w:val="auto"/>
              </w:rPr>
            </w:pPr>
            <w:r>
              <w:rPr>
                <w:rFonts w:ascii="Arial" w:cs="Arial" w:eastAsia="Arial" w:hAnsi="Arial"/>
                <w:sz w:val="18"/>
                <w:szCs w:val="18"/>
                <w:color w:val="auto"/>
              </w:rPr>
              <w:t>with the SEC on November 12, 2010).</w:t>
            </w:r>
          </w:p>
        </w:tc>
      </w:tr>
      <w:tr>
        <w:trPr>
          <w:trHeight w:val="203"/>
        </w:trPr>
        <w:tc>
          <w:tcPr>
            <w:tcW w:w="11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10.37</w:t>
            </w:r>
          </w:p>
        </w:tc>
        <w:tc>
          <w:tcPr>
            <w:tcW w:w="160" w:type="dxa"/>
            <w:vAlign w:val="bottom"/>
          </w:tcPr>
          <w:p>
            <w:pPr>
              <w:spacing w:after="0"/>
              <w:rPr>
                <w:sz w:val="17"/>
                <w:szCs w:val="17"/>
                <w:color w:val="auto"/>
              </w:rPr>
            </w:pPr>
          </w:p>
        </w:tc>
        <w:tc>
          <w:tcPr>
            <w:tcW w:w="7540" w:type="dxa"/>
            <w:vAlign w:val="bottom"/>
            <w:gridSpan w:val="3"/>
          </w:tcPr>
          <w:p>
            <w:pPr>
              <w:spacing w:after="0" w:line="202" w:lineRule="exact"/>
              <w:rPr>
                <w:sz w:val="20"/>
                <w:szCs w:val="20"/>
                <w:color w:val="auto"/>
              </w:rPr>
            </w:pPr>
            <w:r>
              <w:rPr>
                <w:rFonts w:ascii="Arial" w:cs="Arial" w:eastAsia="Arial" w:hAnsi="Arial"/>
                <w:sz w:val="18"/>
                <w:szCs w:val="18"/>
                <w:color w:val="auto"/>
              </w:rPr>
              <w:t>Form of Restricted Stock Unit Award Agreement (incorporated herein by reference to Exhibit</w:t>
            </w:r>
          </w:p>
        </w:tc>
      </w:tr>
      <w:tr>
        <w:trPr>
          <w:trHeight w:val="203"/>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40" w:type="dxa"/>
            <w:vAlign w:val="bottom"/>
            <w:gridSpan w:val="3"/>
          </w:tcPr>
          <w:p>
            <w:pPr>
              <w:spacing w:after="0" w:line="202" w:lineRule="exact"/>
              <w:rPr>
                <w:sz w:val="20"/>
                <w:szCs w:val="20"/>
                <w:color w:val="auto"/>
              </w:rPr>
            </w:pPr>
            <w:r>
              <w:rPr>
                <w:rFonts w:ascii="Arial" w:cs="Arial" w:eastAsia="Arial" w:hAnsi="Arial"/>
                <w:sz w:val="18"/>
                <w:szCs w:val="18"/>
                <w:color w:val="auto"/>
              </w:rPr>
              <w:t>10.3 to the March 28, 2013 Form 8-K).</w:t>
            </w:r>
          </w:p>
        </w:tc>
      </w:tr>
      <w:tr>
        <w:trPr>
          <w:trHeight w:val="203"/>
        </w:trPr>
        <w:tc>
          <w:tcPr>
            <w:tcW w:w="11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10.38</w:t>
            </w:r>
          </w:p>
        </w:tc>
        <w:tc>
          <w:tcPr>
            <w:tcW w:w="160" w:type="dxa"/>
            <w:vAlign w:val="bottom"/>
          </w:tcPr>
          <w:p>
            <w:pPr>
              <w:spacing w:after="0"/>
              <w:rPr>
                <w:sz w:val="17"/>
                <w:szCs w:val="17"/>
                <w:color w:val="auto"/>
              </w:rPr>
            </w:pPr>
          </w:p>
        </w:tc>
        <w:tc>
          <w:tcPr>
            <w:tcW w:w="7540" w:type="dxa"/>
            <w:vAlign w:val="bottom"/>
            <w:gridSpan w:val="3"/>
          </w:tcPr>
          <w:p>
            <w:pPr>
              <w:spacing w:after="0" w:line="202" w:lineRule="exact"/>
              <w:rPr>
                <w:sz w:val="20"/>
                <w:szCs w:val="20"/>
                <w:color w:val="auto"/>
              </w:rPr>
            </w:pPr>
            <w:r>
              <w:rPr>
                <w:rFonts w:ascii="Arial" w:cs="Arial" w:eastAsia="Arial" w:hAnsi="Arial"/>
                <w:sz w:val="18"/>
                <w:szCs w:val="18"/>
                <w:color w:val="auto"/>
              </w:rPr>
              <w:t>Bonus Waiver Letter for 2009 signed by Ken C. Hicks (incorporated herein by reference to</w:t>
            </w:r>
          </w:p>
        </w:tc>
      </w:tr>
      <w:tr>
        <w:trPr>
          <w:trHeight w:val="203"/>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40" w:type="dxa"/>
            <w:vAlign w:val="bottom"/>
            <w:gridSpan w:val="3"/>
          </w:tcPr>
          <w:p>
            <w:pPr>
              <w:spacing w:after="0" w:line="202" w:lineRule="exact"/>
              <w:rPr>
                <w:sz w:val="20"/>
                <w:szCs w:val="20"/>
                <w:color w:val="auto"/>
              </w:rPr>
            </w:pPr>
            <w:r>
              <w:rPr>
                <w:rFonts w:ascii="Arial" w:cs="Arial" w:eastAsia="Arial" w:hAnsi="Arial"/>
                <w:sz w:val="18"/>
                <w:szCs w:val="18"/>
                <w:color w:val="auto"/>
              </w:rPr>
              <w:t>Exhibit 10.1 to the Registrant’s Current Report on Form 8-K dated March 23, 2010 filed by the</w:t>
            </w:r>
          </w:p>
        </w:tc>
      </w:tr>
      <w:tr>
        <w:trPr>
          <w:trHeight w:val="203"/>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40" w:type="dxa"/>
            <w:vAlign w:val="bottom"/>
            <w:gridSpan w:val="3"/>
          </w:tcPr>
          <w:p>
            <w:pPr>
              <w:spacing w:after="0" w:line="202" w:lineRule="exact"/>
              <w:rPr>
                <w:sz w:val="20"/>
                <w:szCs w:val="20"/>
                <w:color w:val="auto"/>
              </w:rPr>
            </w:pPr>
            <w:r>
              <w:rPr>
                <w:rFonts w:ascii="Arial" w:cs="Arial" w:eastAsia="Arial" w:hAnsi="Arial"/>
                <w:sz w:val="18"/>
                <w:szCs w:val="18"/>
                <w:color w:val="auto"/>
              </w:rPr>
              <w:t>Registrant with the SEC on March 29, 2010).</w:t>
            </w:r>
          </w:p>
        </w:tc>
      </w:tr>
      <w:tr>
        <w:trPr>
          <w:trHeight w:val="203"/>
        </w:trPr>
        <w:tc>
          <w:tcPr>
            <w:tcW w:w="11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12</w:t>
            </w:r>
          </w:p>
        </w:tc>
        <w:tc>
          <w:tcPr>
            <w:tcW w:w="160" w:type="dxa"/>
            <w:vAlign w:val="bottom"/>
          </w:tcPr>
          <w:p>
            <w:pPr>
              <w:spacing w:after="0"/>
              <w:rPr>
                <w:sz w:val="17"/>
                <w:szCs w:val="17"/>
                <w:color w:val="auto"/>
              </w:rPr>
            </w:pPr>
          </w:p>
        </w:tc>
        <w:tc>
          <w:tcPr>
            <w:tcW w:w="7540" w:type="dxa"/>
            <w:vAlign w:val="bottom"/>
            <w:gridSpan w:val="3"/>
          </w:tcPr>
          <w:p>
            <w:pPr>
              <w:spacing w:after="0" w:line="202" w:lineRule="exact"/>
              <w:rPr>
                <w:sz w:val="20"/>
                <w:szCs w:val="20"/>
                <w:color w:val="auto"/>
              </w:rPr>
            </w:pPr>
            <w:r>
              <w:rPr>
                <w:rFonts w:ascii="Arial" w:cs="Arial" w:eastAsia="Arial" w:hAnsi="Arial"/>
                <w:sz w:val="18"/>
                <w:szCs w:val="18"/>
                <w:color w:val="auto"/>
              </w:rPr>
              <w:t>Computation of Ratio of Earnings to Fixed Charges.*</w:t>
            </w:r>
          </w:p>
        </w:tc>
      </w:tr>
      <w:tr>
        <w:trPr>
          <w:trHeight w:val="203"/>
        </w:trPr>
        <w:tc>
          <w:tcPr>
            <w:tcW w:w="11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21</w:t>
            </w:r>
          </w:p>
        </w:tc>
        <w:tc>
          <w:tcPr>
            <w:tcW w:w="160" w:type="dxa"/>
            <w:vAlign w:val="bottom"/>
          </w:tcPr>
          <w:p>
            <w:pPr>
              <w:spacing w:after="0"/>
              <w:rPr>
                <w:sz w:val="17"/>
                <w:szCs w:val="17"/>
                <w:color w:val="auto"/>
              </w:rPr>
            </w:pPr>
          </w:p>
        </w:tc>
        <w:tc>
          <w:tcPr>
            <w:tcW w:w="7540" w:type="dxa"/>
            <w:vAlign w:val="bottom"/>
            <w:gridSpan w:val="3"/>
          </w:tcPr>
          <w:p>
            <w:pPr>
              <w:spacing w:after="0" w:line="202" w:lineRule="exact"/>
              <w:rPr>
                <w:sz w:val="20"/>
                <w:szCs w:val="20"/>
                <w:color w:val="auto"/>
              </w:rPr>
            </w:pPr>
            <w:r>
              <w:rPr>
                <w:rFonts w:ascii="Arial" w:cs="Arial" w:eastAsia="Arial" w:hAnsi="Arial"/>
                <w:sz w:val="18"/>
                <w:szCs w:val="18"/>
                <w:color w:val="auto"/>
              </w:rPr>
              <w:t>Subsidiaries of the Registrant.*</w:t>
            </w:r>
          </w:p>
        </w:tc>
      </w:tr>
      <w:tr>
        <w:trPr>
          <w:trHeight w:val="203"/>
        </w:trPr>
        <w:tc>
          <w:tcPr>
            <w:tcW w:w="11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23</w:t>
            </w:r>
          </w:p>
        </w:tc>
        <w:tc>
          <w:tcPr>
            <w:tcW w:w="160" w:type="dxa"/>
            <w:vAlign w:val="bottom"/>
          </w:tcPr>
          <w:p>
            <w:pPr>
              <w:spacing w:after="0"/>
              <w:rPr>
                <w:sz w:val="17"/>
                <w:szCs w:val="17"/>
                <w:color w:val="auto"/>
              </w:rPr>
            </w:pPr>
          </w:p>
        </w:tc>
        <w:tc>
          <w:tcPr>
            <w:tcW w:w="7540" w:type="dxa"/>
            <w:vAlign w:val="bottom"/>
            <w:gridSpan w:val="3"/>
          </w:tcPr>
          <w:p>
            <w:pPr>
              <w:spacing w:after="0" w:line="202" w:lineRule="exact"/>
              <w:rPr>
                <w:sz w:val="20"/>
                <w:szCs w:val="20"/>
                <w:color w:val="auto"/>
              </w:rPr>
            </w:pPr>
            <w:r>
              <w:rPr>
                <w:rFonts w:ascii="Arial" w:cs="Arial" w:eastAsia="Arial" w:hAnsi="Arial"/>
                <w:sz w:val="18"/>
                <w:szCs w:val="18"/>
                <w:color w:val="auto"/>
              </w:rPr>
              <w:t>Consent of Independent Registered Public Accounting Firm.*</w:t>
            </w:r>
          </w:p>
        </w:tc>
      </w:tr>
      <w:tr>
        <w:trPr>
          <w:trHeight w:val="203"/>
        </w:trPr>
        <w:tc>
          <w:tcPr>
            <w:tcW w:w="11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31.1</w:t>
            </w:r>
          </w:p>
        </w:tc>
        <w:tc>
          <w:tcPr>
            <w:tcW w:w="160" w:type="dxa"/>
            <w:vAlign w:val="bottom"/>
          </w:tcPr>
          <w:p>
            <w:pPr>
              <w:spacing w:after="0"/>
              <w:rPr>
                <w:sz w:val="17"/>
                <w:szCs w:val="17"/>
                <w:color w:val="auto"/>
              </w:rPr>
            </w:pPr>
          </w:p>
        </w:tc>
        <w:tc>
          <w:tcPr>
            <w:tcW w:w="7540" w:type="dxa"/>
            <w:vAlign w:val="bottom"/>
            <w:gridSpan w:val="3"/>
          </w:tcPr>
          <w:p>
            <w:pPr>
              <w:spacing w:after="0" w:line="202" w:lineRule="exact"/>
              <w:rPr>
                <w:sz w:val="20"/>
                <w:szCs w:val="20"/>
                <w:color w:val="auto"/>
              </w:rPr>
            </w:pPr>
            <w:r>
              <w:rPr>
                <w:rFonts w:ascii="Arial" w:cs="Arial" w:eastAsia="Arial" w:hAnsi="Arial"/>
                <w:sz w:val="18"/>
                <w:szCs w:val="18"/>
                <w:color w:val="auto"/>
              </w:rPr>
              <w:t>Certification of Chief Executive Officer Pursuant to Section 302 of the Sarbanes-Oxley Act of</w:t>
            </w:r>
          </w:p>
        </w:tc>
      </w:tr>
      <w:tr>
        <w:trPr>
          <w:trHeight w:val="203"/>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80" w:type="dxa"/>
            <w:vAlign w:val="bottom"/>
            <w:gridSpan w:val="3"/>
          </w:tcPr>
          <w:p>
            <w:pPr>
              <w:ind w:left="160"/>
              <w:spacing w:after="0" w:line="202" w:lineRule="exact"/>
              <w:rPr>
                <w:sz w:val="20"/>
                <w:szCs w:val="20"/>
                <w:color w:val="auto"/>
              </w:rPr>
            </w:pPr>
            <w:r>
              <w:rPr>
                <w:rFonts w:ascii="Arial" w:cs="Arial" w:eastAsia="Arial" w:hAnsi="Arial"/>
                <w:sz w:val="18"/>
                <w:szCs w:val="18"/>
                <w:color w:val="auto"/>
              </w:rPr>
              <w:t>2002.*</w:t>
            </w:r>
          </w:p>
        </w:tc>
        <w:tc>
          <w:tcPr>
            <w:tcW w:w="20" w:type="dxa"/>
            <w:vAlign w:val="bottom"/>
          </w:tcPr>
          <w:p>
            <w:pPr>
              <w:spacing w:after="0"/>
              <w:rPr>
                <w:sz w:val="17"/>
                <w:szCs w:val="17"/>
                <w:color w:val="auto"/>
              </w:rPr>
            </w:pPr>
          </w:p>
        </w:tc>
      </w:tr>
      <w:tr>
        <w:trPr>
          <w:trHeight w:val="203"/>
        </w:trPr>
        <w:tc>
          <w:tcPr>
            <w:tcW w:w="11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31.2</w:t>
            </w:r>
          </w:p>
        </w:tc>
        <w:tc>
          <w:tcPr>
            <w:tcW w:w="160" w:type="dxa"/>
            <w:vAlign w:val="bottom"/>
          </w:tcPr>
          <w:p>
            <w:pPr>
              <w:spacing w:after="0"/>
              <w:rPr>
                <w:sz w:val="17"/>
                <w:szCs w:val="17"/>
                <w:color w:val="auto"/>
              </w:rPr>
            </w:pPr>
          </w:p>
        </w:tc>
        <w:tc>
          <w:tcPr>
            <w:tcW w:w="7540" w:type="dxa"/>
            <w:vAlign w:val="bottom"/>
            <w:gridSpan w:val="3"/>
          </w:tcPr>
          <w:p>
            <w:pPr>
              <w:spacing w:after="0" w:line="202" w:lineRule="exact"/>
              <w:rPr>
                <w:sz w:val="20"/>
                <w:szCs w:val="20"/>
                <w:color w:val="auto"/>
              </w:rPr>
            </w:pPr>
            <w:r>
              <w:rPr>
                <w:rFonts w:ascii="Arial" w:cs="Arial" w:eastAsia="Arial" w:hAnsi="Arial"/>
                <w:sz w:val="18"/>
                <w:szCs w:val="18"/>
                <w:color w:val="auto"/>
              </w:rPr>
              <w:t>Certification of Chief Financial Officer Pursuant to Section 302 of the Sarbanes-Oxley Act of</w:t>
            </w:r>
          </w:p>
        </w:tc>
      </w:tr>
      <w:tr>
        <w:trPr>
          <w:trHeight w:val="203"/>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80" w:type="dxa"/>
            <w:vAlign w:val="bottom"/>
            <w:gridSpan w:val="3"/>
          </w:tcPr>
          <w:p>
            <w:pPr>
              <w:ind w:left="160"/>
              <w:spacing w:after="0" w:line="202" w:lineRule="exact"/>
              <w:rPr>
                <w:sz w:val="20"/>
                <w:szCs w:val="20"/>
                <w:color w:val="auto"/>
              </w:rPr>
            </w:pPr>
            <w:r>
              <w:rPr>
                <w:rFonts w:ascii="Arial" w:cs="Arial" w:eastAsia="Arial" w:hAnsi="Arial"/>
                <w:sz w:val="18"/>
                <w:szCs w:val="18"/>
                <w:color w:val="auto"/>
              </w:rPr>
              <w:t>2002.*</w:t>
            </w:r>
          </w:p>
        </w:tc>
        <w:tc>
          <w:tcPr>
            <w:tcW w:w="20" w:type="dxa"/>
            <w:vAlign w:val="bottom"/>
          </w:tcPr>
          <w:p>
            <w:pPr>
              <w:spacing w:after="0"/>
              <w:rPr>
                <w:sz w:val="17"/>
                <w:szCs w:val="17"/>
                <w:color w:val="auto"/>
              </w:rPr>
            </w:pPr>
          </w:p>
        </w:tc>
      </w:tr>
    </w:tbl>
    <w:p>
      <w:pPr>
        <w:ind w:left="1260" w:right="1839" w:hanging="1016"/>
        <w:spacing w:after="0" w:line="248" w:lineRule="auto"/>
        <w:tabs>
          <w:tab w:leader="none" w:pos="1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Certification of Chief Executive Officer and Chief Financial Officer Pursuant to 18 U.S.C. Section 1350, as adopted pursuant to Section 906 of the Sarbanes-Oxley Act of 2002.*</w:t>
      </w:r>
    </w:p>
    <w:p>
      <w:pPr>
        <w:spacing w:after="0" w:line="1" w:lineRule="exact"/>
        <w:rPr>
          <w:sz w:val="20"/>
          <w:szCs w:val="20"/>
          <w:color w:val="auto"/>
        </w:rPr>
      </w:pPr>
    </w:p>
    <w:p>
      <w:pPr>
        <w:ind w:left="1260" w:hanging="1066"/>
        <w:spacing w:after="0"/>
        <w:tabs>
          <w:tab w:leader="none" w:pos="12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Interactive Data Files*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  Exhibits filed with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-310515</wp:posOffset>
            </wp:positionV>
            <wp:extent cx="6172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96520</wp:posOffset>
            </wp:positionV>
            <wp:extent cx="6114415" cy="596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81" w:name="page82"/>
    <w:bookmarkEnd w:id="81"/>
    <w:p>
      <w:pPr>
        <w:ind w:left="8720"/>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31"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56577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8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rPr>
              <w:t>Fiscal Year Ended</w:t>
            </w: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Feb. 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Feb. 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Jan. 28,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Jan. 29,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Jan. 30,</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20" w:type="dxa"/>
            <w:vAlign w:val="bottom"/>
            <w:gridSpan w:val="2"/>
            <w:vMerge w:val="restart"/>
          </w:tcPr>
          <w:p>
            <w:pPr>
              <w:ind w:left="20"/>
              <w:spacing w:after="0"/>
              <w:rPr>
                <w:sz w:val="20"/>
                <w:szCs w:val="20"/>
                <w:color w:val="auto"/>
              </w:rPr>
            </w:pPr>
            <w:r>
              <w:rPr>
                <w:rFonts w:ascii="Arial" w:cs="Arial" w:eastAsia="Arial" w:hAnsi="Arial"/>
                <w:sz w:val="18"/>
                <w:szCs w:val="18"/>
                <w:color w:val="auto"/>
              </w:rPr>
              <w:t>NET EARNINGS</w:t>
            </w: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auto"/>
            </w:tcBorders>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gridSpan w:val="2"/>
            <w:shd w:val="clear" w:color="auto" w:fill="C0C0C0"/>
          </w:tcPr>
          <w:p>
            <w:pPr>
              <w:ind w:left="20"/>
              <w:spacing w:after="0" w:line="202" w:lineRule="exact"/>
              <w:rPr>
                <w:sz w:val="20"/>
                <w:szCs w:val="20"/>
                <w:color w:val="auto"/>
              </w:rPr>
            </w:pPr>
            <w:r>
              <w:rPr>
                <w:rFonts w:ascii="Arial" w:cs="Arial" w:eastAsia="Arial" w:hAnsi="Arial"/>
                <w:sz w:val="18"/>
                <w:szCs w:val="18"/>
                <w:color w:val="auto"/>
              </w:rPr>
              <w:t>Income from continuing operations</w:t>
            </w:r>
          </w:p>
        </w:tc>
        <w:tc>
          <w:tcPr>
            <w:tcW w:w="14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b w:val="1"/>
                <w:bCs w:val="1"/>
                <w:color w:val="auto"/>
              </w:rPr>
              <w:t>429</w:t>
            </w:r>
          </w:p>
        </w:tc>
        <w:tc>
          <w:tcPr>
            <w:tcW w:w="320" w:type="dxa"/>
            <w:vAlign w:val="bottom"/>
            <w:gridSpan w:val="2"/>
            <w:shd w:val="clear" w:color="auto" w:fill="C0C0C0"/>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397</w:t>
            </w:r>
          </w:p>
        </w:tc>
        <w:tc>
          <w:tcPr>
            <w:tcW w:w="300" w:type="dxa"/>
            <w:vAlign w:val="bottom"/>
            <w:gridSpan w:val="2"/>
            <w:shd w:val="clear" w:color="auto" w:fill="C0C0C0"/>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278</w:t>
            </w:r>
          </w:p>
        </w:tc>
        <w:tc>
          <w:tcPr>
            <w:tcW w:w="300" w:type="dxa"/>
            <w:vAlign w:val="bottom"/>
            <w:gridSpan w:val="2"/>
            <w:shd w:val="clear" w:color="auto" w:fill="C0C0C0"/>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0C0C0"/>
          </w:tcPr>
          <w:p>
            <w:pPr>
              <w:jc w:val="right"/>
              <w:ind w:right="140"/>
              <w:spacing w:after="0" w:line="202" w:lineRule="exact"/>
              <w:rPr>
                <w:sz w:val="20"/>
                <w:szCs w:val="20"/>
                <w:color w:val="auto"/>
              </w:rPr>
            </w:pPr>
            <w:r>
              <w:rPr>
                <w:rFonts w:ascii="Arial" w:cs="Arial" w:eastAsia="Arial" w:hAnsi="Arial"/>
                <w:sz w:val="18"/>
                <w:szCs w:val="18"/>
                <w:color w:val="auto"/>
              </w:rPr>
              <w:t>169</w:t>
            </w:r>
          </w:p>
        </w:tc>
        <w:tc>
          <w:tcPr>
            <w:tcW w:w="320" w:type="dxa"/>
            <w:vAlign w:val="bottom"/>
            <w:gridSpan w:val="2"/>
            <w:shd w:val="clear" w:color="auto" w:fill="C0C0C0"/>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0C0C0"/>
          </w:tcPr>
          <w:p>
            <w:pPr>
              <w:jc w:val="right"/>
              <w:ind w:right="140"/>
              <w:spacing w:after="0" w:line="202" w:lineRule="exact"/>
              <w:rPr>
                <w:sz w:val="20"/>
                <w:szCs w:val="20"/>
                <w:color w:val="auto"/>
              </w:rPr>
            </w:pPr>
            <w:r>
              <w:rPr>
                <w:rFonts w:ascii="Arial" w:cs="Arial" w:eastAsia="Arial" w:hAnsi="Arial"/>
                <w:sz w:val="18"/>
                <w:szCs w:val="18"/>
                <w:color w:val="auto"/>
              </w:rPr>
              <w:t>47</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7"/>
                <w:szCs w:val="17"/>
                <w:color w:val="auto"/>
              </w:rPr>
            </w:pP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234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26</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20" w:type="dxa"/>
            <w:vAlign w:val="bottom"/>
            <w:gridSpan w:val="2"/>
            <w:shd w:val="clear" w:color="auto" w:fill="C0C0C0"/>
          </w:tcPr>
          <w:p>
            <w:pPr>
              <w:ind w:left="20"/>
              <w:spacing w:after="0" w:line="201" w:lineRule="exact"/>
              <w:rPr>
                <w:sz w:val="20"/>
                <w:szCs w:val="20"/>
                <w:color w:val="auto"/>
              </w:rPr>
            </w:pPr>
            <w:r>
              <w:rPr>
                <w:rFonts w:ascii="Arial" w:cs="Arial" w:eastAsia="Arial" w:hAnsi="Arial"/>
                <w:sz w:val="18"/>
                <w:szCs w:val="18"/>
                <w:color w:val="auto"/>
              </w:rPr>
              <w:t>Interest expense, excluding capitalized</w:t>
            </w:r>
          </w:p>
        </w:tc>
        <w:tc>
          <w:tcPr>
            <w:tcW w:w="140" w:type="dxa"/>
            <w:vAlign w:val="bottom"/>
            <w:shd w:val="clear" w:color="auto" w:fill="C0C0C0"/>
          </w:tcPr>
          <w:p>
            <w:pPr>
              <w:spacing w:after="0"/>
              <w:rPr>
                <w:sz w:val="17"/>
                <w:szCs w:val="17"/>
                <w:color w:val="auto"/>
              </w:rPr>
            </w:pPr>
          </w:p>
        </w:tc>
        <w:tc>
          <w:tcPr>
            <w:tcW w:w="720" w:type="dxa"/>
            <w:vAlign w:val="bottom"/>
            <w:gridSpan w:val="2"/>
            <w:shd w:val="clear" w:color="auto" w:fill="C0C0C0"/>
          </w:tcPr>
          <w:p>
            <w:pPr>
              <w:jc w:val="right"/>
              <w:ind w:right="120"/>
              <w:spacing w:after="0" w:line="201" w:lineRule="exact"/>
              <w:rPr>
                <w:sz w:val="20"/>
                <w:szCs w:val="20"/>
                <w:color w:val="auto"/>
              </w:rPr>
            </w:pPr>
            <w:r>
              <w:rPr>
                <w:rFonts w:ascii="Arial" w:cs="Arial" w:eastAsia="Arial" w:hAnsi="Arial"/>
                <w:sz w:val="18"/>
                <w:szCs w:val="18"/>
                <w:b w:val="1"/>
                <w:bCs w:val="1"/>
                <w:color w:val="auto"/>
              </w:rPr>
              <w:t>11</w:t>
            </w: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700" w:type="dxa"/>
            <w:vAlign w:val="bottom"/>
            <w:gridSpan w:val="2"/>
            <w:shd w:val="clear" w:color="auto" w:fill="C0C0C0"/>
          </w:tcPr>
          <w:p>
            <w:pPr>
              <w:jc w:val="right"/>
              <w:ind w:right="120"/>
              <w:spacing w:after="0" w:line="201" w:lineRule="exact"/>
              <w:rPr>
                <w:sz w:val="20"/>
                <w:szCs w:val="20"/>
                <w:color w:val="auto"/>
              </w:rPr>
            </w:pPr>
            <w:r>
              <w:rPr>
                <w:rFonts w:ascii="Arial" w:cs="Arial" w:eastAsia="Arial" w:hAnsi="Arial"/>
                <w:sz w:val="18"/>
                <w:szCs w:val="18"/>
                <w:color w:val="auto"/>
              </w:rPr>
              <w:t>11</w:t>
            </w:r>
          </w:p>
        </w:tc>
        <w:tc>
          <w:tcPr>
            <w:tcW w:w="16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720" w:type="dxa"/>
            <w:vAlign w:val="bottom"/>
            <w:gridSpan w:val="2"/>
            <w:shd w:val="clear" w:color="auto" w:fill="C0C0C0"/>
          </w:tcPr>
          <w:p>
            <w:pPr>
              <w:jc w:val="right"/>
              <w:ind w:right="120"/>
              <w:spacing w:after="0" w:line="201" w:lineRule="exact"/>
              <w:rPr>
                <w:sz w:val="20"/>
                <w:szCs w:val="20"/>
                <w:color w:val="auto"/>
              </w:rPr>
            </w:pPr>
            <w:r>
              <w:rPr>
                <w:rFonts w:ascii="Arial" w:cs="Arial" w:eastAsia="Arial" w:hAnsi="Arial"/>
                <w:sz w:val="18"/>
                <w:szCs w:val="18"/>
                <w:color w:val="auto"/>
              </w:rPr>
              <w:t>13</w:t>
            </w:r>
          </w:p>
        </w:tc>
        <w:tc>
          <w:tcPr>
            <w:tcW w:w="16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740" w:type="dxa"/>
            <w:vAlign w:val="bottom"/>
            <w:gridSpan w:val="2"/>
            <w:shd w:val="clear" w:color="auto" w:fill="C0C0C0"/>
          </w:tcPr>
          <w:p>
            <w:pPr>
              <w:jc w:val="right"/>
              <w:ind w:right="140"/>
              <w:spacing w:after="0" w:line="201" w:lineRule="exact"/>
              <w:rPr>
                <w:sz w:val="20"/>
                <w:szCs w:val="20"/>
                <w:color w:val="auto"/>
              </w:rPr>
            </w:pPr>
            <w:r>
              <w:rPr>
                <w:rFonts w:ascii="Arial" w:cs="Arial" w:eastAsia="Arial" w:hAnsi="Arial"/>
                <w:sz w:val="18"/>
                <w:szCs w:val="18"/>
                <w:color w:val="auto"/>
              </w:rPr>
              <w:t>14</w:t>
            </w: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800" w:type="dxa"/>
            <w:vAlign w:val="bottom"/>
            <w:gridSpan w:val="2"/>
            <w:shd w:val="clear" w:color="auto" w:fill="C0C0C0"/>
          </w:tcPr>
          <w:p>
            <w:pPr>
              <w:jc w:val="right"/>
              <w:ind w:right="140"/>
              <w:spacing w:after="0" w:line="201" w:lineRule="exact"/>
              <w:rPr>
                <w:sz w:val="20"/>
                <w:szCs w:val="20"/>
                <w:color w:val="auto"/>
              </w:rPr>
            </w:pPr>
            <w:r>
              <w:rPr>
                <w:rFonts w:ascii="Arial" w:cs="Arial" w:eastAsia="Arial" w:hAnsi="Arial"/>
                <w:sz w:val="18"/>
                <w:szCs w:val="18"/>
                <w:color w:val="auto"/>
              </w:rPr>
              <w:t>13</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gridSpan w:val="2"/>
            <w:shd w:val="clear" w:color="auto" w:fill="C0C0C0"/>
          </w:tcPr>
          <w:p>
            <w:pPr>
              <w:ind w:left="200"/>
              <w:spacing w:after="0" w:line="203" w:lineRule="exact"/>
              <w:rPr>
                <w:sz w:val="20"/>
                <w:szCs w:val="20"/>
                <w:color w:val="auto"/>
              </w:rPr>
            </w:pPr>
            <w:r>
              <w:rPr>
                <w:rFonts w:ascii="Arial" w:cs="Arial" w:eastAsia="Arial" w:hAnsi="Arial"/>
                <w:sz w:val="18"/>
                <w:szCs w:val="18"/>
                <w:color w:val="auto"/>
              </w:rPr>
              <w:t>interest</w:t>
            </w:r>
          </w:p>
        </w:tc>
        <w:tc>
          <w:tcPr>
            <w:tcW w:w="14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2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Portion of rents deemed representative of</w:t>
            </w:r>
          </w:p>
        </w:tc>
        <w:tc>
          <w:tcPr>
            <w:tcW w:w="140" w:type="dxa"/>
            <w:vAlign w:val="bottom"/>
          </w:tcPr>
          <w:p>
            <w:pPr>
              <w:spacing w:after="0"/>
              <w:rPr>
                <w:sz w:val="17"/>
                <w:szCs w:val="17"/>
                <w:color w:val="auto"/>
              </w:rPr>
            </w:pPr>
          </w:p>
        </w:tc>
        <w:tc>
          <w:tcPr>
            <w:tcW w:w="720" w:type="dxa"/>
            <w:vAlign w:val="bottom"/>
            <w:gridSpan w:val="2"/>
          </w:tcPr>
          <w:p>
            <w:pPr>
              <w:jc w:val="right"/>
              <w:ind w:right="120"/>
              <w:spacing w:after="0" w:line="201" w:lineRule="exact"/>
              <w:rPr>
                <w:sz w:val="20"/>
                <w:szCs w:val="20"/>
                <w:color w:val="auto"/>
              </w:rPr>
            </w:pPr>
            <w:r>
              <w:rPr>
                <w:rFonts w:ascii="Arial" w:cs="Arial" w:eastAsia="Arial" w:hAnsi="Arial"/>
                <w:sz w:val="18"/>
                <w:szCs w:val="18"/>
                <w:b w:val="1"/>
                <w:bCs w:val="1"/>
                <w:color w:val="auto"/>
              </w:rPr>
              <w:t>236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222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218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213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217</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gridSpan w:val="2"/>
          </w:tcPr>
          <w:p>
            <w:pPr>
              <w:ind w:left="200"/>
              <w:spacing w:after="0" w:line="203" w:lineRule="exact"/>
              <w:rPr>
                <w:sz w:val="20"/>
                <w:szCs w:val="20"/>
                <w:color w:val="auto"/>
              </w:rPr>
            </w:pPr>
            <w:r>
              <w:rPr>
                <w:rFonts w:ascii="Arial" w:cs="Arial" w:eastAsia="Arial" w:hAnsi="Arial"/>
                <w:sz w:val="18"/>
                <w:szCs w:val="18"/>
                <w:color w:val="auto"/>
              </w:rPr>
              <w:t>the interest factor (1/3)</w:t>
            </w: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00" w:type="dxa"/>
            <w:vAlign w:val="bottom"/>
            <w:shd w:val="clear" w:color="auto" w:fill="C0C0C0"/>
          </w:tcPr>
          <w:p>
            <w:pPr>
              <w:spacing w:after="0"/>
              <w:rPr>
                <w:sz w:val="20"/>
                <w:szCs w:val="20"/>
                <w:color w:val="auto"/>
              </w:rPr>
            </w:pPr>
          </w:p>
        </w:tc>
        <w:tc>
          <w:tcPr>
            <w:tcW w:w="2920" w:type="dxa"/>
            <w:vAlign w:val="bottom"/>
            <w:shd w:val="clear" w:color="auto" w:fill="C0C0C0"/>
          </w:tcPr>
          <w:p>
            <w:pPr>
              <w:spacing w:after="0"/>
              <w:rPr>
                <w:sz w:val="20"/>
                <w:szCs w:val="20"/>
                <w:color w:val="auto"/>
              </w:rPr>
            </w:pPr>
          </w:p>
        </w:tc>
        <w:tc>
          <w:tcPr>
            <w:tcW w:w="14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0C0C0"/>
          </w:tcPr>
          <w:p>
            <w:pPr>
              <w:jc w:val="right"/>
              <w:ind w:right="120"/>
              <w:spacing w:after="0" w:line="196" w:lineRule="exact"/>
              <w:rPr>
                <w:sz w:val="20"/>
                <w:szCs w:val="20"/>
                <w:color w:val="auto"/>
              </w:rPr>
            </w:pPr>
            <w:r>
              <w:rPr>
                <w:rFonts w:ascii="Arial" w:cs="Arial" w:eastAsia="Arial" w:hAnsi="Arial"/>
                <w:sz w:val="18"/>
                <w:szCs w:val="18"/>
                <w:b w:val="1"/>
                <w:bCs w:val="1"/>
                <w:color w:val="auto"/>
              </w:rPr>
              <w:t>910</w:t>
            </w:r>
          </w:p>
        </w:tc>
        <w:tc>
          <w:tcPr>
            <w:tcW w:w="320" w:type="dxa"/>
            <w:vAlign w:val="bottom"/>
            <w:gridSpan w:val="2"/>
            <w:shd w:val="clear" w:color="auto" w:fill="C0C0C0"/>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0C0C0"/>
          </w:tcPr>
          <w:p>
            <w:pPr>
              <w:jc w:val="right"/>
              <w:ind w:right="120"/>
              <w:spacing w:after="0" w:line="196" w:lineRule="exact"/>
              <w:rPr>
                <w:sz w:val="20"/>
                <w:szCs w:val="20"/>
                <w:color w:val="auto"/>
              </w:rPr>
            </w:pPr>
            <w:r>
              <w:rPr>
                <w:rFonts w:ascii="Arial" w:cs="Arial" w:eastAsia="Arial" w:hAnsi="Arial"/>
                <w:sz w:val="18"/>
                <w:szCs w:val="18"/>
                <w:color w:val="auto"/>
              </w:rPr>
              <w:t>840</w:t>
            </w:r>
          </w:p>
        </w:tc>
        <w:tc>
          <w:tcPr>
            <w:tcW w:w="300" w:type="dxa"/>
            <w:vAlign w:val="bottom"/>
            <w:gridSpan w:val="2"/>
            <w:shd w:val="clear" w:color="auto" w:fill="C0C0C0"/>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0C0C0"/>
          </w:tcPr>
          <w:p>
            <w:pPr>
              <w:jc w:val="right"/>
              <w:ind w:right="120"/>
              <w:spacing w:after="0" w:line="196" w:lineRule="exact"/>
              <w:rPr>
                <w:sz w:val="20"/>
                <w:szCs w:val="20"/>
                <w:color w:val="auto"/>
              </w:rPr>
            </w:pPr>
            <w:r>
              <w:rPr>
                <w:rFonts w:ascii="Arial" w:cs="Arial" w:eastAsia="Arial" w:hAnsi="Arial"/>
                <w:sz w:val="18"/>
                <w:szCs w:val="18"/>
                <w:color w:val="auto"/>
              </w:rPr>
              <w:t>666</w:t>
            </w:r>
          </w:p>
        </w:tc>
        <w:tc>
          <w:tcPr>
            <w:tcW w:w="300" w:type="dxa"/>
            <w:vAlign w:val="bottom"/>
            <w:gridSpan w:val="2"/>
            <w:shd w:val="clear" w:color="auto" w:fill="C0C0C0"/>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0C0C0"/>
          </w:tcPr>
          <w:p>
            <w:pPr>
              <w:jc w:val="right"/>
              <w:ind w:right="140"/>
              <w:spacing w:after="0" w:line="196" w:lineRule="exact"/>
              <w:rPr>
                <w:sz w:val="20"/>
                <w:szCs w:val="20"/>
                <w:color w:val="auto"/>
              </w:rPr>
            </w:pPr>
            <w:r>
              <w:rPr>
                <w:rFonts w:ascii="Arial" w:cs="Arial" w:eastAsia="Arial" w:hAnsi="Arial"/>
                <w:sz w:val="18"/>
                <w:szCs w:val="18"/>
                <w:color w:val="auto"/>
              </w:rPr>
              <w:t>484</w:t>
            </w:r>
          </w:p>
        </w:tc>
        <w:tc>
          <w:tcPr>
            <w:tcW w:w="320" w:type="dxa"/>
            <w:vAlign w:val="bottom"/>
            <w:gridSpan w:val="2"/>
            <w:shd w:val="clear" w:color="auto" w:fill="C0C0C0"/>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0C0C0"/>
          </w:tcPr>
          <w:p>
            <w:pPr>
              <w:jc w:val="right"/>
              <w:ind w:right="140"/>
              <w:spacing w:after="0" w:line="196" w:lineRule="exact"/>
              <w:rPr>
                <w:sz w:val="20"/>
                <w:szCs w:val="20"/>
                <w:color w:val="auto"/>
              </w:rPr>
            </w:pPr>
            <w:r>
              <w:rPr>
                <w:rFonts w:ascii="Arial" w:cs="Arial" w:eastAsia="Arial" w:hAnsi="Arial"/>
                <w:sz w:val="18"/>
                <w:szCs w:val="18"/>
                <w:color w:val="auto"/>
              </w:rPr>
              <w:t>303</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720" w:type="dxa"/>
            <w:vAlign w:val="bottom"/>
            <w:tcBorders>
              <w:top w:val="single" w:sz="8" w:color="C0C0C0"/>
            </w:tcBorders>
            <w:gridSpan w:val="2"/>
          </w:tcPr>
          <w:p>
            <w:pPr>
              <w:ind w:left="20"/>
              <w:spacing w:after="0" w:line="196" w:lineRule="exact"/>
              <w:rPr>
                <w:sz w:val="20"/>
                <w:szCs w:val="20"/>
                <w:color w:val="auto"/>
              </w:rPr>
            </w:pPr>
            <w:r>
              <w:rPr>
                <w:rFonts w:ascii="Arial" w:cs="Arial" w:eastAsia="Arial" w:hAnsi="Arial"/>
                <w:sz w:val="18"/>
                <w:szCs w:val="18"/>
                <w:color w:val="auto"/>
              </w:rPr>
              <w:t>FIXED CHARGES</w:t>
            </w: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Borders>
              <w:top w:val="single" w:sz="8" w:color="C0C0C0"/>
            </w:tcBorders>
          </w:tcPr>
          <w:p>
            <w:pPr>
              <w:spacing w:after="0"/>
              <w:rPr>
                <w:sz w:val="17"/>
                <w:szCs w:val="17"/>
                <w:color w:val="auto"/>
              </w:rPr>
            </w:pPr>
          </w:p>
        </w:tc>
        <w:tc>
          <w:tcPr>
            <w:tcW w:w="160" w:type="dxa"/>
            <w:vAlign w:val="bottom"/>
            <w:tcBorders>
              <w:top w:val="single" w:sz="8" w:color="C0C0C0"/>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Borders>
              <w:top w:val="single" w:sz="8" w:color="C0C0C0"/>
            </w:tcBorders>
          </w:tcPr>
          <w:p>
            <w:pPr>
              <w:spacing w:after="0"/>
              <w:rPr>
                <w:sz w:val="17"/>
                <w:szCs w:val="17"/>
                <w:color w:val="auto"/>
              </w:rPr>
            </w:pPr>
          </w:p>
        </w:tc>
        <w:tc>
          <w:tcPr>
            <w:tcW w:w="160" w:type="dxa"/>
            <w:vAlign w:val="bottom"/>
            <w:tcBorders>
              <w:top w:val="single" w:sz="8" w:color="C0C0C0"/>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Borders>
              <w:top w:val="single" w:sz="8" w:color="C0C0C0"/>
            </w:tcBorders>
          </w:tcPr>
          <w:p>
            <w:pPr>
              <w:spacing w:after="0"/>
              <w:rPr>
                <w:sz w:val="17"/>
                <w:szCs w:val="17"/>
                <w:color w:val="auto"/>
              </w:rPr>
            </w:pPr>
          </w:p>
        </w:tc>
        <w:tc>
          <w:tcPr>
            <w:tcW w:w="160" w:type="dxa"/>
            <w:vAlign w:val="bottom"/>
            <w:tcBorders>
              <w:top w:val="single" w:sz="8" w:color="C0C0C0"/>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Borders>
              <w:top w:val="single" w:sz="8" w:color="C0C0C0"/>
            </w:tcBorders>
          </w:tcPr>
          <w:p>
            <w:pPr>
              <w:spacing w:after="0"/>
              <w:rPr>
                <w:sz w:val="17"/>
                <w:szCs w:val="17"/>
                <w:color w:val="auto"/>
              </w:rPr>
            </w:pPr>
          </w:p>
        </w:tc>
        <w:tc>
          <w:tcPr>
            <w:tcW w:w="160" w:type="dxa"/>
            <w:vAlign w:val="bottom"/>
            <w:tcBorders>
              <w:top w:val="single" w:sz="8" w:color="C0C0C0"/>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60" w:type="dxa"/>
            <w:vAlign w:val="bottom"/>
            <w:tcBorders>
              <w:top w:val="single" w:sz="8" w:color="C0C0C0"/>
            </w:tcBorders>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gridSpan w:val="2"/>
            <w:shd w:val="clear" w:color="auto" w:fill="C0C0C0"/>
          </w:tcPr>
          <w:p>
            <w:pPr>
              <w:ind w:left="20"/>
              <w:spacing w:after="0" w:line="202" w:lineRule="exact"/>
              <w:rPr>
                <w:sz w:val="20"/>
                <w:szCs w:val="20"/>
                <w:color w:val="auto"/>
              </w:rPr>
            </w:pPr>
            <w:r>
              <w:rPr>
                <w:rFonts w:ascii="Arial" w:cs="Arial" w:eastAsia="Arial" w:hAnsi="Arial"/>
                <w:sz w:val="18"/>
                <w:szCs w:val="18"/>
                <w:color w:val="auto"/>
              </w:rPr>
              <w:t>Gross interest expense</w:t>
            </w:r>
          </w:p>
        </w:tc>
        <w:tc>
          <w:tcPr>
            <w:tcW w:w="14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b w:val="1"/>
                <w:bCs w:val="1"/>
                <w:color w:val="auto"/>
              </w:rPr>
              <w:t>11</w:t>
            </w:r>
          </w:p>
        </w:tc>
        <w:tc>
          <w:tcPr>
            <w:tcW w:w="320" w:type="dxa"/>
            <w:vAlign w:val="bottom"/>
            <w:gridSpan w:val="2"/>
            <w:shd w:val="clear" w:color="auto" w:fill="C0C0C0"/>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11</w:t>
            </w:r>
          </w:p>
        </w:tc>
        <w:tc>
          <w:tcPr>
            <w:tcW w:w="300" w:type="dxa"/>
            <w:vAlign w:val="bottom"/>
            <w:gridSpan w:val="2"/>
            <w:shd w:val="clear" w:color="auto" w:fill="C0C0C0"/>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13</w:t>
            </w:r>
          </w:p>
        </w:tc>
        <w:tc>
          <w:tcPr>
            <w:tcW w:w="300" w:type="dxa"/>
            <w:vAlign w:val="bottom"/>
            <w:gridSpan w:val="2"/>
            <w:shd w:val="clear" w:color="auto" w:fill="C0C0C0"/>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0C0C0"/>
          </w:tcPr>
          <w:p>
            <w:pPr>
              <w:jc w:val="right"/>
              <w:ind w:right="140"/>
              <w:spacing w:after="0" w:line="202" w:lineRule="exact"/>
              <w:rPr>
                <w:sz w:val="20"/>
                <w:szCs w:val="20"/>
                <w:color w:val="auto"/>
              </w:rPr>
            </w:pPr>
            <w:r>
              <w:rPr>
                <w:rFonts w:ascii="Arial" w:cs="Arial" w:eastAsia="Arial" w:hAnsi="Arial"/>
                <w:sz w:val="18"/>
                <w:szCs w:val="18"/>
                <w:color w:val="auto"/>
              </w:rPr>
              <w:t>14</w:t>
            </w:r>
          </w:p>
        </w:tc>
        <w:tc>
          <w:tcPr>
            <w:tcW w:w="320" w:type="dxa"/>
            <w:vAlign w:val="bottom"/>
            <w:gridSpan w:val="2"/>
            <w:shd w:val="clear" w:color="auto" w:fill="C0C0C0"/>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0C0C0"/>
          </w:tcPr>
          <w:p>
            <w:pPr>
              <w:jc w:val="right"/>
              <w:ind w:right="140"/>
              <w:spacing w:after="0" w:line="202" w:lineRule="exact"/>
              <w:rPr>
                <w:sz w:val="20"/>
                <w:szCs w:val="20"/>
                <w:color w:val="auto"/>
              </w:rPr>
            </w:pPr>
            <w:r>
              <w:rPr>
                <w:rFonts w:ascii="Arial" w:cs="Arial" w:eastAsia="Arial" w:hAnsi="Arial"/>
                <w:sz w:val="18"/>
                <w:szCs w:val="18"/>
                <w:color w:val="auto"/>
              </w:rPr>
              <w:t>13</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2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Portion of rents deemed representative of</w:t>
            </w:r>
          </w:p>
        </w:tc>
        <w:tc>
          <w:tcPr>
            <w:tcW w:w="140" w:type="dxa"/>
            <w:vAlign w:val="bottom"/>
          </w:tcPr>
          <w:p>
            <w:pPr>
              <w:spacing w:after="0"/>
              <w:rPr>
                <w:sz w:val="17"/>
                <w:szCs w:val="17"/>
                <w:color w:val="auto"/>
              </w:rPr>
            </w:pPr>
          </w:p>
        </w:tc>
        <w:tc>
          <w:tcPr>
            <w:tcW w:w="720" w:type="dxa"/>
            <w:vAlign w:val="bottom"/>
            <w:gridSpan w:val="2"/>
          </w:tcPr>
          <w:p>
            <w:pPr>
              <w:jc w:val="right"/>
              <w:ind w:right="120"/>
              <w:spacing w:after="0" w:line="201" w:lineRule="exact"/>
              <w:rPr>
                <w:sz w:val="20"/>
                <w:szCs w:val="20"/>
                <w:color w:val="auto"/>
              </w:rPr>
            </w:pPr>
            <w:r>
              <w:rPr>
                <w:rFonts w:ascii="Arial" w:cs="Arial" w:eastAsia="Arial" w:hAnsi="Arial"/>
                <w:sz w:val="18"/>
                <w:szCs w:val="18"/>
                <w:b w:val="1"/>
                <w:bCs w:val="1"/>
                <w:color w:val="auto"/>
              </w:rPr>
              <w:t>236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222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218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213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217</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gridSpan w:val="2"/>
          </w:tcPr>
          <w:p>
            <w:pPr>
              <w:ind w:left="200"/>
              <w:spacing w:after="0" w:line="203" w:lineRule="exact"/>
              <w:rPr>
                <w:sz w:val="20"/>
                <w:szCs w:val="20"/>
                <w:color w:val="auto"/>
              </w:rPr>
            </w:pPr>
            <w:r>
              <w:rPr>
                <w:rFonts w:ascii="Arial" w:cs="Arial" w:eastAsia="Arial" w:hAnsi="Arial"/>
                <w:sz w:val="18"/>
                <w:szCs w:val="18"/>
                <w:color w:val="auto"/>
              </w:rPr>
              <w:t>the interest factor (1/3)</w:t>
            </w: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00" w:type="dxa"/>
            <w:vAlign w:val="bottom"/>
            <w:shd w:val="clear" w:color="auto" w:fill="C0C0C0"/>
          </w:tcPr>
          <w:p>
            <w:pPr>
              <w:spacing w:after="0"/>
              <w:rPr>
                <w:sz w:val="18"/>
                <w:szCs w:val="18"/>
                <w:color w:val="auto"/>
              </w:rPr>
            </w:pPr>
          </w:p>
        </w:tc>
        <w:tc>
          <w:tcPr>
            <w:tcW w:w="2920" w:type="dxa"/>
            <w:vAlign w:val="bottom"/>
            <w:shd w:val="clear" w:color="auto" w:fill="C0C0C0"/>
          </w:tcPr>
          <w:p>
            <w:pPr>
              <w:spacing w:after="0"/>
              <w:rPr>
                <w:sz w:val="18"/>
                <w:szCs w:val="18"/>
                <w:color w:val="auto"/>
              </w:rPr>
            </w:pPr>
          </w:p>
        </w:tc>
        <w:tc>
          <w:tcPr>
            <w:tcW w:w="14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b w:val="1"/>
                <w:bCs w:val="1"/>
                <w:color w:val="auto"/>
              </w:rPr>
              <w:t>247</w:t>
            </w:r>
          </w:p>
        </w:tc>
        <w:tc>
          <w:tcPr>
            <w:tcW w:w="12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160" w:type="dxa"/>
            <w:vAlign w:val="bottom"/>
            <w:shd w:val="clear" w:color="auto" w:fill="C0C0C0"/>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0C0C0"/>
          </w:tcPr>
          <w:p>
            <w:pPr>
              <w:jc w:val="right"/>
              <w:ind w:right="120"/>
              <w:spacing w:after="0" w:line="196" w:lineRule="exact"/>
              <w:rPr>
                <w:sz w:val="20"/>
                <w:szCs w:val="20"/>
                <w:color w:val="auto"/>
              </w:rPr>
            </w:pPr>
            <w:r>
              <w:rPr>
                <w:rFonts w:ascii="Arial" w:cs="Arial" w:eastAsia="Arial" w:hAnsi="Arial"/>
                <w:sz w:val="18"/>
                <w:szCs w:val="18"/>
                <w:color w:val="auto"/>
              </w:rPr>
              <w:t>233</w:t>
            </w:r>
          </w:p>
        </w:tc>
        <w:tc>
          <w:tcPr>
            <w:tcW w:w="300" w:type="dxa"/>
            <w:vAlign w:val="bottom"/>
            <w:gridSpan w:val="2"/>
            <w:shd w:val="clear" w:color="auto" w:fill="C0C0C0"/>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0C0C0"/>
          </w:tcPr>
          <w:p>
            <w:pPr>
              <w:jc w:val="right"/>
              <w:ind w:right="120"/>
              <w:spacing w:after="0" w:line="196" w:lineRule="exact"/>
              <w:rPr>
                <w:sz w:val="20"/>
                <w:szCs w:val="20"/>
                <w:color w:val="auto"/>
              </w:rPr>
            </w:pPr>
            <w:r>
              <w:rPr>
                <w:rFonts w:ascii="Arial" w:cs="Arial" w:eastAsia="Arial" w:hAnsi="Arial"/>
                <w:sz w:val="18"/>
                <w:szCs w:val="18"/>
                <w:color w:val="auto"/>
              </w:rPr>
              <w:t>231</w:t>
            </w:r>
          </w:p>
        </w:tc>
        <w:tc>
          <w:tcPr>
            <w:tcW w:w="300" w:type="dxa"/>
            <w:vAlign w:val="bottom"/>
            <w:gridSpan w:val="2"/>
            <w:shd w:val="clear" w:color="auto" w:fill="C0C0C0"/>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0C0C0"/>
          </w:tcPr>
          <w:p>
            <w:pPr>
              <w:jc w:val="right"/>
              <w:ind w:right="140"/>
              <w:spacing w:after="0" w:line="196" w:lineRule="exact"/>
              <w:rPr>
                <w:sz w:val="20"/>
                <w:szCs w:val="20"/>
                <w:color w:val="auto"/>
              </w:rPr>
            </w:pPr>
            <w:r>
              <w:rPr>
                <w:rFonts w:ascii="Arial" w:cs="Arial" w:eastAsia="Arial" w:hAnsi="Arial"/>
                <w:sz w:val="18"/>
                <w:szCs w:val="18"/>
                <w:color w:val="auto"/>
              </w:rPr>
              <w:t>227</w:t>
            </w:r>
          </w:p>
        </w:tc>
        <w:tc>
          <w:tcPr>
            <w:tcW w:w="320" w:type="dxa"/>
            <w:vAlign w:val="bottom"/>
            <w:gridSpan w:val="2"/>
            <w:shd w:val="clear" w:color="auto" w:fill="C0C0C0"/>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0C0C0"/>
          </w:tcPr>
          <w:p>
            <w:pPr>
              <w:jc w:val="right"/>
              <w:ind w:right="140"/>
              <w:spacing w:after="0" w:line="196" w:lineRule="exact"/>
              <w:rPr>
                <w:sz w:val="20"/>
                <w:szCs w:val="20"/>
                <w:color w:val="auto"/>
              </w:rPr>
            </w:pPr>
            <w:r>
              <w:rPr>
                <w:rFonts w:ascii="Arial" w:cs="Arial" w:eastAsia="Arial" w:hAnsi="Arial"/>
                <w:sz w:val="18"/>
                <w:szCs w:val="18"/>
                <w:color w:val="auto"/>
              </w:rPr>
              <w:t>230</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Borders>
              <w:top w:val="single" w:sz="8" w:color="C0C0C0"/>
            </w:tcBorders>
            <w:shd w:val="clear" w:color="auto" w:fill="C0C0C0"/>
          </w:tcPr>
          <w:p>
            <w:pPr>
              <w:spacing w:after="0" w:line="20" w:lineRule="exact"/>
              <w:rPr>
                <w:sz w:val="1"/>
                <w:szCs w:val="1"/>
                <w:color w:val="auto"/>
              </w:rPr>
            </w:pPr>
          </w:p>
        </w:tc>
        <w:tc>
          <w:tcPr>
            <w:tcW w:w="2920" w:type="dxa"/>
            <w:vAlign w:val="bottom"/>
            <w:tcBorders>
              <w:top w:val="single" w:sz="8" w:color="C0C0C0"/>
            </w:tcBorders>
            <w:shd w:val="clear" w:color="auto" w:fill="C0C0C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72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RATIO OF EARNINGS TO FIXED</w:t>
            </w:r>
          </w:p>
        </w:tc>
        <w:tc>
          <w:tcPr>
            <w:tcW w:w="140" w:type="dxa"/>
            <w:vAlign w:val="bottom"/>
          </w:tcPr>
          <w:p>
            <w:pPr>
              <w:spacing w:after="0"/>
              <w:rPr>
                <w:sz w:val="16"/>
                <w:szCs w:val="16"/>
                <w:color w:val="auto"/>
              </w:rPr>
            </w:pPr>
          </w:p>
        </w:tc>
        <w:tc>
          <w:tcPr>
            <w:tcW w:w="60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3.7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120"/>
              <w:spacing w:after="0" w:line="195" w:lineRule="exact"/>
              <w:rPr>
                <w:sz w:val="20"/>
                <w:szCs w:val="20"/>
                <w:color w:val="auto"/>
              </w:rPr>
            </w:pPr>
            <w:r>
              <w:rPr>
                <w:rFonts w:ascii="Arial" w:cs="Arial" w:eastAsia="Arial" w:hAnsi="Arial"/>
                <w:sz w:val="18"/>
                <w:szCs w:val="18"/>
                <w:color w:val="auto"/>
              </w:rPr>
              <w:t>3.6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120"/>
              <w:spacing w:after="0" w:line="195" w:lineRule="exact"/>
              <w:rPr>
                <w:sz w:val="20"/>
                <w:szCs w:val="20"/>
                <w:color w:val="auto"/>
              </w:rPr>
            </w:pPr>
            <w:r>
              <w:rPr>
                <w:rFonts w:ascii="Arial" w:cs="Arial" w:eastAsia="Arial" w:hAnsi="Arial"/>
                <w:sz w:val="18"/>
                <w:szCs w:val="18"/>
                <w:color w:val="auto"/>
              </w:rPr>
              <w:t>2.9</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140"/>
              <w:spacing w:after="0" w:line="195" w:lineRule="exact"/>
              <w:rPr>
                <w:sz w:val="20"/>
                <w:szCs w:val="20"/>
                <w:color w:val="auto"/>
              </w:rPr>
            </w:pPr>
            <w:r>
              <w:rPr>
                <w:rFonts w:ascii="Arial" w:cs="Arial" w:eastAsia="Arial" w:hAnsi="Arial"/>
                <w:sz w:val="18"/>
                <w:szCs w:val="18"/>
                <w:color w:val="auto"/>
              </w:rPr>
              <w:t>2.1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95" w:lineRule="exact"/>
              <w:rPr>
                <w:sz w:val="20"/>
                <w:szCs w:val="20"/>
                <w:color w:val="auto"/>
              </w:rPr>
            </w:pPr>
            <w:r>
              <w:rPr>
                <w:rFonts w:ascii="Arial" w:cs="Arial" w:eastAsia="Arial" w:hAnsi="Arial"/>
                <w:sz w:val="18"/>
                <w:szCs w:val="18"/>
                <w:color w:val="auto"/>
              </w:rPr>
              <w:t>1.3</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720" w:type="dxa"/>
            <w:vAlign w:val="bottom"/>
            <w:gridSpan w:val="2"/>
          </w:tcPr>
          <w:p>
            <w:pPr>
              <w:ind w:left="200"/>
              <w:spacing w:after="0"/>
              <w:rPr>
                <w:sz w:val="20"/>
                <w:szCs w:val="20"/>
                <w:color w:val="auto"/>
              </w:rPr>
            </w:pPr>
            <w:r>
              <w:rPr>
                <w:rFonts w:ascii="Arial" w:cs="Arial" w:eastAsia="Arial" w:hAnsi="Arial"/>
                <w:sz w:val="18"/>
                <w:szCs w:val="18"/>
                <w:color w:val="auto"/>
              </w:rPr>
              <w:t>CHARGES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6"/>
        </w:trPr>
        <w:tc>
          <w:tcPr>
            <w:tcW w:w="800" w:type="dxa"/>
            <w:vAlign w:val="bottom"/>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29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-1474470</wp:posOffset>
            </wp:positionV>
            <wp:extent cx="5565775" cy="16319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565775"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-788035</wp:posOffset>
            </wp:positionV>
            <wp:extent cx="5565775" cy="29146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565775" cy="29146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346" w:right="1139" w:bottom="1440" w:gutter="0" w:footer="0" w:header="0"/>
        </w:sectPr>
      </w:pPr>
    </w:p>
    <w:bookmarkStart w:id="82" w:name="page83"/>
    <w:bookmarkEnd w:id="82"/>
    <w:p>
      <w:pPr>
        <w:jc w:val="right"/>
        <w:ind w:right="519"/>
        <w:spacing w:after="0"/>
        <w:rPr>
          <w:sz w:val="20"/>
          <w:szCs w:val="20"/>
          <w:color w:val="auto"/>
        </w:rPr>
      </w:pPr>
      <w:r>
        <w:rPr>
          <w:rFonts w:ascii="Arial" w:cs="Arial" w:eastAsia="Arial" w:hAnsi="Arial"/>
          <w:sz w:val="18"/>
          <w:szCs w:val="18"/>
          <w:b w:val="1"/>
          <w:bCs w:val="1"/>
          <w:color w:val="auto"/>
        </w:rPr>
        <w:t>Exhibit 21</w:t>
      </w:r>
    </w:p>
    <w:p>
      <w:pPr>
        <w:spacing w:after="0" w:line="256"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FOOT LOCKER, INC. SUBSIDIARIES</w:t>
      </w:r>
      <w:r>
        <w:rPr>
          <w:rFonts w:ascii="Arial" w:cs="Arial" w:eastAsia="Arial" w:hAnsi="Arial"/>
          <w:sz w:val="30"/>
          <w:szCs w:val="30"/>
          <w:b w:val="1"/>
          <w:bCs w:val="1"/>
          <w:color w:val="auto"/>
          <w:vertAlign w:val="superscript"/>
        </w:rPr>
        <w:t>(1)</w:t>
      </w:r>
    </w:p>
    <w:p>
      <w:pPr>
        <w:spacing w:after="0" w:line="38" w:lineRule="exact"/>
        <w:rPr>
          <w:sz w:val="20"/>
          <w:szCs w:val="20"/>
          <w:color w:val="auto"/>
        </w:rPr>
      </w:pPr>
    </w:p>
    <w:p>
      <w:pPr>
        <w:ind w:left="60" w:right="539"/>
        <w:spacing w:after="0" w:line="251" w:lineRule="auto"/>
        <w:rPr>
          <w:sz w:val="20"/>
          <w:szCs w:val="20"/>
          <w:color w:val="auto"/>
        </w:rPr>
      </w:pPr>
      <w:r>
        <w:rPr>
          <w:rFonts w:ascii="Arial" w:cs="Arial" w:eastAsia="Arial" w:hAnsi="Arial"/>
          <w:sz w:val="18"/>
          <w:szCs w:val="18"/>
          <w:color w:val="auto"/>
        </w:rPr>
        <w:t>The following is a list of subsidiaries of Foot Locker, Inc. as of February 1, 2014, omitting some subsidiaries, which, considered in the aggregate, would not constitute a significant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-76835</wp:posOffset>
            </wp:positionV>
            <wp:extent cx="553148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694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1680" w:type="dxa"/>
            <w:vAlign w:val="bottom"/>
          </w:tcPr>
          <w:p>
            <w:pPr>
              <w:ind w:left="360"/>
              <w:spacing w:after="0"/>
              <w:rPr>
                <w:sz w:val="20"/>
                <w:szCs w:val="20"/>
                <w:color w:val="auto"/>
              </w:rPr>
            </w:pPr>
            <w:r>
              <w:rPr>
                <w:rFonts w:ascii="Arial" w:cs="Arial" w:eastAsia="Arial" w:hAnsi="Arial"/>
                <w:sz w:val="14"/>
                <w:szCs w:val="14"/>
                <w:b w:val="1"/>
                <w:bCs w:val="1"/>
                <w:color w:val="auto"/>
              </w:rPr>
              <w:t>State or Other</w:t>
            </w:r>
          </w:p>
        </w:tc>
      </w:tr>
      <w:tr>
        <w:trPr>
          <w:trHeight w:val="162"/>
        </w:trPr>
        <w:tc>
          <w:tcPr>
            <w:tcW w:w="6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ind w:left="340"/>
              <w:spacing w:after="0"/>
              <w:rPr>
                <w:sz w:val="20"/>
                <w:szCs w:val="20"/>
                <w:color w:val="auto"/>
              </w:rPr>
            </w:pPr>
            <w:r>
              <w:rPr>
                <w:rFonts w:ascii="Arial" w:cs="Arial" w:eastAsia="Arial" w:hAnsi="Arial"/>
                <w:sz w:val="14"/>
                <w:szCs w:val="14"/>
                <w:b w:val="1"/>
                <w:bCs w:val="1"/>
                <w:color w:val="auto"/>
              </w:rPr>
              <w:t>Jurisdiction of</w:t>
            </w:r>
          </w:p>
        </w:tc>
      </w:tr>
      <w:tr>
        <w:trPr>
          <w:trHeight w:val="175"/>
        </w:trPr>
        <w:tc>
          <w:tcPr>
            <w:tcW w:w="69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Incorporation</w:t>
            </w:r>
          </w:p>
        </w:tc>
      </w:tr>
      <w:tr>
        <w:trPr>
          <w:trHeight w:val="195"/>
        </w:trPr>
        <w:tc>
          <w:tcPr>
            <w:tcW w:w="6940" w:type="dxa"/>
            <w:vAlign w:val="bottom"/>
          </w:tcPr>
          <w:p>
            <w:pPr>
              <w:ind w:left="20"/>
              <w:spacing w:after="0" w:line="195" w:lineRule="exact"/>
              <w:rPr>
                <w:sz w:val="20"/>
                <w:szCs w:val="20"/>
                <w:color w:val="auto"/>
              </w:rPr>
            </w:pPr>
            <w:r>
              <w:rPr>
                <w:rFonts w:ascii="Arial" w:cs="Arial" w:eastAsia="Arial" w:hAnsi="Arial"/>
                <w:sz w:val="18"/>
                <w:szCs w:val="18"/>
                <w:color w:val="auto"/>
              </w:rPr>
              <w:t>Footlocker.com, Inc.</w:t>
            </w:r>
          </w:p>
        </w:tc>
        <w:tc>
          <w:tcPr>
            <w:tcW w:w="160" w:type="dxa"/>
            <w:vAlign w:val="bottom"/>
          </w:tcPr>
          <w:p>
            <w:pPr>
              <w:spacing w:after="0"/>
              <w:rPr>
                <w:sz w:val="16"/>
                <w:szCs w:val="16"/>
                <w:color w:val="auto"/>
              </w:rPr>
            </w:pPr>
          </w:p>
        </w:tc>
        <w:tc>
          <w:tcPr>
            <w:tcW w:w="1680" w:type="dxa"/>
            <w:vAlign w:val="bottom"/>
          </w:tcPr>
          <w:p>
            <w:pPr>
              <w:spacing w:after="0" w:line="195" w:lineRule="exact"/>
              <w:rPr>
                <w:sz w:val="20"/>
                <w:szCs w:val="20"/>
                <w:color w:val="auto"/>
              </w:rPr>
            </w:pPr>
            <w:r>
              <w:rPr>
                <w:rFonts w:ascii="Arial" w:cs="Arial" w:eastAsia="Arial" w:hAnsi="Arial"/>
                <w:sz w:val="18"/>
                <w:szCs w:val="18"/>
                <w:color w:val="auto"/>
              </w:rPr>
              <w:t>Delaware</w:t>
            </w: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Eastbay, Inc.</w:t>
            </w:r>
          </w:p>
        </w:tc>
        <w:tc>
          <w:tcPr>
            <w:tcW w:w="160" w:type="dxa"/>
            <w:vAlign w:val="bottom"/>
          </w:tcPr>
          <w:p>
            <w:pPr>
              <w:spacing w:after="0"/>
              <w:rPr>
                <w:sz w:val="17"/>
                <w:szCs w:val="17"/>
                <w:color w:val="auto"/>
              </w:rPr>
            </w:pPr>
          </w:p>
        </w:tc>
        <w:tc>
          <w:tcPr>
            <w:tcW w:w="1680" w:type="dxa"/>
            <w:vAlign w:val="bottom"/>
          </w:tcPr>
          <w:p>
            <w:pPr>
              <w:spacing w:after="0" w:line="202" w:lineRule="exact"/>
              <w:rPr>
                <w:sz w:val="20"/>
                <w:szCs w:val="20"/>
                <w:color w:val="auto"/>
              </w:rPr>
            </w:pPr>
            <w:r>
              <w:rPr>
                <w:rFonts w:ascii="Arial" w:cs="Arial" w:eastAsia="Arial" w:hAnsi="Arial"/>
                <w:sz w:val="18"/>
                <w:szCs w:val="18"/>
                <w:color w:val="auto"/>
              </w:rPr>
              <w:t>Wisconsin</w:t>
            </w: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FLE CV Management, Inc.</w:t>
            </w:r>
          </w:p>
        </w:tc>
        <w:tc>
          <w:tcPr>
            <w:tcW w:w="160" w:type="dxa"/>
            <w:vAlign w:val="bottom"/>
          </w:tcPr>
          <w:p>
            <w:pPr>
              <w:spacing w:after="0"/>
              <w:rPr>
                <w:sz w:val="17"/>
                <w:szCs w:val="17"/>
                <w:color w:val="auto"/>
              </w:rPr>
            </w:pPr>
          </w:p>
        </w:tc>
        <w:tc>
          <w:tcPr>
            <w:tcW w:w="1680" w:type="dxa"/>
            <w:vAlign w:val="bottom"/>
          </w:tcPr>
          <w:p>
            <w:pPr>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FLE C.V.</w:t>
            </w:r>
          </w:p>
        </w:tc>
        <w:tc>
          <w:tcPr>
            <w:tcW w:w="160" w:type="dxa"/>
            <w:vAlign w:val="bottom"/>
          </w:tcPr>
          <w:p>
            <w:pPr>
              <w:spacing w:after="0"/>
              <w:rPr>
                <w:sz w:val="17"/>
                <w:szCs w:val="17"/>
                <w:color w:val="auto"/>
              </w:rPr>
            </w:pPr>
          </w:p>
        </w:tc>
        <w:tc>
          <w:tcPr>
            <w:tcW w:w="1680" w:type="dxa"/>
            <w:vAlign w:val="bottom"/>
          </w:tcPr>
          <w:p>
            <w:pPr>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FLE Holdings, BV</w:t>
            </w:r>
          </w:p>
        </w:tc>
        <w:tc>
          <w:tcPr>
            <w:tcW w:w="160" w:type="dxa"/>
            <w:vAlign w:val="bottom"/>
          </w:tcPr>
          <w:p>
            <w:pPr>
              <w:spacing w:after="0"/>
              <w:rPr>
                <w:sz w:val="17"/>
                <w:szCs w:val="17"/>
                <w:color w:val="auto"/>
              </w:rPr>
            </w:pPr>
          </w:p>
        </w:tc>
        <w:tc>
          <w:tcPr>
            <w:tcW w:w="1680" w:type="dxa"/>
            <w:vAlign w:val="bottom"/>
          </w:tcPr>
          <w:p>
            <w:pPr>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FL Europe Holdings, Inc.</w:t>
            </w:r>
          </w:p>
        </w:tc>
        <w:tc>
          <w:tcPr>
            <w:tcW w:w="160" w:type="dxa"/>
            <w:vAlign w:val="bottom"/>
          </w:tcPr>
          <w:p>
            <w:pPr>
              <w:spacing w:after="0"/>
              <w:rPr>
                <w:sz w:val="17"/>
                <w:szCs w:val="17"/>
                <w:color w:val="auto"/>
              </w:rPr>
            </w:pPr>
          </w:p>
        </w:tc>
        <w:tc>
          <w:tcPr>
            <w:tcW w:w="1680" w:type="dxa"/>
            <w:vAlign w:val="bottom"/>
          </w:tcPr>
          <w:p>
            <w:pPr>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Foot Locker Austria GmbH</w:t>
            </w:r>
          </w:p>
        </w:tc>
        <w:tc>
          <w:tcPr>
            <w:tcW w:w="160" w:type="dxa"/>
            <w:vAlign w:val="bottom"/>
          </w:tcPr>
          <w:p>
            <w:pPr>
              <w:spacing w:after="0"/>
              <w:rPr>
                <w:sz w:val="17"/>
                <w:szCs w:val="17"/>
                <w:color w:val="auto"/>
              </w:rPr>
            </w:pPr>
          </w:p>
        </w:tc>
        <w:tc>
          <w:tcPr>
            <w:tcW w:w="1680" w:type="dxa"/>
            <w:vAlign w:val="bottom"/>
          </w:tcPr>
          <w:p>
            <w:pPr>
              <w:spacing w:after="0" w:line="202" w:lineRule="exact"/>
              <w:rPr>
                <w:sz w:val="20"/>
                <w:szCs w:val="20"/>
                <w:color w:val="auto"/>
              </w:rPr>
            </w:pPr>
            <w:r>
              <w:rPr>
                <w:rFonts w:ascii="Arial" w:cs="Arial" w:eastAsia="Arial" w:hAnsi="Arial"/>
                <w:sz w:val="18"/>
                <w:szCs w:val="18"/>
                <w:color w:val="auto"/>
              </w:rPr>
              <w:t>Austria</w:t>
            </w: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Foot Locker Belgium B.V.B.A.</w:t>
            </w:r>
          </w:p>
        </w:tc>
        <w:tc>
          <w:tcPr>
            <w:tcW w:w="160" w:type="dxa"/>
            <w:vAlign w:val="bottom"/>
          </w:tcPr>
          <w:p>
            <w:pPr>
              <w:spacing w:after="0"/>
              <w:rPr>
                <w:sz w:val="17"/>
                <w:szCs w:val="17"/>
                <w:color w:val="auto"/>
              </w:rPr>
            </w:pPr>
          </w:p>
        </w:tc>
        <w:tc>
          <w:tcPr>
            <w:tcW w:w="1680" w:type="dxa"/>
            <w:vAlign w:val="bottom"/>
          </w:tcPr>
          <w:p>
            <w:pPr>
              <w:spacing w:after="0" w:line="202" w:lineRule="exact"/>
              <w:rPr>
                <w:sz w:val="20"/>
                <w:szCs w:val="20"/>
                <w:color w:val="auto"/>
              </w:rPr>
            </w:pPr>
            <w:r>
              <w:rPr>
                <w:rFonts w:ascii="Arial" w:cs="Arial" w:eastAsia="Arial" w:hAnsi="Arial"/>
                <w:sz w:val="18"/>
                <w:szCs w:val="18"/>
                <w:color w:val="auto"/>
              </w:rPr>
              <w:t>Belgium</w:t>
            </w: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Foot Locker Europe B.V.</w:t>
            </w:r>
          </w:p>
        </w:tc>
        <w:tc>
          <w:tcPr>
            <w:tcW w:w="160" w:type="dxa"/>
            <w:vAlign w:val="bottom"/>
          </w:tcPr>
          <w:p>
            <w:pPr>
              <w:spacing w:after="0"/>
              <w:rPr>
                <w:sz w:val="17"/>
                <w:szCs w:val="17"/>
                <w:color w:val="auto"/>
              </w:rPr>
            </w:pPr>
          </w:p>
        </w:tc>
        <w:tc>
          <w:tcPr>
            <w:tcW w:w="1680" w:type="dxa"/>
            <w:vAlign w:val="bottom"/>
          </w:tcPr>
          <w:p>
            <w:pPr>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FLE Logistics B.V.</w:t>
            </w:r>
          </w:p>
        </w:tc>
        <w:tc>
          <w:tcPr>
            <w:tcW w:w="160" w:type="dxa"/>
            <w:vAlign w:val="bottom"/>
          </w:tcPr>
          <w:p>
            <w:pPr>
              <w:spacing w:after="0"/>
              <w:rPr>
                <w:sz w:val="17"/>
                <w:szCs w:val="17"/>
                <w:color w:val="auto"/>
              </w:rPr>
            </w:pPr>
          </w:p>
        </w:tc>
        <w:tc>
          <w:tcPr>
            <w:tcW w:w="1680" w:type="dxa"/>
            <w:vAlign w:val="bottom"/>
          </w:tcPr>
          <w:p>
            <w:pPr>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Foot Locker France S.A.S.</w:t>
            </w:r>
          </w:p>
        </w:tc>
        <w:tc>
          <w:tcPr>
            <w:tcW w:w="160" w:type="dxa"/>
            <w:vAlign w:val="bottom"/>
          </w:tcPr>
          <w:p>
            <w:pPr>
              <w:spacing w:after="0"/>
              <w:rPr>
                <w:sz w:val="17"/>
                <w:szCs w:val="17"/>
                <w:color w:val="auto"/>
              </w:rPr>
            </w:pPr>
          </w:p>
        </w:tc>
        <w:tc>
          <w:tcPr>
            <w:tcW w:w="1680" w:type="dxa"/>
            <w:vAlign w:val="bottom"/>
          </w:tcPr>
          <w:p>
            <w:pPr>
              <w:spacing w:after="0" w:line="202" w:lineRule="exact"/>
              <w:rPr>
                <w:sz w:val="20"/>
                <w:szCs w:val="20"/>
                <w:color w:val="auto"/>
              </w:rPr>
            </w:pPr>
            <w:r>
              <w:rPr>
                <w:rFonts w:ascii="Arial" w:cs="Arial" w:eastAsia="Arial" w:hAnsi="Arial"/>
                <w:sz w:val="18"/>
                <w:szCs w:val="18"/>
                <w:color w:val="auto"/>
              </w:rPr>
              <w:t>France</w:t>
            </w: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Foot Locker Italy S.r.l.</w:t>
            </w:r>
          </w:p>
        </w:tc>
        <w:tc>
          <w:tcPr>
            <w:tcW w:w="160" w:type="dxa"/>
            <w:vAlign w:val="bottom"/>
          </w:tcPr>
          <w:p>
            <w:pPr>
              <w:spacing w:after="0"/>
              <w:rPr>
                <w:sz w:val="17"/>
                <w:szCs w:val="17"/>
                <w:color w:val="auto"/>
              </w:rPr>
            </w:pPr>
          </w:p>
        </w:tc>
        <w:tc>
          <w:tcPr>
            <w:tcW w:w="1680" w:type="dxa"/>
            <w:vAlign w:val="bottom"/>
          </w:tcPr>
          <w:p>
            <w:pPr>
              <w:spacing w:after="0" w:line="202" w:lineRule="exact"/>
              <w:rPr>
                <w:sz w:val="20"/>
                <w:szCs w:val="20"/>
                <w:color w:val="auto"/>
              </w:rPr>
            </w:pPr>
            <w:r>
              <w:rPr>
                <w:rFonts w:ascii="Arial" w:cs="Arial" w:eastAsia="Arial" w:hAnsi="Arial"/>
                <w:sz w:val="18"/>
                <w:szCs w:val="18"/>
                <w:color w:val="auto"/>
              </w:rPr>
              <w:t>Italy</w:t>
            </w: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Foot Locker Netherlands B.V.</w:t>
            </w:r>
          </w:p>
        </w:tc>
        <w:tc>
          <w:tcPr>
            <w:tcW w:w="160" w:type="dxa"/>
            <w:vAlign w:val="bottom"/>
          </w:tcPr>
          <w:p>
            <w:pPr>
              <w:spacing w:after="0"/>
              <w:rPr>
                <w:sz w:val="17"/>
                <w:szCs w:val="17"/>
                <w:color w:val="auto"/>
              </w:rPr>
            </w:pPr>
          </w:p>
        </w:tc>
        <w:tc>
          <w:tcPr>
            <w:tcW w:w="1680" w:type="dxa"/>
            <w:vAlign w:val="bottom"/>
          </w:tcPr>
          <w:p>
            <w:pPr>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Foot Locker Germany GmbH &amp; Co. KG</w:t>
            </w:r>
          </w:p>
        </w:tc>
        <w:tc>
          <w:tcPr>
            <w:tcW w:w="160" w:type="dxa"/>
            <w:vAlign w:val="bottom"/>
          </w:tcPr>
          <w:p>
            <w:pPr>
              <w:spacing w:after="0"/>
              <w:rPr>
                <w:sz w:val="17"/>
                <w:szCs w:val="17"/>
                <w:color w:val="auto"/>
              </w:rPr>
            </w:pPr>
          </w:p>
        </w:tc>
        <w:tc>
          <w:tcPr>
            <w:tcW w:w="1680" w:type="dxa"/>
            <w:vAlign w:val="bottom"/>
          </w:tcPr>
          <w:p>
            <w:pPr>
              <w:spacing w:after="0" w:line="202" w:lineRule="exact"/>
              <w:rPr>
                <w:sz w:val="20"/>
                <w:szCs w:val="20"/>
                <w:color w:val="auto"/>
              </w:rPr>
            </w:pPr>
            <w:r>
              <w:rPr>
                <w:rFonts w:ascii="Arial" w:cs="Arial" w:eastAsia="Arial" w:hAnsi="Arial"/>
                <w:sz w:val="18"/>
                <w:szCs w:val="18"/>
                <w:color w:val="auto"/>
              </w:rPr>
              <w:t>Germany</w:t>
            </w: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Foot Locker ETVE, Inc.</w:t>
            </w:r>
          </w:p>
        </w:tc>
        <w:tc>
          <w:tcPr>
            <w:tcW w:w="160" w:type="dxa"/>
            <w:vAlign w:val="bottom"/>
          </w:tcPr>
          <w:p>
            <w:pPr>
              <w:spacing w:after="0"/>
              <w:rPr>
                <w:sz w:val="17"/>
                <w:szCs w:val="17"/>
                <w:color w:val="auto"/>
              </w:rPr>
            </w:pPr>
          </w:p>
        </w:tc>
        <w:tc>
          <w:tcPr>
            <w:tcW w:w="1680" w:type="dxa"/>
            <w:vAlign w:val="bottom"/>
          </w:tcPr>
          <w:p>
            <w:pPr>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Foot Locker Europe Holdings, S.L.</w:t>
            </w:r>
          </w:p>
        </w:tc>
        <w:tc>
          <w:tcPr>
            <w:tcW w:w="160" w:type="dxa"/>
            <w:vAlign w:val="bottom"/>
          </w:tcPr>
          <w:p>
            <w:pPr>
              <w:spacing w:after="0"/>
              <w:rPr>
                <w:sz w:val="17"/>
                <w:szCs w:val="17"/>
                <w:color w:val="auto"/>
              </w:rPr>
            </w:pPr>
          </w:p>
        </w:tc>
        <w:tc>
          <w:tcPr>
            <w:tcW w:w="1680" w:type="dxa"/>
            <w:vAlign w:val="bottom"/>
          </w:tcPr>
          <w:p>
            <w:pPr>
              <w:spacing w:after="0" w:line="202" w:lineRule="exact"/>
              <w:rPr>
                <w:sz w:val="20"/>
                <w:szCs w:val="20"/>
                <w:color w:val="auto"/>
              </w:rPr>
            </w:pPr>
            <w:r>
              <w:rPr>
                <w:rFonts w:ascii="Arial" w:cs="Arial" w:eastAsia="Arial" w:hAnsi="Arial"/>
                <w:sz w:val="18"/>
                <w:szCs w:val="18"/>
                <w:color w:val="auto"/>
              </w:rPr>
              <w:t>Spain</w:t>
            </w: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Foot Locker Spain S.L.</w:t>
            </w:r>
          </w:p>
        </w:tc>
        <w:tc>
          <w:tcPr>
            <w:tcW w:w="160" w:type="dxa"/>
            <w:vAlign w:val="bottom"/>
          </w:tcPr>
          <w:p>
            <w:pPr>
              <w:spacing w:after="0"/>
              <w:rPr>
                <w:sz w:val="17"/>
                <w:szCs w:val="17"/>
                <w:color w:val="auto"/>
              </w:rPr>
            </w:pPr>
          </w:p>
        </w:tc>
        <w:tc>
          <w:tcPr>
            <w:tcW w:w="1680" w:type="dxa"/>
            <w:vAlign w:val="bottom"/>
          </w:tcPr>
          <w:p>
            <w:pPr>
              <w:spacing w:after="0" w:line="202" w:lineRule="exact"/>
              <w:rPr>
                <w:sz w:val="20"/>
                <w:szCs w:val="20"/>
                <w:color w:val="auto"/>
              </w:rPr>
            </w:pPr>
            <w:r>
              <w:rPr>
                <w:rFonts w:ascii="Arial" w:cs="Arial" w:eastAsia="Arial" w:hAnsi="Arial"/>
                <w:sz w:val="18"/>
                <w:szCs w:val="18"/>
                <w:color w:val="auto"/>
              </w:rPr>
              <w:t>Spain</w:t>
            </w: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Foot Locker Australia, Inc.</w:t>
            </w:r>
          </w:p>
        </w:tc>
        <w:tc>
          <w:tcPr>
            <w:tcW w:w="160" w:type="dxa"/>
            <w:vAlign w:val="bottom"/>
          </w:tcPr>
          <w:p>
            <w:pPr>
              <w:spacing w:after="0"/>
              <w:rPr>
                <w:sz w:val="17"/>
                <w:szCs w:val="17"/>
                <w:color w:val="auto"/>
              </w:rPr>
            </w:pPr>
          </w:p>
        </w:tc>
        <w:tc>
          <w:tcPr>
            <w:tcW w:w="1680" w:type="dxa"/>
            <w:vAlign w:val="bottom"/>
          </w:tcPr>
          <w:p>
            <w:pPr>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Foot Locker New Zealand, Inc.</w:t>
            </w:r>
          </w:p>
        </w:tc>
        <w:tc>
          <w:tcPr>
            <w:tcW w:w="160" w:type="dxa"/>
            <w:vAlign w:val="bottom"/>
          </w:tcPr>
          <w:p>
            <w:pPr>
              <w:spacing w:after="0"/>
              <w:rPr>
                <w:sz w:val="17"/>
                <w:szCs w:val="17"/>
                <w:color w:val="auto"/>
              </w:rPr>
            </w:pPr>
          </w:p>
        </w:tc>
        <w:tc>
          <w:tcPr>
            <w:tcW w:w="1680" w:type="dxa"/>
            <w:vAlign w:val="bottom"/>
          </w:tcPr>
          <w:p>
            <w:pPr>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Freedom Sportsline Limited</w:t>
            </w:r>
          </w:p>
        </w:tc>
        <w:tc>
          <w:tcPr>
            <w:tcW w:w="160" w:type="dxa"/>
            <w:vAlign w:val="bottom"/>
          </w:tcPr>
          <w:p>
            <w:pPr>
              <w:spacing w:after="0"/>
              <w:rPr>
                <w:sz w:val="17"/>
                <w:szCs w:val="17"/>
                <w:color w:val="auto"/>
              </w:rPr>
            </w:pPr>
          </w:p>
        </w:tc>
        <w:tc>
          <w:tcPr>
            <w:tcW w:w="1680" w:type="dxa"/>
            <w:vAlign w:val="bottom"/>
          </w:tcPr>
          <w:p>
            <w:pPr>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Team Edition Apparel, Inc.</w:t>
            </w:r>
          </w:p>
        </w:tc>
        <w:tc>
          <w:tcPr>
            <w:tcW w:w="160" w:type="dxa"/>
            <w:vAlign w:val="bottom"/>
          </w:tcPr>
          <w:p>
            <w:pPr>
              <w:spacing w:after="0"/>
              <w:rPr>
                <w:sz w:val="17"/>
                <w:szCs w:val="17"/>
                <w:color w:val="auto"/>
              </w:rPr>
            </w:pPr>
          </w:p>
        </w:tc>
        <w:tc>
          <w:tcPr>
            <w:tcW w:w="1680" w:type="dxa"/>
            <w:vAlign w:val="bottom"/>
          </w:tcPr>
          <w:p>
            <w:pPr>
              <w:spacing w:after="0" w:line="202" w:lineRule="exact"/>
              <w:rPr>
                <w:sz w:val="20"/>
                <w:szCs w:val="20"/>
                <w:color w:val="auto"/>
              </w:rPr>
            </w:pPr>
            <w:r>
              <w:rPr>
                <w:rFonts w:ascii="Arial" w:cs="Arial" w:eastAsia="Arial" w:hAnsi="Arial"/>
                <w:sz w:val="18"/>
                <w:szCs w:val="18"/>
                <w:color w:val="auto"/>
              </w:rPr>
              <w:t>Florida</w:t>
            </w: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Foot Locker Specialty, Inc.</w:t>
            </w:r>
          </w:p>
        </w:tc>
        <w:tc>
          <w:tcPr>
            <w:tcW w:w="160" w:type="dxa"/>
            <w:vAlign w:val="bottom"/>
          </w:tcPr>
          <w:p>
            <w:pPr>
              <w:spacing w:after="0"/>
              <w:rPr>
                <w:sz w:val="17"/>
                <w:szCs w:val="17"/>
                <w:color w:val="auto"/>
              </w:rPr>
            </w:pPr>
          </w:p>
        </w:tc>
        <w:tc>
          <w:tcPr>
            <w:tcW w:w="1680" w:type="dxa"/>
            <w:vAlign w:val="bottom"/>
          </w:tcPr>
          <w:p>
            <w:pPr>
              <w:spacing w:after="0" w:line="202" w:lineRule="exact"/>
              <w:rPr>
                <w:sz w:val="20"/>
                <w:szCs w:val="20"/>
                <w:color w:val="auto"/>
              </w:rPr>
            </w:pPr>
            <w:r>
              <w:rPr>
                <w:rFonts w:ascii="Arial" w:cs="Arial" w:eastAsia="Arial" w:hAnsi="Arial"/>
                <w:sz w:val="18"/>
                <w:szCs w:val="18"/>
                <w:color w:val="auto"/>
              </w:rPr>
              <w:t>New York</w:t>
            </w: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Foot Locker Retail, Inc.</w:t>
            </w:r>
          </w:p>
        </w:tc>
        <w:tc>
          <w:tcPr>
            <w:tcW w:w="160" w:type="dxa"/>
            <w:vAlign w:val="bottom"/>
          </w:tcPr>
          <w:p>
            <w:pPr>
              <w:spacing w:after="0"/>
              <w:rPr>
                <w:sz w:val="17"/>
                <w:szCs w:val="17"/>
                <w:color w:val="auto"/>
              </w:rPr>
            </w:pPr>
          </w:p>
        </w:tc>
        <w:tc>
          <w:tcPr>
            <w:tcW w:w="1680" w:type="dxa"/>
            <w:vAlign w:val="bottom"/>
          </w:tcPr>
          <w:p>
            <w:pPr>
              <w:spacing w:after="0" w:line="202" w:lineRule="exact"/>
              <w:rPr>
                <w:sz w:val="20"/>
                <w:szCs w:val="20"/>
                <w:color w:val="auto"/>
              </w:rPr>
            </w:pPr>
            <w:r>
              <w:rPr>
                <w:rFonts w:ascii="Arial" w:cs="Arial" w:eastAsia="Arial" w:hAnsi="Arial"/>
                <w:sz w:val="18"/>
                <w:szCs w:val="18"/>
                <w:color w:val="auto"/>
              </w:rPr>
              <w:t>New York</w:t>
            </w: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Foot Locker Europe.com B.V.</w:t>
            </w:r>
          </w:p>
        </w:tc>
        <w:tc>
          <w:tcPr>
            <w:tcW w:w="160" w:type="dxa"/>
            <w:vAlign w:val="bottom"/>
          </w:tcPr>
          <w:p>
            <w:pPr>
              <w:spacing w:after="0"/>
              <w:rPr>
                <w:sz w:val="17"/>
                <w:szCs w:val="17"/>
                <w:color w:val="auto"/>
              </w:rPr>
            </w:pPr>
          </w:p>
        </w:tc>
        <w:tc>
          <w:tcPr>
            <w:tcW w:w="1680" w:type="dxa"/>
            <w:vAlign w:val="bottom"/>
          </w:tcPr>
          <w:p>
            <w:pPr>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Foot Locker Poland Sp. z o.o.</w:t>
            </w:r>
          </w:p>
        </w:tc>
        <w:tc>
          <w:tcPr>
            <w:tcW w:w="160" w:type="dxa"/>
            <w:vAlign w:val="bottom"/>
          </w:tcPr>
          <w:p>
            <w:pPr>
              <w:spacing w:after="0"/>
              <w:rPr>
                <w:sz w:val="17"/>
                <w:szCs w:val="17"/>
                <w:color w:val="auto"/>
              </w:rPr>
            </w:pPr>
          </w:p>
        </w:tc>
        <w:tc>
          <w:tcPr>
            <w:tcW w:w="1680" w:type="dxa"/>
            <w:vAlign w:val="bottom"/>
          </w:tcPr>
          <w:p>
            <w:pPr>
              <w:spacing w:after="0" w:line="202" w:lineRule="exact"/>
              <w:rPr>
                <w:sz w:val="20"/>
                <w:szCs w:val="20"/>
                <w:color w:val="auto"/>
              </w:rPr>
            </w:pPr>
            <w:r>
              <w:rPr>
                <w:rFonts w:ascii="Arial" w:cs="Arial" w:eastAsia="Arial" w:hAnsi="Arial"/>
                <w:sz w:val="18"/>
                <w:szCs w:val="18"/>
                <w:color w:val="auto"/>
              </w:rPr>
              <w:t>Poland</w:t>
            </w: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Foot Locker Czech Republic s.r.o.</w:t>
            </w:r>
          </w:p>
        </w:tc>
        <w:tc>
          <w:tcPr>
            <w:tcW w:w="160" w:type="dxa"/>
            <w:vAlign w:val="bottom"/>
          </w:tcPr>
          <w:p>
            <w:pPr>
              <w:spacing w:after="0"/>
              <w:rPr>
                <w:sz w:val="17"/>
                <w:szCs w:val="17"/>
                <w:color w:val="auto"/>
              </w:rPr>
            </w:pPr>
          </w:p>
        </w:tc>
        <w:tc>
          <w:tcPr>
            <w:tcW w:w="1680" w:type="dxa"/>
            <w:vAlign w:val="bottom"/>
          </w:tcPr>
          <w:p>
            <w:pPr>
              <w:spacing w:after="0" w:line="202" w:lineRule="exact"/>
              <w:rPr>
                <w:sz w:val="20"/>
                <w:szCs w:val="20"/>
                <w:color w:val="auto"/>
              </w:rPr>
            </w:pPr>
            <w:r>
              <w:rPr>
                <w:rFonts w:ascii="Arial" w:cs="Arial" w:eastAsia="Arial" w:hAnsi="Arial"/>
                <w:sz w:val="18"/>
                <w:szCs w:val="18"/>
                <w:color w:val="auto"/>
              </w:rPr>
              <w:t>Czech Republic</w:t>
            </w: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FLE Partners C.V.</w:t>
            </w:r>
          </w:p>
        </w:tc>
        <w:tc>
          <w:tcPr>
            <w:tcW w:w="160" w:type="dxa"/>
            <w:vAlign w:val="bottom"/>
          </w:tcPr>
          <w:p>
            <w:pPr>
              <w:spacing w:after="0"/>
              <w:rPr>
                <w:sz w:val="17"/>
                <w:szCs w:val="17"/>
                <w:color w:val="auto"/>
              </w:rPr>
            </w:pPr>
          </w:p>
        </w:tc>
        <w:tc>
          <w:tcPr>
            <w:tcW w:w="1680" w:type="dxa"/>
            <w:vAlign w:val="bottom"/>
          </w:tcPr>
          <w:p>
            <w:pPr>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Foot Locker Stores, Inc.</w:t>
            </w:r>
          </w:p>
        </w:tc>
        <w:tc>
          <w:tcPr>
            <w:tcW w:w="160" w:type="dxa"/>
            <w:vAlign w:val="bottom"/>
          </w:tcPr>
          <w:p>
            <w:pPr>
              <w:spacing w:after="0"/>
              <w:rPr>
                <w:sz w:val="17"/>
                <w:szCs w:val="17"/>
                <w:color w:val="auto"/>
              </w:rPr>
            </w:pPr>
          </w:p>
        </w:tc>
        <w:tc>
          <w:tcPr>
            <w:tcW w:w="1680" w:type="dxa"/>
            <w:vAlign w:val="bottom"/>
          </w:tcPr>
          <w:p>
            <w:pPr>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Foot Locker Corporate Services, Inc.</w:t>
            </w:r>
          </w:p>
        </w:tc>
        <w:tc>
          <w:tcPr>
            <w:tcW w:w="160" w:type="dxa"/>
            <w:vAlign w:val="bottom"/>
          </w:tcPr>
          <w:p>
            <w:pPr>
              <w:spacing w:after="0"/>
              <w:rPr>
                <w:sz w:val="17"/>
                <w:szCs w:val="17"/>
                <w:color w:val="auto"/>
              </w:rPr>
            </w:pPr>
          </w:p>
        </w:tc>
        <w:tc>
          <w:tcPr>
            <w:tcW w:w="1680" w:type="dxa"/>
            <w:vAlign w:val="bottom"/>
          </w:tcPr>
          <w:p>
            <w:pPr>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Foot Locker Sourcing, Inc.</w:t>
            </w:r>
          </w:p>
        </w:tc>
        <w:tc>
          <w:tcPr>
            <w:tcW w:w="160" w:type="dxa"/>
            <w:vAlign w:val="bottom"/>
          </w:tcPr>
          <w:p>
            <w:pPr>
              <w:spacing w:after="0"/>
              <w:rPr>
                <w:sz w:val="17"/>
                <w:szCs w:val="17"/>
                <w:color w:val="auto"/>
              </w:rPr>
            </w:pPr>
          </w:p>
        </w:tc>
        <w:tc>
          <w:tcPr>
            <w:tcW w:w="1680" w:type="dxa"/>
            <w:vAlign w:val="bottom"/>
          </w:tcPr>
          <w:p>
            <w:pPr>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Foot Locker Artigos desportivos e de tempos livres, Lda.</w:t>
            </w:r>
          </w:p>
        </w:tc>
        <w:tc>
          <w:tcPr>
            <w:tcW w:w="160" w:type="dxa"/>
            <w:vAlign w:val="bottom"/>
          </w:tcPr>
          <w:p>
            <w:pPr>
              <w:spacing w:after="0"/>
              <w:rPr>
                <w:sz w:val="17"/>
                <w:szCs w:val="17"/>
                <w:color w:val="auto"/>
              </w:rPr>
            </w:pPr>
          </w:p>
        </w:tc>
        <w:tc>
          <w:tcPr>
            <w:tcW w:w="1680" w:type="dxa"/>
            <w:vAlign w:val="bottom"/>
          </w:tcPr>
          <w:p>
            <w:pPr>
              <w:spacing w:after="0" w:line="202" w:lineRule="exact"/>
              <w:rPr>
                <w:sz w:val="20"/>
                <w:szCs w:val="20"/>
                <w:color w:val="auto"/>
              </w:rPr>
            </w:pPr>
            <w:r>
              <w:rPr>
                <w:rFonts w:ascii="Arial" w:cs="Arial" w:eastAsia="Arial" w:hAnsi="Arial"/>
                <w:sz w:val="18"/>
                <w:szCs w:val="18"/>
                <w:color w:val="auto"/>
              </w:rPr>
              <w:t>Portugal</w:t>
            </w: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Foot Locker Greece Athletic Goods Ltd.</w:t>
            </w:r>
          </w:p>
        </w:tc>
        <w:tc>
          <w:tcPr>
            <w:tcW w:w="160" w:type="dxa"/>
            <w:vAlign w:val="bottom"/>
          </w:tcPr>
          <w:p>
            <w:pPr>
              <w:spacing w:after="0"/>
              <w:rPr>
                <w:sz w:val="17"/>
                <w:szCs w:val="17"/>
                <w:color w:val="auto"/>
              </w:rPr>
            </w:pPr>
          </w:p>
        </w:tc>
        <w:tc>
          <w:tcPr>
            <w:tcW w:w="1680" w:type="dxa"/>
            <w:vAlign w:val="bottom"/>
          </w:tcPr>
          <w:p>
            <w:pPr>
              <w:spacing w:after="0" w:line="202" w:lineRule="exact"/>
              <w:rPr>
                <w:sz w:val="20"/>
                <w:szCs w:val="20"/>
                <w:color w:val="auto"/>
              </w:rPr>
            </w:pPr>
            <w:r>
              <w:rPr>
                <w:rFonts w:ascii="Arial" w:cs="Arial" w:eastAsia="Arial" w:hAnsi="Arial"/>
                <w:sz w:val="18"/>
                <w:szCs w:val="18"/>
                <w:color w:val="auto"/>
              </w:rPr>
              <w:t>Greece</w:t>
            </w: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Foot Locker Suisse S.A.</w:t>
            </w:r>
          </w:p>
        </w:tc>
        <w:tc>
          <w:tcPr>
            <w:tcW w:w="160" w:type="dxa"/>
            <w:vAlign w:val="bottom"/>
          </w:tcPr>
          <w:p>
            <w:pPr>
              <w:spacing w:after="0"/>
              <w:rPr>
                <w:sz w:val="17"/>
                <w:szCs w:val="17"/>
                <w:color w:val="auto"/>
              </w:rPr>
            </w:pPr>
          </w:p>
        </w:tc>
        <w:tc>
          <w:tcPr>
            <w:tcW w:w="1680" w:type="dxa"/>
            <w:vAlign w:val="bottom"/>
          </w:tcPr>
          <w:p>
            <w:pPr>
              <w:spacing w:after="0" w:line="202" w:lineRule="exact"/>
              <w:rPr>
                <w:sz w:val="20"/>
                <w:szCs w:val="20"/>
                <w:color w:val="auto"/>
              </w:rPr>
            </w:pPr>
            <w:r>
              <w:rPr>
                <w:rFonts w:ascii="Arial" w:cs="Arial" w:eastAsia="Arial" w:hAnsi="Arial"/>
                <w:sz w:val="18"/>
                <w:szCs w:val="18"/>
                <w:color w:val="auto"/>
              </w:rPr>
              <w:t>Switzerland</w:t>
            </w: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Foot Locker Scandinavia B.V.</w:t>
            </w:r>
          </w:p>
        </w:tc>
        <w:tc>
          <w:tcPr>
            <w:tcW w:w="160" w:type="dxa"/>
            <w:vAlign w:val="bottom"/>
          </w:tcPr>
          <w:p>
            <w:pPr>
              <w:spacing w:after="0"/>
              <w:rPr>
                <w:sz w:val="17"/>
                <w:szCs w:val="17"/>
                <w:color w:val="auto"/>
              </w:rPr>
            </w:pPr>
          </w:p>
        </w:tc>
        <w:tc>
          <w:tcPr>
            <w:tcW w:w="1680" w:type="dxa"/>
            <w:vAlign w:val="bottom"/>
          </w:tcPr>
          <w:p>
            <w:pPr>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Foot Locker Hungary Kft</w:t>
            </w:r>
          </w:p>
        </w:tc>
        <w:tc>
          <w:tcPr>
            <w:tcW w:w="160" w:type="dxa"/>
            <w:vAlign w:val="bottom"/>
          </w:tcPr>
          <w:p>
            <w:pPr>
              <w:spacing w:after="0"/>
              <w:rPr>
                <w:sz w:val="17"/>
                <w:szCs w:val="17"/>
                <w:color w:val="auto"/>
              </w:rPr>
            </w:pPr>
          </w:p>
        </w:tc>
        <w:tc>
          <w:tcPr>
            <w:tcW w:w="1680" w:type="dxa"/>
            <w:vAlign w:val="bottom"/>
          </w:tcPr>
          <w:p>
            <w:pPr>
              <w:spacing w:after="0" w:line="202" w:lineRule="exact"/>
              <w:rPr>
                <w:sz w:val="20"/>
                <w:szCs w:val="20"/>
                <w:color w:val="auto"/>
              </w:rPr>
            </w:pPr>
            <w:r>
              <w:rPr>
                <w:rFonts w:ascii="Arial" w:cs="Arial" w:eastAsia="Arial" w:hAnsi="Arial"/>
                <w:sz w:val="18"/>
                <w:szCs w:val="18"/>
                <w:color w:val="auto"/>
              </w:rPr>
              <w:t>Hungary</w:t>
            </w: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Foot Locker Retail Ireland Limited</w:t>
            </w:r>
          </w:p>
        </w:tc>
        <w:tc>
          <w:tcPr>
            <w:tcW w:w="160" w:type="dxa"/>
            <w:vAlign w:val="bottom"/>
          </w:tcPr>
          <w:p>
            <w:pPr>
              <w:spacing w:after="0"/>
              <w:rPr>
                <w:sz w:val="17"/>
                <w:szCs w:val="17"/>
                <w:color w:val="auto"/>
              </w:rPr>
            </w:pPr>
          </w:p>
        </w:tc>
        <w:tc>
          <w:tcPr>
            <w:tcW w:w="1680" w:type="dxa"/>
            <w:vAlign w:val="bottom"/>
          </w:tcPr>
          <w:p>
            <w:pPr>
              <w:spacing w:after="0" w:line="202" w:lineRule="exact"/>
              <w:rPr>
                <w:sz w:val="20"/>
                <w:szCs w:val="20"/>
                <w:color w:val="auto"/>
              </w:rPr>
            </w:pPr>
            <w:r>
              <w:rPr>
                <w:rFonts w:ascii="Arial" w:cs="Arial" w:eastAsia="Arial" w:hAnsi="Arial"/>
                <w:sz w:val="18"/>
                <w:szCs w:val="18"/>
                <w:color w:val="auto"/>
              </w:rPr>
              <w:t>Ireland</w:t>
            </w: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FL Finance (Europe) Limited</w:t>
            </w:r>
          </w:p>
        </w:tc>
        <w:tc>
          <w:tcPr>
            <w:tcW w:w="160" w:type="dxa"/>
            <w:vAlign w:val="bottom"/>
          </w:tcPr>
          <w:p>
            <w:pPr>
              <w:spacing w:after="0"/>
              <w:rPr>
                <w:sz w:val="17"/>
                <w:szCs w:val="17"/>
                <w:color w:val="auto"/>
              </w:rPr>
            </w:pPr>
          </w:p>
        </w:tc>
        <w:tc>
          <w:tcPr>
            <w:tcW w:w="1680" w:type="dxa"/>
            <w:vAlign w:val="bottom"/>
          </w:tcPr>
          <w:p>
            <w:pPr>
              <w:spacing w:after="0" w:line="202" w:lineRule="exact"/>
              <w:rPr>
                <w:sz w:val="20"/>
                <w:szCs w:val="20"/>
                <w:color w:val="auto"/>
              </w:rPr>
            </w:pPr>
            <w:r>
              <w:rPr>
                <w:rFonts w:ascii="Arial" w:cs="Arial" w:eastAsia="Arial" w:hAnsi="Arial"/>
                <w:sz w:val="18"/>
                <w:szCs w:val="18"/>
                <w:color w:val="auto"/>
              </w:rPr>
              <w:t>Ireland</w:t>
            </w: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FL Finance Europe (US) Limited</w:t>
            </w:r>
          </w:p>
        </w:tc>
        <w:tc>
          <w:tcPr>
            <w:tcW w:w="160" w:type="dxa"/>
            <w:vAlign w:val="bottom"/>
          </w:tcPr>
          <w:p>
            <w:pPr>
              <w:spacing w:after="0"/>
              <w:rPr>
                <w:sz w:val="17"/>
                <w:szCs w:val="17"/>
                <w:color w:val="auto"/>
              </w:rPr>
            </w:pPr>
          </w:p>
        </w:tc>
        <w:tc>
          <w:tcPr>
            <w:tcW w:w="1680" w:type="dxa"/>
            <w:vAlign w:val="bottom"/>
          </w:tcPr>
          <w:p>
            <w:pPr>
              <w:spacing w:after="0" w:line="202" w:lineRule="exact"/>
              <w:rPr>
                <w:sz w:val="20"/>
                <w:szCs w:val="20"/>
                <w:color w:val="auto"/>
              </w:rPr>
            </w:pPr>
            <w:r>
              <w:rPr>
                <w:rFonts w:ascii="Arial" w:cs="Arial" w:eastAsia="Arial" w:hAnsi="Arial"/>
                <w:sz w:val="18"/>
                <w:szCs w:val="18"/>
                <w:color w:val="auto"/>
              </w:rPr>
              <w:t>Ireland</w:t>
            </w: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FLE Franchising Limited</w:t>
            </w:r>
          </w:p>
        </w:tc>
        <w:tc>
          <w:tcPr>
            <w:tcW w:w="160" w:type="dxa"/>
            <w:vAlign w:val="bottom"/>
          </w:tcPr>
          <w:p>
            <w:pPr>
              <w:spacing w:after="0"/>
              <w:rPr>
                <w:sz w:val="17"/>
                <w:szCs w:val="17"/>
                <w:color w:val="auto"/>
              </w:rPr>
            </w:pPr>
          </w:p>
        </w:tc>
        <w:tc>
          <w:tcPr>
            <w:tcW w:w="1680" w:type="dxa"/>
            <w:vAlign w:val="bottom"/>
          </w:tcPr>
          <w:p>
            <w:pPr>
              <w:spacing w:after="0" w:line="202" w:lineRule="exact"/>
              <w:rPr>
                <w:sz w:val="20"/>
                <w:szCs w:val="20"/>
                <w:color w:val="auto"/>
              </w:rPr>
            </w:pPr>
            <w:r>
              <w:rPr>
                <w:rFonts w:ascii="Arial" w:cs="Arial" w:eastAsia="Arial" w:hAnsi="Arial"/>
                <w:sz w:val="18"/>
                <w:szCs w:val="18"/>
                <w:color w:val="auto"/>
              </w:rPr>
              <w:t>Ireland</w:t>
            </w: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Foot Locker Canada Co.</w:t>
            </w:r>
          </w:p>
        </w:tc>
        <w:tc>
          <w:tcPr>
            <w:tcW w:w="160" w:type="dxa"/>
            <w:vAlign w:val="bottom"/>
          </w:tcPr>
          <w:p>
            <w:pPr>
              <w:spacing w:after="0"/>
              <w:rPr>
                <w:sz w:val="17"/>
                <w:szCs w:val="17"/>
                <w:color w:val="auto"/>
              </w:rPr>
            </w:pPr>
          </w:p>
        </w:tc>
        <w:tc>
          <w:tcPr>
            <w:tcW w:w="1680" w:type="dxa"/>
            <w:vAlign w:val="bottom"/>
          </w:tcPr>
          <w:p>
            <w:pPr>
              <w:spacing w:after="0" w:line="202" w:lineRule="exact"/>
              <w:rPr>
                <w:sz w:val="20"/>
                <w:szCs w:val="20"/>
                <w:color w:val="auto"/>
              </w:rPr>
            </w:pPr>
            <w:r>
              <w:rPr>
                <w:rFonts w:ascii="Arial" w:cs="Arial" w:eastAsia="Arial" w:hAnsi="Arial"/>
                <w:sz w:val="18"/>
                <w:szCs w:val="18"/>
                <w:color w:val="auto"/>
              </w:rPr>
              <w:t>Canada</w:t>
            </w: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CCS Direct LLC</w:t>
            </w:r>
          </w:p>
        </w:tc>
        <w:tc>
          <w:tcPr>
            <w:tcW w:w="160" w:type="dxa"/>
            <w:vAlign w:val="bottom"/>
          </w:tcPr>
          <w:p>
            <w:pPr>
              <w:spacing w:after="0"/>
              <w:rPr>
                <w:sz w:val="17"/>
                <w:szCs w:val="17"/>
                <w:color w:val="auto"/>
              </w:rPr>
            </w:pPr>
          </w:p>
        </w:tc>
        <w:tc>
          <w:tcPr>
            <w:tcW w:w="1680" w:type="dxa"/>
            <w:vAlign w:val="bottom"/>
          </w:tcPr>
          <w:p>
            <w:pPr>
              <w:spacing w:after="0" w:line="202" w:lineRule="exact"/>
              <w:rPr>
                <w:sz w:val="20"/>
                <w:szCs w:val="20"/>
                <w:color w:val="auto"/>
              </w:rPr>
            </w:pPr>
            <w:r>
              <w:rPr>
                <w:rFonts w:ascii="Arial" w:cs="Arial" w:eastAsia="Arial" w:hAnsi="Arial"/>
                <w:sz w:val="18"/>
                <w:szCs w:val="18"/>
                <w:color w:val="auto"/>
              </w:rPr>
              <w:t>Wisconsin</w:t>
            </w: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Foot Locker Istanbul Sport Giyim Sanayi ve Ticaret LS</w:t>
            </w:r>
          </w:p>
        </w:tc>
        <w:tc>
          <w:tcPr>
            <w:tcW w:w="160" w:type="dxa"/>
            <w:vAlign w:val="bottom"/>
          </w:tcPr>
          <w:p>
            <w:pPr>
              <w:spacing w:after="0"/>
              <w:rPr>
                <w:sz w:val="17"/>
                <w:szCs w:val="17"/>
                <w:color w:val="auto"/>
              </w:rPr>
            </w:pPr>
          </w:p>
        </w:tc>
        <w:tc>
          <w:tcPr>
            <w:tcW w:w="1680" w:type="dxa"/>
            <w:vAlign w:val="bottom"/>
          </w:tcPr>
          <w:p>
            <w:pPr>
              <w:spacing w:after="0" w:line="202" w:lineRule="exact"/>
              <w:rPr>
                <w:sz w:val="20"/>
                <w:szCs w:val="20"/>
                <w:color w:val="auto"/>
              </w:rPr>
            </w:pPr>
            <w:r>
              <w:rPr>
                <w:rFonts w:ascii="Arial" w:cs="Arial" w:eastAsia="Arial" w:hAnsi="Arial"/>
                <w:sz w:val="18"/>
                <w:szCs w:val="18"/>
                <w:color w:val="auto"/>
              </w:rPr>
              <w:t>Turkey</w:t>
            </w: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FL ETVE LLC</w:t>
            </w:r>
          </w:p>
        </w:tc>
        <w:tc>
          <w:tcPr>
            <w:tcW w:w="160" w:type="dxa"/>
            <w:vAlign w:val="bottom"/>
          </w:tcPr>
          <w:p>
            <w:pPr>
              <w:spacing w:after="0"/>
              <w:rPr>
                <w:sz w:val="17"/>
                <w:szCs w:val="17"/>
                <w:color w:val="auto"/>
              </w:rPr>
            </w:pPr>
          </w:p>
        </w:tc>
        <w:tc>
          <w:tcPr>
            <w:tcW w:w="1680" w:type="dxa"/>
            <w:vAlign w:val="bottom"/>
          </w:tcPr>
          <w:p>
            <w:pPr>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Foot Locker Spain C.V.</w:t>
            </w:r>
          </w:p>
        </w:tc>
        <w:tc>
          <w:tcPr>
            <w:tcW w:w="160" w:type="dxa"/>
            <w:vAlign w:val="bottom"/>
          </w:tcPr>
          <w:p>
            <w:pPr>
              <w:spacing w:after="0"/>
              <w:rPr>
                <w:sz w:val="17"/>
                <w:szCs w:val="17"/>
                <w:color w:val="auto"/>
              </w:rPr>
            </w:pPr>
          </w:p>
        </w:tc>
        <w:tc>
          <w:tcPr>
            <w:tcW w:w="1680" w:type="dxa"/>
            <w:vAlign w:val="bottom"/>
          </w:tcPr>
          <w:p>
            <w:pPr>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Foot Locker Denmark B.V.</w:t>
            </w:r>
          </w:p>
        </w:tc>
        <w:tc>
          <w:tcPr>
            <w:tcW w:w="160" w:type="dxa"/>
            <w:vAlign w:val="bottom"/>
          </w:tcPr>
          <w:p>
            <w:pPr>
              <w:spacing w:after="0"/>
              <w:rPr>
                <w:sz w:val="17"/>
                <w:szCs w:val="17"/>
                <w:color w:val="auto"/>
              </w:rPr>
            </w:pPr>
          </w:p>
        </w:tc>
        <w:tc>
          <w:tcPr>
            <w:tcW w:w="1680" w:type="dxa"/>
            <w:vAlign w:val="bottom"/>
          </w:tcPr>
          <w:p>
            <w:pPr>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Runners Point Warenhandelsges. mbH</w:t>
            </w:r>
          </w:p>
        </w:tc>
        <w:tc>
          <w:tcPr>
            <w:tcW w:w="160" w:type="dxa"/>
            <w:vAlign w:val="bottom"/>
          </w:tcPr>
          <w:p>
            <w:pPr>
              <w:spacing w:after="0"/>
              <w:rPr>
                <w:sz w:val="17"/>
                <w:szCs w:val="17"/>
                <w:color w:val="auto"/>
              </w:rPr>
            </w:pPr>
          </w:p>
        </w:tc>
        <w:tc>
          <w:tcPr>
            <w:tcW w:w="1680" w:type="dxa"/>
            <w:vAlign w:val="bottom"/>
          </w:tcPr>
          <w:p>
            <w:pPr>
              <w:spacing w:after="0" w:line="202" w:lineRule="exact"/>
              <w:rPr>
                <w:sz w:val="20"/>
                <w:szCs w:val="20"/>
                <w:color w:val="auto"/>
              </w:rPr>
            </w:pPr>
            <w:r>
              <w:rPr>
                <w:rFonts w:ascii="Arial" w:cs="Arial" w:eastAsia="Arial" w:hAnsi="Arial"/>
                <w:sz w:val="18"/>
                <w:szCs w:val="18"/>
                <w:color w:val="auto"/>
              </w:rPr>
              <w:t>Germany</w:t>
            </w:r>
          </w:p>
        </w:tc>
      </w:tr>
      <w:tr>
        <w:trPr>
          <w:trHeight w:val="217"/>
        </w:trPr>
        <w:tc>
          <w:tcPr>
            <w:tcW w:w="6940" w:type="dxa"/>
            <w:vAlign w:val="bottom"/>
          </w:tcPr>
          <w:p>
            <w:pPr>
              <w:ind w:left="20"/>
              <w:spacing w:after="0"/>
              <w:rPr>
                <w:sz w:val="20"/>
                <w:szCs w:val="20"/>
                <w:color w:val="auto"/>
              </w:rPr>
            </w:pPr>
            <w:r>
              <w:rPr>
                <w:rFonts w:ascii="Arial" w:cs="Arial" w:eastAsia="Arial" w:hAnsi="Arial"/>
                <w:sz w:val="18"/>
                <w:szCs w:val="18"/>
                <w:color w:val="auto"/>
              </w:rPr>
              <w:t>Tredex GmbH</w:t>
            </w:r>
          </w:p>
        </w:tc>
        <w:tc>
          <w:tcPr>
            <w:tcW w:w="16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Germany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163195</wp:posOffset>
            </wp:positionV>
            <wp:extent cx="6172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300" w:right="539" w:hanging="272"/>
        <w:spacing w:after="0" w:line="262" w:lineRule="auto"/>
        <w:tabs>
          <w:tab w:leader="none" w:pos="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Each subsidiary company is 100% owned, directly or indirectly, by Foot Locker, Inc. All subsidiaries are consolidated with Foot Locker, Inc. for accounting and financial reporting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429895</wp:posOffset>
            </wp:positionV>
            <wp:extent cx="6114415" cy="596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346" w:right="1440" w:bottom="1440" w:gutter="0" w:footer="0" w:header="0"/>
        </w:sectPr>
      </w:pPr>
    </w:p>
    <w:bookmarkStart w:id="83" w:name="page84"/>
    <w:bookmarkEnd w:id="83"/>
    <w:p>
      <w:pPr>
        <w:jc w:val="right"/>
        <w:ind w:right="519"/>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ind w:right="2199" w:firstLine="1617"/>
        <w:spacing w:after="0" w:line="388" w:lineRule="auto"/>
        <w:rPr>
          <w:sz w:val="20"/>
          <w:szCs w:val="20"/>
          <w:color w:val="auto"/>
        </w:rPr>
      </w:pPr>
      <w:r>
        <w:rPr>
          <w:rFonts w:ascii="Arial" w:cs="Arial" w:eastAsia="Arial" w:hAnsi="Arial"/>
          <w:sz w:val="18"/>
          <w:szCs w:val="18"/>
          <w:b w:val="1"/>
          <w:bCs w:val="1"/>
          <w:color w:val="auto"/>
        </w:rPr>
        <w:t xml:space="preserve">CONSENT OF INDEPENDENT REGISTERED PUBLIC ACCOUNTING FIRM </w:t>
      </w:r>
      <w:r>
        <w:rPr>
          <w:rFonts w:ascii="Arial" w:cs="Arial" w:eastAsia="Arial" w:hAnsi="Arial"/>
          <w:sz w:val="18"/>
          <w:szCs w:val="18"/>
          <w:color w:val="auto"/>
        </w:rPr>
        <w:t>The Board of Directors of Foot Locker, Inc.:</w:t>
      </w:r>
    </w:p>
    <w:p>
      <w:pPr>
        <w:spacing w:after="0" w:line="1" w:lineRule="exact"/>
        <w:rPr>
          <w:sz w:val="20"/>
          <w:szCs w:val="20"/>
          <w:color w:val="auto"/>
        </w:rPr>
      </w:pPr>
    </w:p>
    <w:p>
      <w:pPr>
        <w:jc w:val="both"/>
        <w:ind w:right="519"/>
        <w:spacing w:after="0" w:line="252" w:lineRule="auto"/>
        <w:rPr>
          <w:sz w:val="20"/>
          <w:szCs w:val="20"/>
          <w:color w:val="auto"/>
        </w:rPr>
      </w:pPr>
      <w:r>
        <w:rPr>
          <w:rFonts w:ascii="Arial" w:cs="Arial" w:eastAsia="Arial" w:hAnsi="Arial"/>
          <w:sz w:val="18"/>
          <w:szCs w:val="18"/>
          <w:color w:val="auto"/>
        </w:rPr>
        <w:t>We consent to the incorporation by reference in the following registration statements of Foot Locker, Inc. and subsidiaries of our reports dated March 31, 2014, with respect to the consolidated balance sheets of Foot Locker, Inc. as of February 1, 2014 and February 2, 2013, and the related consolidated statements of operations, comprehensive income, shareholders’ equity, and cash flows for each of the years in the three-year period ended February 1, 2014, and the effectiveness of internal control over financial reporting as of February 1, 2014, which reports appear in the February 1, 2014 annual report on Form 10-K of Foot Locker, Inc. and subsidiaries.</w:t>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33-10783</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33-91888</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33-91886</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33-97832</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333-07215</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333-21131</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333-62425</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333-33120</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333-41056</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333-41058</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333-74688</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333-99829</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333-111222</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333-121515</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333-144044</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333-149803</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S-3 No. 33-43334</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S-3 No. 33-86300</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S-3 No. 333-64930</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333-167066</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333-171523</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Form S-8 No. 333-190680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456565</wp:posOffset>
            </wp:positionV>
            <wp:extent cx="6114415" cy="596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346" w:right="1440" w:bottom="1440" w:gutter="0" w:footer="0" w:header="0"/>
        </w:sectPr>
      </w:pPr>
    </w:p>
    <w:bookmarkStart w:id="84" w:name="page85"/>
    <w:bookmarkEnd w:id="84"/>
    <w:p>
      <w:pPr>
        <w:jc w:val="right"/>
        <w:ind w:right="51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CERTIFICATIONS</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Ken C. Hicks, certify that:</w:t>
      </w:r>
    </w:p>
    <w:p>
      <w:pPr>
        <w:spacing w:after="0" w:line="117" w:lineRule="exact"/>
        <w:rPr>
          <w:sz w:val="20"/>
          <w:szCs w:val="20"/>
          <w:color w:val="auto"/>
        </w:rPr>
      </w:pPr>
    </w:p>
    <w:p>
      <w:pPr>
        <w:ind w:left="280" w:hanging="272"/>
        <w:spacing w:after="0"/>
        <w:tabs>
          <w:tab w:leader="none" w:pos="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Foot Locker, Inc. (the “Registrant”);</w:t>
      </w:r>
    </w:p>
    <w:p>
      <w:pPr>
        <w:spacing w:after="0" w:line="117" w:lineRule="exact"/>
        <w:rPr>
          <w:rFonts w:ascii="Arial" w:cs="Arial" w:eastAsia="Arial" w:hAnsi="Arial"/>
          <w:sz w:val="18"/>
          <w:szCs w:val="18"/>
          <w:color w:val="auto"/>
        </w:rPr>
      </w:pPr>
    </w:p>
    <w:p>
      <w:pPr>
        <w:jc w:val="both"/>
        <w:ind w:left="280" w:right="539" w:hanging="272"/>
        <w:spacing w:after="0" w:line="256" w:lineRule="auto"/>
        <w:tabs>
          <w:tab w:leader="none" w:pos="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jc w:val="both"/>
        <w:ind w:left="280" w:right="519" w:hanging="272"/>
        <w:spacing w:after="0" w:line="256" w:lineRule="auto"/>
        <w:tabs>
          <w:tab w:leader="none" w:pos="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jc w:val="both"/>
        <w:ind w:left="280" w:right="519" w:hanging="272"/>
        <w:spacing w:after="0" w:line="256" w:lineRule="auto"/>
        <w:tabs>
          <w:tab w:leader="none" w:pos="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540" w:right="519" w:hanging="262"/>
        <w:spacing w:after="0" w:line="254" w:lineRule="auto"/>
        <w:tabs>
          <w:tab w:leader="none" w:pos="5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6" w:lineRule="exact"/>
        <w:rPr>
          <w:rFonts w:ascii="Arial" w:cs="Arial" w:eastAsia="Arial" w:hAnsi="Arial"/>
          <w:sz w:val="18"/>
          <w:szCs w:val="18"/>
          <w:color w:val="auto"/>
        </w:rPr>
      </w:pPr>
    </w:p>
    <w:p>
      <w:pPr>
        <w:jc w:val="both"/>
        <w:ind w:left="540" w:right="519" w:hanging="262"/>
        <w:spacing w:after="0" w:line="254" w:lineRule="auto"/>
        <w:tabs>
          <w:tab w:leader="none" w:pos="5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6" w:lineRule="exact"/>
        <w:rPr>
          <w:rFonts w:ascii="Arial" w:cs="Arial" w:eastAsia="Arial" w:hAnsi="Arial"/>
          <w:sz w:val="18"/>
          <w:szCs w:val="18"/>
          <w:color w:val="auto"/>
        </w:rPr>
      </w:pPr>
    </w:p>
    <w:p>
      <w:pPr>
        <w:jc w:val="both"/>
        <w:ind w:left="540" w:right="519" w:hanging="262"/>
        <w:spacing w:after="0" w:line="256" w:lineRule="auto"/>
        <w:tabs>
          <w:tab w:leader="none" w:pos="5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540" w:right="519" w:hanging="262"/>
        <w:spacing w:after="0" w:line="254" w:lineRule="auto"/>
        <w:tabs>
          <w:tab w:leader="none" w:pos="5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6" w:lineRule="exact"/>
        <w:rPr>
          <w:rFonts w:ascii="Arial" w:cs="Arial" w:eastAsia="Arial" w:hAnsi="Arial"/>
          <w:sz w:val="18"/>
          <w:szCs w:val="18"/>
          <w:color w:val="auto"/>
        </w:rPr>
      </w:pPr>
    </w:p>
    <w:p>
      <w:pPr>
        <w:jc w:val="both"/>
        <w:ind w:left="280" w:right="519" w:hanging="272"/>
        <w:spacing w:after="0" w:line="256" w:lineRule="auto"/>
        <w:tabs>
          <w:tab w:leader="none" w:pos="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93" w:lineRule="exact"/>
        <w:rPr>
          <w:rFonts w:ascii="Arial" w:cs="Arial" w:eastAsia="Arial" w:hAnsi="Arial"/>
          <w:sz w:val="18"/>
          <w:szCs w:val="18"/>
          <w:color w:val="auto"/>
        </w:rPr>
      </w:pPr>
    </w:p>
    <w:p>
      <w:pPr>
        <w:jc w:val="both"/>
        <w:ind w:left="540" w:right="519" w:hanging="262"/>
        <w:spacing w:after="0" w:line="256" w:lineRule="auto"/>
        <w:tabs>
          <w:tab w:leader="none" w:pos="5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540" w:right="539" w:hanging="262"/>
        <w:spacing w:after="0" w:line="262" w:lineRule="auto"/>
        <w:tabs>
          <w:tab w:leader="none" w:pos="5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31, 2014</w:t>
      </w:r>
    </w:p>
    <w:p>
      <w:pPr>
        <w:spacing w:after="0" w:line="117"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/s/ Ken C. Hicks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2085975</wp:posOffset>
            </wp:positionH>
            <wp:positionV relativeFrom="paragraph">
              <wp:posOffset>6350</wp:posOffset>
            </wp:positionV>
            <wp:extent cx="397891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ind w:left="328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459740</wp:posOffset>
            </wp:positionV>
            <wp:extent cx="6114415" cy="596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346" w:right="1440" w:bottom="1440" w:gutter="0" w:footer="0" w:header="0"/>
        </w:sectPr>
      </w:pPr>
    </w:p>
    <w:bookmarkStart w:id="85" w:name="page86"/>
    <w:bookmarkEnd w:id="85"/>
    <w:p>
      <w:pPr>
        <w:jc w:val="right"/>
        <w:ind w:right="51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CERTIFICATIONS</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Lauren B. Peters, certify that:</w:t>
      </w:r>
    </w:p>
    <w:p>
      <w:pPr>
        <w:spacing w:after="0" w:line="117" w:lineRule="exact"/>
        <w:rPr>
          <w:sz w:val="20"/>
          <w:szCs w:val="20"/>
          <w:color w:val="auto"/>
        </w:rPr>
      </w:pPr>
    </w:p>
    <w:p>
      <w:pPr>
        <w:ind w:left="280" w:hanging="272"/>
        <w:spacing w:after="0"/>
        <w:tabs>
          <w:tab w:leader="none" w:pos="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Foot Locker, Inc. (the “Registrant”);</w:t>
      </w:r>
    </w:p>
    <w:p>
      <w:pPr>
        <w:spacing w:after="0" w:line="117" w:lineRule="exact"/>
        <w:rPr>
          <w:rFonts w:ascii="Arial" w:cs="Arial" w:eastAsia="Arial" w:hAnsi="Arial"/>
          <w:sz w:val="18"/>
          <w:szCs w:val="18"/>
          <w:color w:val="auto"/>
        </w:rPr>
      </w:pPr>
    </w:p>
    <w:p>
      <w:pPr>
        <w:jc w:val="both"/>
        <w:ind w:left="280" w:right="539" w:hanging="272"/>
        <w:spacing w:after="0" w:line="256" w:lineRule="auto"/>
        <w:tabs>
          <w:tab w:leader="none" w:pos="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jc w:val="both"/>
        <w:ind w:left="280" w:right="519" w:hanging="272"/>
        <w:spacing w:after="0" w:line="256" w:lineRule="auto"/>
        <w:tabs>
          <w:tab w:leader="none" w:pos="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jc w:val="both"/>
        <w:ind w:left="280" w:right="519" w:hanging="272"/>
        <w:spacing w:after="0" w:line="256" w:lineRule="auto"/>
        <w:tabs>
          <w:tab w:leader="none" w:pos="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540" w:right="519" w:hanging="262"/>
        <w:spacing w:after="0" w:line="254" w:lineRule="auto"/>
        <w:tabs>
          <w:tab w:leader="none" w:pos="5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6" w:lineRule="exact"/>
        <w:rPr>
          <w:rFonts w:ascii="Arial" w:cs="Arial" w:eastAsia="Arial" w:hAnsi="Arial"/>
          <w:sz w:val="18"/>
          <w:szCs w:val="18"/>
          <w:color w:val="auto"/>
        </w:rPr>
      </w:pPr>
    </w:p>
    <w:p>
      <w:pPr>
        <w:jc w:val="both"/>
        <w:ind w:left="540" w:right="519" w:hanging="262"/>
        <w:spacing w:after="0" w:line="254" w:lineRule="auto"/>
        <w:tabs>
          <w:tab w:leader="none" w:pos="5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6" w:lineRule="exact"/>
        <w:rPr>
          <w:rFonts w:ascii="Arial" w:cs="Arial" w:eastAsia="Arial" w:hAnsi="Arial"/>
          <w:sz w:val="18"/>
          <w:szCs w:val="18"/>
          <w:color w:val="auto"/>
        </w:rPr>
      </w:pPr>
    </w:p>
    <w:p>
      <w:pPr>
        <w:jc w:val="both"/>
        <w:ind w:left="540" w:right="519" w:hanging="262"/>
        <w:spacing w:after="0" w:line="256" w:lineRule="auto"/>
        <w:tabs>
          <w:tab w:leader="none" w:pos="5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540" w:right="519" w:hanging="262"/>
        <w:spacing w:after="0" w:line="254" w:lineRule="auto"/>
        <w:tabs>
          <w:tab w:leader="none" w:pos="5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6" w:lineRule="exact"/>
        <w:rPr>
          <w:rFonts w:ascii="Arial" w:cs="Arial" w:eastAsia="Arial" w:hAnsi="Arial"/>
          <w:sz w:val="18"/>
          <w:szCs w:val="18"/>
          <w:color w:val="auto"/>
        </w:rPr>
      </w:pPr>
    </w:p>
    <w:p>
      <w:pPr>
        <w:jc w:val="both"/>
        <w:ind w:left="280" w:right="519" w:hanging="272"/>
        <w:spacing w:after="0" w:line="256" w:lineRule="auto"/>
        <w:tabs>
          <w:tab w:leader="none" w:pos="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93" w:lineRule="exact"/>
        <w:rPr>
          <w:rFonts w:ascii="Arial" w:cs="Arial" w:eastAsia="Arial" w:hAnsi="Arial"/>
          <w:sz w:val="18"/>
          <w:szCs w:val="18"/>
          <w:color w:val="auto"/>
        </w:rPr>
      </w:pPr>
    </w:p>
    <w:p>
      <w:pPr>
        <w:jc w:val="both"/>
        <w:ind w:left="540" w:right="519" w:hanging="262"/>
        <w:spacing w:after="0" w:line="256" w:lineRule="auto"/>
        <w:tabs>
          <w:tab w:leader="none" w:pos="5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540" w:right="539" w:hanging="262"/>
        <w:spacing w:after="0" w:line="262" w:lineRule="auto"/>
        <w:tabs>
          <w:tab w:leader="none" w:pos="5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31, 2014</w:t>
      </w:r>
    </w:p>
    <w:p>
      <w:pPr>
        <w:spacing w:after="0" w:line="117"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2085975</wp:posOffset>
            </wp:positionH>
            <wp:positionV relativeFrom="paragraph">
              <wp:posOffset>6350</wp:posOffset>
            </wp:positionV>
            <wp:extent cx="397891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ind w:left="328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459740</wp:posOffset>
            </wp:positionV>
            <wp:extent cx="6114415" cy="596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346" w:right="1440" w:bottom="1440" w:gutter="0" w:footer="0" w:header="0"/>
        </w:sectPr>
      </w:pPr>
    </w:p>
    <w:bookmarkStart w:id="86" w:name="page87"/>
    <w:bookmarkEnd w:id="86"/>
    <w:p>
      <w:pPr>
        <w:jc w:val="right"/>
        <w:ind w:right="519"/>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17" w:lineRule="exact"/>
        <w:rPr>
          <w:sz w:val="20"/>
          <w:szCs w:val="20"/>
          <w:color w:val="auto"/>
        </w:rPr>
      </w:pPr>
    </w:p>
    <w:p>
      <w:pPr>
        <w:jc w:val="both"/>
        <w:ind w:right="519"/>
        <w:spacing w:after="0" w:line="254" w:lineRule="auto"/>
        <w:rPr>
          <w:sz w:val="20"/>
          <w:szCs w:val="20"/>
          <w:color w:val="auto"/>
        </w:rPr>
      </w:pPr>
      <w:r>
        <w:rPr>
          <w:rFonts w:ascii="Arial" w:cs="Arial" w:eastAsia="Arial" w:hAnsi="Arial"/>
          <w:sz w:val="18"/>
          <w:szCs w:val="18"/>
          <w:color w:val="auto"/>
        </w:rPr>
        <w:t>In connection with the Annual Report on Form 10-K of Foot Locker, Inc. (the “Registrant”) for the period ended February 1, 2014, as filed with the Securities and Exchange Commission on the date hereof (the “Report”), Ken C. Hicks as Chief Executive Officer of the Registrant and Lauren B. Peters as Chief Financial Officer of the Registrant, each hereby certify, pursuant to 18 U.S.C. Section 1350, that:</w:t>
      </w:r>
    </w:p>
    <w:p>
      <w:pPr>
        <w:spacing w:after="0" w:line="96" w:lineRule="exact"/>
        <w:rPr>
          <w:sz w:val="20"/>
          <w:szCs w:val="20"/>
          <w:color w:val="auto"/>
        </w:rPr>
      </w:pPr>
    </w:p>
    <w:p>
      <w:pPr>
        <w:ind w:left="500" w:right="519" w:hanging="262"/>
        <w:spacing w:after="0" w:line="262"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88" w:lineRule="exact"/>
        <w:rPr>
          <w:rFonts w:ascii="Arial" w:cs="Arial" w:eastAsia="Arial" w:hAnsi="Arial"/>
          <w:sz w:val="18"/>
          <w:szCs w:val="18"/>
          <w:color w:val="auto"/>
        </w:rPr>
      </w:pPr>
    </w:p>
    <w:p>
      <w:pPr>
        <w:ind w:left="500" w:right="539" w:hanging="262"/>
        <w:spacing w:after="0" w:line="262"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Dated: March 31, 2014</w:t>
      </w:r>
    </w:p>
    <w:p>
      <w:pPr>
        <w:spacing w:after="0" w:line="11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Ken C. Hicks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6350</wp:posOffset>
            </wp:positionV>
            <wp:extent cx="397891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Ken C. Hicks</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Chief Executive Officer</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6350</wp:posOffset>
            </wp:positionV>
            <wp:extent cx="397891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Lauren B. Peters</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448310</wp:posOffset>
            </wp:positionV>
            <wp:extent cx="6114415" cy="596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346" w:right="1440" w:bottom="1440" w:gutter="0" w:footer="0" w:header="0"/>
        </w:sectPr>
      </w:pPr>
    </w:p>
    <w:bookmarkStart w:id="87" w:name="page88"/>
    <w:bookmarkEnd w:id="8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x"/>
      <w:numFmt w:val="bullet"/>
      <w:start w:val="1"/>
    </w:lvl>
  </w:abstractNum>
  <w:abstractNum w:abstractNumId="1">
    <w:nsid w:val="628C895D"/>
    <w:multiLevelType w:val="hybridMultilevel"/>
    <w:lvl w:ilvl="0">
      <w:lvlJc w:val="left"/>
      <w:lvlText w:val="o"/>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emdash "/>
      <w:numFmt w:val="bullet"/>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3"/>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1."/>
      <w:numFmt w:val="decimal"/>
      <w:start w:val="4"/>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1)"/>
      <w:numFmt w:val="decimal"/>
      <w:start w:val="1"/>
    </w:lvl>
    <w:lvl w:ilvl="1">
      <w:lvlJc w:val="left"/>
      <w:lvlText w:val="%2."/>
      <w:numFmt w:val="decimal"/>
      <w:start w:val="12"/>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decimal"/>
      <w:start w:val="19"/>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1."/>
      <w:numFmt w:val="decimal"/>
      <w:start w:val="2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1)"/>
      <w:numFmt w:val="decimal"/>
      <w:start w:val="2"/>
    </w:lvl>
  </w:abstractNum>
  <w:abstractNum w:abstractNumId="29">
    <w:nsid w:val="5577F8E1"/>
    <w:multiLevelType w:val="hybridMultilevel"/>
    <w:lvl w:ilvl="0">
      <w:lvlJc w:val="left"/>
      <w:lvlText w:val="%1."/>
      <w:numFmt w:val="decimal"/>
      <w:start w:val="22"/>
    </w:lvl>
  </w:abstractNum>
  <w:abstractNum w:abstractNumId="30">
    <w:nsid w:val="440BADFC"/>
    <w:multiLevelType w:val="hybridMultilevel"/>
    <w:lvl w:ilvl="0">
      <w:lvlJc w:val="left"/>
      <w:lvlText w:val="%1."/>
      <w:numFmt w:val="decimal"/>
      <w:start w:val="22"/>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lowerLetter"/>
      <w:start w:val="4"/>
    </w:lvl>
  </w:abstractNum>
  <w:abstractNum w:abstractNumId="33">
    <w:nsid w:val="77465F01"/>
    <w:multiLevelType w:val="hybridMultilevel"/>
    <w:lvl w:ilvl="0">
      <w:lvlJc w:val="left"/>
      <w:lvlText w:val="(%1)"/>
      <w:numFmt w:val="lowerLetter"/>
      <w:start w:val="3"/>
    </w:lvl>
  </w:abstractNum>
  <w:abstractNum w:abstractNumId="34">
    <w:nsid w:val="7724C67E"/>
    <w:multiLevelType w:val="hybridMultilevel"/>
    <w:lvl w:ilvl="0">
      <w:lvlJc w:val="left"/>
      <w:lvlText w:val="%1"/>
      <w:numFmt w:val="decimal"/>
      <w:start w:val="32"/>
    </w:lvl>
  </w:abstractNum>
  <w:abstractNum w:abstractNumId="35">
    <w:nsid w:val="5C482A97"/>
    <w:multiLevelType w:val="hybridMultilevel"/>
    <w:lvl w:ilvl="0">
      <w:lvlJc w:val="left"/>
      <w:lvlText w:val="*"/>
      <w:numFmt w:val="bullet"/>
      <w:start w:val="1"/>
    </w:lvl>
    <w:lvl w:ilvl="1">
      <w:lvlJc w:val="left"/>
      <w:lvlText w:val="%2"/>
      <w:numFmt w:val="decimal"/>
      <w:start w:val="101"/>
    </w:lvl>
  </w:abstractNum>
  <w:abstractNum w:abstractNumId="36">
    <w:nsid w:val="2463B9EA"/>
    <w:multiLevelType w:val="hybridMultilevel"/>
    <w:lvl w:ilvl="0">
      <w:lvlJc w:val="left"/>
      <w:lvlText w:val="(%1)"/>
      <w:numFmt w:val="decimal"/>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2019-12-06T02:52:38Z</dcterms:created>
  <dcterms:modified xsi:type="dcterms:W3CDTF">2019-12-06T02:52:38Z</dcterms:modified>
</cp:coreProperties>
</file>