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19"/>
          <w:szCs w:val="19"/>
          <w:b w:val="1"/>
          <w:bCs w:val="1"/>
          <w:color w:val="auto"/>
        </w:rPr>
        <w:t>UNITED STATES</w:t>
      </w:r>
    </w:p>
    <w:p>
      <w:pPr>
        <w:spacing w:after="0" w:line="24"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SECURITIES AND EXCHANGE COMMISSION</w:t>
      </w:r>
    </w:p>
    <w:p>
      <w:pPr>
        <w:jc w:val="center"/>
        <w:ind w:right="20"/>
        <w:spacing w:after="0"/>
        <w:rPr>
          <w:sz w:val="20"/>
          <w:szCs w:val="20"/>
          <w:color w:val="auto"/>
        </w:rPr>
      </w:pPr>
      <w:r>
        <w:rPr>
          <w:rFonts w:ascii="Arial" w:cs="Arial" w:eastAsia="Arial" w:hAnsi="Arial"/>
          <w:sz w:val="19"/>
          <w:szCs w:val="19"/>
          <w:b w:val="1"/>
          <w:bCs w:val="1"/>
          <w:color w:val="auto"/>
        </w:rPr>
        <w:t>Washington, D.C. 20549</w:t>
      </w:r>
    </w:p>
    <w:p>
      <w:pPr>
        <w:spacing w:after="0" w:line="6" w:lineRule="exact"/>
        <w:rPr>
          <w:sz w:val="24"/>
          <w:szCs w:val="24"/>
          <w:color w:val="auto"/>
        </w:rPr>
      </w:pPr>
    </w:p>
    <w:p>
      <w:pPr>
        <w:ind w:left="3120"/>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115" w:lineRule="exact"/>
        <w:rPr>
          <w:sz w:val="24"/>
          <w:szCs w:val="24"/>
          <w:color w:val="auto"/>
        </w:rPr>
      </w:pPr>
    </w:p>
    <w:p>
      <w:pPr>
        <w:jc w:val="center"/>
        <w:ind w:right="20"/>
        <w:spacing w:after="0"/>
        <w:rPr>
          <w:sz w:val="20"/>
          <w:szCs w:val="20"/>
          <w:color w:val="auto"/>
        </w:rPr>
      </w:pPr>
      <w:r>
        <w:rPr>
          <w:rFonts w:ascii="Arial" w:cs="Arial" w:eastAsia="Arial" w:hAnsi="Arial"/>
          <w:sz w:val="19"/>
          <w:szCs w:val="19"/>
          <w:b w:val="1"/>
          <w:bCs w:val="1"/>
          <w:color w:val="auto"/>
        </w:rPr>
        <w:t>FORM 10-Q</w:t>
      </w:r>
    </w:p>
    <w:p>
      <w:pPr>
        <w:spacing w:after="0" w:line="190" w:lineRule="exact"/>
        <w:rPr>
          <w:sz w:val="24"/>
          <w:szCs w:val="24"/>
          <w:color w:val="auto"/>
        </w:rPr>
      </w:pPr>
    </w:p>
    <w:p>
      <w:pPr>
        <w:ind w:left="140"/>
        <w:spacing w:after="0"/>
        <w:rPr>
          <w:sz w:val="20"/>
          <w:szCs w:val="20"/>
          <w:color w:val="auto"/>
        </w:rPr>
      </w:pPr>
      <w:r>
        <w:rPr>
          <w:rFonts w:ascii="Arial" w:cs="Arial" w:eastAsia="Arial" w:hAnsi="Arial"/>
          <w:sz w:val="15"/>
          <w:szCs w:val="15"/>
          <w:color w:val="auto"/>
        </w:rPr>
        <w:t>(Mark One)</w:t>
      </w:r>
    </w:p>
    <w:p>
      <w:pPr>
        <w:spacing w:after="0" w:line="223" w:lineRule="exact"/>
        <w:rPr>
          <w:sz w:val="24"/>
          <w:szCs w:val="24"/>
          <w:color w:val="auto"/>
        </w:rPr>
      </w:pPr>
    </w:p>
    <w:p>
      <w:pPr>
        <w:ind w:left="520" w:hanging="338"/>
        <w:spacing w:after="0"/>
        <w:tabs>
          <w:tab w:leader="none" w:pos="520" w:val="left"/>
        </w:tabs>
        <w:numPr>
          <w:ilvl w:val="0"/>
          <w:numId w:val="1"/>
        </w:numPr>
        <w:rPr>
          <w:rFonts w:ascii="MS PGothic" w:cs="MS PGothic" w:eastAsia="MS PGothic" w:hAnsi="MS PGothic"/>
          <w:sz w:val="15"/>
          <w:szCs w:val="15"/>
          <w:color w:val="auto"/>
          <w:highlight w:val="black"/>
        </w:rPr>
      </w:pPr>
      <w:r>
        <w:rPr>
          <w:rFonts w:ascii="Arial" w:cs="Arial" w:eastAsia="Arial" w:hAnsi="Arial"/>
          <w:sz w:val="14"/>
          <w:szCs w:val="14"/>
          <w:b w:val="1"/>
          <w:bCs w:val="1"/>
          <w:color w:val="auto"/>
        </w:rPr>
        <w:t>QUARTERLY REPORT PURSUANT TO SECTION 13 OR 15(d) OF THE SECURITIES EXCHANGE ACT OF 1934</w:t>
      </w:r>
    </w:p>
    <w:p>
      <w:pPr>
        <w:spacing w:after="0" w:line="182" w:lineRule="exact"/>
        <w:rPr>
          <w:rFonts w:ascii="MS PGothic" w:cs="MS PGothic" w:eastAsia="MS PGothic" w:hAnsi="MS PGothic"/>
          <w:sz w:val="15"/>
          <w:szCs w:val="15"/>
          <w:color w:val="auto"/>
          <w:highlight w:val="black"/>
        </w:rPr>
      </w:pPr>
    </w:p>
    <w:p>
      <w:pPr>
        <w:ind w:left="3080"/>
        <w:spacing w:after="0"/>
        <w:rPr>
          <w:rFonts w:ascii="MS PGothic" w:cs="MS PGothic" w:eastAsia="MS PGothic" w:hAnsi="MS PGothic"/>
          <w:sz w:val="15"/>
          <w:szCs w:val="15"/>
          <w:color w:val="auto"/>
          <w:highlight w:val="black"/>
        </w:rPr>
      </w:pPr>
      <w:r>
        <w:rPr>
          <w:rFonts w:ascii="Arial" w:cs="Arial" w:eastAsia="Arial" w:hAnsi="Arial"/>
          <w:sz w:val="16"/>
          <w:szCs w:val="16"/>
          <w:color w:val="auto"/>
        </w:rPr>
        <w:t>For the quarterly period ended: October 28, 2017</w:t>
      </w:r>
    </w:p>
    <w:p>
      <w:pPr>
        <w:spacing w:after="0" w:line="144"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OR</w:t>
      </w:r>
    </w:p>
    <w:p>
      <w:pPr>
        <w:spacing w:after="0" w:line="129" w:lineRule="exact"/>
        <w:rPr>
          <w:sz w:val="24"/>
          <w:szCs w:val="24"/>
          <w:color w:val="auto"/>
        </w:rPr>
      </w:pPr>
    </w:p>
    <w:p>
      <w:pPr>
        <w:ind w:left="440" w:hanging="295"/>
        <w:spacing w:after="0"/>
        <w:tabs>
          <w:tab w:leader="none" w:pos="440" w:val="left"/>
        </w:tabs>
        <w:numPr>
          <w:ilvl w:val="0"/>
          <w:numId w:val="2"/>
        </w:numPr>
        <w:rPr>
          <w:rFonts w:ascii="MS PGothic" w:cs="MS PGothic" w:eastAsia="MS PGothic" w:hAnsi="MS PGothic"/>
          <w:sz w:val="15"/>
          <w:szCs w:val="15"/>
          <w:color w:val="auto"/>
          <w:highlight w:val="black"/>
        </w:rPr>
      </w:pPr>
      <w:r>
        <w:rPr>
          <w:rFonts w:ascii="Arial" w:cs="Arial" w:eastAsia="Arial" w:hAnsi="Arial"/>
          <w:sz w:val="14"/>
          <w:szCs w:val="14"/>
          <w:b w:val="1"/>
          <w:bCs w:val="1"/>
          <w:color w:val="auto"/>
        </w:rPr>
        <w:t>TRANSITION REPORT PURSUANT TO SECTION 13 OR 15(d) OF THE SECURITIES EXCHANGE ACT OF 1934</w:t>
      </w:r>
    </w:p>
    <w:p>
      <w:pPr>
        <w:spacing w:after="0" w:line="244" w:lineRule="exact"/>
        <w:rPr>
          <w:sz w:val="24"/>
          <w:szCs w:val="24"/>
          <w:color w:val="auto"/>
        </w:rPr>
      </w:pPr>
    </w:p>
    <w:p>
      <w:pPr>
        <w:ind w:left="2760"/>
        <w:spacing w:after="0"/>
        <w:rPr>
          <w:sz w:val="20"/>
          <w:szCs w:val="20"/>
          <w:color w:val="auto"/>
        </w:rPr>
      </w:pPr>
      <w:r>
        <w:rPr>
          <w:rFonts w:ascii="Arial" w:cs="Arial" w:eastAsia="Arial" w:hAnsi="Arial"/>
          <w:sz w:val="16"/>
          <w:szCs w:val="16"/>
          <w:color w:val="auto"/>
        </w:rPr>
        <w:t>For the transition period from __________ to __________</w:t>
      </w:r>
    </w:p>
    <w:p>
      <w:pPr>
        <w:spacing w:after="0" w:line="181" w:lineRule="exact"/>
        <w:rPr>
          <w:sz w:val="24"/>
          <w:szCs w:val="24"/>
          <w:color w:val="auto"/>
        </w:rPr>
      </w:pPr>
    </w:p>
    <w:p>
      <w:pPr>
        <w:jc w:val="center"/>
        <w:ind w:right="20"/>
        <w:spacing w:after="0"/>
        <w:rPr>
          <w:sz w:val="20"/>
          <w:szCs w:val="20"/>
          <w:color w:val="auto"/>
        </w:rPr>
      </w:pPr>
      <w:r>
        <w:rPr>
          <w:rFonts w:ascii="Arial" w:cs="Arial" w:eastAsia="Arial" w:hAnsi="Arial"/>
          <w:sz w:val="16"/>
          <w:szCs w:val="16"/>
          <w:color w:val="auto"/>
        </w:rPr>
        <w:t>Commission File Number: 1-10299</w:t>
      </w:r>
    </w:p>
    <w:p>
      <w:pPr>
        <w:spacing w:after="0" w:line="1" w:lineRule="exact"/>
        <w:rPr>
          <w:sz w:val="24"/>
          <w:szCs w:val="24"/>
          <w:color w:val="auto"/>
        </w:rPr>
      </w:pPr>
    </w:p>
    <w:p>
      <w:pPr>
        <w:ind w:left="3300"/>
        <w:spacing w:after="0"/>
        <w:rPr>
          <w:sz w:val="20"/>
          <w:szCs w:val="20"/>
          <w:color w:val="auto"/>
        </w:rPr>
      </w:pPr>
      <w:r>
        <w:rPr>
          <w:rFonts w:ascii="Arial" w:cs="Arial" w:eastAsia="Arial" w:hAnsi="Arial"/>
          <w:sz w:val="16"/>
          <w:szCs w:val="16"/>
          <w:b w:val="1"/>
          <w:bCs w:val="1"/>
          <w:color w:val="auto"/>
        </w:rPr>
        <w:t>______________________________________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1972945</wp:posOffset>
            </wp:positionH>
            <wp:positionV relativeFrom="paragraph">
              <wp:posOffset>90805</wp:posOffset>
            </wp:positionV>
            <wp:extent cx="2193290" cy="254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93290" cy="254635"/>
                    </a:xfrm>
                    <a:prstGeom prst="rect">
                      <a:avLst/>
                    </a:prstGeom>
                    <a:noFill/>
                  </pic:spPr>
                </pic:pic>
              </a:graphicData>
            </a:graphic>
          </wp:anchor>
        </w:drawing>
      </w:r>
    </w:p>
    <w:p>
      <w:pPr>
        <w:spacing w:after="0" w:line="200" w:lineRule="exact"/>
        <w:rPr>
          <w:sz w:val="24"/>
          <w:szCs w:val="24"/>
          <w:color w:val="auto"/>
        </w:rPr>
      </w:pPr>
    </w:p>
    <w:p>
      <w:pPr>
        <w:spacing w:after="0" w:line="324" w:lineRule="exact"/>
        <w:rPr>
          <w:sz w:val="24"/>
          <w:szCs w:val="24"/>
          <w:color w:val="auto"/>
        </w:rPr>
      </w:pPr>
    </w:p>
    <w:p>
      <w:pPr>
        <w:jc w:val="center"/>
        <w:ind w:right="20"/>
        <w:spacing w:after="0"/>
        <w:rPr>
          <w:sz w:val="20"/>
          <w:szCs w:val="20"/>
          <w:color w:val="auto"/>
        </w:rPr>
      </w:pPr>
      <w:r>
        <w:rPr>
          <w:rFonts w:ascii="Arial" w:cs="Arial" w:eastAsia="Arial" w:hAnsi="Arial"/>
          <w:sz w:val="15"/>
          <w:szCs w:val="15"/>
          <w:color w:val="auto"/>
        </w:rPr>
        <w:t>(Exact name of registrant as specified in its charter)</w:t>
      </w:r>
    </w:p>
    <w:p>
      <w:pPr>
        <w:ind w:left="3300"/>
        <w:spacing w:after="0"/>
        <w:rPr>
          <w:sz w:val="20"/>
          <w:szCs w:val="20"/>
          <w:color w:val="auto"/>
        </w:rPr>
      </w:pPr>
      <w:r>
        <w:rPr>
          <w:rFonts w:ascii="Arial" w:cs="Arial" w:eastAsia="Arial" w:hAnsi="Arial"/>
          <w:sz w:val="16"/>
          <w:szCs w:val="16"/>
          <w:b w:val="1"/>
          <w:bCs w:val="1"/>
          <w:color w:val="auto"/>
        </w:rPr>
        <w:t>______________________________________</w:t>
      </w:r>
    </w:p>
    <w:p>
      <w:pPr>
        <w:sectPr>
          <w:pgSz w:w="11900" w:h="16838" w:orient="portrait"/>
          <w:cols w:equalWidth="0" w:num="1">
            <w:col w:w="9680"/>
          </w:cols>
          <w:pgMar w:left="1120" w:top="207" w:right="1099" w:bottom="1440" w:gutter="0" w:footer="0" w:header="0"/>
        </w:sectPr>
      </w:pPr>
    </w:p>
    <w:p>
      <w:pPr>
        <w:spacing w:after="0" w:line="192" w:lineRule="exact"/>
        <w:rPr>
          <w:sz w:val="24"/>
          <w:szCs w:val="24"/>
          <w:color w:val="auto"/>
        </w:rPr>
      </w:pPr>
    </w:p>
    <w:p>
      <w:pPr>
        <w:ind w:left="2060"/>
        <w:spacing w:after="0"/>
        <w:rPr>
          <w:sz w:val="20"/>
          <w:szCs w:val="20"/>
          <w:color w:val="auto"/>
        </w:rPr>
      </w:pPr>
      <w:r>
        <w:rPr>
          <w:rFonts w:ascii="Arial" w:cs="Arial" w:eastAsia="Arial" w:hAnsi="Arial"/>
          <w:sz w:val="15"/>
          <w:szCs w:val="15"/>
          <w:b w:val="1"/>
          <w:bCs w:val="1"/>
          <w:color w:val="auto"/>
        </w:rPr>
        <w:t>New York</w:t>
      </w:r>
    </w:p>
    <w:p>
      <w:pPr>
        <w:spacing w:after="0" w:line="20" w:lineRule="exact"/>
        <w:rPr>
          <w:sz w:val="24"/>
          <w:szCs w:val="24"/>
          <w:color w:val="auto"/>
        </w:rPr>
      </w:pPr>
      <w:r>
        <w:rPr>
          <w:sz w:val="24"/>
          <w:szCs w:val="24"/>
          <w:color w:val="auto"/>
        </w:rPr>
        <w:br w:type="column"/>
      </w:r>
    </w:p>
    <w:p>
      <w:pPr>
        <w:spacing w:after="0" w:line="17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13-3513936</w:t>
      </w:r>
    </w:p>
    <w:p>
      <w:pPr>
        <w:spacing w:after="0" w:line="29" w:lineRule="exact"/>
        <w:rPr>
          <w:sz w:val="24"/>
          <w:szCs w:val="24"/>
          <w:color w:val="auto"/>
        </w:rPr>
      </w:pPr>
    </w:p>
    <w:p>
      <w:pPr>
        <w:sectPr>
          <w:pgSz w:w="11900" w:h="16838" w:orient="portrait"/>
          <w:cols w:equalWidth="0" w:num="2">
            <w:col w:w="6120" w:space="720"/>
            <w:col w:w="2840"/>
          </w:cols>
          <w:pgMar w:left="1120" w:top="207" w:right="1099" w:bottom="1440" w:gutter="0" w:footer="0" w:header="0"/>
          <w:type w:val="continuous"/>
        </w:sectPr>
      </w:pPr>
    </w:p>
    <w:p>
      <w:pPr>
        <w:ind w:left="420"/>
        <w:spacing w:after="0"/>
        <w:rPr>
          <w:sz w:val="20"/>
          <w:szCs w:val="20"/>
          <w:color w:val="auto"/>
        </w:rPr>
      </w:pPr>
      <w:r>
        <w:rPr>
          <w:rFonts w:ascii="Arial" w:cs="Arial" w:eastAsia="Arial" w:hAnsi="Arial"/>
          <w:sz w:val="15"/>
          <w:szCs w:val="15"/>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(I.R.S. Employer Identification No.)</w:t>
      </w:r>
    </w:p>
    <w:p>
      <w:pPr>
        <w:spacing w:after="0" w:line="101" w:lineRule="exact"/>
        <w:rPr>
          <w:sz w:val="24"/>
          <w:szCs w:val="24"/>
          <w:color w:val="auto"/>
        </w:rPr>
      </w:pPr>
    </w:p>
    <w:p>
      <w:pPr>
        <w:sectPr>
          <w:pgSz w:w="11900" w:h="16838" w:orient="portrait"/>
          <w:cols w:equalWidth="0" w:num="2">
            <w:col w:w="5340" w:space="720"/>
            <w:col w:w="3620"/>
          </w:cols>
          <w:pgMar w:left="1120" w:top="207" w:right="1099" w:bottom="1440" w:gutter="0" w:footer="0" w:header="0"/>
          <w:type w:val="continuous"/>
        </w:sectPr>
      </w:pPr>
    </w:p>
    <w:p>
      <w:pPr>
        <w:ind w:left="3100"/>
        <w:spacing w:after="0"/>
        <w:rPr>
          <w:sz w:val="20"/>
          <w:szCs w:val="20"/>
          <w:color w:val="auto"/>
        </w:rPr>
      </w:pPr>
      <w:r>
        <w:rPr>
          <w:rFonts w:ascii="Arial" w:cs="Arial" w:eastAsia="Arial" w:hAnsi="Arial"/>
          <w:sz w:val="15"/>
          <w:szCs w:val="15"/>
          <w:b w:val="1"/>
          <w:bCs w:val="1"/>
          <w:color w:val="auto"/>
        </w:rPr>
        <w:t>330 West 34</w:t>
      </w:r>
      <w:r>
        <w:rPr>
          <w:rFonts w:ascii="Arial" w:cs="Arial" w:eastAsia="Arial" w:hAnsi="Arial"/>
          <w:sz w:val="8"/>
          <w:szCs w:val="8"/>
          <w:b w:val="1"/>
          <w:bCs w:val="1"/>
          <w:color w:val="auto"/>
        </w:rPr>
        <w:t>th</w:t>
      </w:r>
      <w:r>
        <w:rPr>
          <w:rFonts w:ascii="Arial" w:cs="Arial" w:eastAsia="Arial" w:hAnsi="Arial"/>
          <w:sz w:val="15"/>
          <w:szCs w:val="15"/>
          <w:b w:val="1"/>
          <w:bCs w:val="1"/>
          <w:color w:val="auto"/>
        </w:rPr>
        <w:t xml:space="preserve"> Street, New York, New York 10001</w:t>
      </w:r>
    </w:p>
    <w:p>
      <w:pPr>
        <w:spacing w:after="0" w:line="14" w:lineRule="exact"/>
        <w:rPr>
          <w:sz w:val="24"/>
          <w:szCs w:val="24"/>
          <w:color w:val="auto"/>
        </w:rPr>
      </w:pPr>
    </w:p>
    <w:p>
      <w:pPr>
        <w:ind w:left="3160"/>
        <w:spacing w:after="0"/>
        <w:rPr>
          <w:sz w:val="20"/>
          <w:szCs w:val="20"/>
          <w:color w:val="auto"/>
        </w:rPr>
      </w:pPr>
      <w:r>
        <w:rPr>
          <w:rFonts w:ascii="Arial" w:cs="Arial" w:eastAsia="Arial" w:hAnsi="Arial"/>
          <w:sz w:val="15"/>
          <w:szCs w:val="15"/>
          <w:color w:val="auto"/>
        </w:rPr>
        <w:t>(Address of principal executive offices, Zip Code)</w:t>
      </w:r>
    </w:p>
    <w:p>
      <w:pPr>
        <w:jc w:val="center"/>
        <w:spacing w:after="0" w:line="236" w:lineRule="auto"/>
        <w:rPr>
          <w:sz w:val="20"/>
          <w:szCs w:val="20"/>
          <w:color w:val="auto"/>
        </w:rPr>
      </w:pPr>
      <w:r>
        <w:rPr>
          <w:rFonts w:ascii="Arial" w:cs="Arial" w:eastAsia="Arial" w:hAnsi="Arial"/>
          <w:sz w:val="15"/>
          <w:szCs w:val="15"/>
          <w:b w:val="1"/>
          <w:bCs w:val="1"/>
          <w:color w:val="auto"/>
        </w:rPr>
        <w:t>(212-720-3700)</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(Registrant’s telephone number, including area code)</w:t>
      </w:r>
    </w:p>
    <w:p>
      <w:pPr>
        <w:spacing w:after="0" w:line="224" w:lineRule="exact"/>
        <w:rPr>
          <w:sz w:val="24"/>
          <w:szCs w:val="24"/>
          <w:color w:val="auto"/>
        </w:rPr>
      </w:pPr>
    </w:p>
    <w:p>
      <w:pPr>
        <w:jc w:val="both"/>
        <w:spacing w:after="0" w:line="183" w:lineRule="exact"/>
        <w:rPr>
          <w:sz w:val="20"/>
          <w:szCs w:val="20"/>
          <w:color w:val="auto"/>
        </w:rPr>
      </w:pPr>
      <w:r>
        <w:rPr>
          <w:rFonts w:ascii="Arial" w:cs="Arial" w:eastAsia="Arial" w:hAnsi="Arial"/>
          <w:sz w:val="15"/>
          <w:szCs w:val="15"/>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1" w:lineRule="exact"/>
        <w:rPr>
          <w:sz w:val="24"/>
          <w:szCs w:val="24"/>
          <w:color w:val="auto"/>
        </w:rPr>
      </w:pPr>
    </w:p>
    <w:p>
      <w:pPr>
        <w:jc w:val="both"/>
        <w:spacing w:after="0" w:line="176" w:lineRule="exact"/>
        <w:rPr>
          <w:sz w:val="20"/>
          <w:szCs w:val="20"/>
          <w:color w:val="auto"/>
        </w:rPr>
      </w:pPr>
      <w:r>
        <w:rPr>
          <w:rFonts w:ascii="Arial" w:cs="Arial" w:eastAsia="Arial" w:hAnsi="Arial"/>
          <w:sz w:val="15"/>
          <w:szCs w:val="15"/>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p>
    <w:p>
      <w:pPr>
        <w:spacing w:after="0" w:line="1" w:lineRule="exact"/>
        <w:rPr>
          <w:sz w:val="24"/>
          <w:szCs w:val="24"/>
          <w:color w:val="auto"/>
        </w:rPr>
      </w:pPr>
    </w:p>
    <w:p>
      <w:pPr>
        <w:jc w:val="both"/>
        <w:spacing w:after="0" w:line="245"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9" w:lineRule="exact"/>
        <w:rPr>
          <w:sz w:val="24"/>
          <w:szCs w:val="24"/>
          <w:color w:val="auto"/>
        </w:rPr>
      </w:pPr>
    </w:p>
    <w:p>
      <w:pPr>
        <w:ind w:right="400"/>
        <w:spacing w:after="0" w:line="237"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Non-accelerated filer </w:t>
      </w:r>
      <w:r>
        <w:rPr>
          <w:rFonts w:ascii="MS PGothic" w:cs="MS PGothic" w:eastAsia="MS PGothic" w:hAnsi="MS PGothic"/>
          <w:sz w:val="16"/>
          <w:szCs w:val="16"/>
          <w:color w:val="auto"/>
        </w:rPr>
        <w:t>☐</w:t>
      </w:r>
      <w:r>
        <w:rPr>
          <w:rFonts w:ascii="Arial" w:cs="Arial" w:eastAsia="Arial" w:hAnsi="Arial"/>
          <w:sz w:val="15"/>
          <w:szCs w:val="15"/>
          <w:color w:val="auto"/>
        </w:rPr>
        <w:t xml:space="preserve"> Smaller reporting company </w:t>
      </w:r>
      <w:r>
        <w:rPr>
          <w:rFonts w:ascii="MS PGothic" w:cs="MS PGothic" w:eastAsia="MS PGothic" w:hAnsi="MS PGothic"/>
          <w:sz w:val="16"/>
          <w:szCs w:val="16"/>
          <w:color w:val="auto"/>
        </w:rPr>
        <w:t>☐</w:t>
      </w:r>
      <w:r>
        <w:rPr>
          <w:rFonts w:ascii="Arial" w:cs="Arial" w:eastAsia="Arial" w:hAnsi="Arial"/>
          <w:sz w:val="15"/>
          <w:szCs w:val="15"/>
          <w:color w:val="auto"/>
        </w:rPr>
        <w:t xml:space="preserve"> Emerging growth company </w:t>
      </w:r>
      <w:r>
        <w:rPr>
          <w:rFonts w:ascii="MS PGothic" w:cs="MS PGothic" w:eastAsia="MS PGothic" w:hAnsi="MS PGothic"/>
          <w:sz w:val="16"/>
          <w:szCs w:val="16"/>
          <w:color w:val="auto"/>
        </w:rPr>
        <w:t>☐</w:t>
      </w:r>
    </w:p>
    <w:p>
      <w:pPr>
        <w:spacing w:after="0" w:line="348" w:lineRule="exact"/>
        <w:rPr>
          <w:sz w:val="24"/>
          <w:szCs w:val="24"/>
          <w:color w:val="auto"/>
        </w:rPr>
      </w:pPr>
    </w:p>
    <w:p>
      <w:pPr>
        <w:spacing w:after="0" w:line="194" w:lineRule="exact"/>
        <w:rPr>
          <w:sz w:val="20"/>
          <w:szCs w:val="20"/>
          <w:color w:val="auto"/>
        </w:rPr>
      </w:pPr>
      <w:r>
        <w:rPr>
          <w:rFonts w:ascii="Arial" w:cs="Arial" w:eastAsia="Arial" w:hAnsi="Arial"/>
          <w:sz w:val="15"/>
          <w:szCs w:val="15"/>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47" w:lineRule="exact"/>
        <w:rPr>
          <w:sz w:val="24"/>
          <w:szCs w:val="24"/>
          <w:color w:val="auto"/>
        </w:rPr>
      </w:pPr>
    </w:p>
    <w:p>
      <w:pPr>
        <w:ind w:right="760"/>
        <w:spacing w:after="0" w:line="288" w:lineRule="exact"/>
        <w:rPr>
          <w:sz w:val="20"/>
          <w:szCs w:val="20"/>
          <w:color w:val="auto"/>
        </w:rPr>
      </w:pPr>
      <w:r>
        <w:rPr>
          <w:rFonts w:ascii="Arial" w:cs="Arial" w:eastAsia="Arial" w:hAnsi="Arial"/>
          <w:sz w:val="15"/>
          <w:szCs w:val="15"/>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5"/>
          <w:szCs w:val="15"/>
          <w:color w:val="auto"/>
        </w:rPr>
        <w:t xml:space="preserve"> No </w:t>
      </w:r>
      <w:r>
        <w:rPr>
          <w:rFonts w:ascii="MS PGothic" w:cs="MS PGothic" w:eastAsia="MS PGothic" w:hAnsi="MS PGothic"/>
          <w:sz w:val="16"/>
          <w:szCs w:val="16"/>
          <w:color w:val="auto"/>
        </w:rPr>
        <w:t>☑</w:t>
      </w:r>
      <w:r>
        <w:rPr>
          <w:rFonts w:ascii="Arial" w:cs="Arial" w:eastAsia="Arial" w:hAnsi="Arial"/>
          <w:sz w:val="15"/>
          <w:szCs w:val="15"/>
          <w:color w:val="auto"/>
        </w:rPr>
        <w:t xml:space="preserve"> Number of shares of Common Stock outstanding as of November 24, 2017: 121,205,589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591820</wp:posOffset>
            </wp:positionV>
            <wp:extent cx="6188710" cy="482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8710" cy="48260"/>
                    </a:xfrm>
                    <a:prstGeom prst="rect">
                      <a:avLst/>
                    </a:prstGeom>
                    <a:noFill/>
                  </pic:spPr>
                </pic:pic>
              </a:graphicData>
            </a:graphic>
          </wp:anchor>
        </w:drawing>
      </w:r>
    </w:p>
    <w:p>
      <w:pPr>
        <w:sectPr>
          <w:pgSz w:w="11900" w:h="16838" w:orient="portrait"/>
          <w:cols w:equalWidth="0" w:num="1">
            <w:col w:w="9680"/>
          </w:cols>
          <w:pgMar w:left="1120" w:top="207" w:right="109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TABLE OF CONTENTS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5"/>
                <w:szCs w:val="15"/>
                <w:color w:val="auto"/>
              </w:rPr>
              <w:t>Page</w:t>
            </w:r>
          </w:p>
        </w:tc>
      </w:tr>
      <w:tr>
        <w:trPr>
          <w:trHeight w:val="153"/>
        </w:trPr>
        <w:tc>
          <w:tcPr>
            <w:tcW w:w="100" w:type="dxa"/>
            <w:vAlign w:val="bottom"/>
            <w:shd w:val="clear" w:color="auto" w:fill="CCEEFF"/>
          </w:tcPr>
          <w:p>
            <w:pPr>
              <w:spacing w:after="0"/>
              <w:rPr>
                <w:sz w:val="13"/>
                <w:szCs w:val="13"/>
                <w:color w:val="auto"/>
              </w:rPr>
            </w:pPr>
          </w:p>
        </w:tc>
        <w:tc>
          <w:tcPr>
            <w:tcW w:w="1040" w:type="dxa"/>
            <w:vAlign w:val="bottom"/>
            <w:gridSpan w:val="5"/>
            <w:shd w:val="clear" w:color="auto" w:fill="CCEEFF"/>
          </w:tcPr>
          <w:p>
            <w:pPr>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PART I</w:t>
              </w:r>
            </w:hyperlink>
          </w:p>
        </w:tc>
        <w:tc>
          <w:tcPr>
            <w:tcW w:w="7480" w:type="dxa"/>
            <w:vAlign w:val="bottom"/>
            <w:gridSpan w:val="20"/>
            <w:shd w:val="clear" w:color="auto" w:fill="CCEEFF"/>
          </w:tcPr>
          <w:p>
            <w:pPr>
              <w:ind w:left="180"/>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FINANCIAL INFORMATION</w:t>
              </w:r>
            </w:hyperlink>
          </w:p>
        </w:tc>
        <w:tc>
          <w:tcPr>
            <w:tcW w:w="78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3">
              <w:r>
                <w:rPr>
                  <w:rFonts w:ascii="Arial" w:cs="Arial" w:eastAsia="Arial" w:hAnsi="Arial"/>
                  <w:sz w:val="15"/>
                  <w:szCs w:val="15"/>
                  <w:color w:val="0000EE"/>
                </w:rPr>
                <w:t>Item 1.</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3">
              <w:r>
                <w:rPr>
                  <w:rFonts w:ascii="Arial" w:cs="Arial" w:eastAsia="Arial" w:hAnsi="Arial"/>
                  <w:sz w:val="15"/>
                  <w:szCs w:val="15"/>
                  <w:color w:val="0000EE"/>
                </w:rPr>
                <w:t>Financial Statements</w:t>
              </w:r>
            </w:hyperlink>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r>
      <w:tr>
        <w:trPr>
          <w:trHeight w:val="28"/>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shd w:val="clear" w:color="auto" w:fill="0000EE"/>
          </w:tcPr>
          <w:p>
            <w:pPr>
              <w:spacing w:after="0"/>
              <w:rPr>
                <w:sz w:val="2"/>
                <w:szCs w:val="2"/>
                <w:color w:val="auto"/>
              </w:rPr>
            </w:pPr>
          </w:p>
        </w:tc>
        <w:tc>
          <w:tcPr>
            <w:tcW w:w="220" w:type="dxa"/>
            <w:vAlign w:val="bottom"/>
            <w:shd w:val="clear" w:color="auto" w:fill="0000EE"/>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40" w:type="dxa"/>
            <w:vAlign w:val="bottom"/>
            <w:shd w:val="clear" w:color="auto" w:fill="0000EE"/>
          </w:tcPr>
          <w:p>
            <w:pPr>
              <w:spacing w:after="0"/>
              <w:rPr>
                <w:sz w:val="2"/>
                <w:szCs w:val="2"/>
                <w:color w:val="auto"/>
              </w:rPr>
            </w:pPr>
          </w:p>
        </w:tc>
        <w:tc>
          <w:tcPr>
            <w:tcW w:w="420" w:type="dxa"/>
            <w:vAlign w:val="bottom"/>
            <w:shd w:val="clear" w:color="auto" w:fill="0000EE"/>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83"/>
        </w:trPr>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2880" w:type="dxa"/>
            <w:vAlign w:val="bottom"/>
            <w:tcBorders>
              <w:bottom w:val="single" w:sz="8" w:color="0000EE"/>
            </w:tcBorders>
            <w:gridSpan w:val="8"/>
            <w:shd w:val="clear" w:color="auto" w:fill="CCEEFF"/>
          </w:tcPr>
          <w:p>
            <w:pPr>
              <w:spacing w:after="0" w:line="154" w:lineRule="exact"/>
              <w:rPr>
                <w:rFonts w:ascii="Arial" w:cs="Arial" w:eastAsia="Arial" w:hAnsi="Arial"/>
                <w:sz w:val="15"/>
                <w:szCs w:val="15"/>
                <w:color w:val="0000EE"/>
              </w:rPr>
            </w:pPr>
            <w:hyperlink w:anchor="page3">
              <w:r>
                <w:rPr>
                  <w:rFonts w:ascii="Arial" w:cs="Arial" w:eastAsia="Arial" w:hAnsi="Arial"/>
                  <w:sz w:val="15"/>
                  <w:szCs w:val="15"/>
                  <w:color w:val="0000EE"/>
                </w:rPr>
                <w:t>Condensed Consolidated Balance Sheets</w:t>
              </w:r>
            </w:hyperlink>
          </w:p>
        </w:tc>
        <w:tc>
          <w:tcPr>
            <w:tcW w:w="3200" w:type="dxa"/>
            <w:vAlign w:val="bottom"/>
            <w:tcBorders>
              <w:bottom w:val="single" w:sz="8" w:color="CCEEFF"/>
            </w:tcBorders>
            <w:gridSpan w:val="6"/>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40"/>
              <w:spacing w:after="0" w:line="154" w:lineRule="exact"/>
              <w:rPr>
                <w:sz w:val="20"/>
                <w:szCs w:val="20"/>
                <w:color w:val="auto"/>
              </w:rPr>
            </w:pPr>
            <w:r>
              <w:rPr>
                <w:rFonts w:ascii="Arial" w:cs="Arial" w:eastAsia="Arial" w:hAnsi="Arial"/>
                <w:sz w:val="15"/>
                <w:szCs w:val="15"/>
                <w:color w:val="auto"/>
              </w:rPr>
              <w:t>1</w:t>
            </w: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80" w:type="dxa"/>
            <w:vAlign w:val="bottom"/>
            <w:gridSpan w:val="14"/>
          </w:tcPr>
          <w:p>
            <w:pPr>
              <w:spacing w:after="0" w:line="146" w:lineRule="exact"/>
              <w:rPr>
                <w:rFonts w:ascii="Arial" w:cs="Arial" w:eastAsia="Arial" w:hAnsi="Arial"/>
                <w:sz w:val="15"/>
                <w:szCs w:val="15"/>
                <w:color w:val="0000EE"/>
              </w:rPr>
            </w:pPr>
            <w:hyperlink w:anchor="page4">
              <w:r>
                <w:rPr>
                  <w:rFonts w:ascii="Arial" w:cs="Arial" w:eastAsia="Arial" w:hAnsi="Arial"/>
                  <w:sz w:val="15"/>
                  <w:szCs w:val="15"/>
                  <w:color w:val="0000EE"/>
                </w:rPr>
                <w:t>Condensed Consolidated Statements of Operations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5">
              <w:r>
                <w:rPr>
                  <w:rFonts w:ascii="Arial" w:cs="Arial" w:eastAsia="Arial" w:hAnsi="Arial"/>
                  <w:sz w:val="15"/>
                  <w:szCs w:val="15"/>
                  <w:color w:val="0000EE"/>
                </w:rPr>
                <w:t>Condensed Consolidated Statements of Comprehensive Income</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3</w:t>
            </w:r>
          </w:p>
        </w:tc>
      </w:tr>
      <w:tr>
        <w:trPr>
          <w:trHeight w:val="146"/>
        </w:trPr>
        <w:tc>
          <w:tcPr>
            <w:tcW w:w="10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30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360" w:type="dxa"/>
            <w:vAlign w:val="bottom"/>
            <w:tcBorders>
              <w:top w:val="single" w:sz="8" w:color="CCEEFF"/>
            </w:tcBorders>
          </w:tcPr>
          <w:p>
            <w:pPr>
              <w:spacing w:after="0"/>
              <w:rPr>
                <w:sz w:val="12"/>
                <w:szCs w:val="12"/>
                <w:color w:val="auto"/>
              </w:rPr>
            </w:pPr>
          </w:p>
        </w:tc>
        <w:tc>
          <w:tcPr>
            <w:tcW w:w="160" w:type="dxa"/>
            <w:vAlign w:val="bottom"/>
            <w:tcBorders>
              <w:top w:val="single" w:sz="8" w:color="CCEEFF"/>
            </w:tcBorders>
          </w:tcPr>
          <w:p>
            <w:pPr>
              <w:spacing w:after="0"/>
              <w:rPr>
                <w:sz w:val="12"/>
                <w:szCs w:val="12"/>
                <w:color w:val="auto"/>
              </w:rPr>
            </w:pPr>
          </w:p>
        </w:tc>
        <w:tc>
          <w:tcPr>
            <w:tcW w:w="180" w:type="dxa"/>
            <w:vAlign w:val="bottom"/>
            <w:tcBorders>
              <w:top w:val="single" w:sz="8" w:color="CCEEFF"/>
            </w:tcBorders>
          </w:tcPr>
          <w:p>
            <w:pPr>
              <w:spacing w:after="0"/>
              <w:rPr>
                <w:sz w:val="12"/>
                <w:szCs w:val="12"/>
                <w:color w:val="auto"/>
              </w:rPr>
            </w:pPr>
          </w:p>
        </w:tc>
        <w:tc>
          <w:tcPr>
            <w:tcW w:w="240" w:type="dxa"/>
            <w:vAlign w:val="bottom"/>
            <w:tcBorders>
              <w:top w:val="single" w:sz="8" w:color="CCEEFF"/>
            </w:tcBorders>
          </w:tcPr>
          <w:p>
            <w:pPr>
              <w:spacing w:after="0"/>
              <w:rPr>
                <w:sz w:val="12"/>
                <w:szCs w:val="12"/>
                <w:color w:val="auto"/>
              </w:rPr>
            </w:pPr>
          </w:p>
        </w:tc>
        <w:tc>
          <w:tcPr>
            <w:tcW w:w="220" w:type="dxa"/>
            <w:vAlign w:val="bottom"/>
            <w:tcBorders>
              <w:top w:val="single" w:sz="8" w:color="CCEEFF"/>
            </w:tcBorders>
          </w:tcPr>
          <w:p>
            <w:pPr>
              <w:spacing w:after="0"/>
              <w:rPr>
                <w:sz w:val="12"/>
                <w:szCs w:val="12"/>
                <w:color w:val="auto"/>
              </w:rPr>
            </w:pPr>
          </w:p>
        </w:tc>
        <w:tc>
          <w:tcPr>
            <w:tcW w:w="40" w:type="dxa"/>
            <w:vAlign w:val="bottom"/>
            <w:tcBorders>
              <w:top w:val="single" w:sz="8" w:color="CCEEFF"/>
            </w:tcBorders>
          </w:tcPr>
          <w:p>
            <w:pPr>
              <w:spacing w:after="0"/>
              <w:rPr>
                <w:sz w:val="12"/>
                <w:szCs w:val="12"/>
                <w:color w:val="auto"/>
              </w:rPr>
            </w:pPr>
          </w:p>
        </w:tc>
        <w:tc>
          <w:tcPr>
            <w:tcW w:w="60" w:type="dxa"/>
            <w:vAlign w:val="bottom"/>
            <w:tcBorders>
              <w:top w:val="single" w:sz="8" w:color="CCEEFF"/>
            </w:tcBorders>
          </w:tcPr>
          <w:p>
            <w:pPr>
              <w:spacing w:after="0"/>
              <w:rPr>
                <w:sz w:val="12"/>
                <w:szCs w:val="12"/>
                <w:color w:val="auto"/>
              </w:rPr>
            </w:pPr>
          </w:p>
        </w:tc>
        <w:tc>
          <w:tcPr>
            <w:tcW w:w="660" w:type="dxa"/>
            <w:vAlign w:val="bottom"/>
            <w:tcBorders>
              <w:top w:val="single" w:sz="8" w:color="CCEEFF"/>
            </w:tcBorders>
          </w:tcPr>
          <w:p>
            <w:pPr>
              <w:spacing w:after="0"/>
              <w:rPr>
                <w:sz w:val="12"/>
                <w:szCs w:val="12"/>
                <w:color w:val="auto"/>
              </w:rPr>
            </w:pPr>
          </w:p>
        </w:tc>
        <w:tc>
          <w:tcPr>
            <w:tcW w:w="4380" w:type="dxa"/>
            <w:vAlign w:val="bottom"/>
            <w:tcBorders>
              <w:top w:val="single" w:sz="8" w:color="0000EE"/>
            </w:tcBorders>
            <w:gridSpan w:val="13"/>
          </w:tcPr>
          <w:p>
            <w:pPr>
              <w:spacing w:after="0" w:line="146" w:lineRule="exact"/>
              <w:rPr>
                <w:rFonts w:ascii="Arial" w:cs="Arial" w:eastAsia="Arial" w:hAnsi="Arial"/>
                <w:sz w:val="15"/>
                <w:szCs w:val="15"/>
                <w:color w:val="0000EE"/>
              </w:rPr>
            </w:pPr>
            <w:hyperlink w:anchor="page6">
              <w:r>
                <w:rPr>
                  <w:rFonts w:ascii="Arial" w:cs="Arial" w:eastAsia="Arial" w:hAnsi="Arial"/>
                  <w:sz w:val="15"/>
                  <w:szCs w:val="15"/>
                  <w:color w:val="0000EE"/>
                </w:rPr>
                <w:t>Condensed Consolidated Statements of Cash Flows</w:t>
              </w:r>
            </w:hyperlink>
          </w:p>
        </w:tc>
        <w:tc>
          <w:tcPr>
            <w:tcW w:w="1700" w:type="dxa"/>
            <w:vAlign w:val="bottom"/>
            <w:tcBorders>
              <w:top w:val="single" w:sz="8" w:color="CCEEFF"/>
            </w:tcBorders>
          </w:tcPr>
          <w:p>
            <w:pPr>
              <w:spacing w:after="0"/>
              <w:rPr>
                <w:sz w:val="12"/>
                <w:szCs w:val="12"/>
                <w:color w:val="auto"/>
              </w:rPr>
            </w:pPr>
          </w:p>
        </w:tc>
        <w:tc>
          <w:tcPr>
            <w:tcW w:w="1060" w:type="dxa"/>
            <w:vAlign w:val="bottom"/>
            <w:tcBorders>
              <w:top w:val="single" w:sz="8" w:color="CCEEFF"/>
            </w:tcBorders>
            <w:gridSpan w:val="2"/>
          </w:tcPr>
          <w:p>
            <w:pPr>
              <w:jc w:val="right"/>
              <w:ind w:right="40"/>
              <w:spacing w:after="0" w:line="146" w:lineRule="exact"/>
              <w:rPr>
                <w:sz w:val="20"/>
                <w:szCs w:val="20"/>
                <w:color w:val="auto"/>
              </w:rPr>
            </w:pPr>
            <w:r>
              <w:rPr>
                <w:rFonts w:ascii="Arial" w:cs="Arial" w:eastAsia="Arial" w:hAnsi="Arial"/>
                <w:sz w:val="15"/>
                <w:szCs w:val="15"/>
                <w:color w:val="auto"/>
              </w:rPr>
              <w:t>4</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0000EE"/>
            </w:tcBorders>
            <w:gridSpan w:val="11"/>
            <w:shd w:val="clear" w:color="auto" w:fill="CCEEFF"/>
          </w:tcPr>
          <w:p>
            <w:pPr>
              <w:spacing w:after="0" w:line="146" w:lineRule="exact"/>
              <w:rPr>
                <w:rFonts w:ascii="Arial" w:cs="Arial" w:eastAsia="Arial" w:hAnsi="Arial"/>
                <w:sz w:val="15"/>
                <w:szCs w:val="15"/>
                <w:color w:val="0000EE"/>
              </w:rPr>
            </w:pPr>
            <w:hyperlink w:anchor="page7">
              <w:r>
                <w:rPr>
                  <w:rFonts w:ascii="Arial" w:cs="Arial" w:eastAsia="Arial" w:hAnsi="Arial"/>
                  <w:sz w:val="15"/>
                  <w:szCs w:val="15"/>
                  <w:color w:val="0000EE"/>
                </w:rPr>
                <w:t>Notes to Condensed Consolidated Financial Statements</w:t>
              </w:r>
            </w:hyperlink>
          </w:p>
        </w:tc>
        <w:tc>
          <w:tcPr>
            <w:tcW w:w="2220" w:type="dxa"/>
            <w:vAlign w:val="bottom"/>
            <w:tcBorders>
              <w:bottom w:val="single" w:sz="8" w:color="CCEEFF"/>
            </w:tcBorders>
            <w:gridSpan w:val="3"/>
            <w:shd w:val="clear" w:color="auto" w:fill="CCEEFF"/>
          </w:tcPr>
          <w:p>
            <w:pPr>
              <w:spacing w:after="0"/>
              <w:rPr>
                <w:sz w:val="15"/>
                <w:szCs w:val="15"/>
                <w:color w:val="auto"/>
              </w:rPr>
            </w:pPr>
          </w:p>
        </w:tc>
        <w:tc>
          <w:tcPr>
            <w:tcW w:w="1060" w:type="dxa"/>
            <w:vAlign w:val="bottom"/>
            <w:tcBorders>
              <w:bottom w:val="single" w:sz="8" w:color="CCEEFF"/>
            </w:tcBorders>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5</w:t>
            </w: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19">
              <w:r>
                <w:rPr>
                  <w:rFonts w:ascii="Arial" w:cs="Arial" w:eastAsia="Arial" w:hAnsi="Arial"/>
                  <w:sz w:val="15"/>
                  <w:szCs w:val="15"/>
                  <w:color w:val="0000EE"/>
                </w:rPr>
                <w:t>Item 2.</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19">
              <w:r>
                <w:rPr>
                  <w:rFonts w:ascii="Arial" w:cs="Arial" w:eastAsia="Arial" w:hAnsi="Arial"/>
                  <w:sz w:val="15"/>
                  <w:szCs w:val="15"/>
                  <w:color w:val="0000EE"/>
                </w:rPr>
                <w:t>Management’s Discussion and Analysis of Financial Condition and Results of Operations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17</w:t>
            </w:r>
          </w:p>
        </w:tc>
      </w:tr>
      <w:tr>
        <w:trPr>
          <w:trHeight w:val="235"/>
        </w:trPr>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top w:val="single" w:sz="8" w:color="0000EE"/>
            </w:tcBorders>
          </w:tcPr>
          <w:p>
            <w:pPr>
              <w:spacing w:after="0"/>
              <w:rPr>
                <w:sz w:val="20"/>
                <w:szCs w:val="20"/>
                <w:color w:val="auto"/>
              </w:rPr>
            </w:pPr>
          </w:p>
        </w:tc>
        <w:tc>
          <w:tcPr>
            <w:tcW w:w="220" w:type="dxa"/>
            <w:vAlign w:val="bottom"/>
            <w:tcBorders>
              <w:top w:val="single" w:sz="8" w:color="0000EE"/>
            </w:tcBorders>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6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160" w:type="dxa"/>
            <w:vAlign w:val="bottom"/>
            <w:tcBorders>
              <w:top w:val="single" w:sz="8" w:color="0000EE"/>
            </w:tcBorders>
          </w:tcPr>
          <w:p>
            <w:pPr>
              <w:spacing w:after="0"/>
              <w:rPr>
                <w:sz w:val="20"/>
                <w:szCs w:val="20"/>
                <w:color w:val="auto"/>
              </w:rPr>
            </w:pPr>
          </w:p>
        </w:tc>
        <w:tc>
          <w:tcPr>
            <w:tcW w:w="140" w:type="dxa"/>
            <w:vAlign w:val="bottom"/>
            <w:tcBorders>
              <w:top w:val="single" w:sz="8" w:color="0000EE"/>
            </w:tcBorders>
          </w:tcPr>
          <w:p>
            <w:pPr>
              <w:spacing w:after="0"/>
              <w:rPr>
                <w:sz w:val="20"/>
                <w:szCs w:val="20"/>
                <w:color w:val="auto"/>
              </w:rPr>
            </w:pPr>
          </w:p>
        </w:tc>
        <w:tc>
          <w:tcPr>
            <w:tcW w:w="420" w:type="dxa"/>
            <w:vAlign w:val="bottom"/>
            <w:tcBorders>
              <w:top w:val="single" w:sz="8" w:color="0000EE"/>
            </w:tcBorders>
          </w:tcPr>
          <w:p>
            <w:pPr>
              <w:spacing w:after="0"/>
              <w:rPr>
                <w:sz w:val="20"/>
                <w:szCs w:val="20"/>
                <w:color w:val="auto"/>
              </w:rPr>
            </w:pPr>
          </w:p>
        </w:tc>
        <w:tc>
          <w:tcPr>
            <w:tcW w:w="12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1140" w:type="dxa"/>
            <w:vAlign w:val="bottom"/>
            <w:tcBorders>
              <w:top w:val="single" w:sz="8" w:color="0000EE"/>
            </w:tcBorders>
          </w:tcPr>
          <w:p>
            <w:pPr>
              <w:spacing w:after="0"/>
              <w:rPr>
                <w:sz w:val="20"/>
                <w:szCs w:val="20"/>
                <w:color w:val="auto"/>
              </w:rPr>
            </w:pPr>
          </w:p>
        </w:tc>
        <w:tc>
          <w:tcPr>
            <w:tcW w:w="680" w:type="dxa"/>
            <w:vAlign w:val="bottom"/>
            <w:tcBorders>
              <w:top w:val="single" w:sz="8" w:color="0000EE"/>
            </w:tcBorders>
          </w:tcPr>
          <w:p>
            <w:pPr>
              <w:spacing w:after="0"/>
              <w:rPr>
                <w:sz w:val="20"/>
                <w:szCs w:val="20"/>
                <w:color w:val="auto"/>
              </w:rPr>
            </w:pPr>
          </w:p>
        </w:tc>
        <w:tc>
          <w:tcPr>
            <w:tcW w:w="40" w:type="dxa"/>
            <w:vAlign w:val="bottom"/>
            <w:tcBorders>
              <w:top w:val="single" w:sz="8" w:color="0000EE"/>
            </w:tcBorders>
          </w:tcPr>
          <w:p>
            <w:pPr>
              <w:spacing w:after="0"/>
              <w:rPr>
                <w:sz w:val="20"/>
                <w:szCs w:val="20"/>
                <w:color w:val="auto"/>
              </w:rPr>
            </w:pPr>
          </w:p>
        </w:tc>
        <w:tc>
          <w:tcPr>
            <w:tcW w:w="260" w:type="dxa"/>
            <w:vAlign w:val="bottom"/>
            <w:tcBorders>
              <w:top w:val="single" w:sz="8" w:color="0000EE"/>
            </w:tcBorders>
          </w:tcPr>
          <w:p>
            <w:pPr>
              <w:spacing w:after="0"/>
              <w:rPr>
                <w:sz w:val="20"/>
                <w:szCs w:val="20"/>
                <w:color w:val="auto"/>
              </w:rPr>
            </w:pPr>
          </w:p>
        </w:tc>
        <w:tc>
          <w:tcPr>
            <w:tcW w:w="320" w:type="dxa"/>
            <w:vAlign w:val="bottom"/>
            <w:tcBorders>
              <w:top w:val="single" w:sz="8" w:color="0000EE"/>
            </w:tcBorders>
          </w:tcPr>
          <w:p>
            <w:pPr>
              <w:spacing w:after="0"/>
              <w:rPr>
                <w:sz w:val="20"/>
                <w:szCs w:val="20"/>
                <w:color w:val="auto"/>
              </w:rPr>
            </w:pPr>
          </w:p>
        </w:tc>
        <w:tc>
          <w:tcPr>
            <w:tcW w:w="200" w:type="dxa"/>
            <w:vAlign w:val="bottom"/>
            <w:tcBorders>
              <w:top w:val="single" w:sz="8" w:color="0000EE"/>
            </w:tcBorders>
          </w:tcPr>
          <w:p>
            <w:pPr>
              <w:spacing w:after="0"/>
              <w:rPr>
                <w:sz w:val="20"/>
                <w:szCs w:val="20"/>
                <w:color w:val="auto"/>
              </w:rPr>
            </w:pPr>
          </w:p>
        </w:tc>
        <w:tc>
          <w:tcPr>
            <w:tcW w:w="1700" w:type="dxa"/>
            <w:vAlign w:val="bottom"/>
            <w:tcBorders>
              <w:top w:val="single" w:sz="8" w:color="0000EE"/>
            </w:tcBorders>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Item 4.</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Controls and Procedures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26</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42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320" w:type="dxa"/>
            <w:vAlign w:val="bottom"/>
            <w:tcBorders>
              <w:top w:val="single" w:sz="8" w:color="0000EE"/>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46"/>
        </w:trPr>
        <w:tc>
          <w:tcPr>
            <w:tcW w:w="100" w:type="dxa"/>
            <w:vAlign w:val="bottom"/>
            <w:shd w:val="clear" w:color="auto" w:fill="CCEEFF"/>
          </w:tcPr>
          <w:p>
            <w:pPr>
              <w:spacing w:after="0"/>
              <w:rPr>
                <w:sz w:val="12"/>
                <w:szCs w:val="12"/>
                <w:color w:val="auto"/>
              </w:rPr>
            </w:pPr>
          </w:p>
        </w:tc>
        <w:tc>
          <w:tcPr>
            <w:tcW w:w="1040" w:type="dxa"/>
            <w:vAlign w:val="bottom"/>
            <w:gridSpan w:val="5"/>
            <w:shd w:val="clear" w:color="auto" w:fill="CCEEFF"/>
          </w:tcPr>
          <w:p>
            <w:pPr>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PART II</w:t>
              </w:r>
            </w:hyperlink>
          </w:p>
        </w:tc>
        <w:tc>
          <w:tcPr>
            <w:tcW w:w="7480" w:type="dxa"/>
            <w:vAlign w:val="bottom"/>
            <w:gridSpan w:val="20"/>
            <w:shd w:val="clear" w:color="auto" w:fill="CCEEFF"/>
          </w:tcPr>
          <w:p>
            <w:pPr>
              <w:ind w:left="180"/>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OTHER INFORMATION</w:t>
              </w:r>
            </w:hyperlink>
          </w:p>
        </w:tc>
        <w:tc>
          <w:tcPr>
            <w:tcW w:w="7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0000EE"/>
            </w:tcBorders>
            <w:shd w:val="clear" w:color="auto" w:fill="CCEEFF"/>
          </w:tcPr>
          <w:p>
            <w:pPr>
              <w:spacing w:after="0"/>
              <w:rPr>
                <w:sz w:val="2"/>
                <w:szCs w:val="2"/>
                <w:color w:val="auto"/>
              </w:rPr>
            </w:pPr>
          </w:p>
        </w:tc>
        <w:tc>
          <w:tcPr>
            <w:tcW w:w="30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0000EE"/>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40" w:type="dxa"/>
            <w:vAlign w:val="bottom"/>
            <w:tcBorders>
              <w:top w:val="single" w:sz="8" w:color="CCEEFF"/>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Item 1.</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Legal Proceedings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26</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68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46"/>
        </w:trPr>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Item 1A.</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Risk Factors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26</w:t>
            </w:r>
          </w:p>
        </w:tc>
      </w:tr>
      <w:tr>
        <w:trPr>
          <w:trHeight w:val="29"/>
        </w:trPr>
        <w:tc>
          <w:tcPr>
            <w:tcW w:w="10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30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360" w:type="dxa"/>
            <w:vAlign w:val="bottom"/>
            <w:tcBorders>
              <w:top w:val="single" w:sz="8" w:color="CCEEFF"/>
            </w:tcBorders>
            <w:shd w:val="clear" w:color="auto" w:fill="CCEEFF"/>
          </w:tcPr>
          <w:p>
            <w:pPr>
              <w:spacing w:after="0"/>
              <w:rPr>
                <w:sz w:val="2"/>
                <w:szCs w:val="2"/>
                <w:color w:val="auto"/>
              </w:rPr>
            </w:pPr>
          </w:p>
        </w:tc>
        <w:tc>
          <w:tcPr>
            <w:tcW w:w="160" w:type="dxa"/>
            <w:vAlign w:val="bottom"/>
            <w:tcBorders>
              <w:top w:val="single" w:sz="8" w:color="CCEEFF"/>
            </w:tcBorders>
            <w:shd w:val="clear" w:color="auto" w:fill="CCEEFF"/>
          </w:tcPr>
          <w:p>
            <w:pPr>
              <w:spacing w:after="0"/>
              <w:rPr>
                <w:sz w:val="2"/>
                <w:szCs w:val="2"/>
                <w:color w:val="auto"/>
              </w:rPr>
            </w:pPr>
          </w:p>
        </w:tc>
        <w:tc>
          <w:tcPr>
            <w:tcW w:w="180" w:type="dxa"/>
            <w:vAlign w:val="bottom"/>
            <w:tcBorders>
              <w:top w:val="single" w:sz="8" w:color="CCEEFF"/>
            </w:tcBorders>
            <w:shd w:val="clear" w:color="auto" w:fill="CCEEFF"/>
          </w:tcPr>
          <w:p>
            <w:pPr>
              <w:spacing w:after="0"/>
              <w:rPr>
                <w:sz w:val="2"/>
                <w:szCs w:val="2"/>
                <w:color w:val="auto"/>
              </w:rPr>
            </w:pPr>
          </w:p>
        </w:tc>
        <w:tc>
          <w:tcPr>
            <w:tcW w:w="240" w:type="dxa"/>
            <w:vAlign w:val="bottom"/>
            <w:tcBorders>
              <w:top w:val="single" w:sz="8" w:color="0000EE"/>
            </w:tcBorders>
            <w:shd w:val="clear" w:color="auto" w:fill="CCEEFF"/>
          </w:tcPr>
          <w:p>
            <w:pPr>
              <w:spacing w:after="0"/>
              <w:rPr>
                <w:sz w:val="2"/>
                <w:szCs w:val="2"/>
                <w:color w:val="auto"/>
              </w:rPr>
            </w:pPr>
          </w:p>
        </w:tc>
        <w:tc>
          <w:tcPr>
            <w:tcW w:w="220" w:type="dxa"/>
            <w:vAlign w:val="bottom"/>
            <w:tcBorders>
              <w:top w:val="single" w:sz="8" w:color="0000EE"/>
            </w:tcBorders>
            <w:shd w:val="clear" w:color="auto" w:fill="CCEEFF"/>
          </w:tcPr>
          <w:p>
            <w:pPr>
              <w:spacing w:after="0"/>
              <w:rPr>
                <w:sz w:val="2"/>
                <w:szCs w:val="2"/>
                <w:color w:val="auto"/>
              </w:rPr>
            </w:pPr>
          </w:p>
        </w:tc>
        <w:tc>
          <w:tcPr>
            <w:tcW w:w="40" w:type="dxa"/>
            <w:vAlign w:val="bottom"/>
            <w:tcBorders>
              <w:top w:val="single" w:sz="8" w:color="0000EE"/>
            </w:tcBorders>
            <w:shd w:val="clear" w:color="auto" w:fill="CCEEFF"/>
          </w:tcPr>
          <w:p>
            <w:pPr>
              <w:spacing w:after="0"/>
              <w:rPr>
                <w:sz w:val="2"/>
                <w:szCs w:val="2"/>
                <w:color w:val="auto"/>
              </w:rPr>
            </w:pPr>
          </w:p>
        </w:tc>
        <w:tc>
          <w:tcPr>
            <w:tcW w:w="60" w:type="dxa"/>
            <w:vAlign w:val="bottom"/>
            <w:tcBorders>
              <w:top w:val="single" w:sz="8" w:color="0000EE"/>
            </w:tcBorders>
            <w:shd w:val="clear" w:color="auto" w:fill="CCEEFF"/>
          </w:tcPr>
          <w:p>
            <w:pPr>
              <w:spacing w:after="0"/>
              <w:rPr>
                <w:sz w:val="2"/>
                <w:szCs w:val="2"/>
                <w:color w:val="auto"/>
              </w:rPr>
            </w:pPr>
          </w:p>
        </w:tc>
        <w:tc>
          <w:tcPr>
            <w:tcW w:w="66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0000EE"/>
            </w:tcBorders>
            <w:shd w:val="clear" w:color="auto" w:fill="CCEEFF"/>
          </w:tcPr>
          <w:p>
            <w:pPr>
              <w:spacing w:after="0"/>
              <w:rPr>
                <w:sz w:val="2"/>
                <w:szCs w:val="2"/>
                <w:color w:val="auto"/>
              </w:rPr>
            </w:pPr>
          </w:p>
        </w:tc>
        <w:tc>
          <w:tcPr>
            <w:tcW w:w="120" w:type="dxa"/>
            <w:vAlign w:val="bottom"/>
            <w:tcBorders>
              <w:top w:val="single" w:sz="8" w:color="0000EE"/>
            </w:tcBorders>
            <w:shd w:val="clear" w:color="auto" w:fill="CCEEFF"/>
          </w:tcPr>
          <w:p>
            <w:pPr>
              <w:spacing w:after="0"/>
              <w:rPr>
                <w:sz w:val="2"/>
                <w:szCs w:val="2"/>
                <w:color w:val="auto"/>
              </w:rPr>
            </w:pPr>
          </w:p>
        </w:tc>
        <w:tc>
          <w:tcPr>
            <w:tcW w:w="160" w:type="dxa"/>
            <w:vAlign w:val="bottom"/>
            <w:tcBorders>
              <w:top w:val="single" w:sz="8" w:color="0000EE"/>
            </w:tcBorders>
            <w:shd w:val="clear" w:color="auto" w:fill="CCEEFF"/>
          </w:tcPr>
          <w:p>
            <w:pPr>
              <w:spacing w:after="0"/>
              <w:rPr>
                <w:sz w:val="2"/>
                <w:szCs w:val="2"/>
                <w:color w:val="auto"/>
              </w:rPr>
            </w:pPr>
          </w:p>
        </w:tc>
        <w:tc>
          <w:tcPr>
            <w:tcW w:w="140" w:type="dxa"/>
            <w:vAlign w:val="bottom"/>
            <w:tcBorders>
              <w:top w:val="single" w:sz="8" w:color="0000EE"/>
            </w:tcBorders>
            <w:shd w:val="clear" w:color="auto" w:fill="CCEEFF"/>
          </w:tcPr>
          <w:p>
            <w:pPr>
              <w:spacing w:after="0"/>
              <w:rPr>
                <w:sz w:val="2"/>
                <w:szCs w:val="2"/>
                <w:color w:val="auto"/>
              </w:rPr>
            </w:pPr>
          </w:p>
        </w:tc>
        <w:tc>
          <w:tcPr>
            <w:tcW w:w="42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1140" w:type="dxa"/>
            <w:vAlign w:val="bottom"/>
            <w:tcBorders>
              <w:top w:val="single" w:sz="8" w:color="CCEEFF"/>
            </w:tcBorders>
            <w:shd w:val="clear" w:color="auto" w:fill="CCEEFF"/>
          </w:tcPr>
          <w:p>
            <w:pPr>
              <w:spacing w:after="0"/>
              <w:rPr>
                <w:sz w:val="2"/>
                <w:szCs w:val="2"/>
                <w:color w:val="auto"/>
              </w:rPr>
            </w:pPr>
          </w:p>
        </w:tc>
        <w:tc>
          <w:tcPr>
            <w:tcW w:w="680" w:type="dxa"/>
            <w:vAlign w:val="bottom"/>
            <w:tcBorders>
              <w:top w:val="single" w:sz="8" w:color="CCEEFF"/>
            </w:tcBorders>
            <w:shd w:val="clear" w:color="auto" w:fill="CCEEFF"/>
          </w:tcPr>
          <w:p>
            <w:pPr>
              <w:spacing w:after="0"/>
              <w:rPr>
                <w:sz w:val="2"/>
                <w:szCs w:val="2"/>
                <w:color w:val="auto"/>
              </w:rPr>
            </w:pPr>
          </w:p>
        </w:tc>
        <w:tc>
          <w:tcPr>
            <w:tcW w:w="40" w:type="dxa"/>
            <w:vAlign w:val="bottom"/>
            <w:tcBorders>
              <w:top w:val="single" w:sz="8" w:color="CCEEFF"/>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2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700" w:type="dxa"/>
            <w:vAlign w:val="bottom"/>
            <w:tcBorders>
              <w:top w:val="single" w:sz="8" w:color="CCEEFF"/>
            </w:tcBorders>
            <w:shd w:val="clear" w:color="auto" w:fill="CCEEFF"/>
          </w:tcPr>
          <w:p>
            <w:pPr>
              <w:spacing w:after="0"/>
              <w:rPr>
                <w:sz w:val="2"/>
                <w:szCs w:val="2"/>
                <w:color w:val="auto"/>
              </w:rPr>
            </w:pPr>
          </w:p>
        </w:tc>
        <w:tc>
          <w:tcPr>
            <w:tcW w:w="780" w:type="dxa"/>
            <w:vAlign w:val="bottom"/>
            <w:tcBorders>
              <w:top w:val="single" w:sz="8" w:color="CCEEFF"/>
            </w:tcBorders>
            <w:shd w:val="clear" w:color="auto" w:fill="CCEEFF"/>
          </w:tcPr>
          <w:p>
            <w:pPr>
              <w:spacing w:after="0"/>
              <w:rPr>
                <w:sz w:val="2"/>
                <w:szCs w:val="2"/>
                <w:color w:val="auto"/>
              </w:rPr>
            </w:pPr>
          </w:p>
        </w:tc>
        <w:tc>
          <w:tcPr>
            <w:tcW w:w="280" w:type="dxa"/>
            <w:vAlign w:val="bottom"/>
            <w:tcBorders>
              <w:top w:val="single" w:sz="8" w:color="CCEEFF"/>
            </w:tcBorders>
            <w:shd w:val="clear" w:color="auto" w:fill="CCEEFF"/>
          </w:tcPr>
          <w:p>
            <w:pPr>
              <w:spacing w:after="0"/>
              <w:rPr>
                <w:sz w:val="2"/>
                <w:szCs w:val="2"/>
                <w:color w:val="auto"/>
              </w:rPr>
            </w:pPr>
          </w:p>
        </w:tc>
      </w:tr>
      <w:tr>
        <w:trPr>
          <w:trHeight w:val="146"/>
        </w:trPr>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0" w:type="dxa"/>
            <w:vAlign w:val="bottom"/>
            <w:gridSpan w:val="6"/>
          </w:tcPr>
          <w:p>
            <w:pPr>
              <w:ind w:left="180"/>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Item 2.</w:t>
              </w:r>
            </w:hyperlink>
          </w:p>
        </w:tc>
        <w:tc>
          <w:tcPr>
            <w:tcW w:w="6080" w:type="dxa"/>
            <w:vAlign w:val="bottom"/>
            <w:gridSpan w:val="14"/>
          </w:tcPr>
          <w:p>
            <w:pPr>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Unregistered Sales of Equity Securities and Use of Proceeds</w:t>
              </w:r>
            </w:hyperlink>
          </w:p>
        </w:tc>
        <w:tc>
          <w:tcPr>
            <w:tcW w:w="1060" w:type="dxa"/>
            <w:vAlign w:val="bottom"/>
            <w:gridSpan w:val="2"/>
          </w:tcPr>
          <w:p>
            <w:pPr>
              <w:jc w:val="right"/>
              <w:ind w:right="40"/>
              <w:spacing w:after="0" w:line="146" w:lineRule="exact"/>
              <w:rPr>
                <w:sz w:val="20"/>
                <w:szCs w:val="20"/>
                <w:color w:val="auto"/>
              </w:rPr>
            </w:pPr>
            <w:r>
              <w:rPr>
                <w:rFonts w:ascii="Arial" w:cs="Arial" w:eastAsia="Arial" w:hAnsi="Arial"/>
                <w:sz w:val="15"/>
                <w:szCs w:val="15"/>
                <w:color w:val="auto"/>
              </w:rPr>
              <w:t>26</w:t>
            </w:r>
          </w:p>
        </w:tc>
      </w:tr>
      <w:tr>
        <w:trPr>
          <w:trHeight w:val="29"/>
        </w:trPr>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40" w:type="dxa"/>
            <w:vAlign w:val="bottom"/>
            <w:tcBorders>
              <w:top w:val="single" w:sz="8" w:color="0000EE"/>
            </w:tcBorders>
          </w:tcPr>
          <w:p>
            <w:pPr>
              <w:spacing w:after="0"/>
              <w:rPr>
                <w:sz w:val="2"/>
                <w:szCs w:val="2"/>
                <w:color w:val="auto"/>
              </w:rPr>
            </w:pPr>
          </w:p>
        </w:tc>
        <w:tc>
          <w:tcPr>
            <w:tcW w:w="22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6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160" w:type="dxa"/>
            <w:vAlign w:val="bottom"/>
            <w:tcBorders>
              <w:top w:val="single" w:sz="8" w:color="0000EE"/>
            </w:tcBorders>
          </w:tcPr>
          <w:p>
            <w:pPr>
              <w:spacing w:after="0"/>
              <w:rPr>
                <w:sz w:val="2"/>
                <w:szCs w:val="2"/>
                <w:color w:val="auto"/>
              </w:rPr>
            </w:pPr>
          </w:p>
        </w:tc>
        <w:tc>
          <w:tcPr>
            <w:tcW w:w="140" w:type="dxa"/>
            <w:vAlign w:val="bottom"/>
            <w:tcBorders>
              <w:top w:val="single" w:sz="8" w:color="0000EE"/>
            </w:tcBorders>
          </w:tcPr>
          <w:p>
            <w:pPr>
              <w:spacing w:after="0"/>
              <w:rPr>
                <w:sz w:val="2"/>
                <w:szCs w:val="2"/>
                <w:color w:val="auto"/>
              </w:rPr>
            </w:pPr>
          </w:p>
        </w:tc>
        <w:tc>
          <w:tcPr>
            <w:tcW w:w="420" w:type="dxa"/>
            <w:vAlign w:val="bottom"/>
            <w:tcBorders>
              <w:top w:val="single" w:sz="8" w:color="0000EE"/>
            </w:tcBorders>
          </w:tcPr>
          <w:p>
            <w:pPr>
              <w:spacing w:after="0"/>
              <w:rPr>
                <w:sz w:val="2"/>
                <w:szCs w:val="2"/>
                <w:color w:val="auto"/>
              </w:rPr>
            </w:pPr>
          </w:p>
        </w:tc>
        <w:tc>
          <w:tcPr>
            <w:tcW w:w="12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1140" w:type="dxa"/>
            <w:vAlign w:val="bottom"/>
            <w:tcBorders>
              <w:top w:val="single" w:sz="8" w:color="0000EE"/>
            </w:tcBorders>
          </w:tcPr>
          <w:p>
            <w:pPr>
              <w:spacing w:after="0"/>
              <w:rPr>
                <w:sz w:val="2"/>
                <w:szCs w:val="2"/>
                <w:color w:val="auto"/>
              </w:rPr>
            </w:pPr>
          </w:p>
        </w:tc>
        <w:tc>
          <w:tcPr>
            <w:tcW w:w="680" w:type="dxa"/>
            <w:vAlign w:val="bottom"/>
            <w:tcBorders>
              <w:top w:val="single" w:sz="8" w:color="0000EE"/>
            </w:tcBorders>
          </w:tcPr>
          <w:p>
            <w:pPr>
              <w:spacing w:after="0"/>
              <w:rPr>
                <w:sz w:val="2"/>
                <w:szCs w:val="2"/>
                <w:color w:val="auto"/>
              </w:rPr>
            </w:pPr>
          </w:p>
        </w:tc>
        <w:tc>
          <w:tcPr>
            <w:tcW w:w="40" w:type="dxa"/>
            <w:vAlign w:val="bottom"/>
            <w:tcBorders>
              <w:top w:val="single" w:sz="8" w:color="0000EE"/>
            </w:tcBorders>
          </w:tcPr>
          <w:p>
            <w:pPr>
              <w:spacing w:after="0"/>
              <w:rPr>
                <w:sz w:val="2"/>
                <w:szCs w:val="2"/>
                <w:color w:val="auto"/>
              </w:rPr>
            </w:pPr>
          </w:p>
        </w:tc>
        <w:tc>
          <w:tcPr>
            <w:tcW w:w="260" w:type="dxa"/>
            <w:vAlign w:val="bottom"/>
            <w:tcBorders>
              <w:top w:val="single" w:sz="8" w:color="0000EE"/>
            </w:tcBorders>
          </w:tcPr>
          <w:p>
            <w:pPr>
              <w:spacing w:after="0"/>
              <w:rPr>
                <w:sz w:val="2"/>
                <w:szCs w:val="2"/>
                <w:color w:val="auto"/>
              </w:rPr>
            </w:pPr>
          </w:p>
        </w:tc>
        <w:tc>
          <w:tcPr>
            <w:tcW w:w="320" w:type="dxa"/>
            <w:vAlign w:val="bottom"/>
            <w:tcBorders>
              <w:top w:val="single" w:sz="8" w:color="0000EE"/>
            </w:tcBorders>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r>
      <w:tr>
        <w:trPr>
          <w:trHeight w:val="175"/>
        </w:trPr>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0" w:type="dxa"/>
            <w:vAlign w:val="bottom"/>
            <w:gridSpan w:val="6"/>
            <w:shd w:val="clear" w:color="auto" w:fill="CCEEFF"/>
          </w:tcPr>
          <w:p>
            <w:pPr>
              <w:ind w:left="180"/>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Item 6.</w:t>
              </w:r>
            </w:hyperlink>
          </w:p>
        </w:tc>
        <w:tc>
          <w:tcPr>
            <w:tcW w:w="6080" w:type="dxa"/>
            <w:vAlign w:val="bottom"/>
            <w:gridSpan w:val="14"/>
            <w:shd w:val="clear" w:color="auto" w:fill="CCEEFF"/>
          </w:tcPr>
          <w:p>
            <w:pPr>
              <w:spacing w:after="0" w:line="146" w:lineRule="exact"/>
              <w:rPr>
                <w:rFonts w:ascii="Arial" w:cs="Arial" w:eastAsia="Arial" w:hAnsi="Arial"/>
                <w:sz w:val="15"/>
                <w:szCs w:val="15"/>
                <w:color w:val="0000EE"/>
              </w:rPr>
            </w:pPr>
            <w:hyperlink w:anchor="page28">
              <w:r>
                <w:rPr>
                  <w:rFonts w:ascii="Arial" w:cs="Arial" w:eastAsia="Arial" w:hAnsi="Arial"/>
                  <w:sz w:val="15"/>
                  <w:szCs w:val="15"/>
                  <w:color w:val="0000EE"/>
                </w:rPr>
                <w:t>Exhibits</w:t>
              </w:r>
            </w:hyperlink>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26</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30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36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80" w:type="dxa"/>
            <w:vAlign w:val="bottom"/>
            <w:tcBorders>
              <w:top w:val="single" w:sz="8" w:color="CCEEFF"/>
            </w:tcBorders>
          </w:tcPr>
          <w:p>
            <w:pPr>
              <w:spacing w:after="0"/>
              <w:rPr>
                <w:sz w:val="16"/>
                <w:szCs w:val="16"/>
                <w:color w:val="auto"/>
              </w:rPr>
            </w:pPr>
          </w:p>
        </w:tc>
        <w:tc>
          <w:tcPr>
            <w:tcW w:w="24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0000EE"/>
            </w:tcBorders>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75"/>
        </w:trPr>
        <w:tc>
          <w:tcPr>
            <w:tcW w:w="100" w:type="dxa"/>
            <w:vAlign w:val="bottom"/>
            <w:shd w:val="clear" w:color="auto" w:fill="CCEEFF"/>
          </w:tcPr>
          <w:p>
            <w:pPr>
              <w:spacing w:after="0"/>
              <w:rPr>
                <w:sz w:val="15"/>
                <w:szCs w:val="15"/>
                <w:color w:val="auto"/>
              </w:rPr>
            </w:pPr>
          </w:p>
        </w:tc>
        <w:tc>
          <w:tcPr>
            <w:tcW w:w="1040" w:type="dxa"/>
            <w:vAlign w:val="bottom"/>
            <w:gridSpan w:val="5"/>
            <w:shd w:val="clear" w:color="auto" w:fill="CCEEFF"/>
          </w:tcPr>
          <w:p>
            <w:pPr>
              <w:spacing w:after="0" w:line="146" w:lineRule="exact"/>
              <w:rPr>
                <w:rFonts w:ascii="Arial" w:cs="Arial" w:eastAsia="Arial" w:hAnsi="Arial"/>
                <w:sz w:val="15"/>
                <w:szCs w:val="15"/>
                <w:color w:val="0000EE"/>
              </w:rPr>
            </w:pPr>
            <w:hyperlink w:anchor="page29">
              <w:r>
                <w:rPr>
                  <w:rFonts w:ascii="Arial" w:cs="Arial" w:eastAsia="Arial" w:hAnsi="Arial"/>
                  <w:sz w:val="15"/>
                  <w:szCs w:val="15"/>
                  <w:color w:val="0000EE"/>
                </w:rPr>
                <w:t>SIGNATURE</w:t>
              </w:r>
            </w:hyperlink>
          </w:p>
        </w:tc>
        <w:tc>
          <w:tcPr>
            <w:tcW w:w="1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27</w:t>
            </w:r>
          </w:p>
        </w:tc>
      </w:tr>
      <w:tr>
        <w:trPr>
          <w:trHeight w:val="195"/>
        </w:trPr>
        <w:tc>
          <w:tcPr>
            <w:tcW w:w="100" w:type="dxa"/>
            <w:vAlign w:val="bottom"/>
            <w:tcBorders>
              <w:top w:val="single" w:sz="8" w:color="CCEEFF"/>
            </w:tcBorders>
          </w:tcPr>
          <w:p>
            <w:pPr>
              <w:spacing w:after="0"/>
              <w:rPr>
                <w:sz w:val="16"/>
                <w:szCs w:val="16"/>
                <w:color w:val="auto"/>
              </w:rPr>
            </w:pPr>
          </w:p>
        </w:tc>
        <w:tc>
          <w:tcPr>
            <w:tcW w:w="1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360" w:type="dxa"/>
            <w:vAlign w:val="bottom"/>
            <w:tcBorders>
              <w:top w:val="single" w:sz="8" w:color="0000EE"/>
            </w:tcBorders>
          </w:tcPr>
          <w:p>
            <w:pPr>
              <w:spacing w:after="0"/>
              <w:rPr>
                <w:sz w:val="16"/>
                <w:szCs w:val="16"/>
                <w:color w:val="auto"/>
              </w:rPr>
            </w:pPr>
          </w:p>
        </w:tc>
        <w:tc>
          <w:tcPr>
            <w:tcW w:w="340" w:type="dxa"/>
            <w:vAlign w:val="bottom"/>
            <w:tcBorders>
              <w:top w:val="single" w:sz="8" w:color="CCEEFF"/>
            </w:tcBorders>
            <w:gridSpan w:val="2"/>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60" w:type="dxa"/>
            <w:vAlign w:val="bottom"/>
            <w:tcBorders>
              <w:top w:val="single" w:sz="8" w:color="CCEEFF"/>
            </w:tcBorders>
          </w:tcPr>
          <w:p>
            <w:pPr>
              <w:spacing w:after="0"/>
              <w:rPr>
                <w:sz w:val="16"/>
                <w:szCs w:val="16"/>
                <w:color w:val="auto"/>
              </w:rPr>
            </w:pPr>
          </w:p>
        </w:tc>
        <w:tc>
          <w:tcPr>
            <w:tcW w:w="660" w:type="dxa"/>
            <w:vAlign w:val="bottom"/>
            <w:tcBorders>
              <w:top w:val="single" w:sz="8" w:color="CCEEFF"/>
            </w:tcBorders>
          </w:tcPr>
          <w:p>
            <w:pPr>
              <w:spacing w:after="0"/>
              <w:rPr>
                <w:sz w:val="16"/>
                <w:szCs w:val="16"/>
                <w:color w:val="auto"/>
              </w:rPr>
            </w:pPr>
          </w:p>
        </w:tc>
        <w:tc>
          <w:tcPr>
            <w:tcW w:w="4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4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1140" w:type="dxa"/>
            <w:vAlign w:val="bottom"/>
            <w:tcBorders>
              <w:top w:val="single" w:sz="8" w:color="CCEEFF"/>
            </w:tcBorders>
          </w:tcPr>
          <w:p>
            <w:pPr>
              <w:spacing w:after="0"/>
              <w:rPr>
                <w:sz w:val="16"/>
                <w:szCs w:val="16"/>
                <w:color w:val="auto"/>
              </w:rPr>
            </w:pPr>
          </w:p>
        </w:tc>
        <w:tc>
          <w:tcPr>
            <w:tcW w:w="680" w:type="dxa"/>
            <w:vAlign w:val="bottom"/>
            <w:tcBorders>
              <w:top w:val="single" w:sz="8" w:color="CCEEFF"/>
            </w:tcBorders>
          </w:tcPr>
          <w:p>
            <w:pPr>
              <w:spacing w:after="0"/>
              <w:rPr>
                <w:sz w:val="16"/>
                <w:szCs w:val="16"/>
                <w:color w:val="auto"/>
              </w:rPr>
            </w:pPr>
          </w:p>
        </w:tc>
        <w:tc>
          <w:tcPr>
            <w:tcW w:w="40" w:type="dxa"/>
            <w:vAlign w:val="bottom"/>
            <w:tcBorders>
              <w:top w:val="single" w:sz="8" w:color="CCEEFF"/>
            </w:tcBorders>
          </w:tcPr>
          <w:p>
            <w:pPr>
              <w:spacing w:after="0"/>
              <w:rPr>
                <w:sz w:val="16"/>
                <w:szCs w:val="16"/>
                <w:color w:val="auto"/>
              </w:rPr>
            </w:pPr>
          </w:p>
        </w:tc>
        <w:tc>
          <w:tcPr>
            <w:tcW w:w="260" w:type="dxa"/>
            <w:vAlign w:val="bottom"/>
            <w:tcBorders>
              <w:top w:val="single" w:sz="8" w:color="CCEEFF"/>
            </w:tcBorders>
          </w:tcPr>
          <w:p>
            <w:pPr>
              <w:spacing w:after="0"/>
              <w:rPr>
                <w:sz w:val="16"/>
                <w:szCs w:val="16"/>
                <w:color w:val="auto"/>
              </w:rPr>
            </w:pPr>
          </w:p>
        </w:tc>
        <w:tc>
          <w:tcPr>
            <w:tcW w:w="32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1700" w:type="dxa"/>
            <w:vAlign w:val="bottom"/>
            <w:tcBorders>
              <w:top w:val="single" w:sz="8" w:color="CCEEFF"/>
            </w:tcBorders>
          </w:tcPr>
          <w:p>
            <w:pPr>
              <w:spacing w:after="0"/>
              <w:rPr>
                <w:sz w:val="16"/>
                <w:szCs w:val="16"/>
                <w:color w:val="auto"/>
              </w:rPr>
            </w:pPr>
          </w:p>
        </w:tc>
        <w:tc>
          <w:tcPr>
            <w:tcW w:w="780" w:type="dxa"/>
            <w:vAlign w:val="bottom"/>
            <w:tcBorders>
              <w:top w:val="single" w:sz="8" w:color="CCEEFF"/>
            </w:tcBorders>
          </w:tcPr>
          <w:p>
            <w:pPr>
              <w:spacing w:after="0"/>
              <w:rPr>
                <w:sz w:val="16"/>
                <w:szCs w:val="16"/>
                <w:color w:val="auto"/>
              </w:rPr>
            </w:pPr>
          </w:p>
        </w:tc>
        <w:tc>
          <w:tcPr>
            <w:tcW w:w="280" w:type="dxa"/>
            <w:vAlign w:val="bottom"/>
            <w:tcBorders>
              <w:top w:val="single" w:sz="8" w:color="CCEEFF"/>
            </w:tcBorders>
          </w:tcPr>
          <w:p>
            <w:pPr>
              <w:spacing w:after="0"/>
              <w:rPr>
                <w:sz w:val="16"/>
                <w:szCs w:val="16"/>
                <w:color w:val="auto"/>
              </w:rPr>
            </w:pPr>
          </w:p>
        </w:tc>
      </w:tr>
      <w:tr>
        <w:trPr>
          <w:trHeight w:val="175"/>
        </w:trPr>
        <w:tc>
          <w:tcPr>
            <w:tcW w:w="100" w:type="dxa"/>
            <w:vAlign w:val="bottom"/>
            <w:shd w:val="clear" w:color="auto" w:fill="CCEEFF"/>
          </w:tcPr>
          <w:p>
            <w:pPr>
              <w:spacing w:after="0"/>
              <w:rPr>
                <w:sz w:val="15"/>
                <w:szCs w:val="15"/>
                <w:color w:val="auto"/>
              </w:rPr>
            </w:pPr>
          </w:p>
        </w:tc>
        <w:tc>
          <w:tcPr>
            <w:tcW w:w="2440" w:type="dxa"/>
            <w:vAlign w:val="bottom"/>
            <w:gridSpan w:val="11"/>
            <w:shd w:val="clear" w:color="auto" w:fill="CCEEFF"/>
          </w:tcPr>
          <w:p>
            <w:pPr>
              <w:spacing w:after="0" w:line="146" w:lineRule="exact"/>
              <w:rPr>
                <w:rFonts w:ascii="Arial" w:cs="Arial" w:eastAsia="Arial" w:hAnsi="Arial"/>
                <w:sz w:val="15"/>
                <w:szCs w:val="15"/>
                <w:color w:val="0000EE"/>
              </w:rPr>
            </w:pPr>
            <w:hyperlink w:anchor="page30">
              <w:r>
                <w:rPr>
                  <w:rFonts w:ascii="Arial" w:cs="Arial" w:eastAsia="Arial" w:hAnsi="Arial"/>
                  <w:sz w:val="15"/>
                  <w:szCs w:val="15"/>
                  <w:color w:val="0000EE"/>
                </w:rPr>
                <w:t>INDEX OF EXHIBITS</w:t>
              </w:r>
            </w:hyperlink>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40"/>
              <w:spacing w:after="0" w:line="146" w:lineRule="exact"/>
              <w:rPr>
                <w:sz w:val="20"/>
                <w:szCs w:val="20"/>
                <w:color w:val="auto"/>
              </w:rPr>
            </w:pPr>
            <w:r>
              <w:rPr>
                <w:rFonts w:ascii="Arial" w:cs="Arial" w:eastAsia="Arial" w:hAnsi="Arial"/>
                <w:sz w:val="15"/>
                <w:szCs w:val="15"/>
                <w:color w:val="auto"/>
              </w:rPr>
              <w:t>28</w:t>
            </w:r>
          </w:p>
        </w:tc>
      </w:tr>
      <w:tr>
        <w:trPr>
          <w:trHeight w:val="1545"/>
        </w:trPr>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300" w:type="dxa"/>
            <w:vAlign w:val="bottom"/>
            <w:tcBorders>
              <w:top w:val="single" w:sz="8" w:color="0000EE"/>
              <w:bottom w:val="single" w:sz="8" w:color="9A9A9A"/>
            </w:tcBorders>
          </w:tcPr>
          <w:p>
            <w:pPr>
              <w:spacing w:after="0"/>
              <w:rPr>
                <w:sz w:val="24"/>
                <w:szCs w:val="24"/>
                <w:color w:val="auto"/>
              </w:rPr>
            </w:pPr>
          </w:p>
        </w:tc>
        <w:tc>
          <w:tcPr>
            <w:tcW w:w="40" w:type="dxa"/>
            <w:vAlign w:val="bottom"/>
            <w:tcBorders>
              <w:top w:val="single" w:sz="8" w:color="0000EE"/>
              <w:bottom w:val="single" w:sz="8" w:color="9A9A9A"/>
            </w:tcBorders>
          </w:tcPr>
          <w:p>
            <w:pPr>
              <w:spacing w:after="0"/>
              <w:rPr>
                <w:sz w:val="24"/>
                <w:szCs w:val="24"/>
                <w:color w:val="auto"/>
              </w:rPr>
            </w:pPr>
          </w:p>
        </w:tc>
        <w:tc>
          <w:tcPr>
            <w:tcW w:w="360" w:type="dxa"/>
            <w:vAlign w:val="bottom"/>
            <w:tcBorders>
              <w:top w:val="single" w:sz="8" w:color="0000EE"/>
              <w:bottom w:val="single" w:sz="8" w:color="9A9A9A"/>
            </w:tcBorders>
          </w:tcPr>
          <w:p>
            <w:pPr>
              <w:spacing w:after="0"/>
              <w:rPr>
                <w:sz w:val="24"/>
                <w:szCs w:val="24"/>
                <w:color w:val="auto"/>
              </w:rPr>
            </w:pPr>
          </w:p>
        </w:tc>
        <w:tc>
          <w:tcPr>
            <w:tcW w:w="160" w:type="dxa"/>
            <w:vAlign w:val="bottom"/>
            <w:tcBorders>
              <w:top w:val="single" w:sz="8" w:color="0000EE"/>
              <w:bottom w:val="single" w:sz="8" w:color="9A9A9A"/>
            </w:tcBorders>
          </w:tcPr>
          <w:p>
            <w:pPr>
              <w:spacing w:after="0"/>
              <w:rPr>
                <w:sz w:val="24"/>
                <w:szCs w:val="24"/>
                <w:color w:val="auto"/>
              </w:rPr>
            </w:pPr>
          </w:p>
        </w:tc>
        <w:tc>
          <w:tcPr>
            <w:tcW w:w="180" w:type="dxa"/>
            <w:vAlign w:val="bottom"/>
            <w:tcBorders>
              <w:top w:val="single" w:sz="8" w:color="0000EE"/>
              <w:bottom w:val="single" w:sz="8" w:color="9A9A9A"/>
            </w:tcBorders>
          </w:tcPr>
          <w:p>
            <w:pPr>
              <w:spacing w:after="0"/>
              <w:rPr>
                <w:sz w:val="24"/>
                <w:szCs w:val="24"/>
                <w:color w:val="auto"/>
              </w:rPr>
            </w:pPr>
          </w:p>
        </w:tc>
        <w:tc>
          <w:tcPr>
            <w:tcW w:w="240" w:type="dxa"/>
            <w:vAlign w:val="bottom"/>
            <w:tcBorders>
              <w:top w:val="single" w:sz="8" w:color="0000EE"/>
              <w:bottom w:val="single" w:sz="8" w:color="9A9A9A"/>
            </w:tcBorders>
          </w:tcPr>
          <w:p>
            <w:pPr>
              <w:spacing w:after="0"/>
              <w:rPr>
                <w:sz w:val="24"/>
                <w:szCs w:val="24"/>
                <w:color w:val="auto"/>
              </w:rPr>
            </w:pPr>
          </w:p>
        </w:tc>
        <w:tc>
          <w:tcPr>
            <w:tcW w:w="22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60" w:type="dxa"/>
            <w:vAlign w:val="bottom"/>
            <w:tcBorders>
              <w:top w:val="single" w:sz="8" w:color="CCEEFF"/>
              <w:bottom w:val="single" w:sz="8" w:color="9A9A9A"/>
            </w:tcBorders>
          </w:tcPr>
          <w:p>
            <w:pPr>
              <w:spacing w:after="0"/>
              <w:rPr>
                <w:sz w:val="24"/>
                <w:szCs w:val="24"/>
                <w:color w:val="auto"/>
              </w:rPr>
            </w:pPr>
          </w:p>
        </w:tc>
        <w:tc>
          <w:tcPr>
            <w:tcW w:w="660" w:type="dxa"/>
            <w:vAlign w:val="bottom"/>
            <w:tcBorders>
              <w:top w:val="single" w:sz="8" w:color="CCEEFF"/>
              <w:bottom w:val="single" w:sz="8" w:color="9A9A9A"/>
            </w:tcBorders>
          </w:tcPr>
          <w:p>
            <w:pPr>
              <w:spacing w:after="0"/>
              <w:rPr>
                <w:sz w:val="24"/>
                <w:szCs w:val="24"/>
                <w:color w:val="auto"/>
              </w:rPr>
            </w:pPr>
          </w:p>
        </w:tc>
        <w:tc>
          <w:tcPr>
            <w:tcW w:w="46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160" w:type="dxa"/>
            <w:vAlign w:val="bottom"/>
            <w:tcBorders>
              <w:top w:val="single" w:sz="8" w:color="CCEEFF"/>
              <w:bottom w:val="single" w:sz="8" w:color="9A9A9A"/>
            </w:tcBorders>
          </w:tcPr>
          <w:p>
            <w:pPr>
              <w:spacing w:after="0"/>
              <w:rPr>
                <w:sz w:val="24"/>
                <w:szCs w:val="24"/>
                <w:color w:val="auto"/>
              </w:rPr>
            </w:pPr>
          </w:p>
        </w:tc>
        <w:tc>
          <w:tcPr>
            <w:tcW w:w="140" w:type="dxa"/>
            <w:vAlign w:val="bottom"/>
            <w:tcBorders>
              <w:top w:val="single" w:sz="8" w:color="CCEEFF"/>
              <w:bottom w:val="single" w:sz="8" w:color="9A9A9A"/>
            </w:tcBorders>
          </w:tcPr>
          <w:p>
            <w:pPr>
              <w:spacing w:after="0"/>
              <w:rPr>
                <w:sz w:val="24"/>
                <w:szCs w:val="24"/>
                <w:color w:val="auto"/>
              </w:rPr>
            </w:pPr>
          </w:p>
        </w:tc>
        <w:tc>
          <w:tcPr>
            <w:tcW w:w="420" w:type="dxa"/>
            <w:vAlign w:val="bottom"/>
            <w:tcBorders>
              <w:top w:val="single" w:sz="8" w:color="CCEEFF"/>
              <w:bottom w:val="single" w:sz="8" w:color="9A9A9A"/>
            </w:tcBorders>
          </w:tcPr>
          <w:p>
            <w:pPr>
              <w:spacing w:after="0"/>
              <w:rPr>
                <w:sz w:val="24"/>
                <w:szCs w:val="24"/>
                <w:color w:val="auto"/>
              </w:rPr>
            </w:pPr>
          </w:p>
        </w:tc>
        <w:tc>
          <w:tcPr>
            <w:tcW w:w="12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1140" w:type="dxa"/>
            <w:vAlign w:val="bottom"/>
            <w:tcBorders>
              <w:top w:val="single" w:sz="8" w:color="CCEEFF"/>
              <w:bottom w:val="single" w:sz="8" w:color="9A9A9A"/>
            </w:tcBorders>
          </w:tcPr>
          <w:p>
            <w:pPr>
              <w:spacing w:after="0"/>
              <w:rPr>
                <w:sz w:val="24"/>
                <w:szCs w:val="24"/>
                <w:color w:val="auto"/>
              </w:rPr>
            </w:pPr>
          </w:p>
        </w:tc>
        <w:tc>
          <w:tcPr>
            <w:tcW w:w="680" w:type="dxa"/>
            <w:vAlign w:val="bottom"/>
            <w:tcBorders>
              <w:top w:val="single" w:sz="8" w:color="CCEEFF"/>
              <w:bottom w:val="single" w:sz="8" w:color="9A9A9A"/>
            </w:tcBorders>
          </w:tcPr>
          <w:p>
            <w:pPr>
              <w:spacing w:after="0"/>
              <w:rPr>
                <w:sz w:val="24"/>
                <w:szCs w:val="24"/>
                <w:color w:val="auto"/>
              </w:rPr>
            </w:pPr>
          </w:p>
        </w:tc>
        <w:tc>
          <w:tcPr>
            <w:tcW w:w="40" w:type="dxa"/>
            <w:vAlign w:val="bottom"/>
            <w:tcBorders>
              <w:top w:val="single" w:sz="8" w:color="CCEEFF"/>
              <w:bottom w:val="single" w:sz="8" w:color="9A9A9A"/>
            </w:tcBorders>
          </w:tcPr>
          <w:p>
            <w:pPr>
              <w:spacing w:after="0"/>
              <w:rPr>
                <w:sz w:val="24"/>
                <w:szCs w:val="24"/>
                <w:color w:val="auto"/>
              </w:rPr>
            </w:pPr>
          </w:p>
        </w:tc>
        <w:tc>
          <w:tcPr>
            <w:tcW w:w="260" w:type="dxa"/>
            <w:vAlign w:val="bottom"/>
            <w:tcBorders>
              <w:top w:val="single" w:sz="8" w:color="CCEEFF"/>
              <w:bottom w:val="single" w:sz="8" w:color="9A9A9A"/>
            </w:tcBorders>
          </w:tcPr>
          <w:p>
            <w:pPr>
              <w:spacing w:after="0"/>
              <w:rPr>
                <w:sz w:val="24"/>
                <w:szCs w:val="24"/>
                <w:color w:val="auto"/>
              </w:rPr>
            </w:pPr>
          </w:p>
        </w:tc>
        <w:tc>
          <w:tcPr>
            <w:tcW w:w="320" w:type="dxa"/>
            <w:vAlign w:val="bottom"/>
            <w:tcBorders>
              <w:top w:val="single" w:sz="8" w:color="CCEEFF"/>
              <w:bottom w:val="single" w:sz="8" w:color="9A9A9A"/>
            </w:tcBorders>
          </w:tcPr>
          <w:p>
            <w:pPr>
              <w:spacing w:after="0"/>
              <w:rPr>
                <w:sz w:val="24"/>
                <w:szCs w:val="24"/>
                <w:color w:val="auto"/>
              </w:rPr>
            </w:pPr>
          </w:p>
        </w:tc>
        <w:tc>
          <w:tcPr>
            <w:tcW w:w="200" w:type="dxa"/>
            <w:vAlign w:val="bottom"/>
            <w:tcBorders>
              <w:top w:val="single" w:sz="8" w:color="CCEEFF"/>
              <w:bottom w:val="single" w:sz="8" w:color="9A9A9A"/>
            </w:tcBorders>
          </w:tcPr>
          <w:p>
            <w:pPr>
              <w:spacing w:after="0"/>
              <w:rPr>
                <w:sz w:val="24"/>
                <w:szCs w:val="24"/>
                <w:color w:val="auto"/>
              </w:rPr>
            </w:pPr>
          </w:p>
        </w:tc>
        <w:tc>
          <w:tcPr>
            <w:tcW w:w="1700" w:type="dxa"/>
            <w:vAlign w:val="bottom"/>
            <w:tcBorders>
              <w:top w:val="single" w:sz="8" w:color="CCEEFF"/>
              <w:bottom w:val="single" w:sz="8" w:color="9A9A9A"/>
            </w:tcBorders>
          </w:tcPr>
          <w:p>
            <w:pPr>
              <w:spacing w:after="0"/>
              <w:rPr>
                <w:sz w:val="24"/>
                <w:szCs w:val="24"/>
                <w:color w:val="auto"/>
              </w:rPr>
            </w:pPr>
          </w:p>
        </w:tc>
        <w:tc>
          <w:tcPr>
            <w:tcW w:w="780" w:type="dxa"/>
            <w:vAlign w:val="bottom"/>
            <w:tcBorders>
              <w:top w:val="single" w:sz="8" w:color="CCEEFF"/>
              <w:bottom w:val="single" w:sz="8" w:color="9A9A9A"/>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r>
      <w:tr>
        <w:trPr>
          <w:trHeight w:val="20"/>
        </w:trPr>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46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12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680" w:type="dxa"/>
            <w:vAlign w:val="bottom"/>
            <w:tcBorders>
              <w:bottom w:val="single" w:sz="8" w:color="EEEEEE"/>
            </w:tcBorders>
          </w:tcPr>
          <w:p>
            <w:pPr>
              <w:spacing w:after="0" w:line="20" w:lineRule="exact"/>
              <w:rPr>
                <w:sz w:val="1"/>
                <w:szCs w:val="1"/>
                <w:color w:val="auto"/>
              </w:rPr>
            </w:pPr>
          </w:p>
        </w:tc>
        <w:tc>
          <w:tcPr>
            <w:tcW w:w="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200" w:type="dxa"/>
            <w:vAlign w:val="bottom"/>
            <w:tcBorders>
              <w:bottom w:val="single" w:sz="8" w:color="EEEEEE"/>
            </w:tcBorders>
          </w:tcPr>
          <w:p>
            <w:pPr>
              <w:spacing w:after="0" w:line="20" w:lineRule="exact"/>
              <w:rPr>
                <w:sz w:val="1"/>
                <w:szCs w:val="1"/>
                <w:color w:val="auto"/>
              </w:rPr>
            </w:pPr>
          </w:p>
        </w:tc>
        <w:tc>
          <w:tcPr>
            <w:tcW w:w="1700" w:type="dxa"/>
            <w:vAlign w:val="bottom"/>
            <w:tcBorders>
              <w:bottom w:val="single" w:sz="8" w:color="EEEEEE"/>
            </w:tcBorders>
          </w:tcPr>
          <w:p>
            <w:pPr>
              <w:spacing w:after="0" w:line="20" w:lineRule="exact"/>
              <w:rPr>
                <w:sz w:val="1"/>
                <w:szCs w:val="1"/>
                <w:color w:val="auto"/>
              </w:rPr>
            </w:pPr>
          </w:p>
        </w:tc>
        <w:tc>
          <w:tcPr>
            <w:tcW w:w="780" w:type="dxa"/>
            <w:vAlign w:val="bottom"/>
            <w:tcBorders>
              <w:bottom w:val="single" w:sz="8" w:color="EEEE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5953125</wp:posOffset>
            </wp:positionH>
            <wp:positionV relativeFrom="paragraph">
              <wp:posOffset>-34925</wp:posOffset>
            </wp:positionV>
            <wp:extent cx="33020" cy="482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168275</wp:posOffset>
            </wp:positionH>
            <wp:positionV relativeFrom="paragraph">
              <wp:posOffset>-34925</wp:posOffset>
            </wp:positionV>
            <wp:extent cx="33020" cy="482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680"/>
          </w:cols>
          <w:pgMar w:left="1120" w:top="115" w:right="1099" w:bottom="1440" w:gutter="0" w:footer="0" w:header="0"/>
        </w:sectPr>
      </w:pPr>
    </w:p>
    <w:bookmarkStart w:id="2" w:name="page3"/>
    <w:bookmarkEnd w:id="2"/>
    <w:p>
      <w:pPr>
        <w:spacing w:after="0"/>
        <w:rPr>
          <w:sz w:val="20"/>
          <w:szCs w:val="20"/>
          <w:color w:val="auto"/>
        </w:rPr>
      </w:pPr>
      <w:r>
        <w:rPr>
          <w:rFonts w:ascii="Arial" w:cs="Arial" w:eastAsia="Arial" w:hAnsi="Arial"/>
          <w:sz w:val="15"/>
          <w:szCs w:val="15"/>
          <w:b w:val="1"/>
          <w:bCs w:val="1"/>
          <w:color w:val="auto"/>
        </w:rPr>
        <w:t>PART I - FINANCIAL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Financial Statements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jc w:val="center"/>
        <w:spacing w:after="0"/>
        <w:rPr>
          <w:sz w:val="20"/>
          <w:szCs w:val="20"/>
          <w:color w:val="auto"/>
        </w:rPr>
      </w:pPr>
      <w:r>
        <w:rPr>
          <w:rFonts w:ascii="Arial" w:cs="Arial" w:eastAsia="Arial" w:hAnsi="Arial"/>
          <w:sz w:val="15"/>
          <w:szCs w:val="15"/>
          <w:color w:val="auto"/>
        </w:rPr>
        <w:t>($ in millions, except shares)</w:t>
      </w: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440" w:type="dxa"/>
            <w:vAlign w:val="bottom"/>
          </w:tcPr>
          <w:p>
            <w:pPr>
              <w:spacing w:after="0"/>
              <w:rPr>
                <w:sz w:val="15"/>
                <w:szCs w:val="15"/>
                <w:color w:val="auto"/>
              </w:rPr>
            </w:pPr>
          </w:p>
        </w:tc>
        <w:tc>
          <w:tcPr>
            <w:tcW w:w="2960" w:type="dxa"/>
            <w:vAlign w:val="bottom"/>
            <w:gridSpan w:val="2"/>
          </w:tcPr>
          <w:p>
            <w:pPr>
              <w:jc w:val="center"/>
              <w:ind w:left="1283"/>
              <w:spacing w:after="0"/>
              <w:rPr>
                <w:sz w:val="20"/>
                <w:szCs w:val="20"/>
                <w:color w:val="auto"/>
              </w:rPr>
            </w:pPr>
            <w:r>
              <w:rPr>
                <w:rFonts w:ascii="Arial" w:cs="Arial" w:eastAsia="Arial" w:hAnsi="Arial"/>
                <w:sz w:val="15"/>
                <w:szCs w:val="15"/>
                <w:b w:val="1"/>
                <w:bCs w:val="1"/>
                <w:color w:val="auto"/>
              </w:rPr>
              <w:t>October 28,</w:t>
            </w:r>
          </w:p>
        </w:tc>
        <w:tc>
          <w:tcPr>
            <w:tcW w:w="1440" w:type="dxa"/>
            <w:vAlign w:val="bottom"/>
            <w:gridSpan w:val="2"/>
          </w:tcPr>
          <w:p>
            <w:pPr>
              <w:jc w:val="center"/>
              <w:ind w:right="63"/>
              <w:spacing w:after="0"/>
              <w:rPr>
                <w:sz w:val="20"/>
                <w:szCs w:val="20"/>
                <w:color w:val="auto"/>
              </w:rPr>
            </w:pPr>
            <w:r>
              <w:rPr>
                <w:rFonts w:ascii="Arial" w:cs="Arial" w:eastAsia="Arial" w:hAnsi="Arial"/>
                <w:sz w:val="15"/>
                <w:szCs w:val="15"/>
                <w:b w:val="1"/>
                <w:bCs w:val="1"/>
                <w:color w:val="auto"/>
              </w:rPr>
              <w:t>October 29,</w:t>
            </w:r>
          </w:p>
        </w:tc>
        <w:tc>
          <w:tcPr>
            <w:tcW w:w="1260" w:type="dxa"/>
            <w:vAlign w:val="bottom"/>
            <w:gridSpan w:val="2"/>
          </w:tcPr>
          <w:p>
            <w:pPr>
              <w:jc w:val="right"/>
              <w:ind w:right="103"/>
              <w:spacing w:after="0"/>
              <w:rPr>
                <w:sz w:val="20"/>
                <w:szCs w:val="20"/>
                <w:color w:val="auto"/>
              </w:rPr>
            </w:pPr>
            <w:r>
              <w:rPr>
                <w:rFonts w:ascii="Arial" w:cs="Arial" w:eastAsia="Arial" w:hAnsi="Arial"/>
                <w:sz w:val="15"/>
                <w:szCs w:val="15"/>
                <w:b w:val="1"/>
                <w:bCs w:val="1"/>
                <w:color w:val="auto"/>
              </w:rPr>
              <w:t>January 28,</w:t>
            </w:r>
          </w:p>
        </w:tc>
        <w:tc>
          <w:tcPr>
            <w:tcW w:w="0" w:type="dxa"/>
            <w:vAlign w:val="bottom"/>
          </w:tcPr>
          <w:p>
            <w:pPr>
              <w:spacing w:after="0"/>
              <w:rPr>
                <w:sz w:val="1"/>
                <w:szCs w:val="1"/>
                <w:color w:val="auto"/>
              </w:rPr>
            </w:pPr>
          </w:p>
        </w:tc>
      </w:tr>
      <w:tr>
        <w:trPr>
          <w:trHeight w:val="194"/>
        </w:trPr>
        <w:tc>
          <w:tcPr>
            <w:tcW w:w="344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443"/>
              <w:spacing w:after="0"/>
              <w:rPr>
                <w:sz w:val="20"/>
                <w:szCs w:val="20"/>
                <w:color w:val="auto"/>
              </w:rPr>
            </w:pPr>
            <w:r>
              <w:rPr>
                <w:rFonts w:ascii="Arial" w:cs="Arial" w:eastAsia="Arial" w:hAnsi="Arial"/>
                <w:sz w:val="15"/>
                <w:szCs w:val="15"/>
                <w:b w:val="1"/>
                <w:bCs w:val="1"/>
                <w:color w:val="auto"/>
              </w:rPr>
              <w:t>2017</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423"/>
              <w:spacing w:after="0"/>
              <w:rPr>
                <w:sz w:val="20"/>
                <w:szCs w:val="20"/>
                <w:color w:val="auto"/>
              </w:rPr>
            </w:pPr>
            <w:r>
              <w:rPr>
                <w:rFonts w:ascii="Arial" w:cs="Arial" w:eastAsia="Arial" w:hAnsi="Arial"/>
                <w:sz w:val="15"/>
                <w:szCs w:val="15"/>
                <w:b w:val="1"/>
                <w:bCs w:val="1"/>
                <w:color w:val="auto"/>
              </w:rPr>
              <w:t>2016</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2017</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16"/>
                <w:szCs w:val="16"/>
                <w:color w:val="auto"/>
              </w:rPr>
            </w:pPr>
          </w:p>
        </w:tc>
        <w:tc>
          <w:tcPr>
            <w:tcW w:w="2960" w:type="dxa"/>
            <w:vAlign w:val="bottom"/>
            <w:gridSpan w:val="2"/>
          </w:tcPr>
          <w:p>
            <w:pPr>
              <w:jc w:val="center"/>
              <w:ind w:left="1263"/>
              <w:spacing w:after="0"/>
              <w:rPr>
                <w:sz w:val="20"/>
                <w:szCs w:val="20"/>
                <w:color w:val="auto"/>
              </w:rPr>
            </w:pPr>
            <w:r>
              <w:rPr>
                <w:rFonts w:ascii="Arial" w:cs="Arial" w:eastAsia="Arial" w:hAnsi="Arial"/>
                <w:sz w:val="15"/>
                <w:szCs w:val="15"/>
                <w:b w:val="1"/>
                <w:bCs w:val="1"/>
                <w:color w:val="auto"/>
              </w:rPr>
              <w:t>(Unaudited)</w:t>
            </w:r>
          </w:p>
        </w:tc>
        <w:tc>
          <w:tcPr>
            <w:tcW w:w="1440" w:type="dxa"/>
            <w:vAlign w:val="bottom"/>
            <w:gridSpan w:val="2"/>
          </w:tcPr>
          <w:p>
            <w:pPr>
              <w:jc w:val="center"/>
              <w:ind w:right="63"/>
              <w:spacing w:after="0"/>
              <w:rPr>
                <w:sz w:val="20"/>
                <w:szCs w:val="20"/>
                <w:color w:val="auto"/>
              </w:rPr>
            </w:pPr>
            <w:r>
              <w:rPr>
                <w:rFonts w:ascii="Arial" w:cs="Arial" w:eastAsia="Arial" w:hAnsi="Arial"/>
                <w:sz w:val="15"/>
                <w:szCs w:val="15"/>
                <w:b w:val="1"/>
                <w:bCs w:val="1"/>
                <w:color w:val="auto"/>
              </w:rPr>
              <w:t>(Unaudited)</w:t>
            </w:r>
          </w:p>
        </w:tc>
        <w:tc>
          <w:tcPr>
            <w:tcW w:w="360" w:type="dxa"/>
            <w:vAlign w:val="bottom"/>
          </w:tcPr>
          <w:p>
            <w:pPr>
              <w:spacing w:after="0"/>
              <w:rPr>
                <w:sz w:val="16"/>
                <w:szCs w:val="16"/>
                <w:color w:val="auto"/>
              </w:rPr>
            </w:pPr>
          </w:p>
        </w:tc>
        <w:tc>
          <w:tcPr>
            <w:tcW w:w="900" w:type="dxa"/>
            <w:vAlign w:val="bottom"/>
          </w:tcPr>
          <w:p>
            <w:pPr>
              <w:jc w:val="right"/>
              <w:ind w:right="503"/>
              <w:spacing w:after="0"/>
              <w:rPr>
                <w:sz w:val="20"/>
                <w:szCs w:val="20"/>
                <w:color w:val="auto"/>
              </w:rPr>
            </w:pPr>
            <w:r>
              <w:rPr>
                <w:rFonts w:ascii="Arial" w:cs="Arial" w:eastAsia="Arial" w:hAnsi="Arial"/>
                <w:sz w:val="15"/>
                <w:szCs w:val="15"/>
                <w:b w:val="1"/>
                <w:bCs w:val="1"/>
                <w:color w:val="auto"/>
              </w:rPr>
              <w:t>*</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Current assets:</w:t>
            </w: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ind w:left="100"/>
              <w:spacing w:after="0"/>
              <w:rPr>
                <w:sz w:val="20"/>
                <w:szCs w:val="20"/>
                <w:color w:val="auto"/>
              </w:rPr>
            </w:pPr>
            <w:r>
              <w:rPr>
                <w:rFonts w:ascii="Arial" w:cs="Arial" w:eastAsia="Arial" w:hAnsi="Arial"/>
                <w:sz w:val="15"/>
                <w:szCs w:val="15"/>
                <w:color w:val="auto"/>
              </w:rPr>
              <w:t>Cash and cash equivalents</w:t>
            </w:r>
          </w:p>
        </w:tc>
        <w:tc>
          <w:tcPr>
            <w:tcW w:w="186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143"/>
              <w:spacing w:after="0"/>
              <w:rPr>
                <w:sz w:val="20"/>
                <w:szCs w:val="20"/>
                <w:color w:val="auto"/>
              </w:rPr>
            </w:pPr>
            <w:r>
              <w:rPr>
                <w:rFonts w:ascii="Arial" w:cs="Arial" w:eastAsia="Arial" w:hAnsi="Arial"/>
                <w:sz w:val="15"/>
                <w:szCs w:val="15"/>
                <w:b w:val="1"/>
                <w:bCs w:val="1"/>
                <w:color w:val="auto"/>
              </w:rPr>
              <w:t>890</w:t>
            </w:r>
          </w:p>
        </w:tc>
        <w:tc>
          <w:tcPr>
            <w:tcW w:w="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865</w:t>
            </w:r>
          </w:p>
        </w:tc>
        <w:tc>
          <w:tcPr>
            <w:tcW w:w="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1,046</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Merchandise inventories</w:t>
            </w: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1,313</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1,361</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1,307</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Other current assets</w:t>
            </w:r>
          </w:p>
        </w:tc>
        <w:tc>
          <w:tcPr>
            <w:tcW w:w="18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295</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291</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2,498</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2,517</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2,633</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5"/>
                <w:szCs w:val="15"/>
                <w:color w:val="auto"/>
              </w:rPr>
              <w:t>Property and equipment, net</w:t>
            </w:r>
          </w:p>
        </w:tc>
        <w:tc>
          <w:tcPr>
            <w:tcW w:w="1860" w:type="dxa"/>
            <w:vAlign w:val="bottom"/>
          </w:tcPr>
          <w:p>
            <w:pPr>
              <w:spacing w:after="0"/>
              <w:rPr>
                <w:sz w:val="17"/>
                <w:szCs w:val="17"/>
                <w:color w:val="auto"/>
              </w:rPr>
            </w:pPr>
          </w:p>
        </w:tc>
        <w:tc>
          <w:tcPr>
            <w:tcW w:w="1100" w:type="dxa"/>
            <w:vAlign w:val="bottom"/>
          </w:tcPr>
          <w:p>
            <w:pPr>
              <w:jc w:val="right"/>
              <w:ind w:right="143"/>
              <w:spacing w:after="0"/>
              <w:rPr>
                <w:sz w:val="20"/>
                <w:szCs w:val="20"/>
                <w:color w:val="auto"/>
              </w:rPr>
            </w:pPr>
            <w:r>
              <w:rPr>
                <w:rFonts w:ascii="Arial" w:cs="Arial" w:eastAsia="Arial" w:hAnsi="Arial"/>
                <w:sz w:val="15"/>
                <w:szCs w:val="15"/>
                <w:b w:val="1"/>
                <w:bCs w:val="1"/>
                <w:color w:val="auto"/>
              </w:rPr>
              <w:t>835</w:t>
            </w:r>
          </w:p>
        </w:tc>
        <w:tc>
          <w:tcPr>
            <w:tcW w:w="360" w:type="dxa"/>
            <w:vAlign w:val="bottom"/>
          </w:tcPr>
          <w:p>
            <w:pPr>
              <w:spacing w:after="0"/>
              <w:rPr>
                <w:sz w:val="17"/>
                <w:szCs w:val="17"/>
                <w:color w:val="auto"/>
              </w:rPr>
            </w:pP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732</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765</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Deferred taxes</w:t>
            </w: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164</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171</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161</w:t>
            </w:r>
          </w:p>
        </w:tc>
        <w:tc>
          <w:tcPr>
            <w:tcW w:w="0" w:type="dxa"/>
            <w:vAlign w:val="bottom"/>
          </w:tcPr>
          <w:p>
            <w:pPr>
              <w:spacing w:after="0"/>
              <w:rPr>
                <w:sz w:val="1"/>
                <w:szCs w:val="1"/>
                <w:color w:val="auto"/>
              </w:rPr>
            </w:pPr>
          </w:p>
        </w:tc>
      </w:tr>
      <w:tr>
        <w:trPr>
          <w:trHeight w:val="207"/>
        </w:trPr>
        <w:tc>
          <w:tcPr>
            <w:tcW w:w="3440" w:type="dxa"/>
            <w:vAlign w:val="bottom"/>
          </w:tcPr>
          <w:p>
            <w:pPr>
              <w:spacing w:after="0"/>
              <w:rPr>
                <w:sz w:val="20"/>
                <w:szCs w:val="20"/>
                <w:color w:val="auto"/>
              </w:rPr>
            </w:pPr>
            <w:r>
              <w:rPr>
                <w:rFonts w:ascii="Arial" w:cs="Arial" w:eastAsia="Arial" w:hAnsi="Arial"/>
                <w:sz w:val="15"/>
                <w:szCs w:val="15"/>
                <w:color w:val="auto"/>
              </w:rPr>
              <w:t>Goodwill</w:t>
            </w:r>
          </w:p>
        </w:tc>
        <w:tc>
          <w:tcPr>
            <w:tcW w:w="1860" w:type="dxa"/>
            <w:vAlign w:val="bottom"/>
          </w:tcPr>
          <w:p>
            <w:pPr>
              <w:spacing w:after="0"/>
              <w:rPr>
                <w:sz w:val="17"/>
                <w:szCs w:val="17"/>
                <w:color w:val="auto"/>
              </w:rPr>
            </w:pPr>
          </w:p>
        </w:tc>
        <w:tc>
          <w:tcPr>
            <w:tcW w:w="1100" w:type="dxa"/>
            <w:vAlign w:val="bottom"/>
          </w:tcPr>
          <w:p>
            <w:pPr>
              <w:jc w:val="right"/>
              <w:ind w:right="143"/>
              <w:spacing w:after="0"/>
              <w:rPr>
                <w:sz w:val="20"/>
                <w:szCs w:val="20"/>
                <w:color w:val="auto"/>
              </w:rPr>
            </w:pPr>
            <w:r>
              <w:rPr>
                <w:rFonts w:ascii="Arial" w:cs="Arial" w:eastAsia="Arial" w:hAnsi="Arial"/>
                <w:sz w:val="15"/>
                <w:szCs w:val="15"/>
                <w:b w:val="1"/>
                <w:bCs w:val="1"/>
                <w:color w:val="auto"/>
              </w:rPr>
              <w:t>158</w:t>
            </w:r>
          </w:p>
        </w:tc>
        <w:tc>
          <w:tcPr>
            <w:tcW w:w="360" w:type="dxa"/>
            <w:vAlign w:val="bottom"/>
          </w:tcPr>
          <w:p>
            <w:pPr>
              <w:spacing w:after="0"/>
              <w:rPr>
                <w:sz w:val="17"/>
                <w:szCs w:val="17"/>
                <w:color w:val="auto"/>
              </w:rPr>
            </w:pP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156</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155</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Other intangible assets, net</w:t>
            </w: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45</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43</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assets</w:t>
            </w:r>
          </w:p>
        </w:tc>
        <w:tc>
          <w:tcPr>
            <w:tcW w:w="18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113</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75</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w:t>
            </w:r>
          </w:p>
        </w:tc>
        <w:tc>
          <w:tcPr>
            <w:tcW w:w="0" w:type="dxa"/>
            <w:vAlign w:val="bottom"/>
          </w:tcPr>
          <w:p>
            <w:pPr>
              <w:spacing w:after="0"/>
              <w:rPr>
                <w:sz w:val="1"/>
                <w:szCs w:val="1"/>
                <w:color w:val="auto"/>
              </w:rPr>
            </w:pPr>
          </w:p>
        </w:tc>
      </w:tr>
      <w:tr>
        <w:trPr>
          <w:trHeight w:val="179"/>
        </w:trPr>
        <w:tc>
          <w:tcPr>
            <w:tcW w:w="344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3,813</w:t>
            </w:r>
          </w:p>
        </w:tc>
        <w:tc>
          <w:tcPr>
            <w:tcW w:w="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3,694</w:t>
            </w:r>
          </w:p>
        </w:tc>
        <w:tc>
          <w:tcPr>
            <w:tcW w:w="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3,840</w:t>
            </w:r>
          </w:p>
        </w:tc>
        <w:tc>
          <w:tcPr>
            <w:tcW w:w="0" w:type="dxa"/>
            <w:vAlign w:val="bottom"/>
          </w:tcPr>
          <w:p>
            <w:pPr>
              <w:spacing w:after="0"/>
              <w:rPr>
                <w:sz w:val="1"/>
                <w:szCs w:val="1"/>
                <w:color w:val="auto"/>
              </w:rPr>
            </w:pPr>
          </w:p>
        </w:tc>
      </w:tr>
      <w:tr>
        <w:trPr>
          <w:trHeight w:val="195"/>
        </w:trPr>
        <w:tc>
          <w:tcPr>
            <w:tcW w:w="34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 AND SHAREHOLDERS’ EQUITY</w:t>
            </w: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Current liabilities:</w:t>
            </w: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440" w:type="dxa"/>
            <w:vAlign w:val="bottom"/>
          </w:tcPr>
          <w:p>
            <w:pPr>
              <w:ind w:left="100"/>
              <w:spacing w:after="0"/>
              <w:rPr>
                <w:sz w:val="20"/>
                <w:szCs w:val="20"/>
                <w:color w:val="auto"/>
              </w:rPr>
            </w:pPr>
            <w:r>
              <w:rPr>
                <w:rFonts w:ascii="Arial" w:cs="Arial" w:eastAsia="Arial" w:hAnsi="Arial"/>
                <w:sz w:val="15"/>
                <w:szCs w:val="15"/>
                <w:color w:val="auto"/>
              </w:rPr>
              <w:t>Accounts payable</w:t>
            </w:r>
          </w:p>
        </w:tc>
        <w:tc>
          <w:tcPr>
            <w:tcW w:w="1860" w:type="dxa"/>
            <w:vAlign w:val="bottom"/>
          </w:tcPr>
          <w:p>
            <w:pPr>
              <w:jc w:val="right"/>
              <w:ind w:right="43"/>
              <w:spacing w:after="0"/>
              <w:rPr>
                <w:sz w:val="20"/>
                <w:szCs w:val="20"/>
                <w:color w:val="auto"/>
              </w:rPr>
            </w:pPr>
            <w:r>
              <w:rPr>
                <w:rFonts w:ascii="Arial" w:cs="Arial" w:eastAsia="Arial" w:hAnsi="Arial"/>
                <w:sz w:val="15"/>
                <w:szCs w:val="15"/>
                <w:b w:val="1"/>
                <w:bCs w:val="1"/>
                <w:color w:val="auto"/>
              </w:rPr>
              <w:t>$</w:t>
            </w:r>
          </w:p>
        </w:tc>
        <w:tc>
          <w:tcPr>
            <w:tcW w:w="1100" w:type="dxa"/>
            <w:vAlign w:val="bottom"/>
          </w:tcPr>
          <w:p>
            <w:pPr>
              <w:jc w:val="right"/>
              <w:ind w:right="143"/>
              <w:spacing w:after="0"/>
              <w:rPr>
                <w:sz w:val="20"/>
                <w:szCs w:val="20"/>
                <w:color w:val="auto"/>
              </w:rPr>
            </w:pPr>
            <w:r>
              <w:rPr>
                <w:rFonts w:ascii="Arial" w:cs="Arial" w:eastAsia="Arial" w:hAnsi="Arial"/>
                <w:sz w:val="15"/>
                <w:szCs w:val="15"/>
                <w:b w:val="1"/>
                <w:bCs w:val="1"/>
                <w:color w:val="auto"/>
              </w:rPr>
              <w:t>241</w:t>
            </w:r>
          </w:p>
        </w:tc>
        <w:tc>
          <w:tcPr>
            <w:tcW w:w="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215</w:t>
            </w:r>
          </w:p>
        </w:tc>
        <w:tc>
          <w:tcPr>
            <w:tcW w:w="36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249</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Accrued and other liabilities</w:t>
            </w: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326</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327</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tcPr>
          <w:p>
            <w:pPr>
              <w:ind w:left="100"/>
              <w:spacing w:after="0"/>
              <w:rPr>
                <w:sz w:val="20"/>
                <w:szCs w:val="20"/>
                <w:color w:val="auto"/>
              </w:rPr>
            </w:pPr>
            <w:r>
              <w:rPr>
                <w:rFonts w:ascii="Arial" w:cs="Arial" w:eastAsia="Arial" w:hAnsi="Arial"/>
                <w:sz w:val="15"/>
                <w:szCs w:val="15"/>
                <w:color w:val="auto"/>
              </w:rPr>
              <w:t>Current portion of capital lease obligations</w:t>
            </w:r>
          </w:p>
        </w:tc>
        <w:tc>
          <w:tcPr>
            <w:tcW w:w="18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1</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7"/>
        </w:trPr>
        <w:tc>
          <w:tcPr>
            <w:tcW w:w="3440" w:type="dxa"/>
            <w:vAlign w:val="bottom"/>
            <w:shd w:val="clear" w:color="auto" w:fill="CCEEFF"/>
          </w:tcPr>
          <w:p>
            <w:pPr>
              <w:spacing w:after="0"/>
              <w:rPr>
                <w:sz w:val="16"/>
                <w:szCs w:val="16"/>
                <w:color w:val="auto"/>
              </w:rPr>
            </w:pPr>
          </w:p>
        </w:tc>
        <w:tc>
          <w:tcPr>
            <w:tcW w:w="1860" w:type="dxa"/>
            <w:vAlign w:val="bottom"/>
            <w:shd w:val="clear" w:color="auto" w:fill="CCEEFF"/>
          </w:tcPr>
          <w:p>
            <w:pPr>
              <w:spacing w:after="0"/>
              <w:rPr>
                <w:sz w:val="16"/>
                <w:szCs w:val="16"/>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567</w:t>
            </w:r>
          </w:p>
        </w:tc>
        <w:tc>
          <w:tcPr>
            <w:tcW w:w="36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543</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612</w:t>
            </w:r>
          </w:p>
        </w:tc>
        <w:tc>
          <w:tcPr>
            <w:tcW w:w="0" w:type="dxa"/>
            <w:vAlign w:val="bottom"/>
          </w:tcPr>
          <w:p>
            <w:pPr>
              <w:spacing w:after="0"/>
              <w:rPr>
                <w:sz w:val="1"/>
                <w:szCs w:val="1"/>
                <w:color w:val="auto"/>
              </w:rPr>
            </w:pPr>
          </w:p>
        </w:tc>
      </w:tr>
      <w:tr>
        <w:trPr>
          <w:trHeight w:val="207"/>
        </w:trPr>
        <w:tc>
          <w:tcPr>
            <w:tcW w:w="5300" w:type="dxa"/>
            <w:vAlign w:val="bottom"/>
            <w:gridSpan w:val="2"/>
          </w:tcPr>
          <w:p>
            <w:pPr>
              <w:spacing w:after="0"/>
              <w:rPr>
                <w:sz w:val="20"/>
                <w:szCs w:val="20"/>
                <w:color w:val="auto"/>
              </w:rPr>
            </w:pPr>
            <w:r>
              <w:rPr>
                <w:rFonts w:ascii="Arial" w:cs="Arial" w:eastAsia="Arial" w:hAnsi="Arial"/>
                <w:sz w:val="15"/>
                <w:szCs w:val="15"/>
                <w:color w:val="auto"/>
              </w:rPr>
              <w:t>Long-term debt and obligations under capital leases</w:t>
            </w:r>
          </w:p>
        </w:tc>
        <w:tc>
          <w:tcPr>
            <w:tcW w:w="1100" w:type="dxa"/>
            <w:vAlign w:val="bottom"/>
          </w:tcPr>
          <w:p>
            <w:pPr>
              <w:jc w:val="right"/>
              <w:ind w:right="143"/>
              <w:spacing w:after="0"/>
              <w:rPr>
                <w:sz w:val="20"/>
                <w:szCs w:val="20"/>
                <w:color w:val="auto"/>
              </w:rPr>
            </w:pPr>
            <w:r>
              <w:rPr>
                <w:rFonts w:ascii="Arial" w:cs="Arial" w:eastAsia="Arial" w:hAnsi="Arial"/>
                <w:sz w:val="15"/>
                <w:szCs w:val="15"/>
                <w:b w:val="1"/>
                <w:bCs w:val="1"/>
                <w:color w:val="auto"/>
              </w:rPr>
              <w:t>126</w:t>
            </w:r>
          </w:p>
        </w:tc>
        <w:tc>
          <w:tcPr>
            <w:tcW w:w="360" w:type="dxa"/>
            <w:vAlign w:val="bottom"/>
          </w:tcPr>
          <w:p>
            <w:pPr>
              <w:spacing w:after="0"/>
              <w:rPr>
                <w:sz w:val="17"/>
                <w:szCs w:val="17"/>
                <w:color w:val="auto"/>
              </w:rPr>
            </w:pP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127</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127</w:t>
            </w:r>
          </w:p>
        </w:tc>
        <w:tc>
          <w:tcPr>
            <w:tcW w:w="0" w:type="dxa"/>
            <w:vAlign w:val="bottom"/>
          </w:tcPr>
          <w:p>
            <w:pPr>
              <w:spacing w:after="0"/>
              <w:rPr>
                <w:sz w:val="1"/>
                <w:szCs w:val="1"/>
                <w:color w:val="auto"/>
              </w:rPr>
            </w:pPr>
          </w:p>
        </w:tc>
      </w:tr>
      <w:tr>
        <w:trPr>
          <w:trHeight w:val="207"/>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Other liabilities</w:t>
            </w:r>
          </w:p>
        </w:tc>
        <w:tc>
          <w:tcPr>
            <w:tcW w:w="186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463</w:t>
            </w:r>
          </w:p>
        </w:tc>
        <w:tc>
          <w:tcPr>
            <w:tcW w:w="3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391</w:t>
            </w:r>
          </w:p>
        </w:tc>
        <w:tc>
          <w:tcPr>
            <w:tcW w:w="36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391</w:t>
            </w:r>
          </w:p>
        </w:tc>
        <w:tc>
          <w:tcPr>
            <w:tcW w:w="0" w:type="dxa"/>
            <w:vAlign w:val="bottom"/>
          </w:tcPr>
          <w:p>
            <w:pPr>
              <w:spacing w:after="0"/>
              <w:rPr>
                <w:sz w:val="1"/>
                <w:szCs w:val="1"/>
                <w:color w:val="auto"/>
              </w:rPr>
            </w:pPr>
          </w:p>
        </w:tc>
      </w:tr>
      <w:tr>
        <w:trPr>
          <w:trHeight w:val="187"/>
        </w:trPr>
        <w:tc>
          <w:tcPr>
            <w:tcW w:w="3440" w:type="dxa"/>
            <w:vAlign w:val="bottom"/>
          </w:tcPr>
          <w:p>
            <w:pPr>
              <w:spacing w:after="0"/>
              <w:rPr>
                <w:sz w:val="20"/>
                <w:szCs w:val="20"/>
                <w:color w:val="auto"/>
              </w:rPr>
            </w:pPr>
            <w:r>
              <w:rPr>
                <w:rFonts w:ascii="Arial" w:cs="Arial" w:eastAsia="Arial" w:hAnsi="Arial"/>
                <w:sz w:val="15"/>
                <w:szCs w:val="15"/>
                <w:color w:val="auto"/>
              </w:rPr>
              <w:t>Total liabilities</w:t>
            </w:r>
          </w:p>
        </w:tc>
        <w:tc>
          <w:tcPr>
            <w:tcW w:w="1860" w:type="dxa"/>
            <w:vAlign w:val="bottom"/>
          </w:tcPr>
          <w:p>
            <w:pPr>
              <w:spacing w:after="0"/>
              <w:rPr>
                <w:sz w:val="16"/>
                <w:szCs w:val="16"/>
                <w:color w:val="auto"/>
              </w:rPr>
            </w:pPr>
          </w:p>
        </w:tc>
        <w:tc>
          <w:tcPr>
            <w:tcW w:w="1100" w:type="dxa"/>
            <w:vAlign w:val="bottom"/>
          </w:tcPr>
          <w:p>
            <w:pPr>
              <w:jc w:val="right"/>
              <w:ind w:right="143"/>
              <w:spacing w:after="0"/>
              <w:rPr>
                <w:sz w:val="20"/>
                <w:szCs w:val="20"/>
                <w:color w:val="auto"/>
              </w:rPr>
            </w:pPr>
            <w:r>
              <w:rPr>
                <w:rFonts w:ascii="Arial" w:cs="Arial" w:eastAsia="Arial" w:hAnsi="Arial"/>
                <w:sz w:val="15"/>
                <w:szCs w:val="15"/>
                <w:b w:val="1"/>
                <w:bCs w:val="1"/>
                <w:color w:val="auto"/>
              </w:rPr>
              <w:t>1,156</w:t>
            </w:r>
          </w:p>
        </w:tc>
        <w:tc>
          <w:tcPr>
            <w:tcW w:w="360" w:type="dxa"/>
            <w:vAlign w:val="bottom"/>
          </w:tcPr>
          <w:p>
            <w:pPr>
              <w:spacing w:after="0"/>
              <w:rPr>
                <w:sz w:val="16"/>
                <w:szCs w:val="16"/>
                <w:color w:val="auto"/>
              </w:rPr>
            </w:pP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1,061</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1,130</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Shareholders’ equity:</w:t>
            </w: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96"/>
        </w:trPr>
        <w:tc>
          <w:tcPr>
            <w:tcW w:w="3440" w:type="dxa"/>
            <w:vAlign w:val="bottom"/>
          </w:tcPr>
          <w:p>
            <w:pPr>
              <w:ind w:left="100"/>
              <w:spacing w:after="0"/>
              <w:rPr>
                <w:sz w:val="20"/>
                <w:szCs w:val="20"/>
                <w:color w:val="auto"/>
              </w:rPr>
            </w:pPr>
            <w:r>
              <w:rPr>
                <w:rFonts w:ascii="Arial" w:cs="Arial" w:eastAsia="Arial" w:hAnsi="Arial"/>
                <w:sz w:val="15"/>
                <w:szCs w:val="15"/>
                <w:color w:val="auto"/>
              </w:rPr>
              <w:t>Common stock and paid-in capital: 133,336,171;</w:t>
            </w:r>
          </w:p>
        </w:tc>
        <w:tc>
          <w:tcPr>
            <w:tcW w:w="1860" w:type="dxa"/>
            <w:vAlign w:val="bottom"/>
          </w:tcPr>
          <w:p>
            <w:pPr>
              <w:jc w:val="right"/>
              <w:ind w:right="543"/>
              <w:spacing w:after="0"/>
              <w:rPr>
                <w:sz w:val="20"/>
                <w:szCs w:val="20"/>
                <w:color w:val="auto"/>
              </w:rPr>
            </w:pPr>
            <w:r>
              <w:rPr>
                <w:rFonts w:ascii="Arial" w:cs="Arial" w:eastAsia="Arial" w:hAnsi="Arial"/>
                <w:sz w:val="15"/>
                <w:szCs w:val="15"/>
                <w:color w:val="auto"/>
              </w:rPr>
              <w:t>174,687,964; and</w:t>
            </w:r>
          </w:p>
        </w:tc>
        <w:tc>
          <w:tcPr>
            <w:tcW w:w="1100" w:type="dxa"/>
            <w:vAlign w:val="bottom"/>
            <w:vMerge w:val="restart"/>
          </w:tcPr>
          <w:p>
            <w:pPr>
              <w:jc w:val="right"/>
              <w:ind w:right="143"/>
              <w:spacing w:after="0"/>
              <w:rPr>
                <w:sz w:val="20"/>
                <w:szCs w:val="20"/>
                <w:color w:val="auto"/>
              </w:rPr>
            </w:pPr>
            <w:r>
              <w:rPr>
                <w:rFonts w:ascii="Arial" w:cs="Arial" w:eastAsia="Arial" w:hAnsi="Arial"/>
                <w:sz w:val="15"/>
                <w:szCs w:val="15"/>
                <w:b w:val="1"/>
                <w:bCs w:val="1"/>
                <w:color w:val="auto"/>
              </w:rPr>
              <w:t>921</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3440" w:type="dxa"/>
            <w:vAlign w:val="bottom"/>
          </w:tcPr>
          <w:p>
            <w:pPr>
              <w:ind w:left="220"/>
              <w:spacing w:after="0"/>
              <w:rPr>
                <w:sz w:val="20"/>
                <w:szCs w:val="20"/>
                <w:color w:val="auto"/>
              </w:rPr>
            </w:pPr>
            <w:r>
              <w:rPr>
                <w:rFonts w:ascii="Arial" w:cs="Arial" w:eastAsia="Arial" w:hAnsi="Arial"/>
                <w:sz w:val="15"/>
                <w:szCs w:val="15"/>
                <w:color w:val="auto"/>
              </w:rPr>
              <w:t>132,616,087 shares outstanding, respectively</w:t>
            </w:r>
          </w:p>
        </w:tc>
        <w:tc>
          <w:tcPr>
            <w:tcW w:w="186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jc w:val="right"/>
              <w:ind w:right="143"/>
              <w:spacing w:after="0"/>
              <w:rPr>
                <w:sz w:val="20"/>
                <w:szCs w:val="20"/>
                <w:color w:val="auto"/>
              </w:rPr>
            </w:pPr>
            <w:r>
              <w:rPr>
                <w:rFonts w:ascii="Arial" w:cs="Arial" w:eastAsia="Arial" w:hAnsi="Arial"/>
                <w:sz w:val="15"/>
                <w:szCs w:val="15"/>
                <w:color w:val="auto"/>
              </w:rPr>
              <w:t>1,168</w:t>
            </w:r>
          </w:p>
        </w:tc>
        <w:tc>
          <w:tcPr>
            <w:tcW w:w="3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900</w:t>
            </w:r>
          </w:p>
        </w:tc>
        <w:tc>
          <w:tcPr>
            <w:tcW w:w="0" w:type="dxa"/>
            <w:vAlign w:val="bottom"/>
          </w:tcPr>
          <w:p>
            <w:pPr>
              <w:spacing w:after="0"/>
              <w:rPr>
                <w:sz w:val="1"/>
                <w:szCs w:val="1"/>
                <w:color w:val="auto"/>
              </w:rPr>
            </w:pPr>
          </w:p>
        </w:tc>
      </w:tr>
      <w:tr>
        <w:trPr>
          <w:trHeight w:val="207"/>
        </w:trPr>
        <w:tc>
          <w:tcPr>
            <w:tcW w:w="3440" w:type="dxa"/>
            <w:vAlign w:val="bottom"/>
            <w:shd w:val="clear" w:color="auto" w:fill="CCEEFF"/>
          </w:tcPr>
          <w:p>
            <w:pPr>
              <w:ind w:left="100"/>
              <w:spacing w:after="0"/>
              <w:rPr>
                <w:sz w:val="20"/>
                <w:szCs w:val="20"/>
                <w:color w:val="auto"/>
              </w:rPr>
            </w:pPr>
            <w:r>
              <w:rPr>
                <w:rFonts w:ascii="Arial" w:cs="Arial" w:eastAsia="Arial" w:hAnsi="Arial"/>
                <w:sz w:val="15"/>
                <w:szCs w:val="15"/>
                <w:color w:val="auto"/>
              </w:rPr>
              <w:t>Retained earnings</w:t>
            </w:r>
          </w:p>
        </w:tc>
        <w:tc>
          <w:tcPr>
            <w:tcW w:w="1860" w:type="dxa"/>
            <w:vAlign w:val="bottom"/>
            <w:shd w:val="clear" w:color="auto" w:fill="CCEEFF"/>
          </w:tcPr>
          <w:p>
            <w:pPr>
              <w:spacing w:after="0"/>
              <w:rPr>
                <w:sz w:val="17"/>
                <w:szCs w:val="17"/>
                <w:color w:val="auto"/>
              </w:rPr>
            </w:pPr>
          </w:p>
        </w:tc>
        <w:tc>
          <w:tcPr>
            <w:tcW w:w="11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2,467</w:t>
            </w:r>
          </w:p>
        </w:tc>
        <w:tc>
          <w:tcPr>
            <w:tcW w:w="360" w:type="dxa"/>
            <w:vAlign w:val="bottom"/>
            <w:shd w:val="clear" w:color="auto" w:fill="CCEEFF"/>
          </w:tcPr>
          <w:p>
            <w:pPr>
              <w:spacing w:after="0"/>
              <w:rPr>
                <w:sz w:val="17"/>
                <w:szCs w:val="17"/>
                <w:color w:val="auto"/>
              </w:rPr>
            </w:pPr>
          </w:p>
        </w:tc>
        <w:tc>
          <w:tcPr>
            <w:tcW w:w="10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3,546</w:t>
            </w:r>
          </w:p>
        </w:tc>
        <w:tc>
          <w:tcPr>
            <w:tcW w:w="3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2,254</w:t>
            </w:r>
          </w:p>
        </w:tc>
        <w:tc>
          <w:tcPr>
            <w:tcW w:w="0" w:type="dxa"/>
            <w:vAlign w:val="bottom"/>
          </w:tcPr>
          <w:p>
            <w:pPr>
              <w:spacing w:after="0"/>
              <w:rPr>
                <w:sz w:val="1"/>
                <w:szCs w:val="1"/>
                <w:color w:val="auto"/>
              </w:rPr>
            </w:pPr>
          </w:p>
        </w:tc>
      </w:tr>
      <w:tr>
        <w:trPr>
          <w:trHeight w:val="207"/>
        </w:trPr>
        <w:tc>
          <w:tcPr>
            <w:tcW w:w="3440" w:type="dxa"/>
            <w:vAlign w:val="bottom"/>
          </w:tcPr>
          <w:p>
            <w:pPr>
              <w:ind w:left="100"/>
              <w:spacing w:after="0"/>
              <w:rPr>
                <w:sz w:val="20"/>
                <w:szCs w:val="20"/>
                <w:color w:val="auto"/>
              </w:rPr>
            </w:pPr>
            <w:r>
              <w:rPr>
                <w:rFonts w:ascii="Arial" w:cs="Arial" w:eastAsia="Arial" w:hAnsi="Arial"/>
                <w:sz w:val="15"/>
                <w:szCs w:val="15"/>
                <w:color w:val="auto"/>
              </w:rPr>
              <w:t>Accumulated other comprehensive loss</w:t>
            </w:r>
          </w:p>
        </w:tc>
        <w:tc>
          <w:tcPr>
            <w:tcW w:w="1860" w:type="dxa"/>
            <w:vAlign w:val="bottom"/>
          </w:tcPr>
          <w:p>
            <w:pPr>
              <w:spacing w:after="0"/>
              <w:rPr>
                <w:sz w:val="17"/>
                <w:szCs w:val="17"/>
                <w:color w:val="auto"/>
              </w:rPr>
            </w:pPr>
          </w:p>
        </w:tc>
        <w:tc>
          <w:tcPr>
            <w:tcW w:w="1100" w:type="dxa"/>
            <w:vAlign w:val="bottom"/>
          </w:tcPr>
          <w:p>
            <w:pPr>
              <w:jc w:val="right"/>
              <w:ind w:right="103"/>
              <w:spacing w:after="0"/>
              <w:rPr>
                <w:sz w:val="20"/>
                <w:szCs w:val="20"/>
                <w:color w:val="auto"/>
              </w:rPr>
            </w:pPr>
            <w:r>
              <w:rPr>
                <w:rFonts w:ascii="Arial" w:cs="Arial" w:eastAsia="Arial" w:hAnsi="Arial"/>
                <w:sz w:val="15"/>
                <w:szCs w:val="15"/>
                <w:b w:val="1"/>
                <w:bCs w:val="1"/>
                <w:color w:val="auto"/>
              </w:rPr>
              <w:t>(286)</w:t>
            </w:r>
          </w:p>
        </w:tc>
        <w:tc>
          <w:tcPr>
            <w:tcW w:w="360" w:type="dxa"/>
            <w:vAlign w:val="bottom"/>
          </w:tcPr>
          <w:p>
            <w:pPr>
              <w:spacing w:after="0"/>
              <w:rPr>
                <w:sz w:val="17"/>
                <w:szCs w:val="17"/>
                <w:color w:val="auto"/>
              </w:rPr>
            </w:pPr>
          </w:p>
        </w:tc>
        <w:tc>
          <w:tcPr>
            <w:tcW w:w="1080" w:type="dxa"/>
            <w:vAlign w:val="bottom"/>
          </w:tcPr>
          <w:p>
            <w:pPr>
              <w:jc w:val="right"/>
              <w:ind w:right="103"/>
              <w:spacing w:after="0"/>
              <w:rPr>
                <w:sz w:val="20"/>
                <w:szCs w:val="20"/>
                <w:color w:val="auto"/>
              </w:rPr>
            </w:pPr>
            <w:r>
              <w:rPr>
                <w:rFonts w:ascii="Arial" w:cs="Arial" w:eastAsia="Arial" w:hAnsi="Arial"/>
                <w:sz w:val="15"/>
                <w:szCs w:val="15"/>
                <w:color w:val="auto"/>
              </w:rPr>
              <w:t>(353)</w:t>
            </w:r>
          </w:p>
        </w:tc>
        <w:tc>
          <w:tcPr>
            <w:tcW w:w="36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226"/>
        </w:trPr>
        <w:tc>
          <w:tcPr>
            <w:tcW w:w="53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Less: Treasury stock at cost: 10,730,582; 42,326,538; and 1,120,466</w:t>
            </w:r>
          </w:p>
        </w:tc>
        <w:tc>
          <w:tcPr>
            <w:tcW w:w="110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(445)</w:t>
            </w:r>
          </w:p>
        </w:tc>
        <w:tc>
          <w:tcPr>
            <w:tcW w:w="3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44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5"/>
                <w:szCs w:val="15"/>
                <w:color w:val="auto"/>
              </w:rPr>
              <w:t>shares, respectively</w:t>
            </w:r>
          </w:p>
        </w:tc>
        <w:tc>
          <w:tcPr>
            <w:tcW w:w="186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vMerge w:val="continue"/>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(1,728)</w:t>
            </w:r>
          </w:p>
        </w:tc>
        <w:tc>
          <w:tcPr>
            <w:tcW w:w="3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(81)</w:t>
            </w:r>
          </w:p>
        </w:tc>
        <w:tc>
          <w:tcPr>
            <w:tcW w:w="0" w:type="dxa"/>
            <w:vAlign w:val="bottom"/>
          </w:tcPr>
          <w:p>
            <w:pPr>
              <w:spacing w:after="0"/>
              <w:rPr>
                <w:sz w:val="1"/>
                <w:szCs w:val="1"/>
                <w:color w:val="auto"/>
              </w:rPr>
            </w:pPr>
          </w:p>
        </w:tc>
      </w:tr>
      <w:tr>
        <w:trPr>
          <w:trHeight w:val="187"/>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shareholders' equity</w:t>
            </w:r>
          </w:p>
        </w:tc>
        <w:tc>
          <w:tcPr>
            <w:tcW w:w="18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2,657</w:t>
            </w:r>
          </w:p>
        </w:tc>
        <w:tc>
          <w:tcPr>
            <w:tcW w:w="3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2,633</w:t>
            </w:r>
          </w:p>
        </w:tc>
        <w:tc>
          <w:tcPr>
            <w:tcW w:w="3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2,710</w:t>
            </w:r>
          </w:p>
        </w:tc>
        <w:tc>
          <w:tcPr>
            <w:tcW w:w="0" w:type="dxa"/>
            <w:vAlign w:val="bottom"/>
          </w:tcPr>
          <w:p>
            <w:pPr>
              <w:spacing w:after="0"/>
              <w:rPr>
                <w:sz w:val="1"/>
                <w:szCs w:val="1"/>
                <w:color w:val="auto"/>
              </w:rPr>
            </w:pPr>
          </w:p>
        </w:tc>
      </w:tr>
      <w:tr>
        <w:trPr>
          <w:trHeight w:val="179"/>
        </w:trPr>
        <w:tc>
          <w:tcPr>
            <w:tcW w:w="3440" w:type="dxa"/>
            <w:vAlign w:val="bottom"/>
            <w:tcBorders>
              <w:bottom w:val="single" w:sz="8" w:color="auto"/>
            </w:tcBorders>
            <w:shd w:val="clear" w:color="auto" w:fill="CCEEFF"/>
          </w:tcPr>
          <w:p>
            <w:pPr>
              <w:spacing w:after="0"/>
              <w:rPr>
                <w:sz w:val="15"/>
                <w:szCs w:val="15"/>
                <w:color w:val="auto"/>
              </w:rPr>
            </w:pPr>
          </w:p>
        </w:tc>
        <w:tc>
          <w:tcPr>
            <w:tcW w:w="18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1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3,813</w:t>
            </w:r>
          </w:p>
        </w:tc>
        <w:tc>
          <w:tcPr>
            <w:tcW w:w="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0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3,694</w:t>
            </w:r>
          </w:p>
        </w:tc>
        <w:tc>
          <w:tcPr>
            <w:tcW w:w="3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173" w:lineRule="exact"/>
        <w:rPr>
          <w:sz w:val="20"/>
          <w:szCs w:val="20"/>
          <w:color w:val="auto"/>
        </w:rPr>
      </w:pPr>
    </w:p>
    <w:p>
      <w:pPr>
        <w:jc w:val="both"/>
        <w:ind w:firstLine="5"/>
        <w:spacing w:after="0" w:line="239" w:lineRule="auto"/>
        <w:tabs>
          <w:tab w:leader="none" w:pos="101" w:val="left"/>
        </w:tabs>
        <w:numPr>
          <w:ilvl w:val="0"/>
          <w:numId w:val="3"/>
        </w:numPr>
        <w:rPr>
          <w:rFonts w:ascii="Arial" w:cs="Arial" w:eastAsia="Arial" w:hAnsi="Arial"/>
          <w:sz w:val="12"/>
          <w:szCs w:val="12"/>
          <w:color w:val="auto"/>
        </w:rPr>
      </w:pPr>
      <w:r>
        <w:rPr>
          <w:rFonts w:ascii="Arial" w:cs="Arial" w:eastAsia="Arial" w:hAnsi="Arial"/>
          <w:sz w:val="12"/>
          <w:szCs w:val="12"/>
          <w:color w:val="auto"/>
        </w:rPr>
        <w:t>The balance sheet at January 28, 2017 has been derived from the previously reported audited financial statements at that date, but does not include all of the information and footnotes required by U.S. generally accepted accounting principles for complete financial statements. For further information, refer to the consolidated financial statements and footnotes thereto included in Foot Locker, Inc.’s Annual Report on Form 10-K for the year ended January 28, 2017.</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3" w:name="page4"/>
    <w:bookmarkEnd w:id="3"/>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millions, except per share amounts)</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40" w:type="dxa"/>
            <w:vAlign w:val="bottom"/>
            <w:gridSpan w:val="3"/>
          </w:tcPr>
          <w:p>
            <w:pPr>
              <w:jc w:val="right"/>
              <w:ind w:right="463"/>
              <w:spacing w:after="0"/>
              <w:rPr>
                <w:sz w:val="20"/>
                <w:szCs w:val="20"/>
                <w:color w:val="auto"/>
              </w:rPr>
            </w:pPr>
            <w:r>
              <w:rPr>
                <w:rFonts w:ascii="Arial" w:cs="Arial" w:eastAsia="Arial" w:hAnsi="Arial"/>
                <w:sz w:val="15"/>
                <w:szCs w:val="15"/>
                <w:b w:val="1"/>
                <w:bCs w:val="1"/>
                <w:color w:val="auto"/>
              </w:rPr>
              <w:t>Thirteen weeks ended</w:t>
            </w:r>
          </w:p>
        </w:tc>
        <w:tc>
          <w:tcPr>
            <w:tcW w:w="280" w:type="dxa"/>
            <w:vAlign w:val="bottom"/>
          </w:tcPr>
          <w:p>
            <w:pPr>
              <w:spacing w:after="0"/>
              <w:rPr>
                <w:sz w:val="16"/>
                <w:szCs w:val="16"/>
                <w:color w:val="auto"/>
              </w:rPr>
            </w:pPr>
          </w:p>
        </w:tc>
        <w:tc>
          <w:tcPr>
            <w:tcW w:w="2160" w:type="dxa"/>
            <w:vAlign w:val="bottom"/>
            <w:gridSpan w:val="4"/>
          </w:tcPr>
          <w:p>
            <w:pPr>
              <w:jc w:val="right"/>
              <w:ind w:right="320"/>
              <w:spacing w:after="0"/>
              <w:rPr>
                <w:sz w:val="20"/>
                <w:szCs w:val="20"/>
                <w:color w:val="auto"/>
              </w:rPr>
            </w:pPr>
            <w:r>
              <w:rPr>
                <w:rFonts w:ascii="Arial" w:cs="Arial" w:eastAsia="Arial" w:hAnsi="Arial"/>
                <w:sz w:val="15"/>
                <w:szCs w:val="15"/>
                <w:b w:val="1"/>
                <w:bCs w:val="1"/>
                <w:color w:val="auto"/>
              </w:rPr>
              <w:t>Thirty-nine weeks ended</w:t>
            </w:r>
          </w:p>
        </w:tc>
      </w:tr>
      <w:tr>
        <w:trPr>
          <w:trHeight w:val="151"/>
        </w:trPr>
        <w:tc>
          <w:tcPr>
            <w:tcW w:w="412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gridSpan w:val="2"/>
          </w:tcPr>
          <w:p>
            <w:pPr>
              <w:ind w:left="160"/>
              <w:spacing w:after="0" w:line="151" w:lineRule="exact"/>
              <w:rPr>
                <w:sz w:val="20"/>
                <w:szCs w:val="20"/>
                <w:color w:val="auto"/>
              </w:rPr>
            </w:pPr>
            <w:r>
              <w:rPr>
                <w:rFonts w:ascii="Arial" w:cs="Arial" w:eastAsia="Arial" w:hAnsi="Arial"/>
                <w:sz w:val="15"/>
                <w:szCs w:val="15"/>
                <w:b w:val="1"/>
                <w:bCs w:val="1"/>
                <w:color w:val="auto"/>
              </w:rPr>
              <w:t>October 28,</w:t>
            </w:r>
          </w:p>
        </w:tc>
        <w:tc>
          <w:tcPr>
            <w:tcW w:w="1280" w:type="dxa"/>
            <w:vAlign w:val="bottom"/>
            <w:tcBorders>
              <w:top w:val="single" w:sz="8" w:color="auto"/>
            </w:tcBorders>
            <w:gridSpan w:val="2"/>
          </w:tcPr>
          <w:p>
            <w:pPr>
              <w:ind w:left="160"/>
              <w:spacing w:after="0" w:line="151" w:lineRule="exact"/>
              <w:rPr>
                <w:sz w:val="20"/>
                <w:szCs w:val="20"/>
                <w:color w:val="auto"/>
              </w:rPr>
            </w:pPr>
            <w:r>
              <w:rPr>
                <w:rFonts w:ascii="Arial" w:cs="Arial" w:eastAsia="Arial" w:hAnsi="Arial"/>
                <w:sz w:val="15"/>
                <w:szCs w:val="15"/>
                <w:b w:val="1"/>
                <w:bCs w:val="1"/>
                <w:color w:val="auto"/>
              </w:rPr>
              <w:t>October 29,</w:t>
            </w:r>
          </w:p>
        </w:tc>
        <w:tc>
          <w:tcPr>
            <w:tcW w:w="1280" w:type="dxa"/>
            <w:vAlign w:val="bottom"/>
            <w:tcBorders>
              <w:top w:val="single" w:sz="8" w:color="auto"/>
            </w:tcBorders>
            <w:gridSpan w:val="2"/>
          </w:tcPr>
          <w:p>
            <w:pPr>
              <w:ind w:left="160"/>
              <w:spacing w:after="0" w:line="151" w:lineRule="exact"/>
              <w:rPr>
                <w:sz w:val="20"/>
                <w:szCs w:val="20"/>
                <w:color w:val="auto"/>
              </w:rPr>
            </w:pPr>
            <w:r>
              <w:rPr>
                <w:rFonts w:ascii="Arial" w:cs="Arial" w:eastAsia="Arial" w:hAnsi="Arial"/>
                <w:sz w:val="15"/>
                <w:szCs w:val="15"/>
                <w:b w:val="1"/>
                <w:bCs w:val="1"/>
                <w:color w:val="auto"/>
              </w:rPr>
              <w:t>October 28,</w:t>
            </w:r>
          </w:p>
        </w:tc>
        <w:tc>
          <w:tcPr>
            <w:tcW w:w="1140" w:type="dxa"/>
            <w:vAlign w:val="bottom"/>
            <w:tcBorders>
              <w:top w:val="single" w:sz="8" w:color="auto"/>
            </w:tcBorders>
            <w:gridSpan w:val="2"/>
          </w:tcPr>
          <w:p>
            <w:pPr>
              <w:ind w:left="180"/>
              <w:spacing w:after="0" w:line="151" w:lineRule="exact"/>
              <w:rPr>
                <w:sz w:val="20"/>
                <w:szCs w:val="20"/>
                <w:color w:val="auto"/>
              </w:rPr>
            </w:pPr>
            <w:r>
              <w:rPr>
                <w:rFonts w:ascii="Arial" w:cs="Arial" w:eastAsia="Arial" w:hAnsi="Arial"/>
                <w:sz w:val="15"/>
                <w:szCs w:val="15"/>
                <w:b w:val="1"/>
                <w:bCs w:val="1"/>
                <w:color w:val="auto"/>
              </w:rPr>
              <w:t>October 29,</w:t>
            </w:r>
          </w:p>
        </w:tc>
        <w:tc>
          <w:tcPr>
            <w:tcW w:w="20" w:type="dxa"/>
            <w:vAlign w:val="bottom"/>
          </w:tcPr>
          <w:p>
            <w:pPr>
              <w:spacing w:after="0"/>
              <w:rPr>
                <w:sz w:val="13"/>
                <w:szCs w:val="13"/>
                <w:color w:val="auto"/>
              </w:rPr>
            </w:pPr>
          </w:p>
        </w:tc>
      </w:tr>
      <w:tr>
        <w:trPr>
          <w:trHeight w:val="194"/>
        </w:trPr>
        <w:tc>
          <w:tcPr>
            <w:tcW w:w="4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2016</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r>
      <w:tr>
        <w:trPr>
          <w:trHeight w:val="187"/>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12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Sales</w:t>
            </w:r>
          </w:p>
        </w:tc>
        <w:tc>
          <w:tcPr>
            <w:tcW w:w="32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1,870</w:t>
            </w:r>
          </w:p>
        </w:tc>
        <w:tc>
          <w:tcPr>
            <w:tcW w:w="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1,886</w:t>
            </w:r>
          </w:p>
        </w:tc>
        <w:tc>
          <w:tcPr>
            <w:tcW w:w="2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5,572</w:t>
            </w:r>
          </w:p>
        </w:tc>
        <w:tc>
          <w:tcPr>
            <w:tcW w:w="3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5,653</w:t>
            </w:r>
          </w:p>
        </w:tc>
        <w:tc>
          <w:tcPr>
            <w:tcW w:w="20" w:type="dxa"/>
            <w:vAlign w:val="bottom"/>
          </w:tcPr>
          <w:p>
            <w:pPr>
              <w:spacing w:after="0"/>
              <w:rPr>
                <w:sz w:val="17"/>
                <w:szCs w:val="17"/>
                <w:color w:val="auto"/>
              </w:rPr>
            </w:pPr>
          </w:p>
        </w:tc>
      </w:tr>
      <w:tr>
        <w:trPr>
          <w:trHeight w:val="207"/>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Cost of sales</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1,290</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1,246</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3,809</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3,730</w:t>
            </w:r>
          </w:p>
        </w:tc>
        <w:tc>
          <w:tcPr>
            <w:tcW w:w="20" w:type="dxa"/>
            <w:vAlign w:val="bottom"/>
          </w:tcPr>
          <w:p>
            <w:pPr>
              <w:spacing w:after="0"/>
              <w:rPr>
                <w:sz w:val="17"/>
                <w:szCs w:val="17"/>
                <w:color w:val="auto"/>
              </w:rPr>
            </w:pPr>
          </w:p>
        </w:tc>
      </w:tr>
      <w:tr>
        <w:trPr>
          <w:trHeight w:val="207"/>
        </w:trPr>
        <w:tc>
          <w:tcPr>
            <w:tcW w:w="4120" w:type="dxa"/>
            <w:vAlign w:val="bottom"/>
          </w:tcPr>
          <w:p>
            <w:pPr>
              <w:spacing w:after="0"/>
              <w:rPr>
                <w:sz w:val="20"/>
                <w:szCs w:val="20"/>
                <w:color w:val="auto"/>
              </w:rPr>
            </w:pPr>
            <w:r>
              <w:rPr>
                <w:rFonts w:ascii="Arial" w:cs="Arial" w:eastAsia="Arial" w:hAnsi="Arial"/>
                <w:sz w:val="15"/>
                <w:szCs w:val="15"/>
                <w:color w:val="auto"/>
              </w:rPr>
              <w:t>Selling, general and administrative expenses</w:t>
            </w:r>
          </w:p>
        </w:tc>
        <w:tc>
          <w:tcPr>
            <w:tcW w:w="320" w:type="dxa"/>
            <w:vAlign w:val="bottom"/>
          </w:tcPr>
          <w:p>
            <w:pPr>
              <w:spacing w:after="0"/>
              <w:rPr>
                <w:sz w:val="17"/>
                <w:szCs w:val="17"/>
                <w:color w:val="auto"/>
              </w:rPr>
            </w:pPr>
          </w:p>
        </w:tc>
        <w:tc>
          <w:tcPr>
            <w:tcW w:w="960" w:type="dxa"/>
            <w:vAlign w:val="bottom"/>
          </w:tcPr>
          <w:p>
            <w:pPr>
              <w:jc w:val="right"/>
              <w:ind w:right="123"/>
              <w:spacing w:after="0"/>
              <w:rPr>
                <w:sz w:val="20"/>
                <w:szCs w:val="20"/>
                <w:color w:val="auto"/>
              </w:rPr>
            </w:pPr>
            <w:r>
              <w:rPr>
                <w:rFonts w:ascii="Arial" w:cs="Arial" w:eastAsia="Arial" w:hAnsi="Arial"/>
                <w:sz w:val="15"/>
                <w:szCs w:val="15"/>
                <w:b w:val="1"/>
                <w:bCs w:val="1"/>
                <w:color w:val="auto"/>
              </w:rPr>
              <w:t>368</w:t>
            </w:r>
          </w:p>
        </w:tc>
        <w:tc>
          <w:tcPr>
            <w:tcW w:w="320" w:type="dxa"/>
            <w:vAlign w:val="bottom"/>
          </w:tcPr>
          <w:p>
            <w:pPr>
              <w:spacing w:after="0"/>
              <w:rPr>
                <w:sz w:val="17"/>
                <w:szCs w:val="17"/>
                <w:color w:val="auto"/>
              </w:rPr>
            </w:pPr>
          </w:p>
        </w:tc>
        <w:tc>
          <w:tcPr>
            <w:tcW w:w="960" w:type="dxa"/>
            <w:vAlign w:val="bottom"/>
          </w:tcPr>
          <w:p>
            <w:pPr>
              <w:jc w:val="right"/>
              <w:ind w:right="123"/>
              <w:spacing w:after="0"/>
              <w:rPr>
                <w:sz w:val="20"/>
                <w:szCs w:val="20"/>
                <w:color w:val="auto"/>
              </w:rPr>
            </w:pPr>
            <w:r>
              <w:rPr>
                <w:rFonts w:ascii="Arial" w:cs="Arial" w:eastAsia="Arial" w:hAnsi="Arial"/>
                <w:sz w:val="15"/>
                <w:szCs w:val="15"/>
                <w:color w:val="auto"/>
              </w:rPr>
              <w:t>366</w:t>
            </w:r>
          </w:p>
        </w:tc>
        <w:tc>
          <w:tcPr>
            <w:tcW w:w="280" w:type="dxa"/>
            <w:vAlign w:val="bottom"/>
          </w:tcPr>
          <w:p>
            <w:pPr>
              <w:spacing w:after="0"/>
              <w:rPr>
                <w:sz w:val="17"/>
                <w:szCs w:val="17"/>
                <w:color w:val="auto"/>
              </w:rPr>
            </w:pPr>
          </w:p>
        </w:tc>
        <w:tc>
          <w:tcPr>
            <w:tcW w:w="1000" w:type="dxa"/>
            <w:vAlign w:val="bottom"/>
          </w:tcPr>
          <w:p>
            <w:pPr>
              <w:jc w:val="right"/>
              <w:ind w:right="103"/>
              <w:spacing w:after="0"/>
              <w:rPr>
                <w:sz w:val="20"/>
                <w:szCs w:val="20"/>
                <w:color w:val="auto"/>
              </w:rPr>
            </w:pPr>
            <w:r>
              <w:rPr>
                <w:rFonts w:ascii="Arial" w:cs="Arial" w:eastAsia="Arial" w:hAnsi="Arial"/>
                <w:sz w:val="15"/>
                <w:szCs w:val="15"/>
                <w:b w:val="1"/>
                <w:bCs w:val="1"/>
                <w:color w:val="auto"/>
              </w:rPr>
              <w:t>1,078</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1,077</w:t>
            </w:r>
          </w:p>
        </w:tc>
        <w:tc>
          <w:tcPr>
            <w:tcW w:w="20" w:type="dxa"/>
            <w:vAlign w:val="bottom"/>
          </w:tcPr>
          <w:p>
            <w:pPr>
              <w:spacing w:after="0"/>
              <w:rPr>
                <w:sz w:val="17"/>
                <w:szCs w:val="17"/>
                <w:color w:val="auto"/>
              </w:rPr>
            </w:pPr>
          </w:p>
        </w:tc>
      </w:tr>
      <w:tr>
        <w:trPr>
          <w:trHeight w:val="207"/>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44</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40</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127</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c>
          <w:tcPr>
            <w:tcW w:w="20" w:type="dxa"/>
            <w:vAlign w:val="bottom"/>
          </w:tcPr>
          <w:p>
            <w:pPr>
              <w:spacing w:after="0"/>
              <w:rPr>
                <w:sz w:val="17"/>
                <w:szCs w:val="17"/>
                <w:color w:val="auto"/>
              </w:rPr>
            </w:pPr>
          </w:p>
        </w:tc>
      </w:tr>
      <w:tr>
        <w:trPr>
          <w:trHeight w:val="207"/>
        </w:trPr>
        <w:tc>
          <w:tcPr>
            <w:tcW w:w="4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Litigation and other charges</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13</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6</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63</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7"/>
                <w:szCs w:val="17"/>
                <w:color w:val="auto"/>
              </w:rPr>
            </w:pPr>
          </w:p>
        </w:tc>
      </w:tr>
      <w:tr>
        <w:trPr>
          <w:trHeight w:val="187"/>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Income from operations</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155</w:t>
            </w:r>
          </w:p>
        </w:tc>
        <w:tc>
          <w:tcPr>
            <w:tcW w:w="32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228</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495</w:t>
            </w:r>
          </w:p>
        </w:tc>
        <w:tc>
          <w:tcPr>
            <w:tcW w:w="3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w:t>
            </w:r>
          </w:p>
        </w:tc>
        <w:tc>
          <w:tcPr>
            <w:tcW w:w="20" w:type="dxa"/>
            <w:vAlign w:val="bottom"/>
          </w:tcPr>
          <w:p>
            <w:pPr>
              <w:spacing w:after="0"/>
              <w:rPr>
                <w:sz w:val="16"/>
                <w:szCs w:val="16"/>
                <w:color w:val="auto"/>
              </w:rPr>
            </w:pPr>
          </w:p>
        </w:tc>
      </w:tr>
      <w:tr>
        <w:trPr>
          <w:trHeight w:val="207"/>
        </w:trPr>
        <w:tc>
          <w:tcPr>
            <w:tcW w:w="4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120" w:type="dxa"/>
            <w:vAlign w:val="bottom"/>
            <w:shd w:val="clear" w:color="auto" w:fill="CCEEFF"/>
          </w:tcPr>
          <w:p>
            <w:pPr>
              <w:spacing w:after="0"/>
              <w:rPr>
                <w:sz w:val="20"/>
                <w:szCs w:val="20"/>
                <w:color w:val="auto"/>
              </w:rPr>
            </w:pPr>
            <w:r>
              <w:rPr>
                <w:rFonts w:ascii="Arial" w:cs="Arial" w:eastAsia="Arial" w:hAnsi="Arial"/>
                <w:sz w:val="15"/>
                <w:szCs w:val="15"/>
                <w:color w:val="auto"/>
              </w:rPr>
              <w:t>Interest (income) / expense, net</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w:t>
            </w: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w:t>
            </w: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20" w:type="dxa"/>
            <w:vAlign w:val="bottom"/>
          </w:tcPr>
          <w:p>
            <w:pPr>
              <w:spacing w:after="0"/>
              <w:rPr>
                <w:sz w:val="17"/>
                <w:szCs w:val="17"/>
                <w:color w:val="auto"/>
              </w:rPr>
            </w:pPr>
          </w:p>
        </w:tc>
      </w:tr>
      <w:tr>
        <w:trPr>
          <w:trHeight w:val="207"/>
        </w:trPr>
        <w:tc>
          <w:tcPr>
            <w:tcW w:w="4120" w:type="dxa"/>
            <w:vAlign w:val="bottom"/>
          </w:tcPr>
          <w:p>
            <w:pPr>
              <w:spacing w:after="0"/>
              <w:rPr>
                <w:sz w:val="20"/>
                <w:szCs w:val="20"/>
                <w:color w:val="auto"/>
              </w:rPr>
            </w:pPr>
            <w:r>
              <w:rPr>
                <w:rFonts w:ascii="Arial" w:cs="Arial" w:eastAsia="Arial" w:hAnsi="Arial"/>
                <w:sz w:val="15"/>
                <w:szCs w:val="15"/>
                <w:color w:val="auto"/>
              </w:rPr>
              <w:t>Other income</w:t>
            </w:r>
          </w:p>
        </w:tc>
        <w:tc>
          <w:tcPr>
            <w:tcW w:w="32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b w:val="1"/>
                <w:bCs w:val="1"/>
                <w:color w:val="auto"/>
              </w:rPr>
              <w:t>(1)</w:t>
            </w:r>
          </w:p>
        </w:tc>
        <w:tc>
          <w:tcPr>
            <w:tcW w:w="320" w:type="dxa"/>
            <w:vAlign w:val="bottom"/>
          </w:tcPr>
          <w:p>
            <w:pPr>
              <w:spacing w:after="0"/>
              <w:rPr>
                <w:sz w:val="17"/>
                <w:szCs w:val="17"/>
                <w:color w:val="auto"/>
              </w:rPr>
            </w:pPr>
          </w:p>
        </w:tc>
        <w:tc>
          <w:tcPr>
            <w:tcW w:w="9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80" w:type="dxa"/>
            <w:vAlign w:val="bottom"/>
          </w:tcPr>
          <w:p>
            <w:pPr>
              <w:spacing w:after="0"/>
              <w:rPr>
                <w:sz w:val="17"/>
                <w:szCs w:val="17"/>
                <w:color w:val="auto"/>
              </w:rPr>
            </w:pPr>
          </w:p>
        </w:tc>
        <w:tc>
          <w:tcPr>
            <w:tcW w:w="1000" w:type="dxa"/>
            <w:vAlign w:val="bottom"/>
          </w:tcPr>
          <w:p>
            <w:pPr>
              <w:jc w:val="right"/>
              <w:ind w:right="63"/>
              <w:spacing w:after="0"/>
              <w:rPr>
                <w:sz w:val="20"/>
                <w:szCs w:val="20"/>
                <w:color w:val="auto"/>
              </w:rPr>
            </w:pPr>
            <w:r>
              <w:rPr>
                <w:rFonts w:ascii="Arial" w:cs="Arial" w:eastAsia="Arial" w:hAnsi="Arial"/>
                <w:sz w:val="15"/>
                <w:szCs w:val="15"/>
                <w:b w:val="1"/>
                <w:bCs w:val="1"/>
                <w:color w:val="auto"/>
              </w:rPr>
              <w:t>(2)</w:t>
            </w:r>
          </w:p>
        </w:tc>
        <w:tc>
          <w:tcPr>
            <w:tcW w:w="340" w:type="dxa"/>
            <w:vAlign w:val="bottom"/>
          </w:tcPr>
          <w:p>
            <w:pPr>
              <w:spacing w:after="0"/>
              <w:rPr>
                <w:sz w:val="17"/>
                <w:szCs w:val="17"/>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5"/>
                <w:szCs w:val="15"/>
                <w:color w:val="auto"/>
              </w:rPr>
              <w:t>(3)</w:t>
            </w:r>
          </w:p>
        </w:tc>
      </w:tr>
      <w:tr>
        <w:trPr>
          <w:trHeight w:val="187"/>
        </w:trPr>
        <w:tc>
          <w:tcPr>
            <w:tcW w:w="4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before income taxes</w:t>
            </w:r>
          </w:p>
        </w:tc>
        <w:tc>
          <w:tcPr>
            <w:tcW w:w="3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156</w:t>
            </w:r>
          </w:p>
        </w:tc>
        <w:tc>
          <w:tcPr>
            <w:tcW w:w="32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227</w:t>
            </w:r>
          </w:p>
        </w:tc>
        <w:tc>
          <w:tcPr>
            <w:tcW w:w="28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498</w:t>
            </w:r>
          </w:p>
        </w:tc>
        <w:tc>
          <w:tcPr>
            <w:tcW w:w="34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723</w:t>
            </w:r>
          </w:p>
        </w:tc>
        <w:tc>
          <w:tcPr>
            <w:tcW w:w="20" w:type="dxa"/>
            <w:vAlign w:val="bottom"/>
          </w:tcPr>
          <w:p>
            <w:pPr>
              <w:spacing w:after="0"/>
              <w:rPr>
                <w:sz w:val="16"/>
                <w:szCs w:val="16"/>
                <w:color w:val="auto"/>
              </w:rPr>
            </w:pPr>
          </w:p>
        </w:tc>
      </w:tr>
      <w:tr>
        <w:trPr>
          <w:trHeight w:val="207"/>
        </w:trPr>
        <w:tc>
          <w:tcPr>
            <w:tcW w:w="41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Income tax expense</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54</w:t>
            </w:r>
          </w:p>
        </w:tc>
        <w:tc>
          <w:tcPr>
            <w:tcW w:w="3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70</w:t>
            </w: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165</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248</w:t>
            </w:r>
          </w:p>
        </w:tc>
        <w:tc>
          <w:tcPr>
            <w:tcW w:w="20" w:type="dxa"/>
            <w:vAlign w:val="bottom"/>
          </w:tcPr>
          <w:p>
            <w:pPr>
              <w:spacing w:after="0"/>
              <w:rPr>
                <w:sz w:val="17"/>
                <w:szCs w:val="17"/>
                <w:color w:val="auto"/>
              </w:rPr>
            </w:pPr>
          </w:p>
        </w:tc>
      </w:tr>
      <w:tr>
        <w:trPr>
          <w:trHeight w:val="179"/>
        </w:trPr>
        <w:tc>
          <w:tcPr>
            <w:tcW w:w="41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102</w:t>
            </w:r>
          </w:p>
        </w:tc>
        <w:tc>
          <w:tcPr>
            <w:tcW w:w="32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157</w:t>
            </w:r>
          </w:p>
        </w:tc>
        <w:tc>
          <w:tcPr>
            <w:tcW w:w="2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333</w:t>
            </w:r>
          </w:p>
        </w:tc>
        <w:tc>
          <w:tcPr>
            <w:tcW w:w="34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475</w:t>
            </w:r>
          </w:p>
        </w:tc>
        <w:tc>
          <w:tcPr>
            <w:tcW w:w="20" w:type="dxa"/>
            <w:vAlign w:val="bottom"/>
          </w:tcPr>
          <w:p>
            <w:pPr>
              <w:spacing w:after="0"/>
              <w:rPr>
                <w:sz w:val="15"/>
                <w:szCs w:val="15"/>
                <w:color w:val="auto"/>
              </w:rPr>
            </w:pPr>
          </w:p>
        </w:tc>
      </w:tr>
      <w:tr>
        <w:trPr>
          <w:trHeight w:val="195"/>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120" w:type="dxa"/>
            <w:vAlign w:val="bottom"/>
            <w:shd w:val="clear" w:color="auto" w:fill="CCEEFF"/>
          </w:tcPr>
          <w:p>
            <w:pPr>
              <w:ind w:left="100"/>
              <w:spacing w:after="0"/>
              <w:rPr>
                <w:sz w:val="20"/>
                <w:szCs w:val="20"/>
                <w:color w:val="auto"/>
              </w:rPr>
            </w:pPr>
            <w:r>
              <w:rPr>
                <w:rFonts w:ascii="Arial" w:cs="Arial" w:eastAsia="Arial" w:hAnsi="Arial"/>
                <w:sz w:val="15"/>
                <w:szCs w:val="15"/>
                <w:color w:val="auto"/>
              </w:rPr>
              <w:t>Basic earnings per share</w:t>
            </w:r>
          </w:p>
        </w:tc>
        <w:tc>
          <w:tcPr>
            <w:tcW w:w="320" w:type="dxa"/>
            <w:vAlign w:val="bottom"/>
            <w:shd w:val="clear" w:color="auto" w:fill="CCEEFF"/>
          </w:tcPr>
          <w:p>
            <w:pPr>
              <w:ind w:left="160"/>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0.81</w:t>
            </w:r>
          </w:p>
        </w:tc>
        <w:tc>
          <w:tcPr>
            <w:tcW w:w="3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1.18</w:t>
            </w:r>
          </w:p>
        </w:tc>
        <w:tc>
          <w:tcPr>
            <w:tcW w:w="28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2.57</w:t>
            </w:r>
          </w:p>
        </w:tc>
        <w:tc>
          <w:tcPr>
            <w:tcW w:w="3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w:t>
            </w:r>
          </w:p>
        </w:tc>
        <w:tc>
          <w:tcPr>
            <w:tcW w:w="20" w:type="dxa"/>
            <w:vAlign w:val="bottom"/>
          </w:tcPr>
          <w:p>
            <w:pPr>
              <w:spacing w:after="0"/>
              <w:rPr>
                <w:sz w:val="17"/>
                <w:szCs w:val="17"/>
                <w:color w:val="auto"/>
              </w:rPr>
            </w:pPr>
          </w:p>
        </w:tc>
      </w:tr>
      <w:tr>
        <w:trPr>
          <w:trHeight w:val="207"/>
        </w:trPr>
        <w:tc>
          <w:tcPr>
            <w:tcW w:w="4120" w:type="dxa"/>
            <w:vAlign w:val="bottom"/>
          </w:tcPr>
          <w:p>
            <w:pPr>
              <w:ind w:left="100"/>
              <w:spacing w:after="0"/>
              <w:rPr>
                <w:sz w:val="20"/>
                <w:szCs w:val="20"/>
                <w:color w:val="auto"/>
              </w:rPr>
            </w:pPr>
            <w:r>
              <w:rPr>
                <w:rFonts w:ascii="Arial" w:cs="Arial" w:eastAsia="Arial" w:hAnsi="Arial"/>
                <w:sz w:val="15"/>
                <w:szCs w:val="15"/>
                <w:color w:val="auto"/>
              </w:rPr>
              <w:t>Weighted-average shares outstanding</w:t>
            </w:r>
          </w:p>
        </w:tc>
        <w:tc>
          <w:tcPr>
            <w:tcW w:w="320" w:type="dxa"/>
            <w:vAlign w:val="bottom"/>
          </w:tcPr>
          <w:p>
            <w:pPr>
              <w:spacing w:after="0"/>
              <w:rPr>
                <w:sz w:val="17"/>
                <w:szCs w:val="17"/>
                <w:color w:val="auto"/>
              </w:rPr>
            </w:pPr>
          </w:p>
        </w:tc>
        <w:tc>
          <w:tcPr>
            <w:tcW w:w="960" w:type="dxa"/>
            <w:vAlign w:val="bottom"/>
          </w:tcPr>
          <w:p>
            <w:pPr>
              <w:jc w:val="right"/>
              <w:ind w:right="123"/>
              <w:spacing w:after="0"/>
              <w:rPr>
                <w:sz w:val="20"/>
                <w:szCs w:val="20"/>
                <w:color w:val="auto"/>
              </w:rPr>
            </w:pPr>
            <w:r>
              <w:rPr>
                <w:rFonts w:ascii="Arial" w:cs="Arial" w:eastAsia="Arial" w:hAnsi="Arial"/>
                <w:sz w:val="15"/>
                <w:szCs w:val="15"/>
                <w:b w:val="1"/>
                <w:bCs w:val="1"/>
                <w:color w:val="auto"/>
              </w:rPr>
              <w:t>126.0</w:t>
            </w:r>
          </w:p>
        </w:tc>
        <w:tc>
          <w:tcPr>
            <w:tcW w:w="320" w:type="dxa"/>
            <w:vAlign w:val="bottom"/>
          </w:tcPr>
          <w:p>
            <w:pPr>
              <w:spacing w:after="0"/>
              <w:rPr>
                <w:sz w:val="17"/>
                <w:szCs w:val="17"/>
                <w:color w:val="auto"/>
              </w:rPr>
            </w:pPr>
          </w:p>
        </w:tc>
        <w:tc>
          <w:tcPr>
            <w:tcW w:w="960" w:type="dxa"/>
            <w:vAlign w:val="bottom"/>
          </w:tcPr>
          <w:p>
            <w:pPr>
              <w:jc w:val="right"/>
              <w:ind w:right="123"/>
              <w:spacing w:after="0"/>
              <w:rPr>
                <w:sz w:val="20"/>
                <w:szCs w:val="20"/>
                <w:color w:val="auto"/>
              </w:rPr>
            </w:pPr>
            <w:r>
              <w:rPr>
                <w:rFonts w:ascii="Arial" w:cs="Arial" w:eastAsia="Arial" w:hAnsi="Arial"/>
                <w:sz w:val="15"/>
                <w:szCs w:val="15"/>
                <w:color w:val="auto"/>
              </w:rPr>
              <w:t>132.9</w:t>
            </w:r>
          </w:p>
        </w:tc>
        <w:tc>
          <w:tcPr>
            <w:tcW w:w="280" w:type="dxa"/>
            <w:vAlign w:val="bottom"/>
          </w:tcPr>
          <w:p>
            <w:pPr>
              <w:spacing w:after="0"/>
              <w:rPr>
                <w:sz w:val="17"/>
                <w:szCs w:val="17"/>
                <w:color w:val="auto"/>
              </w:rPr>
            </w:pPr>
          </w:p>
        </w:tc>
        <w:tc>
          <w:tcPr>
            <w:tcW w:w="1000" w:type="dxa"/>
            <w:vAlign w:val="bottom"/>
          </w:tcPr>
          <w:p>
            <w:pPr>
              <w:jc w:val="right"/>
              <w:ind w:right="103"/>
              <w:spacing w:after="0"/>
              <w:rPr>
                <w:sz w:val="20"/>
                <w:szCs w:val="20"/>
                <w:color w:val="auto"/>
              </w:rPr>
            </w:pPr>
            <w:r>
              <w:rPr>
                <w:rFonts w:ascii="Arial" w:cs="Arial" w:eastAsia="Arial" w:hAnsi="Arial"/>
                <w:sz w:val="15"/>
                <w:szCs w:val="15"/>
                <w:b w:val="1"/>
                <w:bCs w:val="1"/>
                <w:color w:val="auto"/>
              </w:rPr>
              <w:t>129.6</w:t>
            </w:r>
          </w:p>
        </w:tc>
        <w:tc>
          <w:tcPr>
            <w:tcW w:w="34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134.6</w:t>
            </w:r>
          </w:p>
        </w:tc>
        <w:tc>
          <w:tcPr>
            <w:tcW w:w="20" w:type="dxa"/>
            <w:vAlign w:val="bottom"/>
          </w:tcPr>
          <w:p>
            <w:pPr>
              <w:spacing w:after="0"/>
              <w:rPr>
                <w:sz w:val="17"/>
                <w:szCs w:val="17"/>
                <w:color w:val="auto"/>
              </w:rPr>
            </w:pPr>
          </w:p>
        </w:tc>
      </w:tr>
      <w:tr>
        <w:trPr>
          <w:trHeight w:val="207"/>
        </w:trPr>
        <w:tc>
          <w:tcPr>
            <w:tcW w:w="4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4120" w:type="dxa"/>
            <w:vAlign w:val="bottom"/>
          </w:tcPr>
          <w:p>
            <w:pPr>
              <w:ind w:left="100"/>
              <w:spacing w:after="0"/>
              <w:rPr>
                <w:sz w:val="20"/>
                <w:szCs w:val="20"/>
                <w:color w:val="auto"/>
              </w:rPr>
            </w:pPr>
            <w:r>
              <w:rPr>
                <w:rFonts w:ascii="Arial" w:cs="Arial" w:eastAsia="Arial" w:hAnsi="Arial"/>
                <w:sz w:val="15"/>
                <w:szCs w:val="15"/>
                <w:color w:val="auto"/>
              </w:rPr>
              <w:t>Diluted earnings per share</w:t>
            </w:r>
          </w:p>
        </w:tc>
        <w:tc>
          <w:tcPr>
            <w:tcW w:w="320" w:type="dxa"/>
            <w:vAlign w:val="bottom"/>
          </w:tcPr>
          <w:p>
            <w:pPr>
              <w:ind w:left="160"/>
              <w:spacing w:after="0"/>
              <w:rPr>
                <w:sz w:val="20"/>
                <w:szCs w:val="20"/>
                <w:color w:val="auto"/>
              </w:rPr>
            </w:pPr>
            <w:r>
              <w:rPr>
                <w:rFonts w:ascii="Arial" w:cs="Arial" w:eastAsia="Arial" w:hAnsi="Arial"/>
                <w:sz w:val="15"/>
                <w:szCs w:val="15"/>
                <w:b w:val="1"/>
                <w:bCs w:val="1"/>
                <w:color w:val="auto"/>
              </w:rPr>
              <w:t>$</w:t>
            </w:r>
          </w:p>
        </w:tc>
        <w:tc>
          <w:tcPr>
            <w:tcW w:w="960" w:type="dxa"/>
            <w:vAlign w:val="bottom"/>
          </w:tcPr>
          <w:p>
            <w:pPr>
              <w:jc w:val="right"/>
              <w:ind w:right="123"/>
              <w:spacing w:after="0"/>
              <w:rPr>
                <w:sz w:val="20"/>
                <w:szCs w:val="20"/>
                <w:color w:val="auto"/>
              </w:rPr>
            </w:pPr>
            <w:r>
              <w:rPr>
                <w:rFonts w:ascii="Arial" w:cs="Arial" w:eastAsia="Arial" w:hAnsi="Arial"/>
                <w:sz w:val="15"/>
                <w:szCs w:val="15"/>
                <w:b w:val="1"/>
                <w:bCs w:val="1"/>
                <w:color w:val="auto"/>
              </w:rPr>
              <w:t>0.81</w:t>
            </w:r>
          </w:p>
        </w:tc>
        <w:tc>
          <w:tcPr>
            <w:tcW w:w="320" w:type="dxa"/>
            <w:vAlign w:val="bottom"/>
          </w:tcPr>
          <w:p>
            <w:pPr>
              <w:ind w:left="160"/>
              <w:spacing w:after="0"/>
              <w:rPr>
                <w:sz w:val="20"/>
                <w:szCs w:val="20"/>
                <w:color w:val="auto"/>
              </w:rPr>
            </w:pPr>
            <w:r>
              <w:rPr>
                <w:rFonts w:ascii="Arial" w:cs="Arial" w:eastAsia="Arial" w:hAnsi="Arial"/>
                <w:sz w:val="15"/>
                <w:szCs w:val="15"/>
                <w:color w:val="auto"/>
              </w:rPr>
              <w:t>$</w:t>
            </w:r>
          </w:p>
        </w:tc>
        <w:tc>
          <w:tcPr>
            <w:tcW w:w="960" w:type="dxa"/>
            <w:vAlign w:val="bottom"/>
          </w:tcPr>
          <w:p>
            <w:pPr>
              <w:jc w:val="right"/>
              <w:ind w:right="123"/>
              <w:spacing w:after="0"/>
              <w:rPr>
                <w:sz w:val="20"/>
                <w:szCs w:val="20"/>
                <w:color w:val="auto"/>
              </w:rPr>
            </w:pPr>
            <w:r>
              <w:rPr>
                <w:rFonts w:ascii="Arial" w:cs="Arial" w:eastAsia="Arial" w:hAnsi="Arial"/>
                <w:sz w:val="15"/>
                <w:szCs w:val="15"/>
                <w:color w:val="auto"/>
              </w:rPr>
              <w:t>1.17</w:t>
            </w:r>
          </w:p>
        </w:tc>
        <w:tc>
          <w:tcPr>
            <w:tcW w:w="280" w:type="dxa"/>
            <w:vAlign w:val="bottom"/>
          </w:tcPr>
          <w:p>
            <w:pPr>
              <w:ind w:left="140"/>
              <w:spacing w:after="0"/>
              <w:rPr>
                <w:sz w:val="20"/>
                <w:szCs w:val="20"/>
                <w:color w:val="auto"/>
              </w:rPr>
            </w:pPr>
            <w:r>
              <w:rPr>
                <w:rFonts w:ascii="Arial" w:cs="Arial" w:eastAsia="Arial" w:hAnsi="Arial"/>
                <w:sz w:val="15"/>
                <w:szCs w:val="15"/>
                <w:b w:val="1"/>
                <w:bCs w:val="1"/>
                <w:color w:val="auto"/>
              </w:rPr>
              <w:t>$</w:t>
            </w:r>
          </w:p>
        </w:tc>
        <w:tc>
          <w:tcPr>
            <w:tcW w:w="1000" w:type="dxa"/>
            <w:vAlign w:val="bottom"/>
          </w:tcPr>
          <w:p>
            <w:pPr>
              <w:jc w:val="right"/>
              <w:ind w:right="103"/>
              <w:spacing w:after="0"/>
              <w:rPr>
                <w:sz w:val="20"/>
                <w:szCs w:val="20"/>
                <w:color w:val="auto"/>
              </w:rPr>
            </w:pPr>
            <w:r>
              <w:rPr>
                <w:rFonts w:ascii="Arial" w:cs="Arial" w:eastAsia="Arial" w:hAnsi="Arial"/>
                <w:sz w:val="15"/>
                <w:szCs w:val="15"/>
                <w:b w:val="1"/>
                <w:bCs w:val="1"/>
                <w:color w:val="auto"/>
              </w:rPr>
              <w:t>2.55</w:t>
            </w:r>
          </w:p>
        </w:tc>
        <w:tc>
          <w:tcPr>
            <w:tcW w:w="340" w:type="dxa"/>
            <w:vAlign w:val="bottom"/>
          </w:tcPr>
          <w:p>
            <w:pPr>
              <w:ind w:left="160"/>
              <w:spacing w:after="0"/>
              <w:rPr>
                <w:sz w:val="20"/>
                <w:szCs w:val="20"/>
                <w:color w:val="auto"/>
              </w:rPr>
            </w:pPr>
            <w:r>
              <w:rPr>
                <w:rFonts w:ascii="Arial" w:cs="Arial" w:eastAsia="Arial" w:hAnsi="Arial"/>
                <w:sz w:val="15"/>
                <w:szCs w:val="15"/>
                <w:color w:val="auto"/>
              </w:rPr>
              <w:t>$</w:t>
            </w:r>
          </w:p>
        </w:tc>
        <w:tc>
          <w:tcPr>
            <w:tcW w:w="800" w:type="dxa"/>
            <w:vAlign w:val="bottom"/>
          </w:tcPr>
          <w:p>
            <w:pPr>
              <w:jc w:val="right"/>
              <w:spacing w:after="0"/>
              <w:rPr>
                <w:sz w:val="20"/>
                <w:szCs w:val="20"/>
                <w:color w:val="auto"/>
              </w:rPr>
            </w:pPr>
            <w:r>
              <w:rPr>
                <w:rFonts w:ascii="Arial" w:cs="Arial" w:eastAsia="Arial" w:hAnsi="Arial"/>
                <w:sz w:val="15"/>
                <w:szCs w:val="15"/>
                <w:color w:val="auto"/>
              </w:rPr>
              <w:t>3.50</w:t>
            </w:r>
          </w:p>
        </w:tc>
        <w:tc>
          <w:tcPr>
            <w:tcW w:w="20" w:type="dxa"/>
            <w:vAlign w:val="bottom"/>
          </w:tcPr>
          <w:p>
            <w:pPr>
              <w:spacing w:after="0"/>
              <w:rPr>
                <w:sz w:val="17"/>
                <w:szCs w:val="17"/>
                <w:color w:val="auto"/>
              </w:rPr>
            </w:pPr>
          </w:p>
        </w:tc>
      </w:tr>
      <w:tr>
        <w:trPr>
          <w:trHeight w:val="377"/>
        </w:trPr>
        <w:tc>
          <w:tcPr>
            <w:tcW w:w="412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Weighted-average shares outstanding, assuming dilution</w:t>
            </w: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126.4</w:t>
            </w:r>
          </w:p>
        </w:tc>
        <w:tc>
          <w:tcPr>
            <w:tcW w:w="32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134.0</w:t>
            </w:r>
          </w:p>
        </w:tc>
        <w:tc>
          <w:tcPr>
            <w:tcW w:w="280" w:type="dxa"/>
            <w:vAlign w:val="bottom"/>
            <w:tcBorders>
              <w:bottom w:val="single" w:sz="8" w:color="auto"/>
            </w:tcBorders>
            <w:shd w:val="clear" w:color="auto" w:fill="CCEEFF"/>
          </w:tcPr>
          <w:p>
            <w:pPr>
              <w:spacing w:after="0"/>
              <w:rPr>
                <w:sz w:val="24"/>
                <w:szCs w:val="24"/>
                <w:color w:val="auto"/>
              </w:rPr>
            </w:pPr>
          </w:p>
        </w:tc>
        <w:tc>
          <w:tcPr>
            <w:tcW w:w="10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130.3</w:t>
            </w:r>
          </w:p>
        </w:tc>
        <w:tc>
          <w:tcPr>
            <w:tcW w:w="340" w:type="dxa"/>
            <w:vAlign w:val="bottom"/>
            <w:tcBorders>
              <w:bottom w:val="single" w:sz="8" w:color="auto"/>
            </w:tcBorders>
            <w:shd w:val="clear" w:color="auto" w:fill="CCEEFF"/>
          </w:tcPr>
          <w:p>
            <w:pPr>
              <w:spacing w:after="0"/>
              <w:rPr>
                <w:sz w:val="24"/>
                <w:szCs w:val="2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135.7</w:t>
            </w:r>
          </w:p>
        </w:tc>
        <w:tc>
          <w:tcPr>
            <w:tcW w:w="20" w:type="dxa"/>
            <w:vAlign w:val="bottom"/>
          </w:tcPr>
          <w:p>
            <w:pPr>
              <w:spacing w:after="0"/>
              <w:rPr>
                <w:sz w:val="24"/>
                <w:szCs w:val="24"/>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4" w:name="page5"/>
    <w:bookmarkEnd w:id="4"/>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COMPREHENSIVE INCOME</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in millions)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Thirteen weeks ended</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ind w:right="143"/>
              <w:spacing w:after="0"/>
              <w:rPr>
                <w:sz w:val="20"/>
                <w:szCs w:val="20"/>
                <w:color w:val="auto"/>
              </w:rPr>
            </w:pPr>
            <w:r>
              <w:rPr>
                <w:rFonts w:ascii="Arial" w:cs="Arial" w:eastAsia="Arial" w:hAnsi="Arial"/>
                <w:sz w:val="15"/>
                <w:szCs w:val="15"/>
                <w:b w:val="1"/>
                <w:bCs w:val="1"/>
                <w:color w:val="auto"/>
              </w:rPr>
              <w:t>Thirty-nine weeks ended</w:t>
            </w:r>
          </w:p>
        </w:tc>
        <w:tc>
          <w:tcPr>
            <w:tcW w:w="0" w:type="dxa"/>
            <w:vAlign w:val="bottom"/>
          </w:tcPr>
          <w:p>
            <w:pPr>
              <w:spacing w:after="0"/>
              <w:rPr>
                <w:sz w:val="1"/>
                <w:szCs w:val="1"/>
                <w:color w:val="auto"/>
              </w:rPr>
            </w:pPr>
          </w:p>
        </w:tc>
      </w:tr>
      <w:tr>
        <w:trPr>
          <w:trHeight w:val="151"/>
        </w:trPr>
        <w:tc>
          <w:tcPr>
            <w:tcW w:w="4300" w:type="dxa"/>
            <w:vAlign w:val="bottom"/>
          </w:tcPr>
          <w:p>
            <w:pPr>
              <w:spacing w:after="0"/>
              <w:rPr>
                <w:sz w:val="13"/>
                <w:szCs w:val="13"/>
                <w:color w:val="auto"/>
              </w:rPr>
            </w:pPr>
          </w:p>
        </w:tc>
        <w:tc>
          <w:tcPr>
            <w:tcW w:w="1260" w:type="dxa"/>
            <w:vAlign w:val="bottom"/>
            <w:gridSpan w:val="2"/>
          </w:tcPr>
          <w:p>
            <w:pPr>
              <w:ind w:left="180"/>
              <w:spacing w:after="0" w:line="151" w:lineRule="exact"/>
              <w:rPr>
                <w:sz w:val="20"/>
                <w:szCs w:val="20"/>
                <w:color w:val="auto"/>
              </w:rPr>
            </w:pPr>
            <w:r>
              <w:rPr>
                <w:rFonts w:ascii="Arial" w:cs="Arial" w:eastAsia="Arial" w:hAnsi="Arial"/>
                <w:sz w:val="15"/>
                <w:szCs w:val="15"/>
                <w:b w:val="1"/>
                <w:bCs w:val="1"/>
                <w:color w:val="auto"/>
              </w:rPr>
              <w:t>October 28,</w:t>
            </w:r>
          </w:p>
        </w:tc>
        <w:tc>
          <w:tcPr>
            <w:tcW w:w="1240" w:type="dxa"/>
            <w:vAlign w:val="bottom"/>
            <w:gridSpan w:val="2"/>
          </w:tcPr>
          <w:p>
            <w:pPr>
              <w:ind w:left="140"/>
              <w:spacing w:after="0" w:line="151" w:lineRule="exact"/>
              <w:rPr>
                <w:sz w:val="20"/>
                <w:szCs w:val="20"/>
                <w:color w:val="auto"/>
              </w:rPr>
            </w:pPr>
            <w:r>
              <w:rPr>
                <w:rFonts w:ascii="Arial" w:cs="Arial" w:eastAsia="Arial" w:hAnsi="Arial"/>
                <w:sz w:val="15"/>
                <w:szCs w:val="15"/>
                <w:b w:val="1"/>
                <w:bCs w:val="1"/>
                <w:color w:val="auto"/>
              </w:rPr>
              <w:t>October 29,</w:t>
            </w:r>
          </w:p>
        </w:tc>
        <w:tc>
          <w:tcPr>
            <w:tcW w:w="1200" w:type="dxa"/>
            <w:vAlign w:val="bottom"/>
            <w:gridSpan w:val="2"/>
          </w:tcPr>
          <w:p>
            <w:pPr>
              <w:ind w:left="140"/>
              <w:spacing w:after="0" w:line="151" w:lineRule="exact"/>
              <w:rPr>
                <w:sz w:val="20"/>
                <w:szCs w:val="20"/>
                <w:color w:val="auto"/>
              </w:rPr>
            </w:pPr>
            <w:r>
              <w:rPr>
                <w:rFonts w:ascii="Arial" w:cs="Arial" w:eastAsia="Arial" w:hAnsi="Arial"/>
                <w:sz w:val="15"/>
                <w:szCs w:val="15"/>
                <w:b w:val="1"/>
                <w:bCs w:val="1"/>
                <w:color w:val="auto"/>
              </w:rPr>
              <w:t>October 28,</w:t>
            </w:r>
          </w:p>
        </w:tc>
        <w:tc>
          <w:tcPr>
            <w:tcW w:w="1100" w:type="dxa"/>
            <w:vAlign w:val="bottom"/>
            <w:gridSpan w:val="2"/>
          </w:tcPr>
          <w:p>
            <w:pPr>
              <w:ind w:left="160"/>
              <w:spacing w:after="0" w:line="151" w:lineRule="exact"/>
              <w:rPr>
                <w:sz w:val="20"/>
                <w:szCs w:val="20"/>
                <w:color w:val="auto"/>
              </w:rPr>
            </w:pPr>
            <w:r>
              <w:rPr>
                <w:rFonts w:ascii="Arial" w:cs="Arial" w:eastAsia="Arial" w:hAnsi="Arial"/>
                <w:sz w:val="15"/>
                <w:szCs w:val="15"/>
                <w:b w:val="1"/>
                <w:bCs w:val="1"/>
                <w:color w:val="auto"/>
              </w:rPr>
              <w:t>October 29,</w:t>
            </w:r>
          </w:p>
        </w:tc>
        <w:tc>
          <w:tcPr>
            <w:tcW w:w="0" w:type="dxa"/>
            <w:vAlign w:val="bottom"/>
          </w:tcPr>
          <w:p>
            <w:pPr>
              <w:spacing w:after="0"/>
              <w:rPr>
                <w:sz w:val="1"/>
                <w:szCs w:val="1"/>
                <w:color w:val="auto"/>
              </w:rPr>
            </w:pPr>
          </w:p>
        </w:tc>
      </w:tr>
      <w:tr>
        <w:trPr>
          <w:trHeight w:val="194"/>
        </w:trPr>
        <w:tc>
          <w:tcPr>
            <w:tcW w:w="43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4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87"/>
        </w:trPr>
        <w:tc>
          <w:tcPr>
            <w:tcW w:w="43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Net income</w:t>
            </w:r>
          </w:p>
        </w:tc>
        <w:tc>
          <w:tcPr>
            <w:tcW w:w="340" w:type="dxa"/>
            <w:vAlign w:val="bottom"/>
            <w:shd w:val="clear" w:color="auto" w:fill="CCEEFF"/>
          </w:tcPr>
          <w:p>
            <w:pPr>
              <w:ind w:left="200"/>
              <w:spacing w:after="0"/>
              <w:rPr>
                <w:sz w:val="20"/>
                <w:szCs w:val="20"/>
                <w:color w:val="auto"/>
              </w:rPr>
            </w:pPr>
            <w:r>
              <w:rPr>
                <w:rFonts w:ascii="Arial" w:cs="Arial" w:eastAsia="Arial" w:hAnsi="Arial"/>
                <w:sz w:val="15"/>
                <w:szCs w:val="15"/>
                <w:b w:val="1"/>
                <w:bCs w:val="1"/>
                <w:color w:val="auto"/>
              </w:rPr>
              <w:t>$</w:t>
            </w:r>
          </w:p>
        </w:tc>
        <w:tc>
          <w:tcPr>
            <w:tcW w:w="92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102</w:t>
            </w:r>
          </w:p>
        </w:tc>
        <w:tc>
          <w:tcPr>
            <w:tcW w:w="7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w w:val="95"/>
              </w:rPr>
              <w:t>157</w:t>
            </w:r>
          </w:p>
        </w:tc>
        <w:tc>
          <w:tcPr>
            <w:tcW w:w="26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333</w:t>
            </w:r>
          </w:p>
        </w:tc>
        <w:tc>
          <w:tcPr>
            <w:tcW w:w="340" w:type="dxa"/>
            <w:vAlign w:val="bottom"/>
            <w:shd w:val="clear" w:color="auto" w:fill="CCEEFF"/>
          </w:tcPr>
          <w:p>
            <w:pPr>
              <w:ind w:left="180"/>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w:t>
            </w:r>
          </w:p>
        </w:tc>
        <w:tc>
          <w:tcPr>
            <w:tcW w:w="0" w:type="dxa"/>
            <w:vAlign w:val="bottom"/>
          </w:tcPr>
          <w:p>
            <w:pPr>
              <w:spacing w:after="0"/>
              <w:rPr>
                <w:sz w:val="1"/>
                <w:szCs w:val="1"/>
                <w:color w:val="auto"/>
              </w:rPr>
            </w:pPr>
          </w:p>
        </w:tc>
      </w:tr>
      <w:tr>
        <w:trPr>
          <w:trHeight w:val="207"/>
        </w:trPr>
        <w:tc>
          <w:tcPr>
            <w:tcW w:w="4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Other comprehensive income, net of income tax:</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CCEEFF"/>
          </w:tcPr>
          <w:p>
            <w:pPr>
              <w:ind w:left="100"/>
              <w:spacing w:after="0"/>
              <w:rPr>
                <w:sz w:val="20"/>
                <w:szCs w:val="20"/>
                <w:color w:val="auto"/>
              </w:rPr>
            </w:pPr>
            <w:r>
              <w:rPr>
                <w:rFonts w:ascii="Arial" w:cs="Arial" w:eastAsia="Arial" w:hAnsi="Arial"/>
                <w:sz w:val="15"/>
                <w:szCs w:val="15"/>
                <w:i w:val="1"/>
                <w:iCs w:val="1"/>
                <w:color w:val="auto"/>
              </w:rPr>
              <w:t>Foreign currency translation adjustment:</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4300" w:type="dxa"/>
            <w:vAlign w:val="bottom"/>
          </w:tcPr>
          <w:p>
            <w:pPr>
              <w:ind w:left="200"/>
              <w:spacing w:after="0"/>
              <w:rPr>
                <w:sz w:val="20"/>
                <w:szCs w:val="20"/>
                <w:color w:val="auto"/>
              </w:rPr>
            </w:pPr>
            <w:r>
              <w:rPr>
                <w:rFonts w:ascii="Arial" w:cs="Arial" w:eastAsia="Arial" w:hAnsi="Arial"/>
                <w:sz w:val="15"/>
                <w:szCs w:val="15"/>
                <w:color w:val="auto"/>
              </w:rPr>
              <w:t>Translation adjustment arising during the period, net of</w:t>
            </w:r>
          </w:p>
        </w:tc>
        <w:tc>
          <w:tcPr>
            <w:tcW w:w="340" w:type="dxa"/>
            <w:vAlign w:val="bottom"/>
          </w:tcPr>
          <w:p>
            <w:pPr>
              <w:spacing w:after="0"/>
              <w:rPr>
                <w:sz w:val="18"/>
                <w:szCs w:val="18"/>
                <w:color w:val="auto"/>
              </w:rPr>
            </w:pPr>
          </w:p>
        </w:tc>
        <w:tc>
          <w:tcPr>
            <w:tcW w:w="92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auto"/>
              </w:rPr>
              <w:t>(4)</w:t>
            </w:r>
          </w:p>
        </w:tc>
        <w:tc>
          <w:tcPr>
            <w:tcW w:w="7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70</w:t>
            </w:r>
          </w:p>
        </w:tc>
        <w:tc>
          <w:tcPr>
            <w:tcW w:w="3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4300" w:type="dxa"/>
            <w:vAlign w:val="bottom"/>
          </w:tcPr>
          <w:p>
            <w:pPr>
              <w:ind w:left="300"/>
              <w:spacing w:after="0"/>
              <w:rPr>
                <w:sz w:val="20"/>
                <w:szCs w:val="20"/>
                <w:color w:val="auto"/>
              </w:rPr>
            </w:pPr>
            <w:r>
              <w:rPr>
                <w:rFonts w:ascii="Arial" w:cs="Arial" w:eastAsia="Arial" w:hAnsi="Arial"/>
                <w:sz w:val="15"/>
                <w:szCs w:val="15"/>
                <w:color w:val="auto"/>
              </w:rPr>
              <w:t>income tax</w:t>
            </w:r>
          </w:p>
        </w:tc>
        <w:tc>
          <w:tcPr>
            <w:tcW w:w="340" w:type="dxa"/>
            <w:vAlign w:val="bottom"/>
          </w:tcPr>
          <w:p>
            <w:pPr>
              <w:spacing w:after="0"/>
              <w:rPr>
                <w:sz w:val="15"/>
                <w:szCs w:val="15"/>
                <w:color w:val="auto"/>
              </w:rPr>
            </w:pPr>
          </w:p>
        </w:tc>
        <w:tc>
          <w:tcPr>
            <w:tcW w:w="92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460" w:type="dxa"/>
            <w:vAlign w:val="bottom"/>
          </w:tcPr>
          <w:p>
            <w:pPr>
              <w:jc w:val="right"/>
              <w:ind w:right="83"/>
              <w:spacing w:after="0"/>
              <w:rPr>
                <w:sz w:val="20"/>
                <w:szCs w:val="20"/>
                <w:color w:val="auto"/>
              </w:rPr>
            </w:pPr>
            <w:r>
              <w:rPr>
                <w:rFonts w:ascii="Arial" w:cs="Arial" w:eastAsia="Arial" w:hAnsi="Arial"/>
                <w:sz w:val="15"/>
                <w:szCs w:val="15"/>
                <w:color w:val="auto"/>
              </w:rPr>
              <w:t>(14)</w:t>
            </w:r>
          </w:p>
        </w:tc>
        <w:tc>
          <w:tcPr>
            <w:tcW w:w="260" w:type="dxa"/>
            <w:vAlign w:val="bottom"/>
          </w:tcPr>
          <w:p>
            <w:pPr>
              <w:spacing w:after="0"/>
              <w:rPr>
                <w:sz w:val="15"/>
                <w:szCs w:val="15"/>
                <w:color w:val="auto"/>
              </w:rPr>
            </w:pPr>
          </w:p>
        </w:tc>
        <w:tc>
          <w:tcPr>
            <w:tcW w:w="9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7"/>
        </w:trPr>
        <w:tc>
          <w:tcPr>
            <w:tcW w:w="4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ind w:left="100"/>
              <w:spacing w:after="0"/>
              <w:rPr>
                <w:sz w:val="20"/>
                <w:szCs w:val="20"/>
                <w:color w:val="auto"/>
              </w:rPr>
            </w:pPr>
            <w:r>
              <w:rPr>
                <w:rFonts w:ascii="Arial" w:cs="Arial" w:eastAsia="Arial" w:hAnsi="Arial"/>
                <w:sz w:val="15"/>
                <w:szCs w:val="15"/>
                <w:i w:val="1"/>
                <w:iCs w:val="1"/>
                <w:color w:val="auto"/>
              </w:rPr>
              <w:t>Cash flow hedges: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7"/>
        </w:trPr>
        <w:tc>
          <w:tcPr>
            <w:tcW w:w="4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 in fair value of derivatives, net of income tax</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w:t>
            </w: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7"/>
        </w:trPr>
        <w:tc>
          <w:tcPr>
            <w:tcW w:w="4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shd w:val="clear" w:color="auto" w:fill="CCEEFF"/>
          </w:tcPr>
          <w:p>
            <w:pPr>
              <w:ind w:left="100"/>
              <w:spacing w:after="0"/>
              <w:rPr>
                <w:sz w:val="20"/>
                <w:szCs w:val="20"/>
                <w:color w:val="auto"/>
              </w:rPr>
            </w:pPr>
            <w:r>
              <w:rPr>
                <w:rFonts w:ascii="Arial" w:cs="Arial" w:eastAsia="Arial" w:hAnsi="Arial"/>
                <w:sz w:val="15"/>
                <w:szCs w:val="15"/>
                <w:i w:val="1"/>
                <w:iCs w:val="1"/>
                <w:color w:val="auto"/>
              </w:rPr>
              <w:t>Available for sale securities:</w:t>
            </w: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ind w:left="200"/>
              <w:spacing w:after="0"/>
              <w:rPr>
                <w:sz w:val="20"/>
                <w:szCs w:val="20"/>
                <w:color w:val="auto"/>
              </w:rPr>
            </w:pPr>
            <w:r>
              <w:rPr>
                <w:rFonts w:ascii="Arial" w:cs="Arial" w:eastAsia="Arial" w:hAnsi="Arial"/>
                <w:sz w:val="15"/>
                <w:szCs w:val="15"/>
                <w:color w:val="auto"/>
              </w:rPr>
              <w:t>Unrealized gain on available for sale securities</w:t>
            </w:r>
          </w:p>
        </w:tc>
        <w:tc>
          <w:tcPr>
            <w:tcW w:w="340" w:type="dxa"/>
            <w:vAlign w:val="bottom"/>
          </w:tcPr>
          <w:p>
            <w:pPr>
              <w:spacing w:after="0"/>
              <w:rPr>
                <w:sz w:val="17"/>
                <w:szCs w:val="17"/>
                <w:color w:val="auto"/>
              </w:rPr>
            </w:pPr>
          </w:p>
        </w:tc>
        <w:tc>
          <w:tcPr>
            <w:tcW w:w="920" w:type="dxa"/>
            <w:vAlign w:val="bottom"/>
          </w:tcPr>
          <w:p>
            <w:pPr>
              <w:jc w:val="right"/>
              <w:ind w:right="63"/>
              <w:spacing w:after="0"/>
              <w:rPr>
                <w:sz w:val="20"/>
                <w:szCs w:val="20"/>
                <w:color w:val="auto"/>
              </w:rPr>
            </w:pPr>
            <w:r>
              <w:rPr>
                <w:rFonts w:ascii="Arial" w:cs="Arial" w:eastAsia="Arial" w:hAnsi="Arial"/>
                <w:sz w:val="15"/>
                <w:szCs w:val="15"/>
                <w:b w:val="1"/>
                <w:bCs w:val="1"/>
                <w:color w:val="auto"/>
              </w:rPr>
              <w:t>—</w:t>
            </w:r>
          </w:p>
        </w:tc>
        <w:tc>
          <w:tcPr>
            <w:tcW w:w="780" w:type="dxa"/>
            <w:vAlign w:val="bottom"/>
          </w:tcPr>
          <w:p>
            <w:pPr>
              <w:spacing w:after="0"/>
              <w:rPr>
                <w:sz w:val="17"/>
                <w:szCs w:val="17"/>
                <w:color w:val="auto"/>
              </w:rPr>
            </w:pPr>
          </w:p>
        </w:tc>
        <w:tc>
          <w:tcPr>
            <w:tcW w:w="46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7"/>
                <w:szCs w:val="17"/>
                <w:color w:val="auto"/>
              </w:rPr>
            </w:pPr>
          </w:p>
        </w:tc>
        <w:tc>
          <w:tcPr>
            <w:tcW w:w="940" w:type="dxa"/>
            <w:vAlign w:val="bottom"/>
          </w:tcPr>
          <w:p>
            <w:pPr>
              <w:jc w:val="right"/>
              <w:ind w:right="83"/>
              <w:spacing w:after="0"/>
              <w:rPr>
                <w:sz w:val="20"/>
                <w:szCs w:val="20"/>
                <w:color w:val="auto"/>
              </w:rPr>
            </w:pPr>
            <w:r>
              <w:rPr>
                <w:rFonts w:ascii="Arial" w:cs="Arial" w:eastAsia="Arial" w:hAnsi="Arial"/>
                <w:sz w:val="15"/>
                <w:szCs w:val="15"/>
                <w:b w:val="1"/>
                <w:bCs w:val="1"/>
                <w:color w:val="auto"/>
              </w:rPr>
              <w:t>1</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43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300" w:type="dxa"/>
            <w:vAlign w:val="bottom"/>
          </w:tcPr>
          <w:p>
            <w:pPr>
              <w:ind w:left="100"/>
              <w:spacing w:after="0"/>
              <w:rPr>
                <w:sz w:val="20"/>
                <w:szCs w:val="20"/>
                <w:color w:val="auto"/>
              </w:rPr>
            </w:pPr>
            <w:r>
              <w:rPr>
                <w:rFonts w:ascii="Arial" w:cs="Arial" w:eastAsia="Arial" w:hAnsi="Arial"/>
                <w:sz w:val="15"/>
                <w:szCs w:val="15"/>
                <w:i w:val="1"/>
                <w:iCs w:val="1"/>
                <w:color w:val="auto"/>
              </w:rPr>
              <w:t>Pension and postretirement adjustments: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0"/>
        </w:trPr>
        <w:tc>
          <w:tcPr>
            <w:tcW w:w="43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Amortization of net actuarial gain/loss and prior service</w:t>
            </w:r>
          </w:p>
        </w:tc>
        <w:tc>
          <w:tcPr>
            <w:tcW w:w="3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70"/>
        </w:trPr>
        <w:tc>
          <w:tcPr>
            <w:tcW w:w="4300" w:type="dxa"/>
            <w:vAlign w:val="bottom"/>
            <w:shd w:val="clear" w:color="auto" w:fill="CCEEFF"/>
          </w:tcPr>
          <w:p>
            <w:pPr>
              <w:ind w:left="300"/>
              <w:spacing w:after="0" w:line="170" w:lineRule="exact"/>
              <w:rPr>
                <w:sz w:val="20"/>
                <w:szCs w:val="20"/>
                <w:color w:val="auto"/>
              </w:rPr>
            </w:pPr>
            <w:r>
              <w:rPr>
                <w:rFonts w:ascii="Arial" w:cs="Arial" w:eastAsia="Arial" w:hAnsi="Arial"/>
                <w:sz w:val="15"/>
                <w:szCs w:val="15"/>
                <w:color w:val="auto"/>
              </w:rPr>
              <w:t>cost included in net periodic benefit costs, net of income</w:t>
            </w:r>
          </w:p>
        </w:tc>
        <w:tc>
          <w:tcPr>
            <w:tcW w:w="3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4300" w:type="dxa"/>
            <w:vAlign w:val="bottom"/>
            <w:shd w:val="clear" w:color="auto" w:fill="CCEEFF"/>
          </w:tcPr>
          <w:p>
            <w:pPr>
              <w:ind w:left="300"/>
              <w:spacing w:after="0" w:line="170" w:lineRule="exact"/>
              <w:rPr>
                <w:sz w:val="20"/>
                <w:szCs w:val="20"/>
                <w:color w:val="auto"/>
              </w:rPr>
            </w:pPr>
            <w:r>
              <w:rPr>
                <w:rFonts w:ascii="Arial" w:cs="Arial" w:eastAsia="Arial" w:hAnsi="Arial"/>
                <w:sz w:val="15"/>
                <w:szCs w:val="15"/>
                <w:color w:val="auto"/>
              </w:rPr>
              <w:t>tax expense of $1, $1, $3 and $3 million, respectively,</w:t>
            </w:r>
          </w:p>
        </w:tc>
        <w:tc>
          <w:tcPr>
            <w:tcW w:w="3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2</w:t>
            </w:r>
          </w:p>
        </w:tc>
        <w:tc>
          <w:tcPr>
            <w:tcW w:w="7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5</w:t>
            </w: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300" w:type="dxa"/>
            <w:vAlign w:val="bottom"/>
            <w:tcBorders>
              <w:bottom w:val="single" w:sz="8" w:color="auto"/>
            </w:tcBorders>
            <w:shd w:val="clear" w:color="auto" w:fill="CCEEFF"/>
          </w:tcPr>
          <w:p>
            <w:pPr>
              <w:ind w:left="300"/>
              <w:spacing w:after="0"/>
              <w:rPr>
                <w:sz w:val="20"/>
                <w:szCs w:val="20"/>
                <w:color w:val="auto"/>
              </w:rPr>
            </w:pPr>
            <w:r>
              <w:rPr>
                <w:rFonts w:ascii="Arial" w:cs="Arial" w:eastAsia="Arial" w:hAnsi="Arial"/>
                <w:sz w:val="15"/>
                <w:szCs w:val="15"/>
                <w:color w:val="auto"/>
              </w:rPr>
              <w:t>and foreign currency fluctuations</w:t>
            </w:r>
          </w:p>
        </w:tc>
        <w:tc>
          <w:tcPr>
            <w:tcW w:w="34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vMerge w:val="continue"/>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w:t>
            </w:r>
          </w:p>
        </w:tc>
        <w:tc>
          <w:tcPr>
            <w:tcW w:w="2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0" w:type="dxa"/>
            <w:vAlign w:val="bottom"/>
          </w:tcPr>
          <w:p>
            <w:pPr>
              <w:spacing w:after="0"/>
              <w:rPr>
                <w:sz w:val="1"/>
                <w:szCs w:val="1"/>
                <w:color w:val="auto"/>
              </w:rPr>
            </w:pPr>
          </w:p>
        </w:tc>
      </w:tr>
      <w:tr>
        <w:trPr>
          <w:trHeight w:val="179"/>
        </w:trPr>
        <w:tc>
          <w:tcPr>
            <w:tcW w:w="43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Comprehensive income</w:t>
            </w:r>
          </w:p>
        </w:tc>
        <w:tc>
          <w:tcPr>
            <w:tcW w:w="340" w:type="dxa"/>
            <w:vAlign w:val="bottom"/>
            <w:tcBorders>
              <w:bottom w:val="single" w:sz="8" w:color="auto"/>
            </w:tcBorders>
          </w:tcPr>
          <w:p>
            <w:pPr>
              <w:ind w:left="200"/>
              <w:spacing w:after="0"/>
              <w:rPr>
                <w:sz w:val="20"/>
                <w:szCs w:val="20"/>
                <w:color w:val="auto"/>
              </w:rPr>
            </w:pPr>
            <w:r>
              <w:rPr>
                <w:rFonts w:ascii="Arial" w:cs="Arial" w:eastAsia="Arial" w:hAnsi="Arial"/>
                <w:sz w:val="15"/>
                <w:szCs w:val="15"/>
                <w:b w:val="1"/>
                <w:bCs w:val="1"/>
                <w:color w:val="auto"/>
              </w:rPr>
              <w:t>$</w:t>
            </w:r>
          </w:p>
        </w:tc>
        <w:tc>
          <w:tcPr>
            <w:tcW w:w="92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100</w:t>
            </w:r>
          </w:p>
        </w:tc>
        <w:tc>
          <w:tcPr>
            <w:tcW w:w="7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w w:val="95"/>
              </w:rPr>
              <w:t>147</w:t>
            </w:r>
          </w:p>
        </w:tc>
        <w:tc>
          <w:tcPr>
            <w:tcW w:w="26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410</w:t>
            </w:r>
          </w:p>
        </w:tc>
        <w:tc>
          <w:tcPr>
            <w:tcW w:w="340" w:type="dxa"/>
            <w:vAlign w:val="bottom"/>
            <w:tcBorders>
              <w:bottom w:val="single" w:sz="8" w:color="auto"/>
            </w:tcBorders>
          </w:tcPr>
          <w:p>
            <w:pPr>
              <w:ind w:left="180"/>
              <w:spacing w:after="0"/>
              <w:rPr>
                <w:sz w:val="20"/>
                <w:szCs w:val="20"/>
                <w:color w:val="auto"/>
              </w:rPr>
            </w:pPr>
            <w:r>
              <w:rPr>
                <w:rFonts w:ascii="Arial" w:cs="Arial" w:eastAsia="Arial" w:hAnsi="Arial"/>
                <w:sz w:val="15"/>
                <w:szCs w:val="15"/>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488</w:t>
            </w:r>
          </w:p>
        </w:tc>
        <w:tc>
          <w:tcPr>
            <w:tcW w:w="0" w:type="dxa"/>
            <w:vAlign w:val="bottom"/>
          </w:tcPr>
          <w:p>
            <w:pPr>
              <w:spacing w:after="0"/>
              <w:rPr>
                <w:sz w:val="1"/>
                <w:szCs w:val="1"/>
                <w:color w:val="auto"/>
              </w:rPr>
            </w:pPr>
          </w:p>
        </w:tc>
      </w:tr>
    </w:tbl>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5" w:name="page6"/>
    <w:bookmarkEnd w:id="5"/>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jc w:val="center"/>
        <w:spacing w:after="0" w:line="236" w:lineRule="auto"/>
        <w:rPr>
          <w:sz w:val="20"/>
          <w:szCs w:val="20"/>
          <w:color w:val="auto"/>
        </w:rPr>
      </w:pPr>
      <w:r>
        <w:rPr>
          <w:rFonts w:ascii="Arial" w:cs="Arial" w:eastAsia="Arial" w:hAnsi="Arial"/>
          <w:sz w:val="15"/>
          <w:szCs w:val="15"/>
          <w:color w:val="auto"/>
        </w:rPr>
        <w:t>(Unaudited)</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 in millions)</w:t>
      </w:r>
    </w:p>
    <w:p>
      <w:pPr>
        <w:spacing w:after="0" w:line="200" w:lineRule="exact"/>
        <w:rPr>
          <w:sz w:val="20"/>
          <w:szCs w:val="20"/>
          <w:color w:val="auto"/>
        </w:rPr>
      </w:pPr>
    </w:p>
    <w:p>
      <w:pPr>
        <w:spacing w:after="0" w:line="278" w:lineRule="exact"/>
        <w:rPr>
          <w:sz w:val="20"/>
          <w:szCs w:val="20"/>
          <w:color w:val="auto"/>
        </w:rPr>
      </w:pPr>
    </w:p>
    <w:p>
      <w:pPr>
        <w:ind w:left="6600"/>
        <w:spacing w:after="0"/>
        <w:rPr>
          <w:sz w:val="20"/>
          <w:szCs w:val="20"/>
          <w:color w:val="auto"/>
        </w:rPr>
      </w:pPr>
      <w:r>
        <w:rPr>
          <w:rFonts w:ascii="Arial" w:cs="Arial" w:eastAsia="Arial" w:hAnsi="Arial"/>
          <w:sz w:val="15"/>
          <w:szCs w:val="15"/>
          <w:b w:val="1"/>
          <w:bCs w:val="1"/>
          <w:color w:val="auto"/>
        </w:rPr>
        <w:t>Thirty-nine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8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October 28,</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October 29,</w:t>
            </w:r>
          </w:p>
        </w:tc>
      </w:tr>
      <w:tr>
        <w:trPr>
          <w:trHeight w:val="194"/>
        </w:trPr>
        <w:tc>
          <w:tcPr>
            <w:tcW w:w="58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723"/>
              <w:spacing w:after="0"/>
              <w:rPr>
                <w:sz w:val="20"/>
                <w:szCs w:val="20"/>
                <w:color w:val="auto"/>
              </w:rPr>
            </w:pPr>
            <w:r>
              <w:rPr>
                <w:rFonts w:ascii="Arial" w:cs="Arial" w:eastAsia="Arial" w:hAnsi="Arial"/>
                <w:sz w:val="15"/>
                <w:szCs w:val="15"/>
                <w:b w:val="1"/>
                <w:bCs w:val="1"/>
                <w:color w:val="auto"/>
              </w:rPr>
              <w:t>2017</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 xml:space="preserve">2016 </w:t>
            </w:r>
            <w:r>
              <w:rPr>
                <w:rFonts w:ascii="Arial" w:cs="Arial" w:eastAsia="Arial" w:hAnsi="Arial"/>
                <w:sz w:val="15"/>
                <w:szCs w:val="15"/>
                <w:color w:val="auto"/>
              </w:rPr>
              <w:t>*</w:t>
            </w:r>
          </w:p>
        </w:tc>
      </w:tr>
      <w:tr>
        <w:trPr>
          <w:trHeight w:val="187"/>
        </w:trPr>
        <w:tc>
          <w:tcPr>
            <w:tcW w:w="5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07"/>
        </w:trPr>
        <w:tc>
          <w:tcPr>
            <w:tcW w:w="580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From operating activities:</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Net income</w:t>
            </w:r>
          </w:p>
        </w:tc>
        <w:tc>
          <w:tcPr>
            <w:tcW w:w="34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1480" w:type="dxa"/>
            <w:vAlign w:val="bottom"/>
          </w:tcPr>
          <w:p>
            <w:pPr>
              <w:jc w:val="right"/>
              <w:ind w:right="183"/>
              <w:spacing w:after="0"/>
              <w:rPr>
                <w:sz w:val="20"/>
                <w:szCs w:val="20"/>
                <w:color w:val="auto"/>
              </w:rPr>
            </w:pPr>
            <w:r>
              <w:rPr>
                <w:rFonts w:ascii="Arial" w:cs="Arial" w:eastAsia="Arial" w:hAnsi="Arial"/>
                <w:sz w:val="15"/>
                <w:szCs w:val="15"/>
                <w:b w:val="1"/>
                <w:bCs w:val="1"/>
                <w:color w:val="auto"/>
              </w:rPr>
              <w:t>333</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60" w:type="dxa"/>
            <w:vAlign w:val="bottom"/>
          </w:tcPr>
          <w:p>
            <w:pPr>
              <w:jc w:val="right"/>
              <w:spacing w:after="0"/>
              <w:rPr>
                <w:sz w:val="20"/>
                <w:szCs w:val="20"/>
                <w:color w:val="auto"/>
              </w:rPr>
            </w:pPr>
            <w:r>
              <w:rPr>
                <w:rFonts w:ascii="Arial" w:cs="Arial" w:eastAsia="Arial" w:hAnsi="Arial"/>
                <w:sz w:val="15"/>
                <w:szCs w:val="15"/>
                <w:color w:val="auto"/>
              </w:rPr>
              <w:t>475</w:t>
            </w:r>
          </w:p>
        </w:tc>
      </w:tr>
      <w:tr>
        <w:trPr>
          <w:trHeight w:val="353"/>
        </w:trPr>
        <w:tc>
          <w:tcPr>
            <w:tcW w:w="5800" w:type="dxa"/>
            <w:vAlign w:val="bottom"/>
            <w:shd w:val="clear" w:color="auto" w:fill="CCEEFF"/>
          </w:tcPr>
          <w:p>
            <w:pPr>
              <w:ind w:left="1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07"/>
        </w:trPr>
        <w:tc>
          <w:tcPr>
            <w:tcW w:w="5800" w:type="dxa"/>
            <w:vAlign w:val="bottom"/>
          </w:tcPr>
          <w:p>
            <w:pPr>
              <w:ind w:left="260"/>
              <w:spacing w:after="0"/>
              <w:rPr>
                <w:sz w:val="20"/>
                <w:szCs w:val="20"/>
                <w:color w:val="auto"/>
              </w:rPr>
            </w:pPr>
            <w:r>
              <w:rPr>
                <w:rFonts w:ascii="Arial" w:cs="Arial" w:eastAsia="Arial" w:hAnsi="Arial"/>
                <w:sz w:val="15"/>
                <w:szCs w:val="15"/>
                <w:color w:val="auto"/>
              </w:rPr>
              <w:t>Non-cash impairment charges</w:t>
            </w:r>
          </w:p>
        </w:tc>
        <w:tc>
          <w:tcPr>
            <w:tcW w:w="340" w:type="dxa"/>
            <w:vAlign w:val="bottom"/>
          </w:tcPr>
          <w:p>
            <w:pPr>
              <w:spacing w:after="0"/>
              <w:rPr>
                <w:sz w:val="17"/>
                <w:szCs w:val="17"/>
                <w:color w:val="auto"/>
              </w:rPr>
            </w:pPr>
          </w:p>
        </w:tc>
        <w:tc>
          <w:tcPr>
            <w:tcW w:w="148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w:t>
            </w:r>
          </w:p>
        </w:tc>
      </w:tr>
      <w:tr>
        <w:trPr>
          <w:trHeight w:val="207"/>
        </w:trPr>
        <w:tc>
          <w:tcPr>
            <w:tcW w:w="5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Depreciation and amortization</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127</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118</w:t>
            </w:r>
          </w:p>
        </w:tc>
      </w:tr>
      <w:tr>
        <w:trPr>
          <w:trHeight w:val="207"/>
        </w:trPr>
        <w:tc>
          <w:tcPr>
            <w:tcW w:w="5800" w:type="dxa"/>
            <w:vAlign w:val="bottom"/>
          </w:tcPr>
          <w:p>
            <w:pPr>
              <w:ind w:left="260"/>
              <w:spacing w:after="0"/>
              <w:rPr>
                <w:sz w:val="20"/>
                <w:szCs w:val="20"/>
                <w:color w:val="auto"/>
              </w:rPr>
            </w:pPr>
            <w:r>
              <w:rPr>
                <w:rFonts w:ascii="Arial" w:cs="Arial" w:eastAsia="Arial" w:hAnsi="Arial"/>
                <w:sz w:val="15"/>
                <w:szCs w:val="15"/>
                <w:color w:val="auto"/>
              </w:rPr>
              <w:t>Share-based compensation expense</w:t>
            </w:r>
          </w:p>
        </w:tc>
        <w:tc>
          <w:tcPr>
            <w:tcW w:w="340" w:type="dxa"/>
            <w:vAlign w:val="bottom"/>
          </w:tcPr>
          <w:p>
            <w:pPr>
              <w:spacing w:after="0"/>
              <w:rPr>
                <w:sz w:val="17"/>
                <w:szCs w:val="17"/>
                <w:color w:val="auto"/>
              </w:rPr>
            </w:pPr>
          </w:p>
        </w:tc>
        <w:tc>
          <w:tcPr>
            <w:tcW w:w="1480" w:type="dxa"/>
            <w:vAlign w:val="bottom"/>
          </w:tcPr>
          <w:p>
            <w:pPr>
              <w:jc w:val="right"/>
              <w:ind w:right="183"/>
              <w:spacing w:after="0"/>
              <w:rPr>
                <w:sz w:val="20"/>
                <w:szCs w:val="20"/>
                <w:color w:val="auto"/>
              </w:rPr>
            </w:pPr>
            <w:r>
              <w:rPr>
                <w:rFonts w:ascii="Arial" w:cs="Arial" w:eastAsia="Arial" w:hAnsi="Arial"/>
                <w:sz w:val="15"/>
                <w:szCs w:val="15"/>
                <w:b w:val="1"/>
                <w:bCs w:val="1"/>
                <w:color w:val="auto"/>
              </w:rPr>
              <w:t>11</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w:t>
            </w:r>
          </w:p>
        </w:tc>
      </w:tr>
      <w:tr>
        <w:trPr>
          <w:trHeight w:val="207"/>
        </w:trPr>
        <w:tc>
          <w:tcPr>
            <w:tcW w:w="5800" w:type="dxa"/>
            <w:vAlign w:val="bottom"/>
            <w:shd w:val="clear" w:color="auto" w:fill="CCEEFF"/>
          </w:tcPr>
          <w:p>
            <w:pPr>
              <w:ind w:left="260"/>
              <w:spacing w:after="0"/>
              <w:rPr>
                <w:sz w:val="20"/>
                <w:szCs w:val="20"/>
                <w:color w:val="auto"/>
              </w:rPr>
            </w:pPr>
            <w:r>
              <w:rPr>
                <w:rFonts w:ascii="Arial" w:cs="Arial" w:eastAsia="Arial" w:hAnsi="Arial"/>
                <w:sz w:val="15"/>
                <w:szCs w:val="15"/>
                <w:color w:val="auto"/>
              </w:rPr>
              <w:t>Qualified pension plan contributions</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(25)</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w:t>
            </w:r>
          </w:p>
        </w:tc>
      </w:tr>
      <w:tr>
        <w:trPr>
          <w:trHeight w:val="207"/>
        </w:trPr>
        <w:tc>
          <w:tcPr>
            <w:tcW w:w="5800" w:type="dxa"/>
            <w:vAlign w:val="bottom"/>
          </w:tcPr>
          <w:p>
            <w:pPr>
              <w:ind w:left="260"/>
              <w:spacing w:after="0"/>
              <w:rPr>
                <w:sz w:val="20"/>
                <w:szCs w:val="20"/>
                <w:color w:val="auto"/>
              </w:rPr>
            </w:pPr>
            <w:r>
              <w:rPr>
                <w:rFonts w:ascii="Arial" w:cs="Arial" w:eastAsia="Arial" w:hAnsi="Arial"/>
                <w:sz w:val="15"/>
                <w:szCs w:val="15"/>
                <w:color w:val="auto"/>
              </w:rPr>
              <w:t>Change in assets and liabilities: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58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Merchandise inventories</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18</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r>
      <w:tr>
        <w:trPr>
          <w:trHeight w:val="207"/>
        </w:trPr>
        <w:tc>
          <w:tcPr>
            <w:tcW w:w="5800" w:type="dxa"/>
            <w:vAlign w:val="bottom"/>
          </w:tcPr>
          <w:p>
            <w:pPr>
              <w:ind w:left="380"/>
              <w:spacing w:after="0"/>
              <w:rPr>
                <w:sz w:val="20"/>
                <w:szCs w:val="20"/>
                <w:color w:val="auto"/>
              </w:rPr>
            </w:pPr>
            <w:r>
              <w:rPr>
                <w:rFonts w:ascii="Arial" w:cs="Arial" w:eastAsia="Arial" w:hAnsi="Arial"/>
                <w:sz w:val="15"/>
                <w:szCs w:val="15"/>
                <w:color w:val="auto"/>
              </w:rPr>
              <w:t>Accounts payable</w:t>
            </w:r>
          </w:p>
        </w:tc>
        <w:tc>
          <w:tcPr>
            <w:tcW w:w="340" w:type="dxa"/>
            <w:vAlign w:val="bottom"/>
          </w:tcPr>
          <w:p>
            <w:pPr>
              <w:spacing w:after="0"/>
              <w:rPr>
                <w:sz w:val="17"/>
                <w:szCs w:val="17"/>
                <w:color w:val="auto"/>
              </w:rPr>
            </w:pPr>
          </w:p>
        </w:tc>
        <w:tc>
          <w:tcPr>
            <w:tcW w:w="1480" w:type="dxa"/>
            <w:vAlign w:val="bottom"/>
          </w:tcPr>
          <w:p>
            <w:pPr>
              <w:jc w:val="right"/>
              <w:ind w:right="143"/>
              <w:spacing w:after="0"/>
              <w:rPr>
                <w:sz w:val="20"/>
                <w:szCs w:val="20"/>
                <w:color w:val="auto"/>
              </w:rPr>
            </w:pPr>
            <w:r>
              <w:rPr>
                <w:rFonts w:ascii="Arial" w:cs="Arial" w:eastAsia="Arial" w:hAnsi="Arial"/>
                <w:sz w:val="15"/>
                <w:szCs w:val="15"/>
                <w:b w:val="1"/>
                <w:bCs w:val="1"/>
                <w:color w:val="auto"/>
              </w:rPr>
              <w:t>(13)</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(66)</w:t>
            </w:r>
          </w:p>
        </w:tc>
      </w:tr>
      <w:tr>
        <w:trPr>
          <w:trHeight w:val="207"/>
        </w:trPr>
        <w:tc>
          <w:tcPr>
            <w:tcW w:w="5800" w:type="dxa"/>
            <w:vAlign w:val="bottom"/>
            <w:shd w:val="clear" w:color="auto" w:fill="CCEEFF"/>
          </w:tcPr>
          <w:p>
            <w:pPr>
              <w:ind w:left="380"/>
              <w:spacing w:after="0"/>
              <w:rPr>
                <w:sz w:val="20"/>
                <w:szCs w:val="20"/>
                <w:color w:val="auto"/>
              </w:rPr>
            </w:pPr>
            <w:r>
              <w:rPr>
                <w:rFonts w:ascii="Arial" w:cs="Arial" w:eastAsia="Arial" w:hAnsi="Arial"/>
                <w:sz w:val="15"/>
                <w:szCs w:val="15"/>
                <w:color w:val="auto"/>
              </w:rPr>
              <w:t>Accrued and other liabilities</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(29)</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w:t>
            </w:r>
          </w:p>
        </w:tc>
      </w:tr>
      <w:tr>
        <w:trPr>
          <w:trHeight w:val="207"/>
        </w:trPr>
        <w:tc>
          <w:tcPr>
            <w:tcW w:w="5800" w:type="dxa"/>
            <w:vAlign w:val="bottom"/>
          </w:tcPr>
          <w:p>
            <w:pPr>
              <w:ind w:left="380"/>
              <w:spacing w:after="0"/>
              <w:rPr>
                <w:sz w:val="20"/>
                <w:szCs w:val="20"/>
                <w:color w:val="auto"/>
              </w:rPr>
            </w:pPr>
            <w:r>
              <w:rPr>
                <w:rFonts w:ascii="Arial" w:cs="Arial" w:eastAsia="Arial" w:hAnsi="Arial"/>
                <w:sz w:val="15"/>
                <w:szCs w:val="15"/>
                <w:color w:val="auto"/>
              </w:rPr>
              <w:t>Pension litigation accrual</w:t>
            </w:r>
          </w:p>
        </w:tc>
        <w:tc>
          <w:tcPr>
            <w:tcW w:w="340" w:type="dxa"/>
            <w:vAlign w:val="bottom"/>
          </w:tcPr>
          <w:p>
            <w:pPr>
              <w:spacing w:after="0"/>
              <w:rPr>
                <w:sz w:val="17"/>
                <w:szCs w:val="17"/>
                <w:color w:val="auto"/>
              </w:rPr>
            </w:pPr>
          </w:p>
        </w:tc>
        <w:tc>
          <w:tcPr>
            <w:tcW w:w="1480" w:type="dxa"/>
            <w:vAlign w:val="bottom"/>
          </w:tcPr>
          <w:p>
            <w:pPr>
              <w:jc w:val="right"/>
              <w:ind w:right="183"/>
              <w:spacing w:after="0"/>
              <w:rPr>
                <w:sz w:val="20"/>
                <w:szCs w:val="20"/>
                <w:color w:val="auto"/>
              </w:rPr>
            </w:pPr>
            <w:r>
              <w:rPr>
                <w:rFonts w:ascii="Arial" w:cs="Arial" w:eastAsia="Arial" w:hAnsi="Arial"/>
                <w:sz w:val="15"/>
                <w:szCs w:val="15"/>
                <w:b w:val="1"/>
                <w:bCs w:val="1"/>
                <w:color w:val="auto"/>
              </w:rPr>
              <w:t>50</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5800" w:type="dxa"/>
            <w:vAlign w:val="bottom"/>
            <w:tcBorders>
              <w:bottom w:val="single" w:sz="8" w:color="auto"/>
            </w:tcBorders>
            <w:shd w:val="clear" w:color="auto" w:fill="CCEEFF"/>
          </w:tcPr>
          <w:p>
            <w:pPr>
              <w:ind w:left="380"/>
              <w:spacing w:after="0"/>
              <w:rPr>
                <w:sz w:val="20"/>
                <w:szCs w:val="20"/>
                <w:color w:val="auto"/>
              </w:rPr>
            </w:pPr>
            <w:r>
              <w:rPr>
                <w:rFonts w:ascii="Arial" w:cs="Arial" w:eastAsia="Arial" w:hAnsi="Arial"/>
                <w:sz w:val="15"/>
                <w:szCs w:val="15"/>
                <w:color w:val="auto"/>
              </w:rPr>
              <w:t>Other, net</w:t>
            </w:r>
          </w:p>
        </w:tc>
        <w:tc>
          <w:tcPr>
            <w:tcW w:w="3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24</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w:t>
            </w:r>
          </w:p>
        </w:tc>
      </w:tr>
      <w:tr>
        <w:trPr>
          <w:trHeight w:val="187"/>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cash provided by operating activities</w:t>
            </w: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496</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477</w:t>
            </w:r>
          </w:p>
        </w:tc>
      </w:tr>
      <w:tr>
        <w:trPr>
          <w:trHeight w:val="187"/>
        </w:trPr>
        <w:tc>
          <w:tcPr>
            <w:tcW w:w="5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5"/>
                <w:szCs w:val="15"/>
                <w:b w:val="1"/>
                <w:bCs w:val="1"/>
                <w:color w:val="auto"/>
              </w:rPr>
              <w:t>From investing activities: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580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Capital expenditures</w:t>
            </w:r>
          </w:p>
        </w:tc>
        <w:tc>
          <w:tcPr>
            <w:tcW w:w="3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(204)</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w:t>
            </w:r>
          </w:p>
        </w:tc>
      </w:tr>
      <w:tr>
        <w:trPr>
          <w:trHeight w:val="187"/>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cash used in investing activities</w:t>
            </w: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(204)</w:t>
            </w:r>
          </w:p>
        </w:tc>
        <w:tc>
          <w:tcPr>
            <w:tcW w:w="3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w:t>
            </w:r>
          </w:p>
        </w:tc>
      </w:tr>
      <w:tr>
        <w:trPr>
          <w:trHeight w:val="187"/>
        </w:trPr>
        <w:tc>
          <w:tcPr>
            <w:tcW w:w="5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5"/>
                <w:szCs w:val="15"/>
                <w:b w:val="1"/>
                <w:bCs w:val="1"/>
                <w:color w:val="auto"/>
              </w:rPr>
              <w:t>From financing activities:</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Purchase of treasury shares</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(362)</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w:t>
            </w: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Dividends paid on common stock</w:t>
            </w:r>
          </w:p>
        </w:tc>
        <w:tc>
          <w:tcPr>
            <w:tcW w:w="340" w:type="dxa"/>
            <w:vAlign w:val="bottom"/>
          </w:tcPr>
          <w:p>
            <w:pPr>
              <w:spacing w:after="0"/>
              <w:rPr>
                <w:sz w:val="17"/>
                <w:szCs w:val="17"/>
                <w:color w:val="auto"/>
              </w:rPr>
            </w:pPr>
          </w:p>
        </w:tc>
        <w:tc>
          <w:tcPr>
            <w:tcW w:w="1480" w:type="dxa"/>
            <w:vAlign w:val="bottom"/>
          </w:tcPr>
          <w:p>
            <w:pPr>
              <w:jc w:val="right"/>
              <w:ind w:right="143"/>
              <w:spacing w:after="0"/>
              <w:rPr>
                <w:sz w:val="20"/>
                <w:szCs w:val="20"/>
                <w:color w:val="auto"/>
              </w:rPr>
            </w:pPr>
            <w:r>
              <w:rPr>
                <w:rFonts w:ascii="Arial" w:cs="Arial" w:eastAsia="Arial" w:hAnsi="Arial"/>
                <w:sz w:val="15"/>
                <w:szCs w:val="15"/>
                <w:b w:val="1"/>
                <w:bCs w:val="1"/>
                <w:color w:val="auto"/>
              </w:rPr>
              <w:t>(120)</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(111)</w:t>
            </w: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Proceeds from exercise of stock options</w:t>
            </w:r>
          </w:p>
        </w:tc>
        <w:tc>
          <w:tcPr>
            <w:tcW w:w="34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12</w:t>
            </w:r>
          </w:p>
        </w:tc>
        <w:tc>
          <w:tcPr>
            <w:tcW w:w="32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w:t>
            </w:r>
          </w:p>
        </w:tc>
      </w:tr>
      <w:tr>
        <w:trPr>
          <w:trHeight w:val="207"/>
        </w:trPr>
        <w:tc>
          <w:tcPr>
            <w:tcW w:w="5800" w:type="dxa"/>
            <w:vAlign w:val="bottom"/>
          </w:tcPr>
          <w:p>
            <w:pPr>
              <w:ind w:left="140"/>
              <w:spacing w:after="0"/>
              <w:rPr>
                <w:sz w:val="20"/>
                <w:szCs w:val="20"/>
                <w:color w:val="auto"/>
              </w:rPr>
            </w:pPr>
            <w:r>
              <w:rPr>
                <w:rFonts w:ascii="Arial" w:cs="Arial" w:eastAsia="Arial" w:hAnsi="Arial"/>
                <w:sz w:val="15"/>
                <w:szCs w:val="15"/>
                <w:color w:val="auto"/>
              </w:rPr>
              <w:t>Treasury stock reissued under employee stock plan</w:t>
            </w:r>
          </w:p>
        </w:tc>
        <w:tc>
          <w:tcPr>
            <w:tcW w:w="340" w:type="dxa"/>
            <w:vAlign w:val="bottom"/>
          </w:tcPr>
          <w:p>
            <w:pPr>
              <w:spacing w:after="0"/>
              <w:rPr>
                <w:sz w:val="17"/>
                <w:szCs w:val="17"/>
                <w:color w:val="auto"/>
              </w:rPr>
            </w:pPr>
          </w:p>
        </w:tc>
        <w:tc>
          <w:tcPr>
            <w:tcW w:w="1480" w:type="dxa"/>
            <w:vAlign w:val="bottom"/>
          </w:tcPr>
          <w:p>
            <w:pPr>
              <w:jc w:val="right"/>
              <w:ind w:right="183"/>
              <w:spacing w:after="0"/>
              <w:rPr>
                <w:sz w:val="20"/>
                <w:szCs w:val="20"/>
                <w:color w:val="auto"/>
              </w:rPr>
            </w:pPr>
            <w:r>
              <w:rPr>
                <w:rFonts w:ascii="Arial" w:cs="Arial" w:eastAsia="Arial" w:hAnsi="Arial"/>
                <w:sz w:val="15"/>
                <w:szCs w:val="15"/>
                <w:b w:val="1"/>
                <w:bCs w:val="1"/>
                <w:color w:val="auto"/>
              </w:rPr>
              <w:t>5</w:t>
            </w:r>
          </w:p>
        </w:tc>
        <w:tc>
          <w:tcPr>
            <w:tcW w:w="3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4</w:t>
            </w:r>
          </w:p>
        </w:tc>
      </w:tr>
      <w:tr>
        <w:trPr>
          <w:trHeight w:val="353"/>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Shares of common stock repurchased to satisfy tax withholding obligations</w:t>
            </w:r>
          </w:p>
        </w:tc>
        <w:tc>
          <w:tcPr>
            <w:tcW w:w="34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(10)</w:t>
            </w:r>
          </w:p>
        </w:tc>
        <w:tc>
          <w:tcPr>
            <w:tcW w:w="32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207"/>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Payment of revolving credit agreement costs</w:t>
            </w:r>
          </w:p>
        </w:tc>
        <w:tc>
          <w:tcPr>
            <w:tcW w:w="3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w:t>
            </w:r>
          </w:p>
        </w:tc>
        <w:tc>
          <w:tcPr>
            <w:tcW w:w="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r>
      <w:tr>
        <w:trPr>
          <w:trHeight w:val="187"/>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cash used in financing activities</w:t>
            </w:r>
          </w:p>
        </w:tc>
        <w:tc>
          <w:tcPr>
            <w:tcW w:w="34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(475)</w:t>
            </w:r>
          </w:p>
        </w:tc>
        <w:tc>
          <w:tcPr>
            <w:tcW w:w="32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(443)</w:t>
            </w:r>
          </w:p>
        </w:tc>
      </w:tr>
      <w:tr>
        <w:trPr>
          <w:trHeight w:val="187"/>
        </w:trPr>
        <w:tc>
          <w:tcPr>
            <w:tcW w:w="58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365"/>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Effect of exchange rate fluctuations on cash, cash equivalents, and restricted cash</w:t>
            </w:r>
          </w:p>
        </w:tc>
        <w:tc>
          <w:tcPr>
            <w:tcW w:w="340" w:type="dxa"/>
            <w:vAlign w:val="bottom"/>
            <w:tcBorders>
              <w:bottom w:val="single" w:sz="8" w:color="auto"/>
            </w:tcBorders>
            <w:shd w:val="clear" w:color="auto" w:fill="CCEEFF"/>
          </w:tcPr>
          <w:p>
            <w:pPr>
              <w:spacing w:after="0"/>
              <w:rPr>
                <w:sz w:val="24"/>
                <w:szCs w:val="24"/>
                <w:color w:val="auto"/>
              </w:rPr>
            </w:pPr>
          </w:p>
        </w:tc>
        <w:tc>
          <w:tcPr>
            <w:tcW w:w="14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30</w:t>
            </w:r>
          </w:p>
        </w:tc>
        <w:tc>
          <w:tcPr>
            <w:tcW w:w="320" w:type="dxa"/>
            <w:vAlign w:val="bottom"/>
            <w:tcBorders>
              <w:bottom w:val="single" w:sz="8" w:color="auto"/>
            </w:tcBorders>
            <w:shd w:val="clear" w:color="auto" w:fill="CCEEFF"/>
          </w:tcPr>
          <w:p>
            <w:pPr>
              <w:spacing w:after="0"/>
              <w:rPr>
                <w:sz w:val="24"/>
                <w:szCs w:val="24"/>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r>
      <w:tr>
        <w:trPr>
          <w:trHeight w:val="187"/>
        </w:trPr>
        <w:tc>
          <w:tcPr>
            <w:tcW w:w="5800" w:type="dxa"/>
            <w:vAlign w:val="bottom"/>
          </w:tcPr>
          <w:p>
            <w:pPr>
              <w:spacing w:after="0"/>
              <w:rPr>
                <w:sz w:val="20"/>
                <w:szCs w:val="20"/>
                <w:color w:val="auto"/>
              </w:rPr>
            </w:pPr>
            <w:r>
              <w:rPr>
                <w:rFonts w:ascii="Arial" w:cs="Arial" w:eastAsia="Arial" w:hAnsi="Arial"/>
                <w:sz w:val="15"/>
                <w:szCs w:val="15"/>
                <w:color w:val="auto"/>
              </w:rPr>
              <w:t>Net change in cash, cash equivalents, and restricted cash</w:t>
            </w:r>
          </w:p>
        </w:tc>
        <w:tc>
          <w:tcPr>
            <w:tcW w:w="340" w:type="dxa"/>
            <w:vAlign w:val="bottom"/>
          </w:tcPr>
          <w:p>
            <w:pPr>
              <w:spacing w:after="0"/>
              <w:rPr>
                <w:sz w:val="16"/>
                <w:szCs w:val="16"/>
                <w:color w:val="auto"/>
              </w:rPr>
            </w:pPr>
          </w:p>
        </w:tc>
        <w:tc>
          <w:tcPr>
            <w:tcW w:w="1480" w:type="dxa"/>
            <w:vAlign w:val="bottom"/>
          </w:tcPr>
          <w:p>
            <w:pPr>
              <w:jc w:val="right"/>
              <w:ind w:right="143"/>
              <w:spacing w:after="0"/>
              <w:rPr>
                <w:sz w:val="20"/>
                <w:szCs w:val="20"/>
                <w:color w:val="auto"/>
              </w:rPr>
            </w:pPr>
            <w:r>
              <w:rPr>
                <w:rFonts w:ascii="Arial" w:cs="Arial" w:eastAsia="Arial" w:hAnsi="Arial"/>
                <w:sz w:val="15"/>
                <w:szCs w:val="15"/>
                <w:b w:val="1"/>
                <w:bCs w:val="1"/>
                <w:color w:val="auto"/>
              </w:rPr>
              <w:t>(153)</w:t>
            </w:r>
          </w:p>
        </w:tc>
        <w:tc>
          <w:tcPr>
            <w:tcW w:w="32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(155)</w:t>
            </w:r>
          </w:p>
        </w:tc>
      </w:tr>
      <w:tr>
        <w:trPr>
          <w:trHeight w:val="207"/>
        </w:trPr>
        <w:tc>
          <w:tcPr>
            <w:tcW w:w="58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Cash, cash equivalents, and restricted cash at beginning of period</w:t>
            </w:r>
          </w:p>
        </w:tc>
        <w:tc>
          <w:tcPr>
            <w:tcW w:w="340" w:type="dxa"/>
            <w:vAlign w:val="bottom"/>
            <w:tcBorders>
              <w:bottom w:val="single" w:sz="8" w:color="auto"/>
            </w:tcBorders>
            <w:shd w:val="clear" w:color="auto" w:fill="CCEEFF"/>
          </w:tcPr>
          <w:p>
            <w:pPr>
              <w:spacing w:after="0"/>
              <w:rPr>
                <w:sz w:val="17"/>
                <w:szCs w:val="17"/>
                <w:color w:val="auto"/>
              </w:rPr>
            </w:pPr>
          </w:p>
        </w:tc>
        <w:tc>
          <w:tcPr>
            <w:tcW w:w="1480" w:type="dxa"/>
            <w:vAlign w:val="bottom"/>
            <w:tcBorders>
              <w:bottom w:val="single" w:sz="8" w:color="auto"/>
            </w:tcBorders>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1,073</w:t>
            </w:r>
          </w:p>
        </w:tc>
        <w:tc>
          <w:tcPr>
            <w:tcW w:w="3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1,048</w:t>
            </w:r>
          </w:p>
        </w:tc>
      </w:tr>
      <w:tr>
        <w:trPr>
          <w:trHeight w:val="179"/>
        </w:trPr>
        <w:tc>
          <w:tcPr>
            <w:tcW w:w="580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Cash, cash equivalents, and restricted cash at end of period</w:t>
            </w:r>
          </w:p>
        </w:tc>
        <w:tc>
          <w:tcPr>
            <w:tcW w:w="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920</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893</w:t>
            </w:r>
          </w:p>
        </w:tc>
      </w:tr>
      <w:tr>
        <w:trPr>
          <w:trHeight w:val="195"/>
        </w:trPr>
        <w:tc>
          <w:tcPr>
            <w:tcW w:w="58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r>
      <w:tr>
        <w:trPr>
          <w:trHeight w:val="207"/>
        </w:trPr>
        <w:tc>
          <w:tcPr>
            <w:tcW w:w="5800" w:type="dxa"/>
            <w:vAlign w:val="bottom"/>
          </w:tcPr>
          <w:p>
            <w:pPr>
              <w:spacing w:after="0"/>
              <w:rPr>
                <w:sz w:val="20"/>
                <w:szCs w:val="20"/>
                <w:color w:val="auto"/>
              </w:rPr>
            </w:pPr>
            <w:r>
              <w:rPr>
                <w:rFonts w:ascii="Arial" w:cs="Arial" w:eastAsia="Arial" w:hAnsi="Arial"/>
                <w:sz w:val="15"/>
                <w:szCs w:val="15"/>
                <w:b w:val="1"/>
                <w:bCs w:val="1"/>
                <w:color w:val="auto"/>
              </w:rPr>
              <w:t>Cash paid during the period:</w:t>
            </w: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7"/>
        </w:trPr>
        <w:tc>
          <w:tcPr>
            <w:tcW w:w="5800" w:type="dxa"/>
            <w:vAlign w:val="bottom"/>
            <w:shd w:val="clear" w:color="auto" w:fill="CCEEFF"/>
          </w:tcPr>
          <w:p>
            <w:pPr>
              <w:ind w:left="140"/>
              <w:spacing w:after="0"/>
              <w:rPr>
                <w:sz w:val="20"/>
                <w:szCs w:val="20"/>
                <w:color w:val="auto"/>
              </w:rPr>
            </w:pPr>
            <w:r>
              <w:rPr>
                <w:rFonts w:ascii="Arial" w:cs="Arial" w:eastAsia="Arial" w:hAnsi="Arial"/>
                <w:sz w:val="15"/>
                <w:szCs w:val="15"/>
                <w:color w:val="auto"/>
              </w:rPr>
              <w:t>Interest</w:t>
            </w:r>
          </w:p>
        </w:tc>
        <w:tc>
          <w:tcPr>
            <w:tcW w:w="34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480" w:type="dxa"/>
            <w:vAlign w:val="bottom"/>
            <w:shd w:val="clear" w:color="auto" w:fill="CCEEFF"/>
          </w:tcPr>
          <w:p>
            <w:pPr>
              <w:jc w:val="right"/>
              <w:ind w:right="183"/>
              <w:spacing w:after="0"/>
              <w:rPr>
                <w:sz w:val="20"/>
                <w:szCs w:val="20"/>
                <w:color w:val="auto"/>
              </w:rPr>
            </w:pPr>
            <w:r>
              <w:rPr>
                <w:rFonts w:ascii="Arial" w:cs="Arial" w:eastAsia="Arial" w:hAnsi="Arial"/>
                <w:sz w:val="15"/>
                <w:szCs w:val="15"/>
                <w:b w:val="1"/>
                <w:bCs w:val="1"/>
                <w:color w:val="auto"/>
              </w:rPr>
              <w:t>6</w:t>
            </w: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w:t>
            </w:r>
          </w:p>
        </w:tc>
      </w:tr>
      <w:tr>
        <w:trPr>
          <w:trHeight w:val="207"/>
        </w:trPr>
        <w:tc>
          <w:tcPr>
            <w:tcW w:w="5800" w:type="dxa"/>
            <w:vAlign w:val="bottom"/>
            <w:tcBorders>
              <w:bottom w:val="single" w:sz="8" w:color="auto"/>
            </w:tcBorders>
          </w:tcPr>
          <w:p>
            <w:pPr>
              <w:ind w:left="140"/>
              <w:spacing w:after="0"/>
              <w:rPr>
                <w:sz w:val="20"/>
                <w:szCs w:val="20"/>
                <w:color w:val="auto"/>
              </w:rPr>
            </w:pPr>
            <w:r>
              <w:rPr>
                <w:rFonts w:ascii="Arial" w:cs="Arial" w:eastAsia="Arial" w:hAnsi="Arial"/>
                <w:sz w:val="15"/>
                <w:szCs w:val="15"/>
                <w:color w:val="auto"/>
              </w:rPr>
              <w:t>Income taxes</w:t>
            </w:r>
          </w:p>
        </w:tc>
        <w:tc>
          <w:tcPr>
            <w:tcW w:w="3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14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187</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271</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See Accompanying Notes to Condensed Consolidated Financial Statements.</w:t>
      </w:r>
    </w:p>
    <w:p>
      <w:pPr>
        <w:spacing w:after="0" w:line="185" w:lineRule="exact"/>
        <w:rPr>
          <w:sz w:val="20"/>
          <w:szCs w:val="20"/>
          <w:color w:val="auto"/>
        </w:rPr>
      </w:pPr>
    </w:p>
    <w:p>
      <w:pPr>
        <w:ind w:firstLine="5"/>
        <w:spacing w:after="0" w:line="246" w:lineRule="auto"/>
        <w:tabs>
          <w:tab w:leader="none" w:pos="84"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Amounts for the thirty-nine weeks ended October 29, 2016 have been revised from previously reported amounts to reflect the adoption of new accounting standards in the first quarter of 2017. For additional information, see the </w:t>
      </w:r>
      <w:r>
        <w:rPr>
          <w:rFonts w:ascii="Arial" w:cs="Arial" w:eastAsia="Arial" w:hAnsi="Arial"/>
          <w:sz w:val="12"/>
          <w:szCs w:val="12"/>
          <w:i w:val="1"/>
          <w:iCs w:val="1"/>
          <w:color w:val="auto"/>
        </w:rPr>
        <w:t>Recently Adopted Accounting Pronouncements</w:t>
      </w:r>
      <w:r>
        <w:rPr>
          <w:rFonts w:ascii="Arial" w:cs="Arial" w:eastAsia="Arial" w:hAnsi="Arial"/>
          <w:sz w:val="12"/>
          <w:szCs w:val="12"/>
          <w:color w:val="auto"/>
        </w:rPr>
        <w:t xml:space="preserve"> note.</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6" w:name="page7"/>
    <w:bookmarkEnd w:id="6"/>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ind w:right="2040" w:firstLine="2045"/>
        <w:spacing w:after="0" w:line="369" w:lineRule="auto"/>
        <w:rPr>
          <w:sz w:val="20"/>
          <w:szCs w:val="20"/>
          <w:color w:val="auto"/>
        </w:rPr>
      </w:pPr>
      <w:r>
        <w:rPr>
          <w:rFonts w:ascii="Arial" w:cs="Arial" w:eastAsia="Arial" w:hAnsi="Arial"/>
          <w:sz w:val="15"/>
          <w:szCs w:val="15"/>
          <w:b w:val="1"/>
          <w:bCs w:val="1"/>
          <w:color w:val="auto"/>
        </w:rPr>
        <w:t>NOTES TO CONDENSED CONSOLIDATED FINANCIAL STATEMENTS 1. Summary of Significant Accounting Policies</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Basis of Presentation</w:t>
      </w:r>
    </w:p>
    <w:p>
      <w:pPr>
        <w:spacing w:after="0" w:line="160"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accompanying condensed consolidated financial statements contained in this report are unaudited. In the opinion of management, the condensed consolidated financial statements include all normal, recurring adjustments necessary for a fair presentation of the results for the interim periods of the fiscal year ending February 3, 2018 and of the fiscal year ended January 28, 2017. Certain items included in these statements are based on management’s estimates. Actual results may differ from those estimates. The results of operations for any interim period are not necessarily indicative of the results expected for the year. The accompanying unaudited condensed consolidated financial statements should be read in conjunction with the Notes to Consolidated Financial Statements contained in Foot Locker, Inc.’s (the “Company”) Form 10-K for the year ended January 28, 2017, as filed with the U.S. Securities and Exchange Commission (the “SEC”) on March 23, 2017.</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 Accounting Pronouncements</w:t>
      </w:r>
    </w:p>
    <w:p>
      <w:pPr>
        <w:spacing w:after="0" w:line="144"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In May 2014, the Financial Accounting Standards Board (“FASB”) issued Accounting Standards Update (“ASU”) 2014-09, </w:t>
      </w:r>
      <w:r>
        <w:rPr>
          <w:rFonts w:ascii="Arial" w:cs="Arial" w:eastAsia="Arial" w:hAnsi="Arial"/>
          <w:sz w:val="15"/>
          <w:szCs w:val="15"/>
          <w:i w:val="1"/>
          <w:iCs w:val="1"/>
          <w:color w:val="auto"/>
        </w:rPr>
        <w:t>Revenue</w:t>
      </w:r>
      <w:r>
        <w:rPr>
          <w:rFonts w:ascii="Arial" w:cs="Arial" w:eastAsia="Arial" w:hAnsi="Arial"/>
          <w:sz w:val="15"/>
          <w:szCs w:val="15"/>
          <w:color w:val="auto"/>
        </w:rPr>
        <w:t xml:space="preserve"> </w:t>
      </w:r>
      <w:r>
        <w:rPr>
          <w:rFonts w:ascii="Arial" w:cs="Arial" w:eastAsia="Arial" w:hAnsi="Arial"/>
          <w:sz w:val="15"/>
          <w:szCs w:val="15"/>
          <w:i w:val="1"/>
          <w:iCs w:val="1"/>
          <w:color w:val="auto"/>
        </w:rPr>
        <w:t>from Contracts with Customers</w:t>
      </w:r>
      <w:r>
        <w:rPr>
          <w:rFonts w:ascii="Arial" w:cs="Arial" w:eastAsia="Arial" w:hAnsi="Arial"/>
          <w:sz w:val="15"/>
          <w:szCs w:val="15"/>
          <w:color w:val="auto"/>
        </w:rPr>
        <w:t>. The core principle of this amendment is that an entity should recognize revenue to depict the transfer</w:t>
      </w:r>
      <w:r>
        <w:rPr>
          <w:rFonts w:ascii="Arial" w:cs="Arial" w:eastAsia="Arial" w:hAnsi="Arial"/>
          <w:sz w:val="15"/>
          <w:szCs w:val="15"/>
          <w:i w:val="1"/>
          <w:iCs w:val="1"/>
          <w:color w:val="auto"/>
        </w:rPr>
        <w:t xml:space="preserve"> </w:t>
      </w:r>
      <w:r>
        <w:rPr>
          <w:rFonts w:ascii="Arial" w:cs="Arial" w:eastAsia="Arial" w:hAnsi="Arial"/>
          <w:sz w:val="15"/>
          <w:szCs w:val="15"/>
          <w:color w:val="auto"/>
        </w:rPr>
        <w:t>of promised goods or services to customers in an amount that reflects the consideration to which the entity expects to be entitled in exchange for those goods or services. ASU 2014-09, as amended by ASU 2015-14, ASU 2016-08, ASU 2016-10, ASU 2016-12 and ASU 2016-20, is effective for annual reporting periods beginning after December 15, 2017, and interim periods therein. These ASUs can be adopted either retrospectively to each prior reporting period presented or as a cumulative-effect adjustment as of the date of adoption. The Company expects a change in the timing of recognizing gift card breakage, sales relating to shipping and handling for undelivered orders, and a change in timing for the recognition of expenses related to direct-response advertising costs. In addition, we expect a balance sheet reclassification from inventory to other current assets relating to our right to recover products for our sales returns, as well as a change to the accounting for our unredeemed rewards for our loyalty program as a reduction to sales instead of recording the charge to cost of goods sold. Although we are in the process of finalizing the quantification of the effects on the areas discussed above, we currently do not expect the adoption will significantly affect our consolidated statements of operations, financial position or cash flows. The Company expects to adopt the provisions of this standard using the modified retrospective method, which requires a cumulative effect adjustment to the opening balance of retained earnings on the date of adoption.</w:t>
      </w:r>
    </w:p>
    <w:p>
      <w:pPr>
        <w:spacing w:after="0" w:line="11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 xml:space="preserve">In February 2016, the FASB issued ASU 2016-02, </w:t>
      </w:r>
      <w:r>
        <w:rPr>
          <w:rFonts w:ascii="Arial" w:cs="Arial" w:eastAsia="Arial" w:hAnsi="Arial"/>
          <w:sz w:val="15"/>
          <w:szCs w:val="15"/>
          <w:i w:val="1"/>
          <w:iCs w:val="1"/>
          <w:color w:val="auto"/>
        </w:rPr>
        <w:t>Leases</w:t>
      </w:r>
      <w:r>
        <w:rPr>
          <w:rFonts w:ascii="Arial" w:cs="Arial" w:eastAsia="Arial" w:hAnsi="Arial"/>
          <w:sz w:val="15"/>
          <w:szCs w:val="15"/>
          <w:color w:val="auto"/>
        </w:rPr>
        <w:t>. This ASU requires lessees to recognize a lease liability and a right-of-use asset for all leases, as well as additional disclosure regarding leasing arrangements. This standard will be effective for fiscal years beginning after December 15, 2018, including interim periods therein, and requires a modified retrospective adoption, with earlier adoption permitted. The Company does not expect to adopt this ASU until required and is evaluating the effect of this guidance. The Company has historically presented a non-GAAP measure to adjust its balance sheet to present operating leases as if they were capital leases. Based upon that analysis and preliminary evaluation of the standard, we estimate the adoption will result in the addition of $3 billion to $4 billion of assets and liabilities to our consolidated balance sheet, with no significant change to our consolidated statements of operations or cash flows.</w:t>
      </w:r>
    </w:p>
    <w:p>
      <w:pPr>
        <w:spacing w:after="0" w:line="11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In October 2016, the FASB issued ASU 2016-16, </w:t>
      </w:r>
      <w:r>
        <w:rPr>
          <w:rFonts w:ascii="Arial" w:cs="Arial" w:eastAsia="Arial" w:hAnsi="Arial"/>
          <w:sz w:val="15"/>
          <w:szCs w:val="15"/>
          <w:i w:val="1"/>
          <w:iCs w:val="1"/>
          <w:color w:val="auto"/>
        </w:rPr>
        <w:t>Income Taxes (Topic 740): Intra-Entity Transfers of Assets Other Than Inventory</w:t>
      </w:r>
      <w:r>
        <w:rPr>
          <w:rFonts w:ascii="Arial" w:cs="Arial" w:eastAsia="Arial" w:hAnsi="Arial"/>
          <w:sz w:val="15"/>
          <w:szCs w:val="15"/>
          <w:color w:val="auto"/>
        </w:rPr>
        <w:t>. ASU 2016-16 requires recognition of income tax consequences of an intra-entity transfer of an asset other than inventory when the transfer occurs. This ASU is effective and will be adopted by the Company for annual reporting periods beginning after December 15, 2017, including interim periods therein. The amendments in this update should be applied on a modified retrospective basis through a cumulative-effect adjustment directly to retained earnings as of the beginning of the period of adoption. Upon adoption, a company would write off any income tax effects that had been deferred from past intercompany transactions involving non-inventory assets to opening retained earnings. In addition, an entity would record deferred tax assets with an offset to opening retained earnings for amounts that entity had previously not recognized under existing guidance but would recognize under the new guidance. Based on deferred tax amounts related to applicable past intercompany transactions and the foreign exchange rates as of October 28, 2017, we expect the adoption will result in an increase in deferred income tax assets of approximately $40 million to $45 million.</w:t>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Other recently issued accounting pronouncements did not, or are not believed by management to, have a material effect on the Company’s present or future consolidated financial statements.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5817870" cy="48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7" w:name="page8"/>
    <w:bookmarkEnd w:id="7"/>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Recently Adopted Accounting Pronouncements</w:t>
      </w:r>
    </w:p>
    <w:p>
      <w:pPr>
        <w:spacing w:after="0" w:line="107"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 xml:space="preserve">In March 2016, the FASB issued ASU 2016-09, </w:t>
      </w:r>
      <w:r>
        <w:rPr>
          <w:rFonts w:ascii="Arial" w:cs="Arial" w:eastAsia="Arial" w:hAnsi="Arial"/>
          <w:sz w:val="15"/>
          <w:szCs w:val="15"/>
          <w:i w:val="1"/>
          <w:iCs w:val="1"/>
          <w:color w:val="auto"/>
        </w:rPr>
        <w:t>Improvements to Employee Share-Based Payment Accounting.</w:t>
      </w:r>
      <w:r>
        <w:rPr>
          <w:rFonts w:ascii="Arial" w:cs="Arial" w:eastAsia="Arial" w:hAnsi="Arial"/>
          <w:sz w:val="15"/>
          <w:szCs w:val="15"/>
          <w:color w:val="auto"/>
        </w:rPr>
        <w:t xml:space="preserve"> ASU 2016-09 simplifies the accounting for share-based payment transactions, including tax consequences, forfeitures, and classifications of the tax related items in the statement of cash flows. The Company adopted ASU 2016-09 during the first quarter of 2017. Amendments relating to accounting for excess tax benefits and deficiencies have been adopted prospectively. For the thirteen and thirty-nine weeks ended October 28, 2017, the Company recorded excess tax benefits related to share-based compensation awards of $2 million and $9 million, respectively, to the income statement, within the income tax provision, whereas such benefits were previously recognized in equity. Also, in the diluted net earnings per share calculation, when applying the treasury stock method for shares that could be repurchased, the assumed proceeds no longer include the amount of excess tax benefits. This ASU also requires that we present excess tax benefits or deficiencies as operating activities in our condensed consolidated statement of cash flow. As a result of adopting this change retrospectively, we reclassified excess tax benefits of $16 million which were previously classified as cash flows from financing activities to operating activities for the thirty-nine weeks ended October 29, 2016. Additionally, the presentation of employee taxes paid to taxing authorities for share-based transactions of $6 million, previously classified as cash flows from operating activities, were reclassified to financing activities for the thirty-nine weeks ended October 29, 2016. The Company has made a policy election of recording forfeitures as they occur instead of estimating forfeitures using a modified retrospective approach. The cumulative effect of this change was not significant.</w:t>
      </w:r>
    </w:p>
    <w:p>
      <w:pPr>
        <w:spacing w:after="0" w:line="229" w:lineRule="exact"/>
        <w:rPr>
          <w:sz w:val="20"/>
          <w:szCs w:val="20"/>
          <w:color w:val="auto"/>
        </w:rPr>
      </w:pPr>
    </w:p>
    <w:p>
      <w:pPr>
        <w:jc w:val="both"/>
        <w:ind w:right="20"/>
        <w:spacing w:after="0" w:line="246" w:lineRule="auto"/>
        <w:rPr>
          <w:sz w:val="20"/>
          <w:szCs w:val="20"/>
          <w:color w:val="auto"/>
        </w:rPr>
      </w:pPr>
      <w:r>
        <w:rPr>
          <w:rFonts w:ascii="Arial" w:cs="Arial" w:eastAsia="Arial" w:hAnsi="Arial"/>
          <w:sz w:val="15"/>
          <w:szCs w:val="15"/>
          <w:color w:val="auto"/>
        </w:rPr>
        <w:t xml:space="preserve">In November 2016, the FASB issued ASU 2016-18, </w:t>
      </w:r>
      <w:r>
        <w:rPr>
          <w:rFonts w:ascii="Arial" w:cs="Arial" w:eastAsia="Arial" w:hAnsi="Arial"/>
          <w:sz w:val="15"/>
          <w:szCs w:val="15"/>
          <w:i w:val="1"/>
          <w:iCs w:val="1"/>
          <w:color w:val="auto"/>
        </w:rPr>
        <w:t>Statement of Cash Flows (Topic 230): Restricted Cash.</w:t>
      </w:r>
      <w:r>
        <w:rPr>
          <w:rFonts w:ascii="Arial" w:cs="Arial" w:eastAsia="Arial" w:hAnsi="Arial"/>
          <w:sz w:val="15"/>
          <w:szCs w:val="15"/>
          <w:color w:val="auto"/>
        </w:rPr>
        <w:t xml:space="preserve"> ASU 2016-18 requires that a statement of cash flows explain the change during the period in the total cash, cash equivalents, and amounts generally described as restricted cash and restricted cash equivalents when reconciling the beginning-of-period and end-of-period total amounts. This ASU is effective for annual reporting periods beginning after December 15, 2017 including interim periods therein. The Company has adopted this ASU as of the first quarter of 2017. Accordingly, we restated our cash and cash equivalents balances in the condensed consolidated statements of cash flows to include restricted cash of $28 million as of October 29, 2016 and $27 million as of both January 30, 2016, and January 28, 2017. Please see Note 5, </w:t>
      </w:r>
      <w:r>
        <w:rPr>
          <w:rFonts w:ascii="Arial" w:cs="Arial" w:eastAsia="Arial" w:hAnsi="Arial"/>
          <w:sz w:val="15"/>
          <w:szCs w:val="15"/>
          <w:i w:val="1"/>
          <w:iCs w:val="1"/>
          <w:color w:val="auto"/>
        </w:rPr>
        <w:t>Restricted Cash</w:t>
      </w:r>
      <w:r>
        <w:rPr>
          <w:rFonts w:ascii="Arial" w:cs="Arial" w:eastAsia="Arial" w:hAnsi="Arial"/>
          <w:sz w:val="15"/>
          <w:szCs w:val="15"/>
          <w:color w:val="auto"/>
        </w:rPr>
        <w:t>, for a reconciliation of cash and cash equivalents as presented on our condensed consolidated balance sheets to cash, cash equivalents, and restricted cash as reported on our condensed consolidated statements of cash flows.</w:t>
      </w:r>
    </w:p>
    <w:p>
      <w:pPr>
        <w:spacing w:after="0" w:line="13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2. Segment Information</w:t>
      </w:r>
    </w:p>
    <w:p>
      <w:pPr>
        <w:spacing w:after="0" w:line="101" w:lineRule="exact"/>
        <w:rPr>
          <w:sz w:val="20"/>
          <w:szCs w:val="20"/>
          <w:color w:val="auto"/>
        </w:rPr>
      </w:pPr>
    </w:p>
    <w:p>
      <w:pPr>
        <w:jc w:val="both"/>
        <w:ind w:left="20" w:right="40"/>
        <w:spacing w:after="0" w:line="242" w:lineRule="auto"/>
        <w:rPr>
          <w:sz w:val="20"/>
          <w:szCs w:val="20"/>
          <w:color w:val="auto"/>
        </w:rPr>
      </w:pPr>
      <w:r>
        <w:rPr>
          <w:rFonts w:ascii="Arial" w:cs="Arial" w:eastAsia="Arial" w:hAnsi="Arial"/>
          <w:sz w:val="15"/>
          <w:szCs w:val="15"/>
          <w:color w:val="auto"/>
        </w:rPr>
        <w:t>The Company has determined that its reportable segments are those that are based on its method of internal reporting. The Company has two reportable segments, Athletic Stores and Direct-to-Customers. The Company evaluates performance based on several factors, of which the primary financial measure is division results. Division profit reflects income before income taxes, pension litigation charge, reorganization charge, corporate expense, non-operating income, and net interest (income) / expense.</w:t>
      </w:r>
    </w:p>
    <w:p>
      <w:pPr>
        <w:spacing w:after="0" w:line="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2"/>
          </w:tcPr>
          <w:p>
            <w:pPr>
              <w:jc w:val="right"/>
              <w:ind w:right="23"/>
              <w:spacing w:after="0"/>
              <w:rPr>
                <w:sz w:val="20"/>
                <w:szCs w:val="20"/>
                <w:color w:val="auto"/>
              </w:rPr>
            </w:pPr>
            <w:r>
              <w:rPr>
                <w:rFonts w:ascii="Arial" w:cs="Arial" w:eastAsia="Arial" w:hAnsi="Arial"/>
                <w:sz w:val="15"/>
                <w:szCs w:val="15"/>
                <w:b w:val="1"/>
                <w:bCs w:val="1"/>
                <w:color w:val="auto"/>
              </w:rPr>
              <w:t>Thirteen weeks ended</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Thirty-nine weeks ended</w:t>
            </w:r>
          </w:p>
        </w:tc>
        <w:tc>
          <w:tcPr>
            <w:tcW w:w="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3280" w:type="dxa"/>
            <w:vAlign w:val="bottom"/>
          </w:tcPr>
          <w:p>
            <w:pPr>
              <w:spacing w:after="0"/>
              <w:rPr>
                <w:sz w:val="12"/>
                <w:szCs w:val="12"/>
                <w:color w:val="auto"/>
              </w:rPr>
            </w:pPr>
          </w:p>
        </w:tc>
        <w:tc>
          <w:tcPr>
            <w:tcW w:w="1660" w:type="dxa"/>
            <w:vAlign w:val="bottom"/>
            <w:gridSpan w:val="2"/>
          </w:tcPr>
          <w:p>
            <w:pPr>
              <w:jc w:val="right"/>
              <w:ind w:right="283"/>
              <w:spacing w:after="0" w:line="139" w:lineRule="exact"/>
              <w:rPr>
                <w:sz w:val="20"/>
                <w:szCs w:val="20"/>
                <w:color w:val="auto"/>
              </w:rPr>
            </w:pPr>
            <w:r>
              <w:rPr>
                <w:rFonts w:ascii="Arial" w:cs="Arial" w:eastAsia="Arial" w:hAnsi="Arial"/>
                <w:sz w:val="15"/>
                <w:szCs w:val="15"/>
                <w:b w:val="1"/>
                <w:bCs w:val="1"/>
                <w:color w:val="auto"/>
              </w:rPr>
              <w:t>October 28,</w:t>
            </w:r>
          </w:p>
        </w:tc>
        <w:tc>
          <w:tcPr>
            <w:tcW w:w="1440" w:type="dxa"/>
            <w:vAlign w:val="bottom"/>
            <w:gridSpan w:val="2"/>
          </w:tcPr>
          <w:p>
            <w:pPr>
              <w:jc w:val="right"/>
              <w:ind w:right="283"/>
              <w:spacing w:after="0" w:line="139" w:lineRule="exact"/>
              <w:rPr>
                <w:sz w:val="20"/>
                <w:szCs w:val="20"/>
                <w:color w:val="auto"/>
              </w:rPr>
            </w:pPr>
            <w:r>
              <w:rPr>
                <w:rFonts w:ascii="Arial" w:cs="Arial" w:eastAsia="Arial" w:hAnsi="Arial"/>
                <w:sz w:val="15"/>
                <w:szCs w:val="15"/>
                <w:b w:val="1"/>
                <w:bCs w:val="1"/>
                <w:color w:val="auto"/>
              </w:rPr>
              <w:t>October 29,</w:t>
            </w:r>
          </w:p>
        </w:tc>
        <w:tc>
          <w:tcPr>
            <w:tcW w:w="1420" w:type="dxa"/>
            <w:vAlign w:val="bottom"/>
            <w:gridSpan w:val="2"/>
          </w:tcPr>
          <w:p>
            <w:pPr>
              <w:jc w:val="right"/>
              <w:ind w:right="263"/>
              <w:spacing w:after="0" w:line="139" w:lineRule="exact"/>
              <w:rPr>
                <w:sz w:val="20"/>
                <w:szCs w:val="20"/>
                <w:color w:val="auto"/>
              </w:rPr>
            </w:pPr>
            <w:r>
              <w:rPr>
                <w:rFonts w:ascii="Arial" w:cs="Arial" w:eastAsia="Arial" w:hAnsi="Arial"/>
                <w:sz w:val="15"/>
                <w:szCs w:val="15"/>
                <w:b w:val="1"/>
                <w:bCs w:val="1"/>
                <w:color w:val="auto"/>
              </w:rPr>
              <w:t>October 28,</w:t>
            </w:r>
          </w:p>
        </w:tc>
        <w:tc>
          <w:tcPr>
            <w:tcW w:w="1300" w:type="dxa"/>
            <w:vAlign w:val="bottom"/>
            <w:gridSpan w:val="2"/>
          </w:tcPr>
          <w:p>
            <w:pPr>
              <w:jc w:val="right"/>
              <w:ind w:right="123"/>
              <w:spacing w:after="0" w:line="139" w:lineRule="exact"/>
              <w:rPr>
                <w:sz w:val="20"/>
                <w:szCs w:val="20"/>
                <w:color w:val="auto"/>
              </w:rPr>
            </w:pPr>
            <w:r>
              <w:rPr>
                <w:rFonts w:ascii="Arial" w:cs="Arial" w:eastAsia="Arial" w:hAnsi="Arial"/>
                <w:sz w:val="15"/>
                <w:szCs w:val="15"/>
                <w:b w:val="1"/>
                <w:bCs w:val="1"/>
                <w:color w:val="auto"/>
              </w:rPr>
              <w:t>October 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32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6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ind w:left="40"/>
              <w:spacing w:after="0"/>
              <w:rPr>
                <w:sz w:val="20"/>
                <w:szCs w:val="20"/>
                <w:color w:val="auto"/>
              </w:rPr>
            </w:pPr>
            <w:r>
              <w:rPr>
                <w:rFonts w:ascii="Arial" w:cs="Arial" w:eastAsia="Arial" w:hAnsi="Arial"/>
                <w:sz w:val="15"/>
                <w:szCs w:val="15"/>
                <w:b w:val="1"/>
                <w:bCs w:val="1"/>
                <w:color w:val="auto"/>
              </w:rPr>
              <w:t>2017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4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Sales</w:t>
            </w:r>
          </w:p>
        </w:tc>
        <w:tc>
          <w:tcPr>
            <w:tcW w:w="5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spacing w:after="0" w:line="163" w:lineRule="exact"/>
              <w:rPr>
                <w:sz w:val="20"/>
                <w:szCs w:val="20"/>
                <w:color w:val="auto"/>
              </w:rPr>
            </w:pPr>
            <w:r>
              <w:rPr>
                <w:rFonts w:ascii="Arial" w:cs="Arial" w:eastAsia="Arial" w:hAnsi="Arial"/>
                <w:sz w:val="15"/>
                <w:szCs w:val="15"/>
                <w:color w:val="auto"/>
              </w:rPr>
              <w:t>($ in millions)</w:t>
            </w: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80" w:type="dxa"/>
            <w:vAlign w:val="bottom"/>
          </w:tcPr>
          <w:p>
            <w:pPr>
              <w:spacing w:after="0" w:line="170" w:lineRule="exact"/>
              <w:rPr>
                <w:sz w:val="20"/>
                <w:szCs w:val="20"/>
                <w:color w:val="auto"/>
              </w:rPr>
            </w:pPr>
            <w:r>
              <w:rPr>
                <w:rFonts w:ascii="Arial" w:cs="Arial" w:eastAsia="Arial" w:hAnsi="Arial"/>
                <w:sz w:val="15"/>
                <w:szCs w:val="15"/>
                <w:color w:val="auto"/>
              </w:rPr>
              <w:t>Athletic Stores</w:t>
            </w:r>
          </w:p>
        </w:tc>
        <w:tc>
          <w:tcPr>
            <w:tcW w:w="580" w:type="dxa"/>
            <w:vAlign w:val="bottom"/>
          </w:tcPr>
          <w:p>
            <w:pPr>
              <w:jc w:val="right"/>
              <w:ind w:right="23"/>
              <w:spacing w:after="0" w:line="170" w:lineRule="exact"/>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123"/>
              <w:spacing w:after="0" w:line="170" w:lineRule="exact"/>
              <w:rPr>
                <w:sz w:val="20"/>
                <w:szCs w:val="20"/>
                <w:color w:val="auto"/>
              </w:rPr>
            </w:pPr>
            <w:r>
              <w:rPr>
                <w:rFonts w:ascii="Arial" w:cs="Arial" w:eastAsia="Arial" w:hAnsi="Arial"/>
                <w:sz w:val="15"/>
                <w:szCs w:val="15"/>
                <w:b w:val="1"/>
                <w:bCs w:val="1"/>
                <w:color w:val="auto"/>
              </w:rPr>
              <w:t>1,612</w:t>
            </w:r>
          </w:p>
        </w:tc>
        <w:tc>
          <w:tcPr>
            <w:tcW w:w="840" w:type="dxa"/>
            <w:vAlign w:val="bottom"/>
          </w:tcPr>
          <w:p>
            <w:pPr>
              <w:jc w:val="right"/>
              <w:ind w:right="523"/>
              <w:spacing w:after="0" w:line="170"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143"/>
              <w:spacing w:after="0" w:line="170" w:lineRule="exact"/>
              <w:rPr>
                <w:sz w:val="20"/>
                <w:szCs w:val="20"/>
                <w:color w:val="auto"/>
              </w:rPr>
            </w:pPr>
            <w:r>
              <w:rPr>
                <w:rFonts w:ascii="Arial" w:cs="Arial" w:eastAsia="Arial" w:hAnsi="Arial"/>
                <w:sz w:val="15"/>
                <w:szCs w:val="15"/>
                <w:color w:val="auto"/>
                <w:w w:val="95"/>
              </w:rPr>
              <w:t>1,644</w:t>
            </w:r>
          </w:p>
        </w:tc>
        <w:tc>
          <w:tcPr>
            <w:tcW w:w="440" w:type="dxa"/>
            <w:vAlign w:val="bottom"/>
          </w:tcPr>
          <w:p>
            <w:pPr>
              <w:jc w:val="right"/>
              <w:ind w:right="123"/>
              <w:spacing w:after="0" w:line="170" w:lineRule="exact"/>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123"/>
              <w:spacing w:after="0" w:line="170" w:lineRule="exact"/>
              <w:rPr>
                <w:sz w:val="20"/>
                <w:szCs w:val="20"/>
                <w:color w:val="auto"/>
              </w:rPr>
            </w:pPr>
            <w:r>
              <w:rPr>
                <w:rFonts w:ascii="Arial" w:cs="Arial" w:eastAsia="Arial" w:hAnsi="Arial"/>
                <w:sz w:val="15"/>
                <w:szCs w:val="15"/>
                <w:b w:val="1"/>
                <w:bCs w:val="1"/>
                <w:color w:val="auto"/>
              </w:rPr>
              <w:t>4,819</w:t>
            </w:r>
          </w:p>
        </w:tc>
        <w:tc>
          <w:tcPr>
            <w:tcW w:w="860" w:type="dxa"/>
            <w:vAlign w:val="bottom"/>
          </w:tcPr>
          <w:p>
            <w:pPr>
              <w:jc w:val="right"/>
              <w:ind w:right="523"/>
              <w:spacing w:after="0" w:line="170" w:lineRule="exact"/>
              <w:rPr>
                <w:sz w:val="20"/>
                <w:szCs w:val="20"/>
                <w:color w:val="auto"/>
              </w:rPr>
            </w:pPr>
            <w:r>
              <w:rPr>
                <w:rFonts w:ascii="Arial" w:cs="Arial" w:eastAsia="Arial" w:hAnsi="Arial"/>
                <w:sz w:val="15"/>
                <w:szCs w:val="15"/>
                <w:color w:val="auto"/>
              </w:rPr>
              <w:t>$</w:t>
            </w:r>
          </w:p>
        </w:tc>
        <w:tc>
          <w:tcPr>
            <w:tcW w:w="440" w:type="dxa"/>
            <w:vAlign w:val="bottom"/>
          </w:tcPr>
          <w:p>
            <w:pPr>
              <w:jc w:val="right"/>
              <w:spacing w:after="0" w:line="170" w:lineRule="exact"/>
              <w:rPr>
                <w:sz w:val="20"/>
                <w:szCs w:val="20"/>
                <w:color w:val="auto"/>
              </w:rPr>
            </w:pPr>
            <w:r>
              <w:rPr>
                <w:rFonts w:ascii="Arial" w:cs="Arial" w:eastAsia="Arial" w:hAnsi="Arial"/>
                <w:sz w:val="15"/>
                <w:szCs w:val="15"/>
                <w:color w:val="auto"/>
              </w:rPr>
              <w:t>4,955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5"/>
                <w:szCs w:val="15"/>
                <w:color w:val="auto"/>
              </w:rPr>
              <w:t>Direct-to-Customers</w:t>
            </w:r>
          </w:p>
        </w:tc>
        <w:tc>
          <w:tcPr>
            <w:tcW w:w="5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23"/>
              <w:spacing w:after="0" w:line="170" w:lineRule="exact"/>
              <w:rPr>
                <w:sz w:val="20"/>
                <w:szCs w:val="20"/>
                <w:color w:val="auto"/>
              </w:rPr>
            </w:pPr>
            <w:r>
              <w:rPr>
                <w:rFonts w:ascii="Arial" w:cs="Arial" w:eastAsia="Arial" w:hAnsi="Arial"/>
                <w:sz w:val="15"/>
                <w:szCs w:val="15"/>
                <w:b w:val="1"/>
                <w:bCs w:val="1"/>
                <w:color w:val="auto"/>
              </w:rPr>
              <w:t>258</w:t>
            </w: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43"/>
              <w:spacing w:after="0" w:line="170" w:lineRule="exact"/>
              <w:rPr>
                <w:sz w:val="20"/>
                <w:szCs w:val="20"/>
                <w:color w:val="auto"/>
              </w:rPr>
            </w:pPr>
            <w:r>
              <w:rPr>
                <w:rFonts w:ascii="Arial" w:cs="Arial" w:eastAsia="Arial" w:hAnsi="Arial"/>
                <w:sz w:val="15"/>
                <w:szCs w:val="15"/>
                <w:color w:val="auto"/>
              </w:rPr>
              <w:t>242</w:t>
            </w: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23"/>
              <w:spacing w:after="0" w:line="170" w:lineRule="exact"/>
              <w:rPr>
                <w:sz w:val="20"/>
                <w:szCs w:val="20"/>
                <w:color w:val="auto"/>
              </w:rPr>
            </w:pPr>
            <w:r>
              <w:rPr>
                <w:rFonts w:ascii="Arial" w:cs="Arial" w:eastAsia="Arial" w:hAnsi="Arial"/>
                <w:sz w:val="15"/>
                <w:szCs w:val="15"/>
                <w:b w:val="1"/>
                <w:bCs w:val="1"/>
                <w:color w:val="auto"/>
              </w:rPr>
              <w:t>753</w:t>
            </w:r>
          </w:p>
        </w:tc>
        <w:tc>
          <w:tcPr>
            <w:tcW w:w="8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698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color w:val="auto"/>
              </w:rPr>
              <w:t>Total sales</w:t>
            </w:r>
          </w:p>
        </w:tc>
        <w:tc>
          <w:tcPr>
            <w:tcW w:w="58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b w:val="1"/>
                <w:bCs w:val="1"/>
                <w:color w:val="auto"/>
              </w:rPr>
              <w:t>1,870</w:t>
            </w:r>
          </w:p>
        </w:tc>
        <w:tc>
          <w:tcPr>
            <w:tcW w:w="840" w:type="dxa"/>
            <w:vAlign w:val="bottom"/>
            <w:tcBorders>
              <w:bottom w:val="single" w:sz="8" w:color="auto"/>
            </w:tcBorders>
          </w:tcPr>
          <w:p>
            <w:pPr>
              <w:jc w:val="right"/>
              <w:ind w:right="523"/>
              <w:spacing w:after="0" w:line="163"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143"/>
              <w:spacing w:after="0" w:line="163" w:lineRule="exact"/>
              <w:rPr>
                <w:sz w:val="20"/>
                <w:szCs w:val="20"/>
                <w:color w:val="auto"/>
              </w:rPr>
            </w:pPr>
            <w:r>
              <w:rPr>
                <w:rFonts w:ascii="Arial" w:cs="Arial" w:eastAsia="Arial" w:hAnsi="Arial"/>
                <w:sz w:val="15"/>
                <w:szCs w:val="15"/>
                <w:color w:val="auto"/>
                <w:w w:val="95"/>
              </w:rPr>
              <w:t>1,886</w:t>
            </w:r>
          </w:p>
        </w:tc>
        <w:tc>
          <w:tcPr>
            <w:tcW w:w="44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b w:val="1"/>
                <w:bCs w:val="1"/>
                <w:color w:val="auto"/>
              </w:rPr>
              <w:t>5,572</w:t>
            </w:r>
          </w:p>
        </w:tc>
        <w:tc>
          <w:tcPr>
            <w:tcW w:w="860" w:type="dxa"/>
            <w:vAlign w:val="bottom"/>
            <w:tcBorders>
              <w:bottom w:val="single" w:sz="8" w:color="auto"/>
            </w:tcBorders>
          </w:tcPr>
          <w:p>
            <w:pPr>
              <w:jc w:val="right"/>
              <w:ind w:right="523"/>
              <w:spacing w:after="0" w:line="163"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5,653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shd w:val="clear" w:color="auto" w:fill="CCEEFF"/>
          </w:tcPr>
          <w:p>
            <w:pPr>
              <w:spacing w:after="0" w:line="163" w:lineRule="exact"/>
              <w:rPr>
                <w:sz w:val="20"/>
                <w:szCs w:val="20"/>
                <w:color w:val="auto"/>
              </w:rPr>
            </w:pPr>
            <w:r>
              <w:rPr>
                <w:rFonts w:ascii="Arial" w:cs="Arial" w:eastAsia="Arial" w:hAnsi="Arial"/>
                <w:sz w:val="15"/>
                <w:szCs w:val="15"/>
                <w:b w:val="1"/>
                <w:bCs w:val="1"/>
                <w:color w:val="auto"/>
              </w:rPr>
              <w:t>Operating Results</w:t>
            </w:r>
          </w:p>
        </w:tc>
        <w:tc>
          <w:tcPr>
            <w:tcW w:w="580" w:type="dxa"/>
            <w:vAlign w:val="bottom"/>
            <w:shd w:val="clear" w:color="auto" w:fill="CCEEFF"/>
          </w:tcPr>
          <w:p>
            <w:pPr>
              <w:spacing w:after="0"/>
              <w:rPr>
                <w:sz w:val="14"/>
                <w:szCs w:val="14"/>
                <w:color w:val="auto"/>
              </w:rPr>
            </w:pPr>
          </w:p>
        </w:tc>
        <w:tc>
          <w:tcPr>
            <w:tcW w:w="108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80" w:type="dxa"/>
            <w:vAlign w:val="bottom"/>
          </w:tcPr>
          <w:p>
            <w:pPr>
              <w:spacing w:after="0" w:line="170" w:lineRule="exact"/>
              <w:rPr>
                <w:sz w:val="20"/>
                <w:szCs w:val="20"/>
                <w:color w:val="auto"/>
              </w:rPr>
            </w:pPr>
            <w:r>
              <w:rPr>
                <w:rFonts w:ascii="Arial" w:cs="Arial" w:eastAsia="Arial" w:hAnsi="Arial"/>
                <w:sz w:val="15"/>
                <w:szCs w:val="15"/>
                <w:color w:val="auto"/>
              </w:rPr>
              <w:t xml:space="preserve">Athletic Stores </w:t>
            </w:r>
            <w:r>
              <w:rPr>
                <w:rFonts w:ascii="Arial" w:cs="Arial" w:eastAsia="Arial" w:hAnsi="Arial"/>
                <w:sz w:val="8"/>
                <w:szCs w:val="8"/>
                <w:color w:val="auto"/>
              </w:rPr>
              <w:t>(1)</w:t>
            </w:r>
          </w:p>
        </w:tc>
        <w:tc>
          <w:tcPr>
            <w:tcW w:w="580" w:type="dxa"/>
            <w:vAlign w:val="bottom"/>
          </w:tcPr>
          <w:p>
            <w:pPr>
              <w:jc w:val="right"/>
              <w:ind w:right="23"/>
              <w:spacing w:after="0" w:line="170" w:lineRule="exact"/>
              <w:rPr>
                <w:sz w:val="20"/>
                <w:szCs w:val="20"/>
                <w:color w:val="auto"/>
              </w:rPr>
            </w:pPr>
            <w:r>
              <w:rPr>
                <w:rFonts w:ascii="Arial" w:cs="Arial" w:eastAsia="Arial" w:hAnsi="Arial"/>
                <w:sz w:val="15"/>
                <w:szCs w:val="15"/>
                <w:b w:val="1"/>
                <w:bCs w:val="1"/>
                <w:color w:val="auto"/>
              </w:rPr>
              <w:t>$</w:t>
            </w:r>
          </w:p>
        </w:tc>
        <w:tc>
          <w:tcPr>
            <w:tcW w:w="1080" w:type="dxa"/>
            <w:vAlign w:val="bottom"/>
          </w:tcPr>
          <w:p>
            <w:pPr>
              <w:jc w:val="right"/>
              <w:ind w:right="123"/>
              <w:spacing w:after="0" w:line="170" w:lineRule="exact"/>
              <w:rPr>
                <w:sz w:val="20"/>
                <w:szCs w:val="20"/>
                <w:color w:val="auto"/>
              </w:rPr>
            </w:pPr>
            <w:r>
              <w:rPr>
                <w:rFonts w:ascii="Arial" w:cs="Arial" w:eastAsia="Arial" w:hAnsi="Arial"/>
                <w:sz w:val="15"/>
                <w:szCs w:val="15"/>
                <w:b w:val="1"/>
                <w:bCs w:val="1"/>
                <w:color w:val="auto"/>
              </w:rPr>
              <w:t>154</w:t>
            </w:r>
          </w:p>
        </w:tc>
        <w:tc>
          <w:tcPr>
            <w:tcW w:w="840" w:type="dxa"/>
            <w:vAlign w:val="bottom"/>
          </w:tcPr>
          <w:p>
            <w:pPr>
              <w:jc w:val="right"/>
              <w:ind w:right="523"/>
              <w:spacing w:after="0" w:line="170" w:lineRule="exact"/>
              <w:rPr>
                <w:sz w:val="20"/>
                <w:szCs w:val="20"/>
                <w:color w:val="auto"/>
              </w:rPr>
            </w:pPr>
            <w:r>
              <w:rPr>
                <w:rFonts w:ascii="Arial" w:cs="Arial" w:eastAsia="Arial" w:hAnsi="Arial"/>
                <w:sz w:val="15"/>
                <w:szCs w:val="15"/>
                <w:color w:val="auto"/>
              </w:rPr>
              <w:t>$</w:t>
            </w:r>
          </w:p>
        </w:tc>
        <w:tc>
          <w:tcPr>
            <w:tcW w:w="600" w:type="dxa"/>
            <w:vAlign w:val="bottom"/>
          </w:tcPr>
          <w:p>
            <w:pPr>
              <w:jc w:val="right"/>
              <w:ind w:right="143"/>
              <w:spacing w:after="0" w:line="170" w:lineRule="exact"/>
              <w:rPr>
                <w:sz w:val="20"/>
                <w:szCs w:val="20"/>
                <w:color w:val="auto"/>
              </w:rPr>
            </w:pPr>
            <w:r>
              <w:rPr>
                <w:rFonts w:ascii="Arial" w:cs="Arial" w:eastAsia="Arial" w:hAnsi="Arial"/>
                <w:sz w:val="15"/>
                <w:szCs w:val="15"/>
                <w:color w:val="auto"/>
              </w:rPr>
              <w:t>213</w:t>
            </w:r>
          </w:p>
        </w:tc>
        <w:tc>
          <w:tcPr>
            <w:tcW w:w="440" w:type="dxa"/>
            <w:vAlign w:val="bottom"/>
          </w:tcPr>
          <w:p>
            <w:pPr>
              <w:jc w:val="right"/>
              <w:ind w:right="123"/>
              <w:spacing w:after="0" w:line="170" w:lineRule="exact"/>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123"/>
              <w:spacing w:after="0" w:line="170" w:lineRule="exact"/>
              <w:rPr>
                <w:sz w:val="20"/>
                <w:szCs w:val="20"/>
                <w:color w:val="auto"/>
              </w:rPr>
            </w:pPr>
            <w:r>
              <w:rPr>
                <w:rFonts w:ascii="Arial" w:cs="Arial" w:eastAsia="Arial" w:hAnsi="Arial"/>
                <w:sz w:val="15"/>
                <w:szCs w:val="15"/>
                <w:b w:val="1"/>
                <w:bCs w:val="1"/>
                <w:color w:val="auto"/>
              </w:rPr>
              <w:t>504</w:t>
            </w:r>
          </w:p>
        </w:tc>
        <w:tc>
          <w:tcPr>
            <w:tcW w:w="860" w:type="dxa"/>
            <w:vAlign w:val="bottom"/>
          </w:tcPr>
          <w:p>
            <w:pPr>
              <w:jc w:val="right"/>
              <w:ind w:right="523"/>
              <w:spacing w:after="0" w:line="170" w:lineRule="exact"/>
              <w:rPr>
                <w:sz w:val="20"/>
                <w:szCs w:val="20"/>
                <w:color w:val="auto"/>
              </w:rPr>
            </w:pPr>
            <w:r>
              <w:rPr>
                <w:rFonts w:ascii="Arial" w:cs="Arial" w:eastAsia="Arial" w:hAnsi="Arial"/>
                <w:sz w:val="15"/>
                <w:szCs w:val="15"/>
                <w:color w:val="auto"/>
              </w:rPr>
              <w:t>$</w:t>
            </w:r>
          </w:p>
        </w:tc>
        <w:tc>
          <w:tcPr>
            <w:tcW w:w="440" w:type="dxa"/>
            <w:vAlign w:val="bottom"/>
          </w:tcPr>
          <w:p>
            <w:pPr>
              <w:jc w:val="right"/>
              <w:spacing w:after="0" w:line="170" w:lineRule="exact"/>
              <w:rPr>
                <w:sz w:val="20"/>
                <w:szCs w:val="20"/>
                <w:color w:val="auto"/>
              </w:rPr>
            </w:pPr>
            <w:r>
              <w:rPr>
                <w:rFonts w:ascii="Arial" w:cs="Arial" w:eastAsia="Arial" w:hAnsi="Arial"/>
                <w:sz w:val="15"/>
                <w:szCs w:val="15"/>
                <w:color w:val="auto"/>
              </w:rPr>
              <w:t>683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5"/>
                <w:szCs w:val="15"/>
                <w:color w:val="auto"/>
              </w:rPr>
              <w:t>Direct-to-Customers</w:t>
            </w:r>
          </w:p>
        </w:tc>
        <w:tc>
          <w:tcPr>
            <w:tcW w:w="5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23"/>
              <w:spacing w:after="0" w:line="170" w:lineRule="exact"/>
              <w:rPr>
                <w:sz w:val="20"/>
                <w:szCs w:val="20"/>
                <w:color w:val="auto"/>
              </w:rPr>
            </w:pPr>
            <w:r>
              <w:rPr>
                <w:rFonts w:ascii="Arial" w:cs="Arial" w:eastAsia="Arial" w:hAnsi="Arial"/>
                <w:sz w:val="15"/>
                <w:szCs w:val="15"/>
                <w:b w:val="1"/>
                <w:bCs w:val="1"/>
                <w:color w:val="auto"/>
              </w:rPr>
              <w:t>26</w:t>
            </w: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43"/>
              <w:spacing w:after="0" w:line="170" w:lineRule="exact"/>
              <w:rPr>
                <w:sz w:val="20"/>
                <w:szCs w:val="20"/>
                <w:color w:val="auto"/>
              </w:rPr>
            </w:pPr>
            <w:r>
              <w:rPr>
                <w:rFonts w:ascii="Arial" w:cs="Arial" w:eastAsia="Arial" w:hAnsi="Arial"/>
                <w:sz w:val="15"/>
                <w:szCs w:val="15"/>
                <w:color w:val="auto"/>
              </w:rPr>
              <w:t>32</w:t>
            </w: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23"/>
              <w:spacing w:after="0" w:line="170" w:lineRule="exact"/>
              <w:rPr>
                <w:sz w:val="20"/>
                <w:szCs w:val="20"/>
                <w:color w:val="auto"/>
              </w:rPr>
            </w:pPr>
            <w:r>
              <w:rPr>
                <w:rFonts w:ascii="Arial" w:cs="Arial" w:eastAsia="Arial" w:hAnsi="Arial"/>
                <w:sz w:val="15"/>
                <w:szCs w:val="15"/>
                <w:b w:val="1"/>
                <w:bCs w:val="1"/>
                <w:color w:val="auto"/>
              </w:rPr>
              <w:t>88</w:t>
            </w:r>
          </w:p>
        </w:tc>
        <w:tc>
          <w:tcPr>
            <w:tcW w:w="8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92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line="163" w:lineRule="exact"/>
              <w:rPr>
                <w:sz w:val="20"/>
                <w:szCs w:val="20"/>
                <w:color w:val="auto"/>
              </w:rPr>
            </w:pPr>
            <w:r>
              <w:rPr>
                <w:rFonts w:ascii="Arial" w:cs="Arial" w:eastAsia="Arial" w:hAnsi="Arial"/>
                <w:sz w:val="15"/>
                <w:szCs w:val="15"/>
                <w:color w:val="auto"/>
              </w:rPr>
              <w:t>Division profit</w:t>
            </w:r>
          </w:p>
        </w:tc>
        <w:tc>
          <w:tcPr>
            <w:tcW w:w="580" w:type="dxa"/>
            <w:vAlign w:val="bottom"/>
          </w:tcPr>
          <w:p>
            <w:pPr>
              <w:spacing w:after="0"/>
              <w:rPr>
                <w:sz w:val="14"/>
                <w:szCs w:val="14"/>
                <w:color w:val="auto"/>
              </w:rPr>
            </w:pPr>
          </w:p>
        </w:tc>
        <w:tc>
          <w:tcPr>
            <w:tcW w:w="1080" w:type="dxa"/>
            <w:vAlign w:val="bottom"/>
          </w:tcPr>
          <w:p>
            <w:pPr>
              <w:jc w:val="right"/>
              <w:ind w:right="123"/>
              <w:spacing w:after="0" w:line="163" w:lineRule="exact"/>
              <w:rPr>
                <w:sz w:val="20"/>
                <w:szCs w:val="20"/>
                <w:color w:val="auto"/>
              </w:rPr>
            </w:pPr>
            <w:r>
              <w:rPr>
                <w:rFonts w:ascii="Arial" w:cs="Arial" w:eastAsia="Arial" w:hAnsi="Arial"/>
                <w:sz w:val="15"/>
                <w:szCs w:val="15"/>
                <w:b w:val="1"/>
                <w:bCs w:val="1"/>
                <w:color w:val="auto"/>
              </w:rPr>
              <w:t>180</w:t>
            </w:r>
          </w:p>
        </w:tc>
        <w:tc>
          <w:tcPr>
            <w:tcW w:w="840" w:type="dxa"/>
            <w:vAlign w:val="bottom"/>
          </w:tcPr>
          <w:p>
            <w:pPr>
              <w:spacing w:after="0"/>
              <w:rPr>
                <w:sz w:val="14"/>
                <w:szCs w:val="14"/>
                <w:color w:val="auto"/>
              </w:rPr>
            </w:pPr>
          </w:p>
        </w:tc>
        <w:tc>
          <w:tcPr>
            <w:tcW w:w="600" w:type="dxa"/>
            <w:vAlign w:val="bottom"/>
          </w:tcPr>
          <w:p>
            <w:pPr>
              <w:jc w:val="right"/>
              <w:ind w:right="143"/>
              <w:spacing w:after="0" w:line="163" w:lineRule="exact"/>
              <w:rPr>
                <w:sz w:val="20"/>
                <w:szCs w:val="20"/>
                <w:color w:val="auto"/>
              </w:rPr>
            </w:pPr>
            <w:r>
              <w:rPr>
                <w:rFonts w:ascii="Arial" w:cs="Arial" w:eastAsia="Arial" w:hAnsi="Arial"/>
                <w:sz w:val="15"/>
                <w:szCs w:val="15"/>
                <w:color w:val="auto"/>
              </w:rPr>
              <w:t>245</w:t>
            </w:r>
          </w:p>
        </w:tc>
        <w:tc>
          <w:tcPr>
            <w:tcW w:w="440" w:type="dxa"/>
            <w:vAlign w:val="bottom"/>
          </w:tcPr>
          <w:p>
            <w:pPr>
              <w:spacing w:after="0"/>
              <w:rPr>
                <w:sz w:val="14"/>
                <w:szCs w:val="14"/>
                <w:color w:val="auto"/>
              </w:rPr>
            </w:pPr>
          </w:p>
        </w:tc>
        <w:tc>
          <w:tcPr>
            <w:tcW w:w="980" w:type="dxa"/>
            <w:vAlign w:val="bottom"/>
          </w:tcPr>
          <w:p>
            <w:pPr>
              <w:jc w:val="right"/>
              <w:ind w:right="123"/>
              <w:spacing w:after="0" w:line="163" w:lineRule="exact"/>
              <w:rPr>
                <w:sz w:val="20"/>
                <w:szCs w:val="20"/>
                <w:color w:val="auto"/>
              </w:rPr>
            </w:pPr>
            <w:r>
              <w:rPr>
                <w:rFonts w:ascii="Arial" w:cs="Arial" w:eastAsia="Arial" w:hAnsi="Arial"/>
                <w:sz w:val="15"/>
                <w:szCs w:val="15"/>
                <w:b w:val="1"/>
                <w:bCs w:val="1"/>
                <w:color w:val="auto"/>
              </w:rPr>
              <w:t>592</w:t>
            </w:r>
          </w:p>
        </w:tc>
        <w:tc>
          <w:tcPr>
            <w:tcW w:w="860" w:type="dxa"/>
            <w:vAlign w:val="bottom"/>
          </w:tcPr>
          <w:p>
            <w:pPr>
              <w:spacing w:after="0"/>
              <w:rPr>
                <w:sz w:val="14"/>
                <w:szCs w:val="14"/>
                <w:color w:val="auto"/>
              </w:rPr>
            </w:pPr>
          </w:p>
        </w:tc>
        <w:tc>
          <w:tcPr>
            <w:tcW w:w="440" w:type="dxa"/>
            <w:vAlign w:val="bottom"/>
          </w:tcPr>
          <w:p>
            <w:pPr>
              <w:jc w:val="right"/>
              <w:spacing w:after="0" w:line="163" w:lineRule="exact"/>
              <w:rPr>
                <w:sz w:val="20"/>
                <w:szCs w:val="20"/>
                <w:color w:val="auto"/>
              </w:rPr>
            </w:pPr>
            <w:r>
              <w:rPr>
                <w:rFonts w:ascii="Arial" w:cs="Arial" w:eastAsia="Arial" w:hAnsi="Arial"/>
                <w:sz w:val="15"/>
                <w:szCs w:val="15"/>
                <w:color w:val="auto"/>
              </w:rPr>
              <w:t>775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7"/>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Less: Pension litigation and reorganization</w:t>
            </w:r>
          </w:p>
        </w:tc>
        <w:tc>
          <w:tcPr>
            <w:tcW w:w="58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13</w:t>
            </w: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63</w:t>
            </w: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2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 xml:space="preserve">charges </w:t>
            </w:r>
            <w:r>
              <w:rPr>
                <w:rFonts w:ascii="Arial" w:cs="Arial" w:eastAsia="Arial" w:hAnsi="Arial"/>
                <w:sz w:val="8"/>
                <w:szCs w:val="8"/>
                <w:color w:val="auto"/>
              </w:rPr>
              <w:t>(2), (3)</w:t>
            </w:r>
          </w:p>
        </w:tc>
        <w:tc>
          <w:tcPr>
            <w:tcW w:w="580" w:type="dxa"/>
            <w:vAlign w:val="bottom"/>
            <w:shd w:val="clear" w:color="auto" w:fill="CCEEFF"/>
          </w:tcPr>
          <w:p>
            <w:pPr>
              <w:spacing w:after="0"/>
              <w:rPr>
                <w:sz w:val="15"/>
                <w:szCs w:val="15"/>
                <w:color w:val="auto"/>
              </w:rPr>
            </w:pPr>
          </w:p>
        </w:tc>
        <w:tc>
          <w:tcPr>
            <w:tcW w:w="1080" w:type="dxa"/>
            <w:vAlign w:val="bottom"/>
            <w:vMerge w:val="continue"/>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440" w:type="dxa"/>
            <w:vAlign w:val="bottom"/>
            <w:shd w:val="clear" w:color="auto" w:fill="CCEEFF"/>
          </w:tcPr>
          <w:p>
            <w:pPr>
              <w:spacing w:after="0"/>
              <w:rPr>
                <w:sz w:val="15"/>
                <w:szCs w:val="15"/>
                <w:color w:val="auto"/>
              </w:rPr>
            </w:pPr>
          </w:p>
        </w:tc>
        <w:tc>
          <w:tcPr>
            <w:tcW w:w="980" w:type="dxa"/>
            <w:vAlign w:val="bottom"/>
            <w:vMerge w:val="continue"/>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0"/>
        </w:trPr>
        <w:tc>
          <w:tcPr>
            <w:tcW w:w="3280" w:type="dxa"/>
            <w:vAlign w:val="bottom"/>
            <w:tcBorders>
              <w:bottom w:val="single" w:sz="8" w:color="auto"/>
            </w:tcBorders>
          </w:tcPr>
          <w:p>
            <w:pPr>
              <w:spacing w:after="0" w:line="170" w:lineRule="exact"/>
              <w:rPr>
                <w:sz w:val="20"/>
                <w:szCs w:val="20"/>
                <w:color w:val="auto"/>
              </w:rPr>
            </w:pPr>
            <w:r>
              <w:rPr>
                <w:rFonts w:ascii="Arial" w:cs="Arial" w:eastAsia="Arial" w:hAnsi="Arial"/>
                <w:sz w:val="15"/>
                <w:szCs w:val="15"/>
                <w:color w:val="auto"/>
              </w:rPr>
              <w:t>Less: Corporate expense</w:t>
            </w:r>
          </w:p>
        </w:tc>
        <w:tc>
          <w:tcPr>
            <w:tcW w:w="5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123"/>
              <w:spacing w:after="0" w:line="170" w:lineRule="exact"/>
              <w:rPr>
                <w:sz w:val="20"/>
                <w:szCs w:val="20"/>
                <w:color w:val="auto"/>
              </w:rPr>
            </w:pPr>
            <w:r>
              <w:rPr>
                <w:rFonts w:ascii="Arial" w:cs="Arial" w:eastAsia="Arial" w:hAnsi="Arial"/>
                <w:sz w:val="15"/>
                <w:szCs w:val="15"/>
                <w:b w:val="1"/>
                <w:bCs w:val="1"/>
                <w:color w:val="auto"/>
              </w:rPr>
              <w:t>12</w:t>
            </w:r>
          </w:p>
        </w:tc>
        <w:tc>
          <w:tcPr>
            <w:tcW w:w="8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43"/>
              <w:spacing w:after="0" w:line="170" w:lineRule="exact"/>
              <w:rPr>
                <w:sz w:val="20"/>
                <w:szCs w:val="20"/>
                <w:color w:val="auto"/>
              </w:rPr>
            </w:pPr>
            <w:r>
              <w:rPr>
                <w:rFonts w:ascii="Arial" w:cs="Arial" w:eastAsia="Arial" w:hAnsi="Arial"/>
                <w:sz w:val="15"/>
                <w:szCs w:val="15"/>
                <w:color w:val="auto"/>
              </w:rPr>
              <w:t>17</w:t>
            </w: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23"/>
              <w:spacing w:after="0" w:line="170" w:lineRule="exact"/>
              <w:rPr>
                <w:sz w:val="20"/>
                <w:szCs w:val="20"/>
                <w:color w:val="auto"/>
              </w:rPr>
            </w:pPr>
            <w:r>
              <w:rPr>
                <w:rFonts w:ascii="Arial" w:cs="Arial" w:eastAsia="Arial" w:hAnsi="Arial"/>
                <w:sz w:val="15"/>
                <w:szCs w:val="15"/>
                <w:b w:val="1"/>
                <w:bCs w:val="1"/>
                <w:color w:val="auto"/>
              </w:rPr>
              <w:t>34</w:t>
            </w:r>
          </w:p>
        </w:tc>
        <w:tc>
          <w:tcPr>
            <w:tcW w:w="86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5"/>
                <w:szCs w:val="15"/>
                <w:color w:val="auto"/>
              </w:rPr>
              <w:t>53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3280" w:type="dxa"/>
            <w:vAlign w:val="bottom"/>
            <w:shd w:val="clear" w:color="auto" w:fill="CCEEFF"/>
          </w:tcPr>
          <w:p>
            <w:pPr>
              <w:spacing w:after="0"/>
              <w:rPr>
                <w:sz w:val="20"/>
                <w:szCs w:val="20"/>
                <w:color w:val="auto"/>
              </w:rPr>
            </w:pPr>
            <w:r>
              <w:rPr>
                <w:rFonts w:ascii="Arial" w:cs="Arial" w:eastAsia="Arial" w:hAnsi="Arial"/>
                <w:sz w:val="15"/>
                <w:szCs w:val="15"/>
                <w:color w:val="auto"/>
              </w:rPr>
              <w:t>Operating profit</w:t>
            </w:r>
          </w:p>
        </w:tc>
        <w:tc>
          <w:tcPr>
            <w:tcW w:w="5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155</w:t>
            </w:r>
          </w:p>
        </w:tc>
        <w:tc>
          <w:tcPr>
            <w:tcW w:w="84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228</w:t>
            </w:r>
          </w:p>
        </w:tc>
        <w:tc>
          <w:tcPr>
            <w:tcW w:w="440" w:type="dxa"/>
            <w:vAlign w:val="bottom"/>
            <w:shd w:val="clear" w:color="auto" w:fill="CCEEFF"/>
          </w:tcPr>
          <w:p>
            <w:pPr>
              <w:spacing w:after="0"/>
              <w:rPr>
                <w:sz w:val="16"/>
                <w:szCs w:val="16"/>
                <w:color w:val="auto"/>
              </w:rPr>
            </w:pPr>
          </w:p>
        </w:tc>
        <w:tc>
          <w:tcPr>
            <w:tcW w:w="98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495</w:t>
            </w:r>
          </w:p>
        </w:tc>
        <w:tc>
          <w:tcPr>
            <w:tcW w:w="86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280" w:type="dxa"/>
            <w:vAlign w:val="bottom"/>
          </w:tcPr>
          <w:p>
            <w:pPr>
              <w:spacing w:after="0" w:line="170" w:lineRule="exact"/>
              <w:rPr>
                <w:sz w:val="20"/>
                <w:szCs w:val="20"/>
                <w:color w:val="auto"/>
              </w:rPr>
            </w:pPr>
            <w:r>
              <w:rPr>
                <w:rFonts w:ascii="Arial" w:cs="Arial" w:eastAsia="Arial" w:hAnsi="Arial"/>
                <w:sz w:val="15"/>
                <w:szCs w:val="15"/>
                <w:color w:val="auto"/>
              </w:rPr>
              <w:t>Interest (income) / expense, net</w:t>
            </w:r>
          </w:p>
        </w:tc>
        <w:tc>
          <w:tcPr>
            <w:tcW w:w="580" w:type="dxa"/>
            <w:vAlign w:val="bottom"/>
          </w:tcPr>
          <w:p>
            <w:pPr>
              <w:spacing w:after="0"/>
              <w:rPr>
                <w:sz w:val="14"/>
                <w:szCs w:val="14"/>
                <w:color w:val="auto"/>
              </w:rPr>
            </w:pPr>
          </w:p>
        </w:tc>
        <w:tc>
          <w:tcPr>
            <w:tcW w:w="1080" w:type="dxa"/>
            <w:vAlign w:val="bottom"/>
          </w:tcPr>
          <w:p>
            <w:pPr>
              <w:jc w:val="right"/>
              <w:ind w:right="83"/>
              <w:spacing w:after="0" w:line="170" w:lineRule="exact"/>
              <w:rPr>
                <w:sz w:val="20"/>
                <w:szCs w:val="20"/>
                <w:color w:val="auto"/>
              </w:rPr>
            </w:pPr>
            <w:r>
              <w:rPr>
                <w:rFonts w:ascii="Arial" w:cs="Arial" w:eastAsia="Arial" w:hAnsi="Arial"/>
                <w:sz w:val="15"/>
                <w:szCs w:val="15"/>
                <w:b w:val="1"/>
                <w:bCs w:val="1"/>
                <w:color w:val="auto"/>
              </w:rPr>
              <w:t>—</w:t>
            </w:r>
          </w:p>
        </w:tc>
        <w:tc>
          <w:tcPr>
            <w:tcW w:w="840" w:type="dxa"/>
            <w:vAlign w:val="bottom"/>
          </w:tcPr>
          <w:p>
            <w:pPr>
              <w:spacing w:after="0"/>
              <w:rPr>
                <w:sz w:val="14"/>
                <w:szCs w:val="14"/>
                <w:color w:val="auto"/>
              </w:rPr>
            </w:pPr>
          </w:p>
        </w:tc>
        <w:tc>
          <w:tcPr>
            <w:tcW w:w="600" w:type="dxa"/>
            <w:vAlign w:val="bottom"/>
          </w:tcPr>
          <w:p>
            <w:pPr>
              <w:jc w:val="right"/>
              <w:ind w:right="143"/>
              <w:spacing w:after="0" w:line="170" w:lineRule="exact"/>
              <w:rPr>
                <w:sz w:val="20"/>
                <w:szCs w:val="20"/>
                <w:color w:val="auto"/>
              </w:rPr>
            </w:pPr>
            <w:r>
              <w:rPr>
                <w:rFonts w:ascii="Arial" w:cs="Arial" w:eastAsia="Arial" w:hAnsi="Arial"/>
                <w:sz w:val="15"/>
                <w:szCs w:val="15"/>
                <w:color w:val="auto"/>
              </w:rPr>
              <w:t>1</w:t>
            </w:r>
          </w:p>
        </w:tc>
        <w:tc>
          <w:tcPr>
            <w:tcW w:w="440" w:type="dxa"/>
            <w:vAlign w:val="bottom"/>
          </w:tcPr>
          <w:p>
            <w:pPr>
              <w:spacing w:after="0"/>
              <w:rPr>
                <w:sz w:val="14"/>
                <w:szCs w:val="14"/>
                <w:color w:val="auto"/>
              </w:rPr>
            </w:pPr>
          </w:p>
        </w:tc>
        <w:tc>
          <w:tcPr>
            <w:tcW w:w="980" w:type="dxa"/>
            <w:vAlign w:val="bottom"/>
          </w:tcPr>
          <w:p>
            <w:pPr>
              <w:jc w:val="right"/>
              <w:ind w:right="83"/>
              <w:spacing w:after="0" w:line="170" w:lineRule="exact"/>
              <w:rPr>
                <w:sz w:val="20"/>
                <w:szCs w:val="20"/>
                <w:color w:val="auto"/>
              </w:rPr>
            </w:pPr>
            <w:r>
              <w:rPr>
                <w:rFonts w:ascii="Arial" w:cs="Arial" w:eastAsia="Arial" w:hAnsi="Arial"/>
                <w:sz w:val="15"/>
                <w:szCs w:val="15"/>
                <w:b w:val="1"/>
                <w:bCs w:val="1"/>
                <w:color w:val="auto"/>
              </w:rPr>
              <w:t>(1)</w:t>
            </w:r>
          </w:p>
        </w:tc>
        <w:tc>
          <w:tcPr>
            <w:tcW w:w="860" w:type="dxa"/>
            <w:vAlign w:val="bottom"/>
          </w:tcPr>
          <w:p>
            <w:pPr>
              <w:spacing w:after="0"/>
              <w:rPr>
                <w:sz w:val="14"/>
                <w:szCs w:val="14"/>
                <w:color w:val="auto"/>
              </w:rPr>
            </w:pPr>
          </w:p>
        </w:tc>
        <w:tc>
          <w:tcPr>
            <w:tcW w:w="440" w:type="dxa"/>
            <w:vAlign w:val="bottom"/>
          </w:tcPr>
          <w:p>
            <w:pPr>
              <w:jc w:val="right"/>
              <w:spacing w:after="0" w:line="170" w:lineRule="exact"/>
              <w:rPr>
                <w:sz w:val="20"/>
                <w:szCs w:val="20"/>
                <w:color w:val="auto"/>
              </w:rPr>
            </w:pPr>
            <w:r>
              <w:rPr>
                <w:rFonts w:ascii="Arial" w:cs="Arial" w:eastAsia="Arial" w:hAnsi="Arial"/>
                <w:sz w:val="15"/>
                <w:szCs w:val="15"/>
                <w:color w:val="auto"/>
              </w:rPr>
              <w:t>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0"/>
        </w:trPr>
        <w:tc>
          <w:tcPr>
            <w:tcW w:w="328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5"/>
                <w:szCs w:val="15"/>
                <w:color w:val="auto"/>
              </w:rPr>
              <w:t xml:space="preserve">Other income </w:t>
            </w:r>
            <w:r>
              <w:rPr>
                <w:rFonts w:ascii="Arial" w:cs="Arial" w:eastAsia="Arial" w:hAnsi="Arial"/>
                <w:sz w:val="8"/>
                <w:szCs w:val="8"/>
                <w:color w:val="auto"/>
              </w:rPr>
              <w:t>(4)</w:t>
            </w:r>
          </w:p>
        </w:tc>
        <w:tc>
          <w:tcPr>
            <w:tcW w:w="580" w:type="dxa"/>
            <w:vAlign w:val="bottom"/>
            <w:tcBorders>
              <w:bottom w:val="single" w:sz="8" w:color="auto"/>
            </w:tcBorders>
            <w:shd w:val="clear" w:color="auto" w:fill="CCEEFF"/>
          </w:tcPr>
          <w:p>
            <w:pPr>
              <w:spacing w:after="0"/>
              <w:rPr>
                <w:sz w:val="14"/>
                <w:szCs w:val="14"/>
                <w:color w:val="auto"/>
              </w:rPr>
            </w:pPr>
          </w:p>
        </w:tc>
        <w:tc>
          <w:tcPr>
            <w:tcW w:w="1080" w:type="dxa"/>
            <w:vAlign w:val="bottom"/>
            <w:tcBorders>
              <w:bottom w:val="single" w:sz="8" w:color="auto"/>
            </w:tcBorders>
            <w:shd w:val="clear" w:color="auto" w:fill="CCEEFF"/>
          </w:tcPr>
          <w:p>
            <w:pPr>
              <w:jc w:val="right"/>
              <w:ind w:right="123"/>
              <w:spacing w:after="0" w:line="170" w:lineRule="exact"/>
              <w:rPr>
                <w:sz w:val="20"/>
                <w:szCs w:val="20"/>
                <w:color w:val="auto"/>
              </w:rPr>
            </w:pPr>
            <w:r>
              <w:rPr>
                <w:rFonts w:ascii="Arial" w:cs="Arial" w:eastAsia="Arial" w:hAnsi="Arial"/>
                <w:sz w:val="15"/>
                <w:szCs w:val="15"/>
                <w:b w:val="1"/>
                <w:bCs w:val="1"/>
                <w:color w:val="auto"/>
              </w:rPr>
              <w:t>1</w:t>
            </w:r>
          </w:p>
        </w:tc>
        <w:tc>
          <w:tcPr>
            <w:tcW w:w="84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103"/>
              <w:spacing w:after="0" w:line="170"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ind w:right="123"/>
              <w:spacing w:after="0" w:line="170" w:lineRule="exact"/>
              <w:rPr>
                <w:sz w:val="20"/>
                <w:szCs w:val="20"/>
                <w:color w:val="auto"/>
              </w:rPr>
            </w:pPr>
            <w:r>
              <w:rPr>
                <w:rFonts w:ascii="Arial" w:cs="Arial" w:eastAsia="Arial" w:hAnsi="Arial"/>
                <w:sz w:val="15"/>
                <w:szCs w:val="15"/>
                <w:b w:val="1"/>
                <w:bCs w:val="1"/>
                <w:color w:val="auto"/>
              </w:rPr>
              <w:t>2</w:t>
            </w:r>
          </w:p>
        </w:tc>
        <w:tc>
          <w:tcPr>
            <w:tcW w:w="860" w:type="dxa"/>
            <w:vAlign w:val="bottom"/>
            <w:tcBorders>
              <w:bottom w:val="single" w:sz="8" w:color="auto"/>
            </w:tcBorders>
            <w:shd w:val="clear" w:color="auto" w:fill="CCEEFF"/>
          </w:tcPr>
          <w:p>
            <w:pPr>
              <w:spacing w:after="0"/>
              <w:rPr>
                <w:sz w:val="14"/>
                <w:szCs w:val="14"/>
                <w:color w:val="auto"/>
              </w:rPr>
            </w:pPr>
          </w:p>
        </w:tc>
        <w:tc>
          <w:tcPr>
            <w:tcW w:w="4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5"/>
                <w:szCs w:val="15"/>
                <w:color w:val="auto"/>
              </w:rPr>
              <w:t>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7"/>
        </w:trPr>
        <w:tc>
          <w:tcPr>
            <w:tcW w:w="328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color w:val="auto"/>
              </w:rPr>
              <w:t>Income before income taxes</w:t>
            </w:r>
          </w:p>
        </w:tc>
        <w:tc>
          <w:tcPr>
            <w:tcW w:w="58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b w:val="1"/>
                <w:bCs w:val="1"/>
                <w:color w:val="auto"/>
              </w:rPr>
              <w:t>156</w:t>
            </w:r>
          </w:p>
        </w:tc>
        <w:tc>
          <w:tcPr>
            <w:tcW w:w="840" w:type="dxa"/>
            <w:vAlign w:val="bottom"/>
            <w:tcBorders>
              <w:bottom w:val="single" w:sz="8" w:color="auto"/>
            </w:tcBorders>
          </w:tcPr>
          <w:p>
            <w:pPr>
              <w:jc w:val="right"/>
              <w:ind w:right="523"/>
              <w:spacing w:after="0" w:line="163" w:lineRule="exact"/>
              <w:rPr>
                <w:sz w:val="20"/>
                <w:szCs w:val="20"/>
                <w:color w:val="auto"/>
              </w:rPr>
            </w:pPr>
            <w:r>
              <w:rPr>
                <w:rFonts w:ascii="Arial" w:cs="Arial" w:eastAsia="Arial" w:hAnsi="Arial"/>
                <w:sz w:val="15"/>
                <w:szCs w:val="15"/>
                <w:color w:val="auto"/>
              </w:rPr>
              <w:t>$</w:t>
            </w:r>
          </w:p>
        </w:tc>
        <w:tc>
          <w:tcPr>
            <w:tcW w:w="600" w:type="dxa"/>
            <w:vAlign w:val="bottom"/>
            <w:tcBorders>
              <w:bottom w:val="single" w:sz="8" w:color="auto"/>
            </w:tcBorders>
          </w:tcPr>
          <w:p>
            <w:pPr>
              <w:jc w:val="right"/>
              <w:ind w:right="143"/>
              <w:spacing w:after="0" w:line="163" w:lineRule="exact"/>
              <w:rPr>
                <w:sz w:val="20"/>
                <w:szCs w:val="20"/>
                <w:color w:val="auto"/>
              </w:rPr>
            </w:pPr>
            <w:r>
              <w:rPr>
                <w:rFonts w:ascii="Arial" w:cs="Arial" w:eastAsia="Arial" w:hAnsi="Arial"/>
                <w:sz w:val="15"/>
                <w:szCs w:val="15"/>
                <w:color w:val="auto"/>
              </w:rPr>
              <w:t>227</w:t>
            </w:r>
          </w:p>
        </w:tc>
        <w:tc>
          <w:tcPr>
            <w:tcW w:w="44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tcPr>
          <w:p>
            <w:pPr>
              <w:jc w:val="right"/>
              <w:ind w:right="123"/>
              <w:spacing w:after="0" w:line="163" w:lineRule="exact"/>
              <w:rPr>
                <w:sz w:val="20"/>
                <w:szCs w:val="20"/>
                <w:color w:val="auto"/>
              </w:rPr>
            </w:pPr>
            <w:r>
              <w:rPr>
                <w:rFonts w:ascii="Arial" w:cs="Arial" w:eastAsia="Arial" w:hAnsi="Arial"/>
                <w:sz w:val="15"/>
                <w:szCs w:val="15"/>
                <w:b w:val="1"/>
                <w:bCs w:val="1"/>
                <w:color w:val="auto"/>
              </w:rPr>
              <w:t>498</w:t>
            </w:r>
          </w:p>
        </w:tc>
        <w:tc>
          <w:tcPr>
            <w:tcW w:w="860" w:type="dxa"/>
            <w:vAlign w:val="bottom"/>
            <w:tcBorders>
              <w:bottom w:val="single" w:sz="8" w:color="auto"/>
            </w:tcBorders>
          </w:tcPr>
          <w:p>
            <w:pPr>
              <w:jc w:val="right"/>
              <w:ind w:right="523"/>
              <w:spacing w:after="0" w:line="163" w:lineRule="exact"/>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723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12"/>
        </w:trPr>
        <w:tc>
          <w:tcPr>
            <w:tcW w:w="3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80" w:type="dxa"/>
            <w:vAlign w:val="bottom"/>
          </w:tcPr>
          <w:p>
            <w:pPr>
              <w:jc w:val="right"/>
              <w:ind w:right="263"/>
              <w:spacing w:after="0"/>
              <w:rPr>
                <w:sz w:val="20"/>
                <w:szCs w:val="20"/>
                <w:color w:val="auto"/>
              </w:rPr>
            </w:pPr>
            <w:r>
              <w:rPr>
                <w:rFonts w:ascii="Arial" w:cs="Arial" w:eastAsia="Arial" w:hAnsi="Arial"/>
                <w:sz w:val="15"/>
                <w:szCs w:val="15"/>
                <w:color w:val="auto"/>
              </w:rPr>
              <w:t>6</w:t>
            </w:r>
          </w:p>
        </w:tc>
        <w:tc>
          <w:tcPr>
            <w:tcW w:w="8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328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280" w:type="dxa"/>
            <w:vAlign w:val="bottom"/>
            <w:tcBorders>
              <w:bottom w:val="single" w:sz="8" w:color="EEEEEE"/>
            </w:tcBorders>
          </w:tcPr>
          <w:p>
            <w:pPr>
              <w:spacing w:after="0" w:line="20" w:lineRule="exact"/>
              <w:rPr>
                <w:sz w:val="1"/>
                <w:szCs w:val="1"/>
                <w:color w:val="auto"/>
              </w:rPr>
            </w:pPr>
          </w:p>
        </w:tc>
        <w:tc>
          <w:tcPr>
            <w:tcW w:w="580" w:type="dxa"/>
            <w:vAlign w:val="bottom"/>
            <w:tcBorders>
              <w:bottom w:val="single" w:sz="8" w:color="EEEEEE"/>
            </w:tcBorders>
          </w:tcPr>
          <w:p>
            <w:pPr>
              <w:spacing w:after="0" w:line="20" w:lineRule="exact"/>
              <w:rPr>
                <w:sz w:val="1"/>
                <w:szCs w:val="1"/>
                <w:color w:val="auto"/>
              </w:rPr>
            </w:pPr>
          </w:p>
        </w:tc>
        <w:tc>
          <w:tcPr>
            <w:tcW w:w="1080" w:type="dxa"/>
            <w:vAlign w:val="bottom"/>
            <w:tcBorders>
              <w:bottom w:val="single" w:sz="8" w:color="EEEEEE"/>
            </w:tcBorders>
          </w:tcPr>
          <w:p>
            <w:pPr>
              <w:spacing w:after="0" w:line="20" w:lineRule="exact"/>
              <w:rPr>
                <w:sz w:val="1"/>
                <w:szCs w:val="1"/>
                <w:color w:val="auto"/>
              </w:rPr>
            </w:pPr>
          </w:p>
        </w:tc>
        <w:tc>
          <w:tcPr>
            <w:tcW w:w="840" w:type="dxa"/>
            <w:vAlign w:val="bottom"/>
            <w:tcBorders>
              <w:bottom w:val="single" w:sz="8" w:color="EEEEEE"/>
            </w:tcBorders>
          </w:tcPr>
          <w:p>
            <w:pPr>
              <w:spacing w:after="0" w:line="20" w:lineRule="exact"/>
              <w:rPr>
                <w:sz w:val="1"/>
                <w:szCs w:val="1"/>
                <w:color w:val="auto"/>
              </w:rPr>
            </w:pPr>
          </w:p>
        </w:tc>
        <w:tc>
          <w:tcPr>
            <w:tcW w:w="6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86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8" w:name="page9"/>
    <w:bookmarkEnd w:id="8"/>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7" w:lineRule="exact"/>
        <w:rPr>
          <w:sz w:val="20"/>
          <w:szCs w:val="20"/>
          <w:color w:val="auto"/>
        </w:rPr>
      </w:pPr>
    </w:p>
    <w:p>
      <w:pPr>
        <w:ind w:left="660" w:right="120" w:hanging="375"/>
        <w:spacing w:after="0" w:line="232" w:lineRule="auto"/>
        <w:tabs>
          <w:tab w:leader="none" w:pos="660" w:val="left"/>
        </w:tabs>
        <w:numPr>
          <w:ilvl w:val="1"/>
          <w:numId w:val="5"/>
        </w:numPr>
        <w:rPr>
          <w:rFonts w:ascii="Arial" w:cs="Arial" w:eastAsia="Arial" w:hAnsi="Arial"/>
          <w:sz w:val="11"/>
          <w:szCs w:val="11"/>
          <w:color w:val="auto"/>
        </w:rPr>
      </w:pPr>
      <w:r>
        <w:rPr>
          <w:rFonts w:ascii="Arial" w:cs="Arial" w:eastAsia="Arial" w:hAnsi="Arial"/>
          <w:sz w:val="12"/>
          <w:szCs w:val="12"/>
          <w:color w:val="auto"/>
        </w:rPr>
        <w:t xml:space="preserve">Included in the thirteen and thirty-nine weeks ended October 29, 2016 is a $6 million pre-tax non-cash impairment charge to write down long-lived store assets of Runners Point and Sidestep. See Note 3, </w:t>
      </w:r>
      <w:r>
        <w:rPr>
          <w:rFonts w:ascii="Arial" w:cs="Arial" w:eastAsia="Arial" w:hAnsi="Arial"/>
          <w:sz w:val="12"/>
          <w:szCs w:val="12"/>
          <w:i w:val="1"/>
          <w:iCs w:val="1"/>
          <w:color w:val="auto"/>
        </w:rPr>
        <w:t>Litigation and Other Charges</w:t>
      </w:r>
      <w:r>
        <w:rPr>
          <w:rFonts w:ascii="Arial" w:cs="Arial" w:eastAsia="Arial" w:hAnsi="Arial"/>
          <w:sz w:val="12"/>
          <w:szCs w:val="12"/>
          <w:color w:val="auto"/>
        </w:rPr>
        <w:t xml:space="preserve"> for additional information.</w:t>
      </w:r>
    </w:p>
    <w:p>
      <w:pPr>
        <w:ind w:left="660" w:right="120" w:hanging="375"/>
        <w:spacing w:after="0" w:line="232" w:lineRule="auto"/>
        <w:tabs>
          <w:tab w:leader="none" w:pos="660" w:val="left"/>
        </w:tabs>
        <w:numPr>
          <w:ilvl w:val="1"/>
          <w:numId w:val="5"/>
        </w:numPr>
        <w:rPr>
          <w:rFonts w:ascii="Arial" w:cs="Arial" w:eastAsia="Arial" w:hAnsi="Arial"/>
          <w:sz w:val="11"/>
          <w:szCs w:val="11"/>
          <w:color w:val="auto"/>
        </w:rPr>
      </w:pPr>
      <w:r>
        <w:rPr>
          <w:rFonts w:ascii="Arial" w:cs="Arial" w:eastAsia="Arial" w:hAnsi="Arial"/>
          <w:sz w:val="12"/>
          <w:szCs w:val="12"/>
          <w:color w:val="auto"/>
        </w:rPr>
        <w:t>Included in the thirty-nine weeks ended October 28, 2017 is a pre-tax charge of $50 million relating to a pension litigation matter described further in Note 14, Legal Proceedings.</w:t>
      </w:r>
    </w:p>
    <w:p>
      <w:pPr>
        <w:ind w:left="660" w:right="120" w:hanging="375"/>
        <w:spacing w:after="0" w:line="232" w:lineRule="auto"/>
        <w:tabs>
          <w:tab w:leader="none" w:pos="660" w:val="left"/>
        </w:tabs>
        <w:numPr>
          <w:ilvl w:val="1"/>
          <w:numId w:val="5"/>
        </w:numPr>
        <w:rPr>
          <w:rFonts w:ascii="Arial" w:cs="Arial" w:eastAsia="Arial" w:hAnsi="Arial"/>
          <w:sz w:val="11"/>
          <w:szCs w:val="11"/>
          <w:color w:val="auto"/>
        </w:rPr>
      </w:pPr>
      <w:r>
        <w:rPr>
          <w:rFonts w:ascii="Arial" w:cs="Arial" w:eastAsia="Arial" w:hAnsi="Arial"/>
          <w:sz w:val="12"/>
          <w:szCs w:val="12"/>
          <w:color w:val="auto"/>
        </w:rPr>
        <w:t>Included in the thirteen and thirty-nine weeks ended October 28, 2017 is $13 million in pre-tax reorganization costs related to the reduction and reorganization of division and corporate staff that occurred in the third quarter of 2017, described more fully in Note 3, Litigation and Other Charges.</w:t>
      </w:r>
    </w:p>
    <w:p>
      <w:pPr>
        <w:ind w:left="660" w:right="120" w:hanging="375"/>
        <w:spacing w:after="0" w:line="246" w:lineRule="auto"/>
        <w:tabs>
          <w:tab w:leader="none" w:pos="660" w:val="left"/>
        </w:tabs>
        <w:numPr>
          <w:ilvl w:val="1"/>
          <w:numId w:val="5"/>
        </w:numPr>
        <w:rPr>
          <w:rFonts w:ascii="Arial" w:cs="Arial" w:eastAsia="Arial" w:hAnsi="Arial"/>
          <w:sz w:val="11"/>
          <w:szCs w:val="11"/>
          <w:color w:val="auto"/>
        </w:rPr>
      </w:pPr>
      <w:r>
        <w:rPr>
          <w:rFonts w:ascii="Arial" w:cs="Arial" w:eastAsia="Arial" w:hAnsi="Arial"/>
          <w:sz w:val="12"/>
          <w:szCs w:val="12"/>
          <w:color w:val="auto"/>
        </w:rPr>
        <w:t>Other income includes non-operating items, such as lease termination gains, royalty income, insurance recoveries, and the changes in fair value, premiums paid, and realized gains and losses associated with foreign currency option contracts.</w:t>
      </w:r>
    </w:p>
    <w:p>
      <w:pPr>
        <w:spacing w:after="0" w:line="144" w:lineRule="exact"/>
        <w:rPr>
          <w:rFonts w:ascii="Arial" w:cs="Arial" w:eastAsia="Arial" w:hAnsi="Arial"/>
          <w:sz w:val="11"/>
          <w:szCs w:val="11"/>
          <w:color w:val="auto"/>
        </w:rPr>
      </w:pPr>
    </w:p>
    <w:p>
      <w:pPr>
        <w:ind w:left="180" w:hanging="175"/>
        <w:spacing w:after="0"/>
        <w:tabs>
          <w:tab w:leader="none" w:pos="180" w:val="left"/>
        </w:tabs>
        <w:numPr>
          <w:ilvl w:val="0"/>
          <w:numId w:val="6"/>
        </w:numPr>
        <w:rPr>
          <w:rFonts w:ascii="Arial" w:cs="Arial" w:eastAsia="Arial" w:hAnsi="Arial"/>
          <w:sz w:val="15"/>
          <w:szCs w:val="15"/>
          <w:b w:val="1"/>
          <w:bCs w:val="1"/>
          <w:color w:val="auto"/>
        </w:rPr>
      </w:pPr>
      <w:r>
        <w:rPr>
          <w:rFonts w:ascii="Arial" w:cs="Arial" w:eastAsia="Arial" w:hAnsi="Arial"/>
          <w:sz w:val="15"/>
          <w:szCs w:val="15"/>
          <w:b w:val="1"/>
          <w:bCs w:val="1"/>
          <w:color w:val="auto"/>
        </w:rPr>
        <w:t>Litigation and Other Charges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32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gridSpan w:val="2"/>
          </w:tcPr>
          <w:p>
            <w:pPr>
              <w:jc w:val="right"/>
              <w:ind w:right="203"/>
              <w:spacing w:after="0"/>
              <w:rPr>
                <w:sz w:val="20"/>
                <w:szCs w:val="20"/>
                <w:color w:val="auto"/>
              </w:rPr>
            </w:pPr>
            <w:r>
              <w:rPr>
                <w:rFonts w:ascii="Arial" w:cs="Arial" w:eastAsia="Arial" w:hAnsi="Arial"/>
                <w:sz w:val="15"/>
                <w:szCs w:val="15"/>
                <w:b w:val="1"/>
                <w:bCs w:val="1"/>
                <w:color w:val="auto"/>
              </w:rPr>
              <w:t>Thirteen weeks ended</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Thirty-nine weeks ended</w:t>
            </w:r>
          </w:p>
        </w:tc>
        <w:tc>
          <w:tcPr>
            <w:tcW w:w="200" w:type="dxa"/>
            <w:vAlign w:val="bottom"/>
            <w:tcBorders>
              <w:bottom w:val="single" w:sz="8" w:color="auto"/>
            </w:tcBorders>
          </w:tcPr>
          <w:p>
            <w:pPr>
              <w:spacing w:after="0"/>
              <w:rPr>
                <w:sz w:val="18"/>
                <w:szCs w:val="18"/>
                <w:color w:val="auto"/>
              </w:rPr>
            </w:pPr>
          </w:p>
        </w:tc>
      </w:tr>
      <w:tr>
        <w:trPr>
          <w:trHeight w:val="146"/>
        </w:trPr>
        <w:tc>
          <w:tcPr>
            <w:tcW w:w="3220" w:type="dxa"/>
            <w:vAlign w:val="bottom"/>
          </w:tcPr>
          <w:p>
            <w:pPr>
              <w:spacing w:after="0"/>
              <w:rPr>
                <w:sz w:val="12"/>
                <w:szCs w:val="12"/>
                <w:color w:val="auto"/>
              </w:rPr>
            </w:pPr>
          </w:p>
        </w:tc>
        <w:tc>
          <w:tcPr>
            <w:tcW w:w="2180" w:type="dxa"/>
            <w:vAlign w:val="bottom"/>
            <w:gridSpan w:val="2"/>
          </w:tcPr>
          <w:p>
            <w:pPr>
              <w:jc w:val="right"/>
              <w:ind w:right="163"/>
              <w:spacing w:after="0" w:line="146" w:lineRule="exact"/>
              <w:rPr>
                <w:sz w:val="20"/>
                <w:szCs w:val="20"/>
                <w:color w:val="auto"/>
              </w:rPr>
            </w:pPr>
            <w:r>
              <w:rPr>
                <w:rFonts w:ascii="Arial" w:cs="Arial" w:eastAsia="Arial" w:hAnsi="Arial"/>
                <w:sz w:val="15"/>
                <w:szCs w:val="15"/>
                <w:b w:val="1"/>
                <w:bCs w:val="1"/>
                <w:color w:val="auto"/>
              </w:rPr>
              <w:t>October 28,</w:t>
            </w:r>
          </w:p>
        </w:tc>
        <w:tc>
          <w:tcPr>
            <w:tcW w:w="1300" w:type="dxa"/>
            <w:vAlign w:val="bottom"/>
            <w:gridSpan w:val="2"/>
          </w:tcPr>
          <w:p>
            <w:pPr>
              <w:ind w:left="220"/>
              <w:spacing w:after="0" w:line="146" w:lineRule="exact"/>
              <w:rPr>
                <w:sz w:val="20"/>
                <w:szCs w:val="20"/>
                <w:color w:val="auto"/>
              </w:rPr>
            </w:pPr>
            <w:r>
              <w:rPr>
                <w:rFonts w:ascii="Arial" w:cs="Arial" w:eastAsia="Arial" w:hAnsi="Arial"/>
                <w:sz w:val="15"/>
                <w:szCs w:val="15"/>
                <w:b w:val="1"/>
                <w:bCs w:val="1"/>
                <w:color w:val="auto"/>
              </w:rPr>
              <w:t>October 29,</w:t>
            </w:r>
          </w:p>
        </w:tc>
        <w:tc>
          <w:tcPr>
            <w:tcW w:w="1260" w:type="dxa"/>
            <w:vAlign w:val="bottom"/>
            <w:gridSpan w:val="2"/>
          </w:tcPr>
          <w:p>
            <w:pPr>
              <w:jc w:val="right"/>
              <w:ind w:right="143"/>
              <w:spacing w:after="0" w:line="146" w:lineRule="exact"/>
              <w:rPr>
                <w:sz w:val="20"/>
                <w:szCs w:val="20"/>
                <w:color w:val="auto"/>
              </w:rPr>
            </w:pPr>
            <w:r>
              <w:rPr>
                <w:rFonts w:ascii="Arial" w:cs="Arial" w:eastAsia="Arial" w:hAnsi="Arial"/>
                <w:sz w:val="15"/>
                <w:szCs w:val="15"/>
                <w:b w:val="1"/>
                <w:bCs w:val="1"/>
                <w:color w:val="auto"/>
              </w:rPr>
              <w:t>October 28,</w:t>
            </w:r>
          </w:p>
        </w:tc>
        <w:tc>
          <w:tcPr>
            <w:tcW w:w="1140" w:type="dxa"/>
            <w:vAlign w:val="bottom"/>
            <w:gridSpan w:val="2"/>
          </w:tcPr>
          <w:p>
            <w:pPr>
              <w:ind w:left="180"/>
              <w:spacing w:after="0" w:line="146" w:lineRule="exact"/>
              <w:rPr>
                <w:sz w:val="20"/>
                <w:szCs w:val="20"/>
                <w:color w:val="auto"/>
              </w:rPr>
            </w:pPr>
            <w:r>
              <w:rPr>
                <w:rFonts w:ascii="Arial" w:cs="Arial" w:eastAsia="Arial" w:hAnsi="Arial"/>
                <w:sz w:val="15"/>
                <w:szCs w:val="15"/>
                <w:b w:val="1"/>
                <w:bCs w:val="1"/>
                <w:color w:val="auto"/>
              </w:rPr>
              <w:t>October 29,</w:t>
            </w:r>
          </w:p>
        </w:tc>
      </w:tr>
      <w:tr>
        <w:trPr>
          <w:trHeight w:val="194"/>
        </w:trPr>
        <w:tc>
          <w:tcPr>
            <w:tcW w:w="3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2017</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2016</w:t>
            </w: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c>
          <w:tcPr>
            <w:tcW w:w="9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2016</w:t>
            </w:r>
          </w:p>
        </w:tc>
        <w:tc>
          <w:tcPr>
            <w:tcW w:w="200" w:type="dxa"/>
            <w:vAlign w:val="bottom"/>
            <w:tcBorders>
              <w:bottom w:val="single" w:sz="8" w:color="auto"/>
            </w:tcBorders>
          </w:tcPr>
          <w:p>
            <w:pPr>
              <w:spacing w:after="0"/>
              <w:rPr>
                <w:sz w:val="16"/>
                <w:szCs w:val="16"/>
                <w:color w:val="auto"/>
              </w:rPr>
            </w:pPr>
          </w:p>
        </w:tc>
      </w:tr>
      <w:tr>
        <w:trPr>
          <w:trHeight w:val="185"/>
        </w:trPr>
        <w:tc>
          <w:tcPr>
            <w:tcW w:w="3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1600" w:type="dxa"/>
            <w:vAlign w:val="bottom"/>
            <w:gridSpan w:val="3"/>
          </w:tcPr>
          <w:p>
            <w:pPr>
              <w:jc w:val="right"/>
              <w:ind w:right="783"/>
              <w:spacing w:after="0"/>
              <w:rPr>
                <w:sz w:val="20"/>
                <w:szCs w:val="20"/>
                <w:color w:val="auto"/>
              </w:rPr>
            </w:pPr>
            <w:r>
              <w:rPr>
                <w:rFonts w:ascii="Arial" w:cs="Arial" w:eastAsia="Arial" w:hAnsi="Arial"/>
                <w:sz w:val="15"/>
                <w:szCs w:val="15"/>
                <w:color w:val="auto"/>
              </w:rPr>
              <w:t>in millions)</w:t>
            </w:r>
          </w:p>
        </w:tc>
        <w:tc>
          <w:tcPr>
            <w:tcW w:w="94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20"/>
        </w:trPr>
        <w:tc>
          <w:tcPr>
            <w:tcW w:w="3220" w:type="dxa"/>
            <w:vAlign w:val="bottom"/>
            <w:shd w:val="clear" w:color="auto" w:fill="CCEEFF"/>
          </w:tcPr>
          <w:p>
            <w:pPr>
              <w:spacing w:after="0"/>
              <w:rPr>
                <w:sz w:val="20"/>
                <w:szCs w:val="20"/>
                <w:color w:val="auto"/>
              </w:rPr>
            </w:pPr>
            <w:r>
              <w:rPr>
                <w:rFonts w:ascii="Arial" w:cs="Arial" w:eastAsia="Arial" w:hAnsi="Arial"/>
                <w:sz w:val="15"/>
                <w:szCs w:val="15"/>
                <w:color w:val="auto"/>
              </w:rPr>
              <w:t>Pension litigation charge</w:t>
            </w:r>
          </w:p>
        </w:tc>
        <w:tc>
          <w:tcPr>
            <w:tcW w:w="11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96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50</w:t>
            </w:r>
          </w:p>
        </w:tc>
        <w:tc>
          <w:tcPr>
            <w:tcW w:w="940" w:type="dxa"/>
            <w:vAlign w:val="bottom"/>
            <w:shd w:val="clear" w:color="auto" w:fill="CCEEFF"/>
          </w:tcPr>
          <w:p>
            <w:pPr>
              <w:jc w:val="right"/>
              <w:ind w:right="683"/>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jc w:val="center"/>
              <w:spacing w:after="0"/>
              <w:rPr>
                <w:sz w:val="20"/>
                <w:szCs w:val="20"/>
                <w:color w:val="auto"/>
              </w:rPr>
            </w:pPr>
            <w:r>
              <w:rPr>
                <w:rFonts w:ascii="Arial" w:cs="Arial" w:eastAsia="Arial" w:hAnsi="Arial"/>
                <w:sz w:val="15"/>
                <w:szCs w:val="15"/>
                <w:color w:val="auto"/>
              </w:rPr>
              <w:t>—</w:t>
            </w:r>
          </w:p>
        </w:tc>
      </w:tr>
      <w:tr>
        <w:trPr>
          <w:trHeight w:val="219"/>
        </w:trPr>
        <w:tc>
          <w:tcPr>
            <w:tcW w:w="3220" w:type="dxa"/>
            <w:vAlign w:val="bottom"/>
          </w:tcPr>
          <w:p>
            <w:pPr>
              <w:spacing w:after="0"/>
              <w:rPr>
                <w:sz w:val="20"/>
                <w:szCs w:val="20"/>
                <w:color w:val="auto"/>
              </w:rPr>
            </w:pPr>
            <w:r>
              <w:rPr>
                <w:rFonts w:ascii="Arial" w:cs="Arial" w:eastAsia="Arial" w:hAnsi="Arial"/>
                <w:sz w:val="15"/>
                <w:szCs w:val="15"/>
                <w:color w:val="auto"/>
              </w:rPr>
              <w:t>Reorganization costs</w:t>
            </w:r>
          </w:p>
        </w:tc>
        <w:tc>
          <w:tcPr>
            <w:tcW w:w="1180" w:type="dxa"/>
            <w:vAlign w:val="bottom"/>
          </w:tcPr>
          <w:p>
            <w:pPr>
              <w:spacing w:after="0"/>
              <w:rPr>
                <w:sz w:val="19"/>
                <w:szCs w:val="19"/>
                <w:color w:val="auto"/>
              </w:rPr>
            </w:pPr>
          </w:p>
        </w:tc>
        <w:tc>
          <w:tcPr>
            <w:tcW w:w="1000" w:type="dxa"/>
            <w:vAlign w:val="bottom"/>
          </w:tcPr>
          <w:p>
            <w:pPr>
              <w:jc w:val="right"/>
              <w:ind w:right="103"/>
              <w:spacing w:after="0"/>
              <w:rPr>
                <w:sz w:val="20"/>
                <w:szCs w:val="20"/>
                <w:color w:val="auto"/>
              </w:rPr>
            </w:pPr>
            <w:r>
              <w:rPr>
                <w:rFonts w:ascii="Arial" w:cs="Arial" w:eastAsia="Arial" w:hAnsi="Arial"/>
                <w:sz w:val="15"/>
                <w:szCs w:val="15"/>
                <w:b w:val="1"/>
                <w:bCs w:val="1"/>
                <w:color w:val="auto"/>
              </w:rPr>
              <w:t>13</w:t>
            </w:r>
          </w:p>
        </w:tc>
        <w:tc>
          <w:tcPr>
            <w:tcW w:w="960" w:type="dxa"/>
            <w:vAlign w:val="bottom"/>
          </w:tcPr>
          <w:p>
            <w:pPr>
              <w:spacing w:after="0"/>
              <w:rPr>
                <w:sz w:val="19"/>
                <w:szCs w:val="19"/>
                <w:color w:val="auto"/>
              </w:rPr>
            </w:pPr>
          </w:p>
        </w:tc>
        <w:tc>
          <w:tcPr>
            <w:tcW w:w="340" w:type="dxa"/>
            <w:vAlign w:val="bottom"/>
          </w:tcPr>
          <w:p>
            <w:pPr>
              <w:jc w:val="center"/>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9"/>
                <w:szCs w:val="19"/>
                <w:color w:val="auto"/>
              </w:rPr>
            </w:pPr>
          </w:p>
        </w:tc>
        <w:tc>
          <w:tcPr>
            <w:tcW w:w="1000" w:type="dxa"/>
            <w:vAlign w:val="bottom"/>
          </w:tcPr>
          <w:p>
            <w:pPr>
              <w:jc w:val="right"/>
              <w:ind w:right="83"/>
              <w:spacing w:after="0"/>
              <w:rPr>
                <w:sz w:val="20"/>
                <w:szCs w:val="20"/>
                <w:color w:val="auto"/>
              </w:rPr>
            </w:pPr>
            <w:r>
              <w:rPr>
                <w:rFonts w:ascii="Arial" w:cs="Arial" w:eastAsia="Arial" w:hAnsi="Arial"/>
                <w:sz w:val="15"/>
                <w:szCs w:val="15"/>
                <w:b w:val="1"/>
                <w:bCs w:val="1"/>
                <w:color w:val="auto"/>
              </w:rPr>
              <w:t>13</w:t>
            </w:r>
          </w:p>
        </w:tc>
        <w:tc>
          <w:tcPr>
            <w:tcW w:w="940" w:type="dxa"/>
            <w:vAlign w:val="bottom"/>
          </w:tcPr>
          <w:p>
            <w:pPr>
              <w:spacing w:after="0"/>
              <w:rPr>
                <w:sz w:val="19"/>
                <w:szCs w:val="19"/>
                <w:color w:val="auto"/>
              </w:rPr>
            </w:pPr>
          </w:p>
        </w:tc>
        <w:tc>
          <w:tcPr>
            <w:tcW w:w="200" w:type="dxa"/>
            <w:vAlign w:val="bottom"/>
          </w:tcPr>
          <w:p>
            <w:pPr>
              <w:jc w:val="center"/>
              <w:spacing w:after="0"/>
              <w:rPr>
                <w:sz w:val="20"/>
                <w:szCs w:val="20"/>
                <w:color w:val="auto"/>
              </w:rPr>
            </w:pPr>
            <w:r>
              <w:rPr>
                <w:rFonts w:ascii="Arial" w:cs="Arial" w:eastAsia="Arial" w:hAnsi="Arial"/>
                <w:sz w:val="15"/>
                <w:szCs w:val="15"/>
                <w:color w:val="auto"/>
              </w:rPr>
              <w:t>—</w:t>
            </w:r>
          </w:p>
        </w:tc>
      </w:tr>
      <w:tr>
        <w:trPr>
          <w:trHeight w:val="207"/>
        </w:trPr>
        <w:tc>
          <w:tcPr>
            <w:tcW w:w="3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Impairment of long-lived assets</w:t>
            </w:r>
          </w:p>
        </w:tc>
        <w:tc>
          <w:tcPr>
            <w:tcW w:w="11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center"/>
              <w:ind w:right="3"/>
              <w:spacing w:after="0"/>
              <w:rPr>
                <w:sz w:val="20"/>
                <w:szCs w:val="20"/>
                <w:color w:val="auto"/>
              </w:rPr>
            </w:pPr>
            <w:r>
              <w:rPr>
                <w:rFonts w:ascii="Arial" w:cs="Arial" w:eastAsia="Arial" w:hAnsi="Arial"/>
                <w:sz w:val="15"/>
                <w:szCs w:val="15"/>
                <w:color w:val="auto"/>
              </w:rPr>
              <w:t>6</w:t>
            </w:r>
          </w:p>
        </w:tc>
        <w:tc>
          <w:tcPr>
            <w:tcW w:w="2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9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6</w:t>
            </w:r>
          </w:p>
        </w:tc>
      </w:tr>
      <w:tr>
        <w:trPr>
          <w:trHeight w:val="179"/>
        </w:trPr>
        <w:tc>
          <w:tcPr>
            <w:tcW w:w="32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litigation and other charges</w:t>
            </w:r>
          </w:p>
        </w:tc>
        <w:tc>
          <w:tcPr>
            <w:tcW w:w="11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13</w:t>
            </w:r>
          </w:p>
        </w:tc>
        <w:tc>
          <w:tcPr>
            <w:tcW w:w="960" w:type="dxa"/>
            <w:vAlign w:val="bottom"/>
            <w:tcBorders>
              <w:bottom w:val="single" w:sz="8" w:color="auto"/>
            </w:tcBorders>
          </w:tcPr>
          <w:p>
            <w:pPr>
              <w:jc w:val="right"/>
              <w:ind w:right="643"/>
              <w:spacing w:after="0"/>
              <w:rPr>
                <w:sz w:val="20"/>
                <w:szCs w:val="20"/>
                <w:color w:val="auto"/>
              </w:rPr>
            </w:pPr>
            <w:r>
              <w:rPr>
                <w:rFonts w:ascii="Arial" w:cs="Arial" w:eastAsia="Arial" w:hAnsi="Arial"/>
                <w:sz w:val="15"/>
                <w:szCs w:val="15"/>
                <w:color w:val="auto"/>
              </w:rPr>
              <w:t>$</w:t>
            </w:r>
          </w:p>
        </w:tc>
        <w:tc>
          <w:tcPr>
            <w:tcW w:w="34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color w:val="auto"/>
              </w:rPr>
              <w:t>6</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63</w:t>
            </w:r>
          </w:p>
        </w:tc>
        <w:tc>
          <w:tcPr>
            <w:tcW w:w="940" w:type="dxa"/>
            <w:vAlign w:val="bottom"/>
            <w:tcBorders>
              <w:bottom w:val="single" w:sz="8" w:color="auto"/>
            </w:tcBorders>
          </w:tcPr>
          <w:p>
            <w:pPr>
              <w:jc w:val="right"/>
              <w:ind w:right="683"/>
              <w:spacing w:after="0"/>
              <w:rPr>
                <w:sz w:val="20"/>
                <w:szCs w:val="20"/>
                <w:color w:val="auto"/>
              </w:rPr>
            </w:pPr>
            <w:r>
              <w:rPr>
                <w:rFonts w:ascii="Arial" w:cs="Arial" w:eastAsia="Arial" w:hAnsi="Arial"/>
                <w:sz w:val="15"/>
                <w:szCs w:val="15"/>
                <w:color w:val="auto"/>
              </w:rPr>
              <w:t>$</w:t>
            </w:r>
          </w:p>
        </w:tc>
        <w:tc>
          <w:tcPr>
            <w:tcW w:w="20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w w:val="95"/>
              </w:rPr>
              <w:t>6</w:t>
            </w:r>
          </w:p>
        </w:tc>
      </w:tr>
    </w:tbl>
    <w:p>
      <w:pPr>
        <w:spacing w:after="0" w:line="165"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During the third quarter of 2017, the Company reorganized its organizational structure by adjusting certain divisional responsibilities between our various businesses. As a result of this, as well as certain corporate staff reductions taken to improve corporate efficiency, the Company recorded a charge of $13 million. The charge consisted primarily of severance payments and benefit continuation costs for approximately 190 associates. The following is a reconciliation of the accrual for the quarter ended October 28, 2017:</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500" w:type="dxa"/>
            <w:vAlign w:val="bottom"/>
          </w:tcPr>
          <w:p>
            <w:pPr>
              <w:jc w:val="right"/>
              <w:ind w:right="243"/>
              <w:spacing w:after="0"/>
              <w:rPr>
                <w:sz w:val="20"/>
                <w:szCs w:val="20"/>
                <w:color w:val="auto"/>
              </w:rPr>
            </w:pPr>
            <w:r>
              <w:rPr>
                <w:rFonts w:ascii="Arial" w:cs="Arial" w:eastAsia="Arial" w:hAnsi="Arial"/>
                <w:sz w:val="15"/>
                <w:szCs w:val="15"/>
                <w:b w:val="1"/>
                <w:bCs w:val="1"/>
                <w:color w:val="auto"/>
              </w:rPr>
              <w:t>Severance and</w:t>
            </w:r>
          </w:p>
        </w:tc>
        <w:tc>
          <w:tcPr>
            <w:tcW w:w="360" w:type="dxa"/>
            <w:vAlign w:val="bottom"/>
          </w:tcPr>
          <w:p>
            <w:pPr>
              <w:spacing w:after="0"/>
              <w:rPr>
                <w:sz w:val="15"/>
                <w:szCs w:val="15"/>
                <w:color w:val="auto"/>
              </w:rPr>
            </w:pPr>
          </w:p>
        </w:tc>
        <w:tc>
          <w:tcPr>
            <w:tcW w:w="1520" w:type="dxa"/>
            <w:vAlign w:val="bottom"/>
          </w:tcPr>
          <w:p>
            <w:pPr>
              <w:jc w:val="center"/>
              <w:ind w:right="103"/>
              <w:spacing w:after="0"/>
              <w:rPr>
                <w:sz w:val="20"/>
                <w:szCs w:val="20"/>
                <w:color w:val="auto"/>
              </w:rPr>
            </w:pPr>
            <w:r>
              <w:rPr>
                <w:rFonts w:ascii="Arial" w:cs="Arial" w:eastAsia="Arial" w:hAnsi="Arial"/>
                <w:sz w:val="15"/>
                <w:szCs w:val="15"/>
                <w:b w:val="1"/>
                <w:bCs w:val="1"/>
                <w:color w:val="auto"/>
              </w:rPr>
              <w:t>Other Related</w:t>
            </w:r>
          </w:p>
        </w:tc>
        <w:tc>
          <w:tcPr>
            <w:tcW w:w="5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94"/>
        </w:trPr>
        <w:tc>
          <w:tcPr>
            <w:tcW w:w="29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Benefit Costs</w:t>
            </w:r>
          </w:p>
        </w:tc>
        <w:tc>
          <w:tcPr>
            <w:tcW w:w="3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center"/>
              <w:ind w:right="103"/>
              <w:spacing w:after="0"/>
              <w:rPr>
                <w:sz w:val="20"/>
                <w:szCs w:val="20"/>
                <w:color w:val="auto"/>
              </w:rPr>
            </w:pPr>
            <w:r>
              <w:rPr>
                <w:rFonts w:ascii="Arial" w:cs="Arial" w:eastAsia="Arial" w:hAnsi="Arial"/>
                <w:sz w:val="15"/>
                <w:szCs w:val="15"/>
                <w:b w:val="1"/>
                <w:bCs w:val="1"/>
                <w:color w:val="auto"/>
              </w:rPr>
              <w:t>Charges</w:t>
            </w:r>
          </w:p>
        </w:tc>
        <w:tc>
          <w:tcPr>
            <w:tcW w:w="5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Total</w:t>
            </w:r>
          </w:p>
        </w:tc>
      </w:tr>
      <w:tr>
        <w:trPr>
          <w:trHeight w:val="162"/>
        </w:trPr>
        <w:tc>
          <w:tcPr>
            <w:tcW w:w="29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520" w:type="dxa"/>
            <w:vAlign w:val="bottom"/>
          </w:tcPr>
          <w:p>
            <w:pPr>
              <w:ind w:left="80"/>
              <w:spacing w:after="0" w:line="163" w:lineRule="exact"/>
              <w:rPr>
                <w:sz w:val="20"/>
                <w:szCs w:val="20"/>
                <w:color w:val="auto"/>
              </w:rPr>
            </w:pPr>
            <w:r>
              <w:rPr>
                <w:rFonts w:ascii="Arial" w:cs="Arial" w:eastAsia="Arial" w:hAnsi="Arial"/>
                <w:sz w:val="15"/>
                <w:szCs w:val="15"/>
                <w:color w:val="auto"/>
              </w:rPr>
              <w:t>($ in millions)</w:t>
            </w:r>
          </w:p>
        </w:tc>
        <w:tc>
          <w:tcPr>
            <w:tcW w:w="5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82"/>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Balance at January 28, 2017</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15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center"/>
              <w:ind w:left="963"/>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2980" w:type="dxa"/>
            <w:vAlign w:val="bottom"/>
          </w:tcPr>
          <w:p>
            <w:pPr>
              <w:ind w:left="100"/>
              <w:spacing w:after="0"/>
              <w:rPr>
                <w:sz w:val="20"/>
                <w:szCs w:val="20"/>
                <w:color w:val="auto"/>
              </w:rPr>
            </w:pPr>
            <w:r>
              <w:rPr>
                <w:rFonts w:ascii="Arial" w:cs="Arial" w:eastAsia="Arial" w:hAnsi="Arial"/>
                <w:sz w:val="15"/>
                <w:szCs w:val="15"/>
                <w:color w:val="auto"/>
              </w:rPr>
              <w:t>Amounts charged to expense</w:t>
            </w:r>
          </w:p>
        </w:tc>
        <w:tc>
          <w:tcPr>
            <w:tcW w:w="1060" w:type="dxa"/>
            <w:vAlign w:val="bottom"/>
          </w:tcPr>
          <w:p>
            <w:pPr>
              <w:spacing w:after="0"/>
              <w:rPr>
                <w:sz w:val="17"/>
                <w:szCs w:val="17"/>
                <w:color w:val="auto"/>
              </w:rPr>
            </w:pPr>
          </w:p>
        </w:tc>
        <w:tc>
          <w:tcPr>
            <w:tcW w:w="1500" w:type="dxa"/>
            <w:vAlign w:val="bottom"/>
          </w:tcPr>
          <w:p>
            <w:pPr>
              <w:jc w:val="right"/>
              <w:ind w:right="143"/>
              <w:spacing w:after="0"/>
              <w:rPr>
                <w:sz w:val="20"/>
                <w:szCs w:val="20"/>
                <w:color w:val="auto"/>
              </w:rPr>
            </w:pPr>
            <w:r>
              <w:rPr>
                <w:rFonts w:ascii="Arial" w:cs="Arial" w:eastAsia="Arial" w:hAnsi="Arial"/>
                <w:sz w:val="15"/>
                <w:szCs w:val="15"/>
                <w:color w:val="auto"/>
              </w:rPr>
              <w:t>11</w:t>
            </w:r>
          </w:p>
        </w:tc>
        <w:tc>
          <w:tcPr>
            <w:tcW w:w="360" w:type="dxa"/>
            <w:vAlign w:val="bottom"/>
          </w:tcPr>
          <w:p>
            <w:pPr>
              <w:spacing w:after="0"/>
              <w:rPr>
                <w:sz w:val="17"/>
                <w:szCs w:val="17"/>
                <w:color w:val="auto"/>
              </w:rPr>
            </w:pPr>
          </w:p>
        </w:tc>
        <w:tc>
          <w:tcPr>
            <w:tcW w:w="1520" w:type="dxa"/>
            <w:vAlign w:val="bottom"/>
          </w:tcPr>
          <w:p>
            <w:pPr>
              <w:jc w:val="center"/>
              <w:ind w:left="943"/>
              <w:spacing w:after="0"/>
              <w:rPr>
                <w:sz w:val="20"/>
                <w:szCs w:val="20"/>
                <w:color w:val="auto"/>
              </w:rPr>
            </w:pPr>
            <w:r>
              <w:rPr>
                <w:rFonts w:ascii="Arial" w:cs="Arial" w:eastAsia="Arial" w:hAnsi="Arial"/>
                <w:sz w:val="15"/>
                <w:szCs w:val="15"/>
                <w:color w:val="auto"/>
              </w:rPr>
              <w:t>2</w:t>
            </w:r>
          </w:p>
        </w:tc>
        <w:tc>
          <w:tcPr>
            <w:tcW w:w="54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w:t>
            </w:r>
          </w:p>
        </w:tc>
      </w:tr>
      <w:tr>
        <w:trPr>
          <w:trHeight w:val="182"/>
        </w:trPr>
        <w:tc>
          <w:tcPr>
            <w:tcW w:w="2980" w:type="dxa"/>
            <w:vAlign w:val="bottom"/>
            <w:tcBorders>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Cash payments</w:t>
            </w:r>
          </w:p>
        </w:tc>
        <w:tc>
          <w:tcPr>
            <w:tcW w:w="1060" w:type="dxa"/>
            <w:vAlign w:val="bottom"/>
            <w:tcBorders>
              <w:bottom w:val="single" w:sz="8" w:color="auto"/>
            </w:tcBorders>
            <w:shd w:val="clear" w:color="auto" w:fill="CCEEFF"/>
          </w:tcPr>
          <w:p>
            <w:pPr>
              <w:spacing w:after="0"/>
              <w:rPr>
                <w:sz w:val="15"/>
                <w:szCs w:val="15"/>
                <w:color w:val="auto"/>
              </w:rPr>
            </w:pPr>
          </w:p>
        </w:tc>
        <w:tc>
          <w:tcPr>
            <w:tcW w:w="1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w:t>
            </w:r>
          </w:p>
        </w:tc>
        <w:tc>
          <w:tcPr>
            <w:tcW w:w="360" w:type="dxa"/>
            <w:vAlign w:val="bottom"/>
            <w:tcBorders>
              <w:bottom w:val="single" w:sz="8" w:color="auto"/>
            </w:tcBorders>
            <w:shd w:val="clear" w:color="auto" w:fill="CCEEFF"/>
          </w:tcPr>
          <w:p>
            <w:pPr>
              <w:spacing w:after="0"/>
              <w:rPr>
                <w:sz w:val="15"/>
                <w:szCs w:val="15"/>
                <w:color w:val="auto"/>
              </w:rPr>
            </w:pPr>
          </w:p>
        </w:tc>
        <w:tc>
          <w:tcPr>
            <w:tcW w:w="1520" w:type="dxa"/>
            <w:vAlign w:val="bottom"/>
            <w:tcBorders>
              <w:bottom w:val="single" w:sz="8" w:color="auto"/>
            </w:tcBorders>
            <w:shd w:val="clear" w:color="auto" w:fill="CCEEFF"/>
          </w:tcPr>
          <w:p>
            <w:pPr>
              <w:jc w:val="center"/>
              <w:ind w:left="96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r>
      <w:tr>
        <w:trPr>
          <w:trHeight w:val="179"/>
        </w:trPr>
        <w:tc>
          <w:tcPr>
            <w:tcW w:w="29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Balance at October 28, 2017</w:t>
            </w: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150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9</w:t>
            </w:r>
          </w:p>
        </w:tc>
        <w:tc>
          <w:tcPr>
            <w:tcW w:w="36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w:t>
            </w:r>
          </w:p>
        </w:tc>
        <w:tc>
          <w:tcPr>
            <w:tcW w:w="1520" w:type="dxa"/>
            <w:vAlign w:val="bottom"/>
            <w:tcBorders>
              <w:bottom w:val="single" w:sz="8" w:color="auto"/>
            </w:tcBorders>
          </w:tcPr>
          <w:p>
            <w:pPr>
              <w:jc w:val="center"/>
              <w:ind w:left="943"/>
              <w:spacing w:after="0"/>
              <w:rPr>
                <w:sz w:val="20"/>
                <w:szCs w:val="20"/>
                <w:color w:val="auto"/>
              </w:rPr>
            </w:pPr>
            <w:r>
              <w:rPr>
                <w:rFonts w:ascii="Arial" w:cs="Arial" w:eastAsia="Arial" w:hAnsi="Arial"/>
                <w:sz w:val="15"/>
                <w:szCs w:val="15"/>
                <w:b w:val="1"/>
                <w:bCs w:val="1"/>
                <w:color w:val="auto"/>
              </w:rPr>
              <w:t>2</w:t>
            </w:r>
          </w:p>
        </w:tc>
        <w:tc>
          <w:tcPr>
            <w:tcW w:w="5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11</w:t>
            </w:r>
          </w:p>
        </w:tc>
      </w:tr>
    </w:tbl>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5"/>
          <w:szCs w:val="15"/>
          <w:color w:val="auto"/>
        </w:rPr>
        <w:t xml:space="preserve">As more fully discussed in Note 14,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during the second quarter of 2017 the Company recorded a $50 million pension litigation charge.</w:t>
      </w:r>
    </w:p>
    <w:p>
      <w:pPr>
        <w:spacing w:after="0" w:line="129"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Included in the thirteen and thirty-nine weeks ended October 29, 2016 is a non-cash charge of $6 million to write down store fixtures and leasehold improvements related to the Runners Point and Sidestep businesses.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4. Hurricane-Related Costs</w:t>
      </w:r>
    </w:p>
    <w:p>
      <w:pPr>
        <w:spacing w:after="0" w:line="18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Hurricanes Harvey, Irma, and Maria adversely affected the Company’s third quarter of 2017 operations and resulted in the closure of approximately 450 of the Company’s retail stores for varying periods of time. As of October 28, 2017, 22 of these stores remain closed in Puerto Rico. The Company expects to re-open 8 of the remaining stores during the fourth quarter of 2017 and an additional 7 stores during the early part of 2018, dependent on timing of repairs and mall openings. Currently, we do not expect to re-open the balance of the stores.</w:t>
      </w:r>
    </w:p>
    <w:p>
      <w:pPr>
        <w:spacing w:after="0" w:line="151"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Company recorded a $7 million charge associated with its retail stores that were damaged by the hurricanes. This charge was recorded as a component of selling, general and administrative expenses in the Consolidated Statements of Operations for the thirteen and thirty-nine weeks ended October 28, 2017. The charge reflects estimated property damages and other costs of $2 million and inventory write-offs of $5 million. The Company is working with its insurance providers to determine if any of the losses can be recovered.</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5" w:right="1399" w:bottom="1440" w:gutter="0" w:footer="0" w:header="0"/>
        </w:sectPr>
      </w:pPr>
    </w:p>
    <w:bookmarkStart w:id="9" w:name="page10"/>
    <w:bookmarkEnd w:id="9"/>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5. Restricted Cash</w:t>
      </w:r>
    </w:p>
    <w:p>
      <w:pPr>
        <w:spacing w:after="0" w:line="18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following table provides a reconciliation of cash and cash equivalents, as reported on our condensed consolidated balance sheets, to cash, cash equivalents, and restricted cash, as reported on our condensed consolidated statements of cash flows.</w:t>
      </w:r>
    </w:p>
    <w:tbl>
      <w:tblPr>
        <w:tblLayout w:type="fixed"/>
        <w:tblInd w:w="0" w:type="dxa"/>
        <w:tblCellMar>
          <w:top w:w="0" w:type="dxa"/>
          <w:left w:w="0" w:type="dxa"/>
          <w:bottom w:w="0" w:type="dxa"/>
          <w:right w:w="0" w:type="dxa"/>
        </w:tblCellMar>
      </w:tblPr>
      <w:tr>
        <w:trPr>
          <w:trHeight w:val="165"/>
        </w:trPr>
        <w:tc>
          <w:tcPr>
            <w:tcW w:w="4180" w:type="dxa"/>
            <w:vAlign w:val="bottom"/>
          </w:tcPr>
          <w:p>
            <w:pPr>
              <w:spacing w:after="0"/>
              <w:rPr>
                <w:sz w:val="14"/>
                <w:szCs w:val="14"/>
                <w:color w:val="auto"/>
              </w:rPr>
            </w:pPr>
          </w:p>
        </w:tc>
        <w:tc>
          <w:tcPr>
            <w:tcW w:w="1960" w:type="dxa"/>
            <w:vAlign w:val="bottom"/>
            <w:gridSpan w:val="2"/>
          </w:tcPr>
          <w:p>
            <w:pPr>
              <w:jc w:val="right"/>
              <w:ind w:right="343"/>
              <w:spacing w:after="0" w:line="165" w:lineRule="exact"/>
              <w:rPr>
                <w:sz w:val="20"/>
                <w:szCs w:val="20"/>
                <w:color w:val="auto"/>
              </w:rPr>
            </w:pPr>
            <w:r>
              <w:rPr>
                <w:rFonts w:ascii="Arial" w:cs="Arial" w:eastAsia="Arial" w:hAnsi="Arial"/>
                <w:sz w:val="15"/>
                <w:szCs w:val="15"/>
                <w:b w:val="1"/>
                <w:bCs w:val="1"/>
                <w:color w:val="auto"/>
              </w:rPr>
              <w:t>October 28,</w:t>
            </w:r>
          </w:p>
        </w:tc>
        <w:tc>
          <w:tcPr>
            <w:tcW w:w="1580" w:type="dxa"/>
            <w:vAlign w:val="bottom"/>
            <w:gridSpan w:val="2"/>
          </w:tcPr>
          <w:p>
            <w:pPr>
              <w:jc w:val="center"/>
              <w:ind w:right="83"/>
              <w:spacing w:after="0" w:line="165" w:lineRule="exact"/>
              <w:rPr>
                <w:sz w:val="20"/>
                <w:szCs w:val="20"/>
                <w:color w:val="auto"/>
              </w:rPr>
            </w:pPr>
            <w:r>
              <w:rPr>
                <w:rFonts w:ascii="Arial" w:cs="Arial" w:eastAsia="Arial" w:hAnsi="Arial"/>
                <w:sz w:val="15"/>
                <w:szCs w:val="15"/>
                <w:b w:val="1"/>
                <w:bCs w:val="1"/>
                <w:color w:val="auto"/>
              </w:rPr>
              <w:t>October 29,</w:t>
            </w:r>
          </w:p>
        </w:tc>
        <w:tc>
          <w:tcPr>
            <w:tcW w:w="1380" w:type="dxa"/>
            <w:vAlign w:val="bottom"/>
            <w:gridSpan w:val="2"/>
          </w:tcPr>
          <w:p>
            <w:pPr>
              <w:jc w:val="right"/>
              <w:ind w:right="163"/>
              <w:spacing w:after="0" w:line="165" w:lineRule="exact"/>
              <w:rPr>
                <w:sz w:val="20"/>
                <w:szCs w:val="20"/>
                <w:color w:val="auto"/>
              </w:rPr>
            </w:pPr>
            <w:r>
              <w:rPr>
                <w:rFonts w:ascii="Arial" w:cs="Arial" w:eastAsia="Arial" w:hAnsi="Arial"/>
                <w:sz w:val="15"/>
                <w:szCs w:val="15"/>
                <w:b w:val="1"/>
                <w:bCs w:val="1"/>
                <w:color w:val="auto"/>
              </w:rPr>
              <w:t>January 28,</w:t>
            </w:r>
          </w:p>
        </w:tc>
      </w:tr>
      <w:tr>
        <w:trPr>
          <w:trHeight w:val="205"/>
        </w:trPr>
        <w:tc>
          <w:tcPr>
            <w:tcW w:w="41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2017</w:t>
            </w:r>
          </w:p>
        </w:tc>
        <w:tc>
          <w:tcPr>
            <w:tcW w:w="4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503"/>
              <w:spacing w:after="0"/>
              <w:rPr>
                <w:sz w:val="20"/>
                <w:szCs w:val="20"/>
                <w:color w:val="auto"/>
              </w:rPr>
            </w:pPr>
            <w:r>
              <w:rPr>
                <w:rFonts w:ascii="Arial" w:cs="Arial" w:eastAsia="Arial" w:hAnsi="Arial"/>
                <w:sz w:val="15"/>
                <w:szCs w:val="15"/>
                <w:b w:val="1"/>
                <w:bCs w:val="1"/>
                <w:color w:val="auto"/>
              </w:rPr>
              <w:t>2016</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r>
      <w:tr>
        <w:trPr>
          <w:trHeight w:val="187"/>
        </w:trPr>
        <w:tc>
          <w:tcPr>
            <w:tcW w:w="4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2"/>
          </w:tcPr>
          <w:p>
            <w:pPr>
              <w:jc w:val="center"/>
              <w:ind w:right="63"/>
              <w:spacing w:after="0"/>
              <w:rPr>
                <w:sz w:val="20"/>
                <w:szCs w:val="20"/>
                <w:color w:val="auto"/>
              </w:rPr>
            </w:pPr>
            <w:r>
              <w:rPr>
                <w:rFonts w:ascii="Arial" w:cs="Arial" w:eastAsia="Arial" w:hAnsi="Arial"/>
                <w:sz w:val="15"/>
                <w:szCs w:val="15"/>
                <w:color w:val="auto"/>
              </w:rPr>
              <w:t>($ in millions)</w:t>
            </w:r>
          </w:p>
        </w:tc>
        <w:tc>
          <w:tcPr>
            <w:tcW w:w="4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r>
      <w:tr>
        <w:trPr>
          <w:trHeight w:val="188"/>
        </w:trPr>
        <w:tc>
          <w:tcPr>
            <w:tcW w:w="4180" w:type="dxa"/>
            <w:vAlign w:val="bottom"/>
            <w:shd w:val="clear" w:color="auto" w:fill="CCEEFF"/>
          </w:tcPr>
          <w:p>
            <w:pPr>
              <w:spacing w:after="0"/>
              <w:rPr>
                <w:sz w:val="20"/>
                <w:szCs w:val="20"/>
                <w:color w:val="auto"/>
              </w:rPr>
            </w:pPr>
            <w:r>
              <w:rPr>
                <w:rFonts w:ascii="Arial" w:cs="Arial" w:eastAsia="Arial" w:hAnsi="Arial"/>
                <w:sz w:val="15"/>
                <w:szCs w:val="15"/>
                <w:color w:val="auto"/>
              </w:rPr>
              <w:t>Cash and cash equivalents</w:t>
            </w:r>
          </w:p>
        </w:tc>
        <w:tc>
          <w:tcPr>
            <w:tcW w:w="82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890</w:t>
            </w:r>
          </w:p>
        </w:tc>
        <w:tc>
          <w:tcPr>
            <w:tcW w:w="4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865</w:t>
            </w:r>
          </w:p>
        </w:tc>
        <w:tc>
          <w:tcPr>
            <w:tcW w:w="4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1,046</w:t>
            </w:r>
          </w:p>
        </w:tc>
      </w:tr>
      <w:tr>
        <w:trPr>
          <w:trHeight w:val="207"/>
        </w:trPr>
        <w:tc>
          <w:tcPr>
            <w:tcW w:w="4180" w:type="dxa"/>
            <w:vAlign w:val="bottom"/>
          </w:tcPr>
          <w:p>
            <w:pPr>
              <w:spacing w:after="0"/>
              <w:rPr>
                <w:sz w:val="20"/>
                <w:szCs w:val="20"/>
                <w:color w:val="auto"/>
              </w:rPr>
            </w:pPr>
            <w:r>
              <w:rPr>
                <w:rFonts w:ascii="Arial" w:cs="Arial" w:eastAsia="Arial" w:hAnsi="Arial"/>
                <w:sz w:val="15"/>
                <w:szCs w:val="15"/>
                <w:color w:val="auto"/>
              </w:rPr>
              <w:t>Restricted cash included in other current assets</w:t>
            </w:r>
          </w:p>
        </w:tc>
        <w:tc>
          <w:tcPr>
            <w:tcW w:w="820" w:type="dxa"/>
            <w:vAlign w:val="bottom"/>
          </w:tcPr>
          <w:p>
            <w:pPr>
              <w:spacing w:after="0"/>
              <w:rPr>
                <w:sz w:val="17"/>
                <w:szCs w:val="17"/>
                <w:color w:val="auto"/>
              </w:rPr>
            </w:pPr>
          </w:p>
        </w:tc>
        <w:tc>
          <w:tcPr>
            <w:tcW w:w="1140" w:type="dxa"/>
            <w:vAlign w:val="bottom"/>
          </w:tcPr>
          <w:p>
            <w:pPr>
              <w:jc w:val="right"/>
              <w:ind w:right="143"/>
              <w:spacing w:after="0"/>
              <w:rPr>
                <w:sz w:val="20"/>
                <w:szCs w:val="20"/>
                <w:color w:val="auto"/>
              </w:rPr>
            </w:pPr>
            <w:r>
              <w:rPr>
                <w:rFonts w:ascii="Arial" w:cs="Arial" w:eastAsia="Arial" w:hAnsi="Arial"/>
                <w:sz w:val="15"/>
                <w:szCs w:val="15"/>
                <w:b w:val="1"/>
                <w:bCs w:val="1"/>
                <w:color w:val="auto"/>
              </w:rPr>
              <w:t>1</w:t>
            </w:r>
          </w:p>
        </w:tc>
        <w:tc>
          <w:tcPr>
            <w:tcW w:w="420" w:type="dxa"/>
            <w:vAlign w:val="bottom"/>
          </w:tcPr>
          <w:p>
            <w:pPr>
              <w:spacing w:after="0"/>
              <w:rPr>
                <w:sz w:val="17"/>
                <w:szCs w:val="17"/>
                <w:color w:val="auto"/>
              </w:rPr>
            </w:pPr>
          </w:p>
        </w:tc>
        <w:tc>
          <w:tcPr>
            <w:tcW w:w="1160" w:type="dxa"/>
            <w:vAlign w:val="bottom"/>
          </w:tcPr>
          <w:p>
            <w:pPr>
              <w:jc w:val="right"/>
              <w:ind w:right="123"/>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7"/>
        </w:trPr>
        <w:tc>
          <w:tcPr>
            <w:tcW w:w="4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Restricted cash included in other non-current assets</w:t>
            </w:r>
          </w:p>
        </w:tc>
        <w:tc>
          <w:tcPr>
            <w:tcW w:w="82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29</w:t>
            </w:r>
          </w:p>
        </w:tc>
        <w:tc>
          <w:tcPr>
            <w:tcW w:w="42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28</w:t>
            </w: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w:t>
            </w:r>
          </w:p>
        </w:tc>
      </w:tr>
      <w:tr>
        <w:trPr>
          <w:trHeight w:val="179"/>
        </w:trPr>
        <w:tc>
          <w:tcPr>
            <w:tcW w:w="41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Cash, cash equivalents, and restricted cash</w:t>
            </w:r>
          </w:p>
        </w:tc>
        <w:tc>
          <w:tcPr>
            <w:tcW w:w="8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920</w:t>
            </w:r>
          </w:p>
        </w:tc>
        <w:tc>
          <w:tcPr>
            <w:tcW w:w="4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893</w:t>
            </w:r>
          </w:p>
        </w:tc>
        <w:tc>
          <w:tcPr>
            <w:tcW w:w="42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1,073</w:t>
            </w:r>
          </w:p>
        </w:tc>
      </w:tr>
    </w:tbl>
    <w:p>
      <w:pPr>
        <w:spacing w:after="0" w:line="18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Amounts included in restricted cash primarily relate to amounts held in escrow in connection with various leasing arrangements in Europe. In addition, restricted cash reflects deposits held in insurance trusts in order to satisfy the requirement to collateralize part of the self-insured workers’ compensation and liability claims.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6. Goodwill</w:t>
      </w:r>
    </w:p>
    <w:p>
      <w:pPr>
        <w:spacing w:after="0" w:line="18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Annually during the first quarter, or more frequently if impairment indicators arise, the Company reviews goodwill and intangible assets with indefinite lives for impairment. The annual review of goodwill and intangible assets with indefinite lives performed during the first quarter of 2017 did not result in the recognition of impairment. The following table provides a summary of goodwill by reportable segment. The change in the balance represents foreign currency exchange fluctuations.</w:t>
      </w:r>
    </w:p>
    <w:p>
      <w:pPr>
        <w:spacing w:after="0" w:line="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00" w:type="dxa"/>
            <w:vAlign w:val="bottom"/>
          </w:tcPr>
          <w:p>
            <w:pPr>
              <w:spacing w:after="0"/>
              <w:rPr>
                <w:sz w:val="15"/>
                <w:szCs w:val="15"/>
                <w:color w:val="auto"/>
              </w:rPr>
            </w:pPr>
          </w:p>
        </w:tc>
        <w:tc>
          <w:tcPr>
            <w:tcW w:w="2480" w:type="dxa"/>
            <w:vAlign w:val="bottom"/>
          </w:tcPr>
          <w:p>
            <w:pPr>
              <w:jc w:val="right"/>
              <w:spacing w:after="0"/>
              <w:rPr>
                <w:sz w:val="20"/>
                <w:szCs w:val="20"/>
                <w:color w:val="auto"/>
              </w:rPr>
            </w:pPr>
            <w:r>
              <w:rPr>
                <w:rFonts w:ascii="Arial" w:cs="Arial" w:eastAsia="Arial" w:hAnsi="Arial"/>
                <w:sz w:val="15"/>
                <w:szCs w:val="15"/>
                <w:b w:val="1"/>
                <w:bCs w:val="1"/>
                <w:color w:val="auto"/>
              </w:rPr>
              <w:t>October 28,</w:t>
            </w:r>
          </w:p>
        </w:tc>
        <w:tc>
          <w:tcPr>
            <w:tcW w:w="5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360" w:type="dxa"/>
            <w:vAlign w:val="bottom"/>
          </w:tcPr>
          <w:p>
            <w:pPr>
              <w:jc w:val="center"/>
              <w:ind w:right="403"/>
              <w:spacing w:after="0"/>
              <w:rPr>
                <w:sz w:val="20"/>
                <w:szCs w:val="20"/>
                <w:color w:val="auto"/>
              </w:rPr>
            </w:pPr>
            <w:r>
              <w:rPr>
                <w:rFonts w:ascii="Arial" w:cs="Arial" w:eastAsia="Arial" w:hAnsi="Arial"/>
                <w:sz w:val="15"/>
                <w:szCs w:val="15"/>
                <w:b w:val="1"/>
                <w:bCs w:val="1"/>
                <w:color w:val="auto"/>
              </w:rPr>
              <w:t>October 29,</w:t>
            </w:r>
          </w:p>
        </w:tc>
        <w:tc>
          <w:tcPr>
            <w:tcW w:w="340" w:type="dxa"/>
            <w:vAlign w:val="bottom"/>
          </w:tcPr>
          <w:p>
            <w:pPr>
              <w:spacing w:after="0"/>
              <w:rPr>
                <w:sz w:val="15"/>
                <w:szCs w:val="15"/>
                <w:color w:val="auto"/>
              </w:rPr>
            </w:pPr>
          </w:p>
        </w:tc>
        <w:tc>
          <w:tcPr>
            <w:tcW w:w="1160" w:type="dxa"/>
            <w:vAlign w:val="bottom"/>
          </w:tcPr>
          <w:p>
            <w:pPr>
              <w:jc w:val="right"/>
              <w:ind w:right="223"/>
              <w:spacing w:after="0"/>
              <w:rPr>
                <w:sz w:val="20"/>
                <w:szCs w:val="20"/>
                <w:color w:val="auto"/>
              </w:rPr>
            </w:pPr>
            <w:r>
              <w:rPr>
                <w:rFonts w:ascii="Arial" w:cs="Arial" w:eastAsia="Arial" w:hAnsi="Arial"/>
                <w:sz w:val="15"/>
                <w:szCs w:val="15"/>
                <w:b w:val="1"/>
                <w:bCs w:val="1"/>
                <w:color w:val="auto"/>
              </w:rPr>
              <w:t>January 28,</w:t>
            </w:r>
          </w:p>
        </w:tc>
      </w:tr>
      <w:tr>
        <w:trPr>
          <w:trHeight w:val="205"/>
        </w:trPr>
        <w:tc>
          <w:tcPr>
            <w:tcW w:w="290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2017</w:t>
            </w:r>
          </w:p>
        </w:tc>
        <w:tc>
          <w:tcPr>
            <w:tcW w:w="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383"/>
              <w:spacing w:after="0"/>
              <w:rPr>
                <w:sz w:val="20"/>
                <w:szCs w:val="20"/>
                <w:color w:val="auto"/>
              </w:rPr>
            </w:pPr>
            <w:r>
              <w:rPr>
                <w:rFonts w:ascii="Arial" w:cs="Arial" w:eastAsia="Arial" w:hAnsi="Arial"/>
                <w:sz w:val="15"/>
                <w:szCs w:val="15"/>
                <w:b w:val="1"/>
                <w:bCs w:val="1"/>
                <w:color w:val="auto"/>
              </w:rPr>
              <w:t>2016</w:t>
            </w: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r>
      <w:tr>
        <w:trPr>
          <w:trHeight w:val="164"/>
        </w:trPr>
        <w:tc>
          <w:tcPr>
            <w:tcW w:w="290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2"/>
          </w:tcPr>
          <w:p>
            <w:pPr>
              <w:jc w:val="center"/>
              <w:ind w:right="83"/>
              <w:spacing w:after="0" w:line="164" w:lineRule="exact"/>
              <w:rPr>
                <w:sz w:val="20"/>
                <w:szCs w:val="20"/>
                <w:color w:val="auto"/>
              </w:rPr>
            </w:pPr>
            <w:r>
              <w:rPr>
                <w:rFonts w:ascii="Arial" w:cs="Arial" w:eastAsia="Arial" w:hAnsi="Arial"/>
                <w:sz w:val="15"/>
                <w:szCs w:val="15"/>
                <w:color w:val="auto"/>
              </w:rPr>
              <w:t>($ in millions)</w:t>
            </w: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spacing w:after="0"/>
              <w:rPr>
                <w:sz w:val="14"/>
                <w:szCs w:val="14"/>
                <w:color w:val="auto"/>
              </w:rPr>
            </w:pPr>
          </w:p>
        </w:tc>
      </w:tr>
      <w:tr>
        <w:trPr>
          <w:trHeight w:val="162"/>
        </w:trPr>
        <w:tc>
          <w:tcPr>
            <w:tcW w:w="2900" w:type="dxa"/>
            <w:vAlign w:val="bottom"/>
            <w:shd w:val="clear" w:color="auto" w:fill="CCEEFF"/>
          </w:tcPr>
          <w:p>
            <w:pPr>
              <w:spacing w:after="0" w:line="163" w:lineRule="exact"/>
              <w:rPr>
                <w:sz w:val="20"/>
                <w:szCs w:val="20"/>
                <w:color w:val="auto"/>
              </w:rPr>
            </w:pPr>
            <w:r>
              <w:rPr>
                <w:rFonts w:ascii="Arial" w:cs="Arial" w:eastAsia="Arial" w:hAnsi="Arial"/>
                <w:sz w:val="15"/>
                <w:szCs w:val="15"/>
                <w:color w:val="auto"/>
              </w:rPr>
              <w:t>Athletic Stores</w:t>
            </w:r>
          </w:p>
        </w:tc>
        <w:tc>
          <w:tcPr>
            <w:tcW w:w="2480" w:type="dxa"/>
            <w:vAlign w:val="bottom"/>
            <w:shd w:val="clear" w:color="auto" w:fill="CCEEFF"/>
          </w:tcPr>
          <w:p>
            <w:pPr>
              <w:jc w:val="right"/>
              <w:ind w:right="803"/>
              <w:spacing w:after="0" w:line="163" w:lineRule="exact"/>
              <w:rPr>
                <w:sz w:val="20"/>
                <w:szCs w:val="20"/>
                <w:color w:val="auto"/>
              </w:rPr>
            </w:pPr>
            <w:r>
              <w:rPr>
                <w:rFonts w:ascii="Arial" w:cs="Arial" w:eastAsia="Arial" w:hAnsi="Arial"/>
                <w:sz w:val="15"/>
                <w:szCs w:val="15"/>
                <w:b w:val="1"/>
                <w:bCs w:val="1"/>
                <w:color w:val="auto"/>
              </w:rPr>
              <w:t>$</w:t>
            </w:r>
          </w:p>
        </w:tc>
        <w:tc>
          <w:tcPr>
            <w:tcW w:w="520" w:type="dxa"/>
            <w:vAlign w:val="bottom"/>
            <w:shd w:val="clear" w:color="auto" w:fill="CCEEFF"/>
          </w:tcPr>
          <w:p>
            <w:pPr>
              <w:jc w:val="right"/>
              <w:ind w:right="183"/>
              <w:spacing w:after="0" w:line="163" w:lineRule="exact"/>
              <w:rPr>
                <w:sz w:val="20"/>
                <w:szCs w:val="20"/>
                <w:color w:val="auto"/>
              </w:rPr>
            </w:pPr>
            <w:r>
              <w:rPr>
                <w:rFonts w:ascii="Arial" w:cs="Arial" w:eastAsia="Arial" w:hAnsi="Arial"/>
                <w:sz w:val="15"/>
                <w:szCs w:val="15"/>
                <w:b w:val="1"/>
                <w:bCs w:val="1"/>
                <w:color w:val="auto"/>
              </w:rPr>
              <w:t>18</w:t>
            </w:r>
          </w:p>
        </w:tc>
        <w:tc>
          <w:tcPr>
            <w:tcW w:w="3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360" w:type="dxa"/>
            <w:vAlign w:val="bottom"/>
            <w:shd w:val="clear" w:color="auto" w:fill="CCEEFF"/>
          </w:tcPr>
          <w:p>
            <w:pPr>
              <w:jc w:val="right"/>
              <w:ind w:right="163"/>
              <w:spacing w:after="0" w:line="163" w:lineRule="exact"/>
              <w:rPr>
                <w:sz w:val="20"/>
                <w:szCs w:val="20"/>
                <w:color w:val="auto"/>
              </w:rPr>
            </w:pPr>
            <w:r>
              <w:rPr>
                <w:rFonts w:ascii="Arial" w:cs="Arial" w:eastAsia="Arial" w:hAnsi="Arial"/>
                <w:sz w:val="15"/>
                <w:szCs w:val="15"/>
                <w:color w:val="auto"/>
              </w:rPr>
              <w:t>17</w:t>
            </w:r>
          </w:p>
        </w:tc>
        <w:tc>
          <w:tcPr>
            <w:tcW w:w="34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spacing w:after="0" w:line="163" w:lineRule="exact"/>
              <w:rPr>
                <w:sz w:val="20"/>
                <w:szCs w:val="20"/>
                <w:color w:val="auto"/>
              </w:rPr>
            </w:pPr>
            <w:r>
              <w:rPr>
                <w:rFonts w:ascii="Arial" w:cs="Arial" w:eastAsia="Arial" w:hAnsi="Arial"/>
                <w:sz w:val="15"/>
                <w:szCs w:val="15"/>
                <w:color w:val="auto"/>
              </w:rPr>
              <w:t>16</w:t>
            </w:r>
          </w:p>
        </w:tc>
      </w:tr>
      <w:tr>
        <w:trPr>
          <w:trHeight w:val="182"/>
        </w:trPr>
        <w:tc>
          <w:tcPr>
            <w:tcW w:w="29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Direct-to-Customers</w:t>
            </w:r>
          </w:p>
        </w:tc>
        <w:tc>
          <w:tcPr>
            <w:tcW w:w="248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w w:val="95"/>
              </w:rPr>
              <w:t>140</w:t>
            </w:r>
          </w:p>
        </w:tc>
        <w:tc>
          <w:tcPr>
            <w:tcW w:w="34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163"/>
              <w:spacing w:after="0"/>
              <w:rPr>
                <w:sz w:val="20"/>
                <w:szCs w:val="20"/>
                <w:color w:val="auto"/>
              </w:rPr>
            </w:pPr>
            <w:r>
              <w:rPr>
                <w:rFonts w:ascii="Arial" w:cs="Arial" w:eastAsia="Arial" w:hAnsi="Arial"/>
                <w:sz w:val="15"/>
                <w:szCs w:val="15"/>
                <w:color w:val="auto"/>
              </w:rPr>
              <w:t>139</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w:t>
            </w:r>
          </w:p>
        </w:tc>
      </w:tr>
      <w:tr>
        <w:trPr>
          <w:trHeight w:val="167"/>
        </w:trPr>
        <w:tc>
          <w:tcPr>
            <w:tcW w:w="290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Total goodwill</w:t>
            </w:r>
          </w:p>
        </w:tc>
        <w:tc>
          <w:tcPr>
            <w:tcW w:w="2480" w:type="dxa"/>
            <w:vAlign w:val="bottom"/>
            <w:tcBorders>
              <w:bottom w:val="single" w:sz="8" w:color="auto"/>
            </w:tcBorders>
            <w:shd w:val="clear" w:color="auto" w:fill="CCEEFF"/>
          </w:tcPr>
          <w:p>
            <w:pPr>
              <w:jc w:val="right"/>
              <w:ind w:right="803"/>
              <w:spacing w:after="0" w:line="163" w:lineRule="exact"/>
              <w:rPr>
                <w:sz w:val="20"/>
                <w:szCs w:val="20"/>
                <w:color w:val="auto"/>
              </w:rPr>
            </w:pPr>
            <w:r>
              <w:rPr>
                <w:rFonts w:ascii="Arial" w:cs="Arial" w:eastAsia="Arial" w:hAnsi="Arial"/>
                <w:sz w:val="15"/>
                <w:szCs w:val="15"/>
                <w:b w:val="1"/>
                <w:bCs w:val="1"/>
                <w:color w:val="auto"/>
              </w:rPr>
              <w:t>$</w:t>
            </w:r>
          </w:p>
        </w:tc>
        <w:tc>
          <w:tcPr>
            <w:tcW w:w="520" w:type="dxa"/>
            <w:vAlign w:val="bottom"/>
            <w:tcBorders>
              <w:bottom w:val="single" w:sz="8" w:color="auto"/>
            </w:tcBorders>
            <w:shd w:val="clear" w:color="auto" w:fill="CCEEFF"/>
          </w:tcPr>
          <w:p>
            <w:pPr>
              <w:jc w:val="right"/>
              <w:ind w:right="183"/>
              <w:spacing w:after="0" w:line="163" w:lineRule="exact"/>
              <w:rPr>
                <w:sz w:val="20"/>
                <w:szCs w:val="20"/>
                <w:color w:val="auto"/>
              </w:rPr>
            </w:pPr>
            <w:r>
              <w:rPr>
                <w:rFonts w:ascii="Arial" w:cs="Arial" w:eastAsia="Arial" w:hAnsi="Arial"/>
                <w:sz w:val="15"/>
                <w:szCs w:val="15"/>
                <w:b w:val="1"/>
                <w:bCs w:val="1"/>
                <w:color w:val="auto"/>
                <w:w w:val="95"/>
              </w:rPr>
              <w:t>158</w:t>
            </w:r>
          </w:p>
        </w:tc>
        <w:tc>
          <w:tcPr>
            <w:tcW w:w="3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360" w:type="dxa"/>
            <w:vAlign w:val="bottom"/>
            <w:tcBorders>
              <w:bottom w:val="single" w:sz="8" w:color="auto"/>
            </w:tcBorders>
            <w:shd w:val="clear" w:color="auto" w:fill="CCEEFF"/>
          </w:tcPr>
          <w:p>
            <w:pPr>
              <w:jc w:val="right"/>
              <w:ind w:right="163"/>
              <w:spacing w:after="0" w:line="163" w:lineRule="exact"/>
              <w:rPr>
                <w:sz w:val="20"/>
                <w:szCs w:val="20"/>
                <w:color w:val="auto"/>
              </w:rPr>
            </w:pPr>
            <w:r>
              <w:rPr>
                <w:rFonts w:ascii="Arial" w:cs="Arial" w:eastAsia="Arial" w:hAnsi="Arial"/>
                <w:sz w:val="15"/>
                <w:szCs w:val="15"/>
                <w:color w:val="auto"/>
              </w:rPr>
              <w:t>156</w:t>
            </w:r>
          </w:p>
        </w:tc>
        <w:tc>
          <w:tcPr>
            <w:tcW w:w="3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155</w:t>
            </w:r>
          </w:p>
        </w:tc>
      </w:tr>
    </w:tbl>
    <w:p>
      <w:pPr>
        <w:spacing w:after="0" w:line="37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7. Other Intangible Assets, net</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finite-lived intangible assets and intangible assets not subject to amortization are as follows:</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8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jc w:val="right"/>
              <w:ind w:right="343"/>
              <w:spacing w:after="0"/>
              <w:rPr>
                <w:sz w:val="20"/>
                <w:szCs w:val="20"/>
                <w:color w:val="auto"/>
              </w:rPr>
            </w:pPr>
            <w:r>
              <w:rPr>
                <w:rFonts w:ascii="Arial" w:cs="Arial" w:eastAsia="Arial" w:hAnsi="Arial"/>
                <w:sz w:val="15"/>
                <w:szCs w:val="15"/>
                <w:b w:val="1"/>
                <w:bCs w:val="1"/>
                <w:color w:val="auto"/>
              </w:rPr>
              <w:t>October 28, 2017</w:t>
            </w:r>
          </w:p>
        </w:tc>
        <w:tc>
          <w:tcPr>
            <w:tcW w:w="2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jc w:val="right"/>
              <w:ind w:right="363"/>
              <w:spacing w:after="0"/>
              <w:rPr>
                <w:sz w:val="20"/>
                <w:szCs w:val="20"/>
                <w:color w:val="auto"/>
              </w:rPr>
            </w:pPr>
            <w:r>
              <w:rPr>
                <w:rFonts w:ascii="Arial" w:cs="Arial" w:eastAsia="Arial" w:hAnsi="Arial"/>
                <w:sz w:val="15"/>
                <w:szCs w:val="15"/>
                <w:b w:val="1"/>
                <w:bCs w:val="1"/>
                <w:color w:val="auto"/>
              </w:rPr>
              <w:t>October 29, 2016</w:t>
            </w: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5"/>
          </w:tcPr>
          <w:p>
            <w:pPr>
              <w:jc w:val="right"/>
              <w:ind w:right="343"/>
              <w:spacing w:after="0"/>
              <w:rPr>
                <w:sz w:val="20"/>
                <w:szCs w:val="20"/>
                <w:color w:val="auto"/>
              </w:rPr>
            </w:pPr>
            <w:r>
              <w:rPr>
                <w:rFonts w:ascii="Arial" w:cs="Arial" w:eastAsia="Arial" w:hAnsi="Arial"/>
                <w:sz w:val="15"/>
                <w:szCs w:val="15"/>
                <w:b w:val="1"/>
                <w:bCs w:val="1"/>
                <w:color w:val="auto"/>
              </w:rPr>
              <w:t>January 28, 2017</w:t>
            </w:r>
          </w:p>
        </w:tc>
        <w:tc>
          <w:tcPr>
            <w:tcW w:w="0" w:type="dxa"/>
            <w:vAlign w:val="bottom"/>
          </w:tcPr>
          <w:p>
            <w:pPr>
              <w:spacing w:after="0"/>
              <w:rPr>
                <w:sz w:val="1"/>
                <w:szCs w:val="1"/>
                <w:color w:val="auto"/>
              </w:rPr>
            </w:pPr>
          </w:p>
        </w:tc>
      </w:tr>
      <w:tr>
        <w:trPr>
          <w:trHeight w:val="151"/>
        </w:trPr>
        <w:tc>
          <w:tcPr>
            <w:tcW w:w="2780" w:type="dxa"/>
            <w:vAlign w:val="bottom"/>
          </w:tcPr>
          <w:p>
            <w:pPr>
              <w:spacing w:after="0"/>
              <w:rPr>
                <w:sz w:val="13"/>
                <w:szCs w:val="13"/>
                <w:color w:val="auto"/>
              </w:rPr>
            </w:pPr>
          </w:p>
        </w:tc>
        <w:tc>
          <w:tcPr>
            <w:tcW w:w="700" w:type="dxa"/>
            <w:vAlign w:val="bottom"/>
            <w:gridSpan w:val="2"/>
          </w:tcPr>
          <w:p>
            <w:pPr>
              <w:ind w:left="120"/>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Accum.</w:t>
            </w:r>
          </w:p>
        </w:tc>
        <w:tc>
          <w:tcPr>
            <w:tcW w:w="160" w:type="dxa"/>
            <w:vAlign w:val="bottom"/>
          </w:tcPr>
          <w:p>
            <w:pPr>
              <w:spacing w:after="0"/>
              <w:rPr>
                <w:sz w:val="13"/>
                <w:szCs w:val="13"/>
                <w:color w:val="auto"/>
              </w:rPr>
            </w:pPr>
          </w:p>
        </w:tc>
        <w:tc>
          <w:tcPr>
            <w:tcW w:w="480" w:type="dxa"/>
            <w:vAlign w:val="bottom"/>
          </w:tcPr>
          <w:p>
            <w:pPr>
              <w:jc w:val="right"/>
              <w:ind w:right="143"/>
              <w:spacing w:after="0" w:line="151" w:lineRule="exact"/>
              <w:rPr>
                <w:sz w:val="20"/>
                <w:szCs w:val="20"/>
                <w:color w:val="auto"/>
              </w:rPr>
            </w:pPr>
            <w:r>
              <w:rPr>
                <w:rFonts w:ascii="Arial" w:cs="Arial" w:eastAsia="Arial" w:hAnsi="Arial"/>
                <w:sz w:val="15"/>
                <w:szCs w:val="15"/>
                <w:b w:val="1"/>
                <w:bCs w:val="1"/>
                <w:color w:val="auto"/>
                <w:w w:val="99"/>
              </w:rPr>
              <w:t>Net</w:t>
            </w:r>
          </w:p>
        </w:tc>
        <w:tc>
          <w:tcPr>
            <w:tcW w:w="68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ind w:left="80"/>
              <w:spacing w:after="0" w:line="151" w:lineRule="exact"/>
              <w:rPr>
                <w:sz w:val="20"/>
                <w:szCs w:val="20"/>
                <w:color w:val="auto"/>
              </w:rPr>
            </w:pPr>
            <w:r>
              <w:rPr>
                <w:rFonts w:ascii="Arial" w:cs="Arial" w:eastAsia="Arial" w:hAnsi="Arial"/>
                <w:sz w:val="15"/>
                <w:szCs w:val="15"/>
                <w:b w:val="1"/>
                <w:bCs w:val="1"/>
                <w:color w:val="auto"/>
              </w:rPr>
              <w:t>Accum.</w:t>
            </w:r>
          </w:p>
        </w:tc>
        <w:tc>
          <w:tcPr>
            <w:tcW w:w="180" w:type="dxa"/>
            <w:vAlign w:val="bottom"/>
          </w:tcPr>
          <w:p>
            <w:pPr>
              <w:spacing w:after="0"/>
              <w:rPr>
                <w:sz w:val="13"/>
                <w:szCs w:val="13"/>
                <w:color w:val="auto"/>
              </w:rPr>
            </w:pPr>
          </w:p>
        </w:tc>
        <w:tc>
          <w:tcPr>
            <w:tcW w:w="500" w:type="dxa"/>
            <w:vAlign w:val="bottom"/>
          </w:tcPr>
          <w:p>
            <w:pPr>
              <w:jc w:val="right"/>
              <w:ind w:right="163"/>
              <w:spacing w:after="0" w:line="151" w:lineRule="exact"/>
              <w:rPr>
                <w:sz w:val="20"/>
                <w:szCs w:val="20"/>
                <w:color w:val="auto"/>
              </w:rPr>
            </w:pPr>
            <w:r>
              <w:rPr>
                <w:rFonts w:ascii="Arial" w:cs="Arial" w:eastAsia="Arial" w:hAnsi="Arial"/>
                <w:sz w:val="15"/>
                <w:szCs w:val="15"/>
                <w:b w:val="1"/>
                <w:bCs w:val="1"/>
                <w:color w:val="auto"/>
                <w:w w:val="99"/>
              </w:rPr>
              <w:t>Net</w:t>
            </w:r>
          </w:p>
        </w:tc>
        <w:tc>
          <w:tcPr>
            <w:tcW w:w="680" w:type="dxa"/>
            <w:vAlign w:val="bottom"/>
            <w:gridSpan w:val="2"/>
          </w:tcPr>
          <w:p>
            <w:pPr>
              <w:jc w:val="right"/>
              <w:ind w:right="43"/>
              <w:spacing w:after="0" w:line="151" w:lineRule="exact"/>
              <w:rPr>
                <w:sz w:val="20"/>
                <w:szCs w:val="20"/>
                <w:color w:val="auto"/>
              </w:rPr>
            </w:pPr>
            <w:r>
              <w:rPr>
                <w:rFonts w:ascii="Arial" w:cs="Arial" w:eastAsia="Arial" w:hAnsi="Arial"/>
                <w:sz w:val="15"/>
                <w:szCs w:val="15"/>
                <w:b w:val="1"/>
                <w:bCs w:val="1"/>
                <w:color w:val="auto"/>
              </w:rPr>
              <w:t>Gross</w:t>
            </w:r>
          </w:p>
        </w:tc>
        <w:tc>
          <w:tcPr>
            <w:tcW w:w="760" w:type="dxa"/>
            <w:vAlign w:val="bottom"/>
            <w:gridSpan w:val="2"/>
          </w:tcPr>
          <w:p>
            <w:pPr>
              <w:ind w:left="100"/>
              <w:spacing w:after="0" w:line="151" w:lineRule="exact"/>
              <w:rPr>
                <w:sz w:val="20"/>
                <w:szCs w:val="20"/>
                <w:color w:val="auto"/>
              </w:rPr>
            </w:pPr>
            <w:r>
              <w:rPr>
                <w:rFonts w:ascii="Arial" w:cs="Arial" w:eastAsia="Arial" w:hAnsi="Arial"/>
                <w:sz w:val="15"/>
                <w:szCs w:val="15"/>
                <w:b w:val="1"/>
                <w:bCs w:val="1"/>
                <w:color w:val="auto"/>
              </w:rPr>
              <w:t>Accum.</w:t>
            </w:r>
          </w:p>
        </w:tc>
        <w:tc>
          <w:tcPr>
            <w:tcW w:w="200" w:type="dxa"/>
            <w:vAlign w:val="bottom"/>
          </w:tcPr>
          <w:p>
            <w:pPr>
              <w:spacing w:after="0"/>
              <w:rPr>
                <w:sz w:val="13"/>
                <w:szCs w:val="13"/>
                <w:color w:val="auto"/>
              </w:rPr>
            </w:pPr>
          </w:p>
        </w:tc>
        <w:tc>
          <w:tcPr>
            <w:tcW w:w="460" w:type="dxa"/>
            <w:vAlign w:val="bottom"/>
          </w:tcPr>
          <w:p>
            <w:pPr>
              <w:jc w:val="right"/>
              <w:ind w:right="103"/>
              <w:spacing w:after="0" w:line="151" w:lineRule="exact"/>
              <w:rPr>
                <w:sz w:val="20"/>
                <w:szCs w:val="20"/>
                <w:color w:val="auto"/>
              </w:rPr>
            </w:pPr>
            <w:r>
              <w:rPr>
                <w:rFonts w:ascii="Arial" w:cs="Arial" w:eastAsia="Arial" w:hAnsi="Arial"/>
                <w:sz w:val="15"/>
                <w:szCs w:val="15"/>
                <w:b w:val="1"/>
                <w:bCs w:val="1"/>
                <w:color w:val="auto"/>
              </w:rPr>
              <w:t>Net</w:t>
            </w:r>
          </w:p>
        </w:tc>
        <w:tc>
          <w:tcPr>
            <w:tcW w:w="0" w:type="dxa"/>
            <w:vAlign w:val="bottom"/>
          </w:tcPr>
          <w:p>
            <w:pPr>
              <w:spacing w:after="0"/>
              <w:rPr>
                <w:sz w:val="1"/>
                <w:szCs w:val="1"/>
                <w:color w:val="auto"/>
              </w:rPr>
            </w:pPr>
          </w:p>
        </w:tc>
      </w:tr>
      <w:tr>
        <w:trPr>
          <w:trHeight w:val="194"/>
        </w:trPr>
        <w:tc>
          <w:tcPr>
            <w:tcW w:w="2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70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amort.</w:t>
            </w:r>
          </w:p>
        </w:tc>
        <w:tc>
          <w:tcPr>
            <w:tcW w:w="64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amort.</w:t>
            </w:r>
          </w:p>
        </w:tc>
        <w:tc>
          <w:tcPr>
            <w:tcW w:w="680" w:type="dxa"/>
            <w:vAlign w:val="bottom"/>
            <w:tcBorders>
              <w:bottom w:val="single" w:sz="8" w:color="auto"/>
            </w:tcBorders>
            <w:gridSpan w:val="2"/>
          </w:tcPr>
          <w:p>
            <w:pPr>
              <w:jc w:val="right"/>
              <w:ind w:right="83"/>
              <w:spacing w:after="0"/>
              <w:rPr>
                <w:sz w:val="20"/>
                <w:szCs w:val="20"/>
                <w:color w:val="auto"/>
              </w:rPr>
            </w:pPr>
            <w:r>
              <w:rPr>
                <w:rFonts w:ascii="Arial" w:cs="Arial" w:eastAsia="Arial" w:hAnsi="Arial"/>
                <w:sz w:val="15"/>
                <w:szCs w:val="15"/>
                <w:b w:val="1"/>
                <w:bCs w:val="1"/>
                <w:color w:val="auto"/>
              </w:rPr>
              <w:t>value</w:t>
            </w:r>
          </w:p>
        </w:tc>
        <w:tc>
          <w:tcPr>
            <w:tcW w:w="68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value</w:t>
            </w:r>
          </w:p>
        </w:tc>
        <w:tc>
          <w:tcPr>
            <w:tcW w:w="760" w:type="dxa"/>
            <w:vAlign w:val="bottom"/>
            <w:tcBorders>
              <w:bottom w:val="single" w:sz="8" w:color="auto"/>
            </w:tcBorders>
            <w:gridSpan w:val="2"/>
          </w:tcPr>
          <w:p>
            <w:pPr>
              <w:jc w:val="right"/>
              <w:ind w:right="63"/>
              <w:spacing w:after="0"/>
              <w:rPr>
                <w:sz w:val="20"/>
                <w:szCs w:val="20"/>
                <w:color w:val="auto"/>
              </w:rPr>
            </w:pPr>
            <w:r>
              <w:rPr>
                <w:rFonts w:ascii="Arial" w:cs="Arial" w:eastAsia="Arial" w:hAnsi="Arial"/>
                <w:sz w:val="15"/>
                <w:szCs w:val="15"/>
                <w:b w:val="1"/>
                <w:bCs w:val="1"/>
                <w:color w:val="auto"/>
              </w:rPr>
              <w:t>amort.</w:t>
            </w:r>
          </w:p>
        </w:tc>
        <w:tc>
          <w:tcPr>
            <w:tcW w:w="6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value</w:t>
            </w:r>
          </w:p>
        </w:tc>
        <w:tc>
          <w:tcPr>
            <w:tcW w:w="0" w:type="dxa"/>
            <w:vAlign w:val="bottom"/>
          </w:tcPr>
          <w:p>
            <w:pPr>
              <w:spacing w:after="0"/>
              <w:rPr>
                <w:sz w:val="1"/>
                <w:szCs w:val="1"/>
                <w:color w:val="auto"/>
              </w:rPr>
            </w:pPr>
          </w:p>
        </w:tc>
      </w:tr>
      <w:tr>
        <w:trPr>
          <w:trHeight w:val="162"/>
        </w:trPr>
        <w:tc>
          <w:tcPr>
            <w:tcW w:w="2780" w:type="dxa"/>
            <w:vAlign w:val="bottom"/>
          </w:tcPr>
          <w:p>
            <w:pPr>
              <w:spacing w:after="0" w:line="163" w:lineRule="exact"/>
              <w:rPr>
                <w:sz w:val="20"/>
                <w:szCs w:val="20"/>
                <w:color w:val="auto"/>
              </w:rPr>
            </w:pPr>
            <w:r>
              <w:rPr>
                <w:rFonts w:ascii="Arial" w:cs="Arial" w:eastAsia="Arial" w:hAnsi="Arial"/>
                <w:sz w:val="15"/>
                <w:szCs w:val="15"/>
                <w:color w:val="auto"/>
              </w:rPr>
              <w:t xml:space="preserve">Amortized intangible assets: </w:t>
            </w:r>
            <w:r>
              <w:rPr>
                <w:rFonts w:ascii="Arial" w:cs="Arial" w:eastAsia="Arial" w:hAnsi="Arial"/>
                <w:sz w:val="8"/>
                <w:szCs w:val="8"/>
                <w:color w:val="auto"/>
              </w:rPr>
              <w:t>(1)</w:t>
            </w: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7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Lease acquisition costs</w:t>
            </w:r>
          </w:p>
        </w:tc>
        <w:tc>
          <w:tcPr>
            <w:tcW w:w="28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129</w:t>
            </w:r>
          </w:p>
        </w:tc>
        <w:tc>
          <w:tcPr>
            <w:tcW w:w="260" w:type="dxa"/>
            <w:vAlign w:val="bottom"/>
            <w:shd w:val="clear" w:color="auto" w:fill="CCEEFF"/>
          </w:tcPr>
          <w:p>
            <w:pPr>
              <w:ind w:left="100"/>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(117)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48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12</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118</w:t>
            </w:r>
          </w:p>
        </w:tc>
        <w:tc>
          <w:tcPr>
            <w:tcW w:w="26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11</w:t>
            </w:r>
          </w:p>
        </w:tc>
        <w:tc>
          <w:tcPr>
            <w:tcW w:w="2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116</w:t>
            </w:r>
          </w:p>
        </w:tc>
        <w:tc>
          <w:tcPr>
            <w:tcW w:w="2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(105)</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2"/>
        </w:trPr>
        <w:tc>
          <w:tcPr>
            <w:tcW w:w="2780" w:type="dxa"/>
            <w:vAlign w:val="bottom"/>
          </w:tcPr>
          <w:p>
            <w:pPr>
              <w:ind w:left="320"/>
              <w:spacing w:after="0"/>
              <w:rPr>
                <w:sz w:val="20"/>
                <w:szCs w:val="20"/>
                <w:color w:val="auto"/>
              </w:rPr>
            </w:pPr>
            <w:r>
              <w:rPr>
                <w:rFonts w:ascii="Arial" w:cs="Arial" w:eastAsia="Arial" w:hAnsi="Arial"/>
                <w:sz w:val="15"/>
                <w:szCs w:val="15"/>
                <w:color w:val="auto"/>
              </w:rPr>
              <w:t>Trademarks / trade names</w:t>
            </w:r>
          </w:p>
        </w:tc>
        <w:tc>
          <w:tcPr>
            <w:tcW w:w="28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b w:val="1"/>
                <w:bCs w:val="1"/>
                <w:color w:val="auto"/>
              </w:rPr>
              <w:t>20</w:t>
            </w:r>
          </w:p>
        </w:tc>
        <w:tc>
          <w:tcPr>
            <w:tcW w:w="26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b w:val="1"/>
                <w:bCs w:val="1"/>
                <w:color w:val="auto"/>
              </w:rPr>
              <w:t>(13)</w:t>
            </w:r>
          </w:p>
        </w:tc>
        <w:tc>
          <w:tcPr>
            <w:tcW w:w="160" w:type="dxa"/>
            <w:vAlign w:val="bottom"/>
          </w:tcPr>
          <w:p>
            <w:pPr>
              <w:spacing w:after="0"/>
              <w:rPr>
                <w:sz w:val="15"/>
                <w:szCs w:val="15"/>
                <w:color w:val="auto"/>
              </w:rPr>
            </w:pPr>
          </w:p>
        </w:tc>
        <w:tc>
          <w:tcPr>
            <w:tcW w:w="480" w:type="dxa"/>
            <w:vAlign w:val="bottom"/>
          </w:tcPr>
          <w:p>
            <w:pPr>
              <w:jc w:val="right"/>
              <w:ind w:right="3"/>
              <w:spacing w:after="0"/>
              <w:rPr>
                <w:sz w:val="20"/>
                <w:szCs w:val="20"/>
                <w:color w:val="auto"/>
              </w:rPr>
            </w:pPr>
            <w:r>
              <w:rPr>
                <w:rFonts w:ascii="Arial" w:cs="Arial" w:eastAsia="Arial" w:hAnsi="Arial"/>
                <w:sz w:val="15"/>
                <w:szCs w:val="15"/>
                <w:b w:val="1"/>
                <w:bCs w:val="1"/>
                <w:color w:val="auto"/>
              </w:rPr>
              <w:t>7</w:t>
            </w:r>
          </w:p>
        </w:tc>
        <w:tc>
          <w:tcPr>
            <w:tcW w:w="26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20</w:t>
            </w:r>
          </w:p>
        </w:tc>
        <w:tc>
          <w:tcPr>
            <w:tcW w:w="2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5"/>
                <w:szCs w:val="15"/>
                <w:color w:val="auto"/>
              </w:rPr>
              <w:t>(13)</w:t>
            </w:r>
          </w:p>
        </w:tc>
        <w:tc>
          <w:tcPr>
            <w:tcW w:w="180" w:type="dxa"/>
            <w:vAlign w:val="bottom"/>
          </w:tcPr>
          <w:p>
            <w:pPr>
              <w:spacing w:after="0"/>
              <w:rPr>
                <w:sz w:val="15"/>
                <w:szCs w:val="15"/>
                <w:color w:val="auto"/>
              </w:rPr>
            </w:pPr>
          </w:p>
        </w:tc>
        <w:tc>
          <w:tcPr>
            <w:tcW w:w="50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260" w:type="dxa"/>
            <w:vAlign w:val="bottom"/>
          </w:tcPr>
          <w:p>
            <w:pPr>
              <w:spacing w:after="0"/>
              <w:rPr>
                <w:sz w:val="15"/>
                <w:szCs w:val="15"/>
                <w:color w:val="auto"/>
              </w:rPr>
            </w:pPr>
          </w:p>
        </w:tc>
        <w:tc>
          <w:tcPr>
            <w:tcW w:w="420" w:type="dxa"/>
            <w:vAlign w:val="bottom"/>
          </w:tcPr>
          <w:p>
            <w:pPr>
              <w:jc w:val="right"/>
              <w:ind w:right="3"/>
              <w:spacing w:after="0"/>
              <w:rPr>
                <w:sz w:val="20"/>
                <w:szCs w:val="20"/>
                <w:color w:val="auto"/>
              </w:rPr>
            </w:pPr>
            <w:r>
              <w:rPr>
                <w:rFonts w:ascii="Arial" w:cs="Arial" w:eastAsia="Arial" w:hAnsi="Arial"/>
                <w:sz w:val="15"/>
                <w:szCs w:val="15"/>
                <w:color w:val="auto"/>
              </w:rPr>
              <w:t>20</w:t>
            </w:r>
          </w:p>
        </w:tc>
        <w:tc>
          <w:tcPr>
            <w:tcW w:w="28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(13)</w:t>
            </w:r>
          </w:p>
        </w:tc>
        <w:tc>
          <w:tcPr>
            <w:tcW w:w="20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w:t>
            </w:r>
          </w:p>
        </w:tc>
        <w:tc>
          <w:tcPr>
            <w:tcW w:w="0" w:type="dxa"/>
            <w:vAlign w:val="bottom"/>
          </w:tcPr>
          <w:p>
            <w:pPr>
              <w:spacing w:after="0"/>
              <w:rPr>
                <w:sz w:val="1"/>
                <w:szCs w:val="1"/>
                <w:color w:val="auto"/>
              </w:rPr>
            </w:pPr>
          </w:p>
        </w:tc>
      </w:tr>
      <w:tr>
        <w:trPr>
          <w:trHeight w:val="182"/>
        </w:trPr>
        <w:tc>
          <w:tcPr>
            <w:tcW w:w="278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Favorable leases</w:t>
            </w:r>
          </w:p>
        </w:tc>
        <w:tc>
          <w:tcPr>
            <w:tcW w:w="28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7</w:t>
            </w: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(6)</w:t>
            </w:r>
          </w:p>
        </w:tc>
        <w:tc>
          <w:tcPr>
            <w:tcW w:w="16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1</w:t>
            </w:r>
          </w:p>
        </w:tc>
        <w:tc>
          <w:tcPr>
            <w:tcW w:w="2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26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180" w:type="dxa"/>
            <w:vAlign w:val="bottom"/>
            <w:tcBorders>
              <w:bottom w:val="single" w:sz="8" w:color="auto"/>
            </w:tcBorders>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2</w:t>
            </w:r>
          </w:p>
        </w:tc>
        <w:tc>
          <w:tcPr>
            <w:tcW w:w="260" w:type="dxa"/>
            <w:vAlign w:val="bottom"/>
            <w:tcBorders>
              <w:bottom w:val="single" w:sz="8" w:color="auto"/>
            </w:tcBorders>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7</w:t>
            </w:r>
          </w:p>
        </w:tc>
        <w:tc>
          <w:tcPr>
            <w:tcW w:w="280" w:type="dxa"/>
            <w:vAlign w:val="bottom"/>
            <w:tcBorders>
              <w:bottom w:val="single" w:sz="8" w:color="auto"/>
            </w:tcBorders>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0" w:type="dxa"/>
            <w:vAlign w:val="bottom"/>
            <w:tcBorders>
              <w:bottom w:val="single" w:sz="8" w:color="auto"/>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2"/>
        </w:trPr>
        <w:tc>
          <w:tcPr>
            <w:tcW w:w="278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b w:val="1"/>
                <w:bCs w:val="1"/>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156</w:t>
            </w:r>
          </w:p>
        </w:tc>
        <w:tc>
          <w:tcPr>
            <w:tcW w:w="2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(136)</w:t>
            </w:r>
          </w:p>
        </w:tc>
        <w:tc>
          <w:tcPr>
            <w:tcW w:w="1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b w:val="1"/>
                <w:bCs w:val="1"/>
                <w:color w:val="auto"/>
              </w:rPr>
              <w:t>20</w:t>
            </w:r>
          </w:p>
        </w:tc>
        <w:tc>
          <w:tcPr>
            <w:tcW w:w="26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145</w:t>
            </w:r>
          </w:p>
        </w:tc>
        <w:tc>
          <w:tcPr>
            <w:tcW w:w="26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(125)</w:t>
            </w:r>
          </w:p>
        </w:tc>
        <w:tc>
          <w:tcPr>
            <w:tcW w:w="1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color w:val="auto"/>
              </w:rPr>
              <w:t>20</w:t>
            </w:r>
          </w:p>
        </w:tc>
        <w:tc>
          <w:tcPr>
            <w:tcW w:w="260" w:type="dxa"/>
            <w:vAlign w:val="bottom"/>
            <w:tcBorders>
              <w:bottom w:val="single" w:sz="8" w:color="auto"/>
            </w:tcBorders>
          </w:tcPr>
          <w:p>
            <w:pPr>
              <w:jc w:val="right"/>
              <w:ind w:right="23"/>
              <w:spacing w:after="0" w:line="163" w:lineRule="exact"/>
              <w:rPr>
                <w:sz w:val="20"/>
                <w:szCs w:val="20"/>
                <w:color w:val="auto"/>
              </w:rPr>
            </w:pPr>
            <w:r>
              <w:rPr>
                <w:rFonts w:ascii="Arial" w:cs="Arial" w:eastAsia="Arial" w:hAnsi="Arial"/>
                <w:sz w:val="15"/>
                <w:szCs w:val="15"/>
                <w:color w:val="auto"/>
              </w:rPr>
              <w:t>$</w:t>
            </w:r>
          </w:p>
        </w:tc>
        <w:tc>
          <w:tcPr>
            <w:tcW w:w="420" w:type="dxa"/>
            <w:vAlign w:val="bottom"/>
            <w:tcBorders>
              <w:bottom w:val="single" w:sz="8" w:color="auto"/>
            </w:tcBorders>
          </w:tcPr>
          <w:p>
            <w:pPr>
              <w:jc w:val="right"/>
              <w:ind w:right="3"/>
              <w:spacing w:after="0" w:line="163" w:lineRule="exact"/>
              <w:rPr>
                <w:sz w:val="20"/>
                <w:szCs w:val="20"/>
                <w:color w:val="auto"/>
              </w:rPr>
            </w:pPr>
            <w:r>
              <w:rPr>
                <w:rFonts w:ascii="Arial" w:cs="Arial" w:eastAsia="Arial" w:hAnsi="Arial"/>
                <w:sz w:val="15"/>
                <w:szCs w:val="15"/>
                <w:color w:val="auto"/>
              </w:rPr>
              <w:t>143</w:t>
            </w:r>
          </w:p>
        </w:tc>
        <w:tc>
          <w:tcPr>
            <w:tcW w:w="280" w:type="dxa"/>
            <w:vAlign w:val="bottom"/>
            <w:tcBorders>
              <w:bottom w:val="single" w:sz="8" w:color="auto"/>
            </w:tcBorders>
          </w:tcPr>
          <w:p>
            <w:pPr>
              <w:ind w:left="100"/>
              <w:spacing w:after="0" w:line="163" w:lineRule="exact"/>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(123)</w:t>
            </w:r>
          </w:p>
        </w:tc>
        <w:tc>
          <w:tcPr>
            <w:tcW w:w="2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20</w:t>
            </w:r>
          </w:p>
        </w:tc>
        <w:tc>
          <w:tcPr>
            <w:tcW w:w="0" w:type="dxa"/>
            <w:vAlign w:val="bottom"/>
          </w:tcPr>
          <w:p>
            <w:pPr>
              <w:spacing w:after="0"/>
              <w:rPr>
                <w:sz w:val="1"/>
                <w:szCs w:val="1"/>
                <w:color w:val="auto"/>
              </w:rPr>
            </w:pPr>
          </w:p>
        </w:tc>
      </w:tr>
      <w:tr>
        <w:trPr>
          <w:trHeight w:val="199"/>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Indefinite life intangible assets: </w:t>
            </w:r>
            <w:r>
              <w:rPr>
                <w:rFonts w:ascii="Arial" w:cs="Arial" w:eastAsia="Arial" w:hAnsi="Arial"/>
                <w:sz w:val="8"/>
                <w:szCs w:val="8"/>
                <w:color w:val="auto"/>
              </w:rPr>
              <w:t>(1)</w:t>
            </w: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780" w:type="dxa"/>
            <w:vAlign w:val="bottom"/>
          </w:tcPr>
          <w:p>
            <w:pPr>
              <w:ind w:left="320"/>
              <w:spacing w:after="0"/>
              <w:rPr>
                <w:sz w:val="20"/>
                <w:szCs w:val="20"/>
                <w:color w:val="auto"/>
              </w:rPr>
            </w:pPr>
            <w:r>
              <w:rPr>
                <w:rFonts w:ascii="Arial" w:cs="Arial" w:eastAsia="Arial" w:hAnsi="Arial"/>
                <w:sz w:val="15"/>
                <w:szCs w:val="15"/>
                <w:color w:val="auto"/>
              </w:rPr>
              <w:t>Runners Point Group trademarks /</w:t>
            </w: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480" w:type="dxa"/>
            <w:vAlign w:val="bottom"/>
            <w:vMerge w:val="restart"/>
          </w:tcPr>
          <w:p>
            <w:pPr>
              <w:jc w:val="right"/>
              <w:ind w:right="3"/>
              <w:spacing w:after="0"/>
              <w:rPr>
                <w:sz w:val="20"/>
                <w:szCs w:val="20"/>
                <w:color w:val="auto"/>
              </w:rPr>
            </w:pPr>
            <w:r>
              <w:rPr>
                <w:rFonts w:ascii="Arial" w:cs="Arial" w:eastAsia="Arial" w:hAnsi="Arial"/>
                <w:sz w:val="15"/>
                <w:szCs w:val="15"/>
                <w:b w:val="1"/>
                <w:bCs w:val="1"/>
                <w:color w:val="auto"/>
              </w:rPr>
              <w:t>25</w:t>
            </w: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78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trade names</w:t>
            </w:r>
          </w:p>
        </w:tc>
        <w:tc>
          <w:tcPr>
            <w:tcW w:w="28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vMerge w:val="continue"/>
          </w:tcPr>
          <w:p>
            <w:pPr>
              <w:spacing w:after="0"/>
              <w:rPr>
                <w:sz w:val="15"/>
                <w:szCs w:val="15"/>
                <w:color w:val="auto"/>
              </w:rPr>
            </w:pPr>
          </w:p>
        </w:tc>
        <w:tc>
          <w:tcPr>
            <w:tcW w:w="480" w:type="dxa"/>
            <w:vAlign w:val="bottom"/>
            <w:tcBorders>
              <w:bottom w:val="single" w:sz="8" w:color="auto"/>
            </w:tcBorders>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23</w:t>
            </w:r>
          </w:p>
        </w:tc>
        <w:tc>
          <w:tcPr>
            <w:tcW w:w="26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w:t>
            </w:r>
          </w:p>
        </w:tc>
        <w:tc>
          <w:tcPr>
            <w:tcW w:w="0" w:type="dxa"/>
            <w:vAlign w:val="bottom"/>
          </w:tcPr>
          <w:p>
            <w:pPr>
              <w:spacing w:after="0"/>
              <w:rPr>
                <w:sz w:val="1"/>
                <w:szCs w:val="1"/>
                <w:color w:val="auto"/>
              </w:rPr>
            </w:pPr>
          </w:p>
        </w:tc>
      </w:tr>
      <w:tr>
        <w:trPr>
          <w:trHeight w:val="167"/>
        </w:trPr>
        <w:tc>
          <w:tcPr>
            <w:tcW w:w="278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Other intangible assets, net</w:t>
            </w:r>
          </w:p>
        </w:tc>
        <w:tc>
          <w:tcPr>
            <w:tcW w:w="28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480" w:type="dxa"/>
            <w:vAlign w:val="bottom"/>
            <w:tcBorders>
              <w:bottom w:val="single" w:sz="8" w:color="auto"/>
            </w:tcBorders>
            <w:shd w:val="clear" w:color="auto" w:fill="CCEEFF"/>
          </w:tcPr>
          <w:p>
            <w:pPr>
              <w:jc w:val="right"/>
              <w:ind w:right="3"/>
              <w:spacing w:after="0" w:line="163" w:lineRule="exact"/>
              <w:rPr>
                <w:sz w:val="20"/>
                <w:szCs w:val="20"/>
                <w:color w:val="auto"/>
              </w:rPr>
            </w:pPr>
            <w:r>
              <w:rPr>
                <w:rFonts w:ascii="Arial" w:cs="Arial" w:eastAsia="Arial" w:hAnsi="Arial"/>
                <w:sz w:val="15"/>
                <w:szCs w:val="15"/>
                <w:b w:val="1"/>
                <w:bCs w:val="1"/>
                <w:color w:val="auto"/>
              </w:rPr>
              <w:t>45</w:t>
            </w:r>
          </w:p>
        </w:tc>
        <w:tc>
          <w:tcPr>
            <w:tcW w:w="2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00" w:type="dxa"/>
            <w:vAlign w:val="bottom"/>
            <w:tcBorders>
              <w:bottom w:val="single" w:sz="8" w:color="auto"/>
            </w:tcBorders>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shd w:val="clear" w:color="auto" w:fill="CCEEFF"/>
          </w:tcPr>
          <w:p>
            <w:pPr>
              <w:jc w:val="right"/>
              <w:ind w:right="23"/>
              <w:spacing w:after="0" w:line="163" w:lineRule="exact"/>
              <w:rPr>
                <w:sz w:val="20"/>
                <w:szCs w:val="20"/>
                <w:color w:val="auto"/>
              </w:rPr>
            </w:pPr>
            <w:r>
              <w:rPr>
                <w:rFonts w:ascii="Arial" w:cs="Arial" w:eastAsia="Arial" w:hAnsi="Arial"/>
                <w:sz w:val="15"/>
                <w:szCs w:val="15"/>
                <w:color w:val="auto"/>
              </w:rPr>
              <w:t>43</w:t>
            </w:r>
          </w:p>
        </w:tc>
        <w:tc>
          <w:tcPr>
            <w:tcW w:w="2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rPr>
                <w:sz w:val="14"/>
                <w:szCs w:val="14"/>
                <w:color w:val="auto"/>
              </w:rPr>
            </w:pPr>
          </w:p>
        </w:tc>
        <w:tc>
          <w:tcPr>
            <w:tcW w:w="280" w:type="dxa"/>
            <w:vAlign w:val="bottom"/>
            <w:tcBorders>
              <w:bottom w:val="single" w:sz="8" w:color="auto"/>
            </w:tcBorders>
            <w:shd w:val="clear" w:color="auto" w:fill="CCEEFF"/>
          </w:tcPr>
          <w:p>
            <w:pPr>
              <w:spacing w:after="0"/>
              <w:rPr>
                <w:sz w:val="14"/>
                <w:szCs w:val="14"/>
                <w:color w:val="auto"/>
              </w:rPr>
            </w:pPr>
          </w:p>
        </w:tc>
        <w:tc>
          <w:tcPr>
            <w:tcW w:w="480" w:type="dxa"/>
            <w:vAlign w:val="bottom"/>
            <w:tcBorders>
              <w:bottom w:val="single" w:sz="8" w:color="auto"/>
            </w:tcBorders>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4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42</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660" w:right="120" w:hanging="375"/>
        <w:spacing w:after="0" w:line="246" w:lineRule="auto"/>
        <w:tabs>
          <w:tab w:leader="none" w:pos="660" w:val="left"/>
        </w:tabs>
        <w:numPr>
          <w:ilvl w:val="0"/>
          <w:numId w:val="7"/>
        </w:numPr>
        <w:rPr>
          <w:rFonts w:ascii="Arial" w:cs="Arial" w:eastAsia="Arial" w:hAnsi="Arial"/>
          <w:sz w:val="11"/>
          <w:szCs w:val="11"/>
          <w:color w:val="auto"/>
        </w:rPr>
      </w:pPr>
      <w:r>
        <w:rPr>
          <w:rFonts w:ascii="Arial" w:cs="Arial" w:eastAsia="Arial" w:hAnsi="Arial"/>
          <w:sz w:val="12"/>
          <w:szCs w:val="12"/>
          <w:color w:val="auto"/>
        </w:rPr>
        <w:t>The change in the ending balances also reflects the effect of foreign currency fluctuations due primarily to the movements of the euro in relation to the U.S. dollar.</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0" w:name="page11"/>
    <w:bookmarkEnd w:id="10"/>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During the thirty-nine week period ended October, 28 2017, the Company recorded $2 million of lease acquisition additions, primarily related to our European businesses. These additions are being amortized over a weighted-average life of 10 years. Amortization expense recorded is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1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900" w:type="dxa"/>
            <w:vAlign w:val="bottom"/>
            <w:tcBorders>
              <w:bottom w:val="single" w:sz="8" w:color="auto"/>
            </w:tcBorders>
            <w:gridSpan w:val="3"/>
          </w:tcPr>
          <w:p>
            <w:pPr>
              <w:jc w:val="right"/>
              <w:ind w:right="823"/>
              <w:spacing w:after="0"/>
              <w:rPr>
                <w:sz w:val="20"/>
                <w:szCs w:val="20"/>
                <w:color w:val="auto"/>
              </w:rPr>
            </w:pPr>
            <w:r>
              <w:rPr>
                <w:rFonts w:ascii="Arial" w:cs="Arial" w:eastAsia="Arial" w:hAnsi="Arial"/>
                <w:sz w:val="15"/>
                <w:szCs w:val="15"/>
                <w:b w:val="1"/>
                <w:bCs w:val="1"/>
                <w:color w:val="auto"/>
              </w:rPr>
              <w:t>Thirteen weeks ended</w:t>
            </w:r>
          </w:p>
        </w:tc>
        <w:tc>
          <w:tcPr>
            <w:tcW w:w="56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gridSpan w:val="2"/>
          </w:tcPr>
          <w:p>
            <w:pPr>
              <w:jc w:val="right"/>
              <w:ind w:right="423"/>
              <w:spacing w:after="0"/>
              <w:rPr>
                <w:sz w:val="20"/>
                <w:szCs w:val="20"/>
                <w:color w:val="auto"/>
              </w:rPr>
            </w:pPr>
            <w:r>
              <w:rPr>
                <w:rFonts w:ascii="Arial" w:cs="Arial" w:eastAsia="Arial" w:hAnsi="Arial"/>
                <w:sz w:val="15"/>
                <w:szCs w:val="15"/>
                <w:b w:val="1"/>
                <w:bCs w:val="1"/>
                <w:color w:val="auto"/>
              </w:rPr>
              <w:t>Thirty-nine weeks ended</w:t>
            </w:r>
          </w:p>
        </w:tc>
        <w:tc>
          <w:tcPr>
            <w:tcW w:w="1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0"/>
        </w:trPr>
        <w:tc>
          <w:tcPr>
            <w:tcW w:w="2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60" w:type="dxa"/>
            <w:vAlign w:val="bottom"/>
          </w:tcPr>
          <w:p>
            <w:pPr>
              <w:jc w:val="center"/>
              <w:ind w:right="163"/>
              <w:spacing w:after="0" w:line="141" w:lineRule="exact"/>
              <w:rPr>
                <w:sz w:val="20"/>
                <w:szCs w:val="20"/>
                <w:color w:val="auto"/>
              </w:rPr>
            </w:pPr>
            <w:r>
              <w:rPr>
                <w:rFonts w:ascii="Arial" w:cs="Arial" w:eastAsia="Arial" w:hAnsi="Arial"/>
                <w:sz w:val="15"/>
                <w:szCs w:val="15"/>
                <w:b w:val="1"/>
                <w:bCs w:val="1"/>
                <w:color w:val="auto"/>
              </w:rPr>
              <w:t>October 28,</w:t>
            </w:r>
          </w:p>
        </w:tc>
        <w:tc>
          <w:tcPr>
            <w:tcW w:w="360" w:type="dxa"/>
            <w:vAlign w:val="bottom"/>
          </w:tcPr>
          <w:p>
            <w:pPr>
              <w:spacing w:after="0"/>
              <w:rPr>
                <w:sz w:val="12"/>
                <w:szCs w:val="12"/>
                <w:color w:val="auto"/>
              </w:rPr>
            </w:pPr>
          </w:p>
        </w:tc>
        <w:tc>
          <w:tcPr>
            <w:tcW w:w="1280" w:type="dxa"/>
            <w:vAlign w:val="bottom"/>
          </w:tcPr>
          <w:p>
            <w:pPr>
              <w:jc w:val="center"/>
              <w:ind w:right="163"/>
              <w:spacing w:after="0" w:line="141" w:lineRule="exact"/>
              <w:rPr>
                <w:sz w:val="20"/>
                <w:szCs w:val="20"/>
                <w:color w:val="auto"/>
              </w:rPr>
            </w:pPr>
            <w:r>
              <w:rPr>
                <w:rFonts w:ascii="Arial" w:cs="Arial" w:eastAsia="Arial" w:hAnsi="Arial"/>
                <w:sz w:val="15"/>
                <w:szCs w:val="15"/>
                <w:b w:val="1"/>
                <w:bCs w:val="1"/>
                <w:color w:val="auto"/>
              </w:rPr>
              <w:t>October 29,</w:t>
            </w:r>
          </w:p>
        </w:tc>
        <w:tc>
          <w:tcPr>
            <w:tcW w:w="1680" w:type="dxa"/>
            <w:vAlign w:val="bottom"/>
            <w:gridSpan w:val="2"/>
            <w:vMerge w:val="restart"/>
          </w:tcPr>
          <w:p>
            <w:pPr>
              <w:jc w:val="right"/>
              <w:ind w:right="163"/>
              <w:spacing w:after="0"/>
              <w:rPr>
                <w:sz w:val="20"/>
                <w:szCs w:val="20"/>
                <w:color w:val="auto"/>
              </w:rPr>
            </w:pPr>
            <w:r>
              <w:rPr>
                <w:rFonts w:ascii="Arial" w:cs="Arial" w:eastAsia="Arial" w:hAnsi="Arial"/>
                <w:sz w:val="15"/>
                <w:szCs w:val="15"/>
                <w:b w:val="1"/>
                <w:bCs w:val="1"/>
                <w:color w:val="auto"/>
              </w:rPr>
              <w:t>October 28, 2017</w:t>
            </w:r>
          </w:p>
        </w:tc>
        <w:tc>
          <w:tcPr>
            <w:tcW w:w="1520" w:type="dxa"/>
            <w:vAlign w:val="bottom"/>
            <w:gridSpan w:val="2"/>
            <w:vMerge w:val="restart"/>
          </w:tcPr>
          <w:p>
            <w:pPr>
              <w:ind w:left="160"/>
              <w:spacing w:after="0"/>
              <w:rPr>
                <w:sz w:val="20"/>
                <w:szCs w:val="20"/>
                <w:color w:val="auto"/>
              </w:rPr>
            </w:pPr>
            <w:r>
              <w:rPr>
                <w:rFonts w:ascii="Arial" w:cs="Arial" w:eastAsia="Arial" w:hAnsi="Arial"/>
                <w:sz w:val="15"/>
                <w:szCs w:val="15"/>
                <w:b w:val="1"/>
                <w:bCs w:val="1"/>
                <w:color w:val="auto"/>
              </w:rPr>
              <w:t>October 29, 2016</w:t>
            </w:r>
          </w:p>
        </w:tc>
        <w:tc>
          <w:tcPr>
            <w:tcW w:w="0" w:type="dxa"/>
            <w:vAlign w:val="bottom"/>
          </w:tcPr>
          <w:p>
            <w:pPr>
              <w:spacing w:after="0"/>
              <w:rPr>
                <w:sz w:val="1"/>
                <w:szCs w:val="1"/>
                <w:color w:val="auto"/>
              </w:rPr>
            </w:pPr>
          </w:p>
        </w:tc>
      </w:tr>
      <w:tr>
        <w:trPr>
          <w:trHeight w:val="118"/>
        </w:trPr>
        <w:tc>
          <w:tcPr>
            <w:tcW w:w="2160" w:type="dxa"/>
            <w:vAlign w:val="bottom"/>
            <w:vMerge w:val="restart"/>
          </w:tcPr>
          <w:p>
            <w:pPr>
              <w:spacing w:after="0"/>
              <w:rPr>
                <w:sz w:val="20"/>
                <w:szCs w:val="20"/>
                <w:color w:val="auto"/>
              </w:rPr>
            </w:pPr>
            <w:r>
              <w:rPr>
                <w:rFonts w:ascii="Arial" w:cs="Arial" w:eastAsia="Arial" w:hAnsi="Arial"/>
                <w:sz w:val="15"/>
                <w:szCs w:val="15"/>
                <w:color w:val="auto"/>
              </w:rPr>
              <w:t>($ in millions)</w:t>
            </w:r>
          </w:p>
        </w:tc>
        <w:tc>
          <w:tcPr>
            <w:tcW w:w="840" w:type="dxa"/>
            <w:vAlign w:val="bottom"/>
          </w:tcPr>
          <w:p>
            <w:pPr>
              <w:spacing w:after="0"/>
              <w:rPr>
                <w:sz w:val="10"/>
                <w:szCs w:val="10"/>
                <w:color w:val="auto"/>
              </w:rPr>
            </w:pPr>
          </w:p>
        </w:tc>
        <w:tc>
          <w:tcPr>
            <w:tcW w:w="1260" w:type="dxa"/>
            <w:vAlign w:val="bottom"/>
            <w:vMerge w:val="restart"/>
          </w:tcPr>
          <w:p>
            <w:pPr>
              <w:jc w:val="right"/>
              <w:ind w:right="503"/>
              <w:spacing w:after="0"/>
              <w:rPr>
                <w:sz w:val="20"/>
                <w:szCs w:val="20"/>
                <w:color w:val="auto"/>
              </w:rPr>
            </w:pPr>
            <w:r>
              <w:rPr>
                <w:rFonts w:ascii="Arial" w:cs="Arial" w:eastAsia="Arial" w:hAnsi="Arial"/>
                <w:sz w:val="15"/>
                <w:szCs w:val="15"/>
                <w:b w:val="1"/>
                <w:bCs w:val="1"/>
                <w:color w:val="auto"/>
              </w:rPr>
              <w:t>2017</w:t>
            </w:r>
          </w:p>
        </w:tc>
        <w:tc>
          <w:tcPr>
            <w:tcW w:w="360" w:type="dxa"/>
            <w:vAlign w:val="bottom"/>
          </w:tcPr>
          <w:p>
            <w:pPr>
              <w:spacing w:after="0"/>
              <w:rPr>
                <w:sz w:val="10"/>
                <w:szCs w:val="10"/>
                <w:color w:val="auto"/>
              </w:rPr>
            </w:pPr>
          </w:p>
        </w:tc>
        <w:tc>
          <w:tcPr>
            <w:tcW w:w="1280" w:type="dxa"/>
            <w:vAlign w:val="bottom"/>
            <w:vMerge w:val="restart"/>
          </w:tcPr>
          <w:p>
            <w:pPr>
              <w:jc w:val="right"/>
              <w:ind w:right="523"/>
              <w:spacing w:after="0"/>
              <w:rPr>
                <w:sz w:val="20"/>
                <w:szCs w:val="20"/>
                <w:color w:val="auto"/>
              </w:rPr>
            </w:pPr>
            <w:r>
              <w:rPr>
                <w:rFonts w:ascii="Arial" w:cs="Arial" w:eastAsia="Arial" w:hAnsi="Arial"/>
                <w:sz w:val="15"/>
                <w:szCs w:val="15"/>
                <w:b w:val="1"/>
                <w:bCs w:val="1"/>
                <w:color w:val="auto"/>
              </w:rPr>
              <w:t>2016</w:t>
            </w:r>
          </w:p>
        </w:tc>
        <w:tc>
          <w:tcPr>
            <w:tcW w:w="1680" w:type="dxa"/>
            <w:vAlign w:val="bottom"/>
            <w:gridSpan w:val="2"/>
            <w:vMerge w:val="continue"/>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160" w:type="dxa"/>
            <w:vAlign w:val="bottom"/>
            <w:tcBorders>
              <w:bottom w:val="single" w:sz="8" w:color="auto"/>
            </w:tcBorders>
            <w:vMerge w:val="continue"/>
          </w:tcPr>
          <w:p>
            <w:pPr>
              <w:spacing w:after="0"/>
              <w:rPr>
                <w:sz w:val="6"/>
                <w:szCs w:val="6"/>
                <w:color w:val="auto"/>
              </w:rPr>
            </w:pPr>
          </w:p>
        </w:tc>
        <w:tc>
          <w:tcPr>
            <w:tcW w:w="840" w:type="dxa"/>
            <w:vAlign w:val="bottom"/>
            <w:tcBorders>
              <w:bottom w:val="single" w:sz="8" w:color="auto"/>
            </w:tcBorders>
          </w:tcPr>
          <w:p>
            <w:pPr>
              <w:spacing w:after="0"/>
              <w:rPr>
                <w:sz w:val="6"/>
                <w:szCs w:val="6"/>
                <w:color w:val="auto"/>
              </w:rPr>
            </w:pPr>
          </w:p>
        </w:tc>
        <w:tc>
          <w:tcPr>
            <w:tcW w:w="1260" w:type="dxa"/>
            <w:vAlign w:val="bottom"/>
            <w:tcBorders>
              <w:bottom w:val="single" w:sz="8" w:color="auto"/>
            </w:tcBorders>
            <w:vMerge w:val="continue"/>
          </w:tcPr>
          <w:p>
            <w:pPr>
              <w:spacing w:after="0"/>
              <w:rPr>
                <w:sz w:val="6"/>
                <w:szCs w:val="6"/>
                <w:color w:val="auto"/>
              </w:rPr>
            </w:pPr>
          </w:p>
        </w:tc>
        <w:tc>
          <w:tcPr>
            <w:tcW w:w="360" w:type="dxa"/>
            <w:vAlign w:val="bottom"/>
            <w:tcBorders>
              <w:bottom w:val="single" w:sz="8" w:color="auto"/>
            </w:tcBorders>
          </w:tcPr>
          <w:p>
            <w:pPr>
              <w:spacing w:after="0"/>
              <w:rPr>
                <w:sz w:val="6"/>
                <w:szCs w:val="6"/>
                <w:color w:val="auto"/>
              </w:rPr>
            </w:pPr>
          </w:p>
        </w:tc>
        <w:tc>
          <w:tcPr>
            <w:tcW w:w="1280" w:type="dxa"/>
            <w:vAlign w:val="bottom"/>
            <w:tcBorders>
              <w:bottom w:val="single" w:sz="8" w:color="auto"/>
            </w:tcBorders>
            <w:vMerge w:val="continue"/>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120" w:type="dxa"/>
            <w:vAlign w:val="bottom"/>
            <w:tcBorders>
              <w:bottom w:val="single" w:sz="8" w:color="auto"/>
            </w:tcBorders>
          </w:tcPr>
          <w:p>
            <w:pPr>
              <w:spacing w:after="0"/>
              <w:rPr>
                <w:sz w:val="6"/>
                <w:szCs w:val="6"/>
                <w:color w:val="auto"/>
              </w:rPr>
            </w:pPr>
          </w:p>
        </w:tc>
        <w:tc>
          <w:tcPr>
            <w:tcW w:w="13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11"/>
        </w:trPr>
        <w:tc>
          <w:tcPr>
            <w:tcW w:w="2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Amortization expense</w:t>
            </w:r>
          </w:p>
        </w:tc>
        <w:tc>
          <w:tcPr>
            <w:tcW w:w="8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1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w:t>
            </w:r>
          </w:p>
        </w:tc>
        <w:tc>
          <w:tcPr>
            <w:tcW w:w="3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8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w:t>
            </w:r>
          </w:p>
        </w:tc>
        <w:tc>
          <w:tcPr>
            <w:tcW w:w="5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3</w:t>
            </w:r>
          </w:p>
        </w:tc>
        <w:tc>
          <w:tcPr>
            <w:tcW w:w="1360" w:type="dxa"/>
            <w:vAlign w:val="bottom"/>
            <w:tcBorders>
              <w:bottom w:val="single" w:sz="8" w:color="auto"/>
            </w:tcBorders>
            <w:shd w:val="clear" w:color="auto" w:fill="CCEEFF"/>
          </w:tcPr>
          <w:p>
            <w:pPr>
              <w:jc w:val="right"/>
              <w:ind w:right="983"/>
              <w:spacing w:after="0"/>
              <w:rPr>
                <w:sz w:val="20"/>
                <w:szCs w:val="20"/>
                <w:color w:val="auto"/>
              </w:rPr>
            </w:pPr>
            <w:r>
              <w:rPr>
                <w:rFonts w:ascii="Arial" w:cs="Arial" w:eastAsia="Arial" w:hAnsi="Arial"/>
                <w:sz w:val="15"/>
                <w:szCs w:val="15"/>
                <w:color w:val="auto"/>
              </w:rPr>
              <w: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367"/>
        </w:trPr>
        <w:tc>
          <w:tcPr>
            <w:tcW w:w="5900" w:type="dxa"/>
            <w:vAlign w:val="bottom"/>
            <w:gridSpan w:val="5"/>
          </w:tcPr>
          <w:p>
            <w:pPr>
              <w:spacing w:after="0"/>
              <w:rPr>
                <w:sz w:val="20"/>
                <w:szCs w:val="20"/>
                <w:color w:val="auto"/>
              </w:rPr>
            </w:pPr>
            <w:r>
              <w:rPr>
                <w:rFonts w:ascii="Arial" w:cs="Arial" w:eastAsia="Arial" w:hAnsi="Arial"/>
                <w:sz w:val="15"/>
                <w:szCs w:val="15"/>
                <w:color w:val="auto"/>
              </w:rPr>
              <w:t>Estimated future amortization expense for finite-life intangible assets is as follows:</w:t>
            </w:r>
          </w:p>
        </w:tc>
        <w:tc>
          <w:tcPr>
            <w:tcW w:w="5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1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440"/>
              <w:spacing w:after="0"/>
              <w:rPr>
                <w:sz w:val="20"/>
                <w:szCs w:val="20"/>
                <w:color w:val="auto"/>
              </w:rPr>
            </w:pPr>
            <w:r>
              <w:rPr>
                <w:rFonts w:ascii="Arial" w:cs="Arial" w:eastAsia="Arial" w:hAnsi="Arial"/>
                <w:sz w:val="15"/>
                <w:szCs w:val="15"/>
                <w:color w:val="auto"/>
              </w:rPr>
              <w:t>($ in millions)</w:t>
            </w:r>
          </w:p>
        </w:tc>
        <w:tc>
          <w:tcPr>
            <w:tcW w:w="1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Remainder of 2017</w:t>
            </w:r>
          </w:p>
        </w:tc>
        <w:tc>
          <w:tcPr>
            <w:tcW w:w="84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120" w:type="dxa"/>
            <w:vAlign w:val="bottom"/>
            <w:shd w:val="clear" w:color="auto" w:fill="CCEEFF"/>
          </w:tcPr>
          <w:p>
            <w:pPr>
              <w:spacing w:after="0"/>
              <w:rPr>
                <w:sz w:val="16"/>
                <w:szCs w:val="16"/>
                <w:color w:val="auto"/>
              </w:rPr>
            </w:pPr>
          </w:p>
        </w:tc>
        <w:tc>
          <w:tcPr>
            <w:tcW w:w="13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7"/>
        </w:trPr>
        <w:tc>
          <w:tcPr>
            <w:tcW w:w="2160" w:type="dxa"/>
            <w:vAlign w:val="bottom"/>
          </w:tcPr>
          <w:p>
            <w:pPr>
              <w:spacing w:after="0"/>
              <w:rPr>
                <w:sz w:val="20"/>
                <w:szCs w:val="20"/>
                <w:color w:val="auto"/>
              </w:rPr>
            </w:pPr>
            <w:r>
              <w:rPr>
                <w:rFonts w:ascii="Arial" w:cs="Arial" w:eastAsia="Arial" w:hAnsi="Arial"/>
                <w:sz w:val="15"/>
                <w:szCs w:val="15"/>
                <w:color w:val="auto"/>
              </w:rPr>
              <w:t>2018</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7"/>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2019</w:t>
            </w:r>
          </w:p>
        </w:tc>
        <w:tc>
          <w:tcPr>
            <w:tcW w:w="8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0" w:type="dxa"/>
            <w:vAlign w:val="bottom"/>
          </w:tcPr>
          <w:p>
            <w:pPr>
              <w:spacing w:after="0"/>
              <w:rPr>
                <w:sz w:val="1"/>
                <w:szCs w:val="1"/>
                <w:color w:val="auto"/>
              </w:rPr>
            </w:pPr>
          </w:p>
        </w:tc>
      </w:tr>
      <w:tr>
        <w:trPr>
          <w:trHeight w:val="207"/>
        </w:trPr>
        <w:tc>
          <w:tcPr>
            <w:tcW w:w="2160" w:type="dxa"/>
            <w:vAlign w:val="bottom"/>
          </w:tcPr>
          <w:p>
            <w:pPr>
              <w:spacing w:after="0"/>
              <w:rPr>
                <w:sz w:val="20"/>
                <w:szCs w:val="20"/>
                <w:color w:val="auto"/>
              </w:rPr>
            </w:pPr>
            <w:r>
              <w:rPr>
                <w:rFonts w:ascii="Arial" w:cs="Arial" w:eastAsia="Arial" w:hAnsi="Arial"/>
                <w:sz w:val="15"/>
                <w:szCs w:val="15"/>
                <w:color w:val="auto"/>
              </w:rPr>
              <w:t>2020</w:t>
            </w:r>
          </w:p>
        </w:tc>
        <w:tc>
          <w:tcPr>
            <w:tcW w:w="8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207"/>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2021</w:t>
            </w:r>
          </w:p>
        </w:tc>
        <w:tc>
          <w:tcPr>
            <w:tcW w:w="8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207"/>
        </w:trPr>
        <w:tc>
          <w:tcPr>
            <w:tcW w:w="2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2022</w:t>
            </w:r>
          </w:p>
        </w:tc>
        <w:tc>
          <w:tcPr>
            <w:tcW w:w="8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8. Accumulated Other Comprehensive Loss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Accumulated other comprehensive loss (“AOCL”), net of tax, is comprised of the following:</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300" w:type="dxa"/>
            <w:vAlign w:val="bottom"/>
          </w:tcPr>
          <w:p>
            <w:pPr>
              <w:spacing w:after="0"/>
              <w:rPr>
                <w:sz w:val="15"/>
                <w:szCs w:val="15"/>
                <w:color w:val="auto"/>
              </w:rPr>
            </w:pPr>
          </w:p>
        </w:tc>
        <w:tc>
          <w:tcPr>
            <w:tcW w:w="1920" w:type="dxa"/>
            <w:vAlign w:val="bottom"/>
            <w:gridSpan w:val="2"/>
          </w:tcPr>
          <w:p>
            <w:pPr>
              <w:jc w:val="right"/>
              <w:ind w:right="343"/>
              <w:spacing w:after="0"/>
              <w:rPr>
                <w:sz w:val="20"/>
                <w:szCs w:val="20"/>
                <w:color w:val="auto"/>
              </w:rPr>
            </w:pPr>
            <w:r>
              <w:rPr>
                <w:rFonts w:ascii="Arial" w:cs="Arial" w:eastAsia="Arial" w:hAnsi="Arial"/>
                <w:sz w:val="15"/>
                <w:szCs w:val="15"/>
                <w:b w:val="1"/>
                <w:bCs w:val="1"/>
                <w:color w:val="auto"/>
              </w:rPr>
              <w:t>October 28,</w:t>
            </w:r>
          </w:p>
        </w:tc>
        <w:tc>
          <w:tcPr>
            <w:tcW w:w="1540" w:type="dxa"/>
            <w:vAlign w:val="bottom"/>
            <w:gridSpan w:val="2"/>
          </w:tcPr>
          <w:p>
            <w:pPr>
              <w:jc w:val="center"/>
              <w:ind w:right="63"/>
              <w:spacing w:after="0"/>
              <w:rPr>
                <w:sz w:val="20"/>
                <w:szCs w:val="20"/>
                <w:color w:val="auto"/>
              </w:rPr>
            </w:pPr>
            <w:r>
              <w:rPr>
                <w:rFonts w:ascii="Arial" w:cs="Arial" w:eastAsia="Arial" w:hAnsi="Arial"/>
                <w:sz w:val="15"/>
                <w:szCs w:val="15"/>
                <w:b w:val="1"/>
                <w:bCs w:val="1"/>
                <w:color w:val="auto"/>
              </w:rPr>
              <w:t>October 29,</w:t>
            </w:r>
          </w:p>
        </w:tc>
        <w:tc>
          <w:tcPr>
            <w:tcW w:w="1340" w:type="dxa"/>
            <w:vAlign w:val="bottom"/>
            <w:gridSpan w:val="2"/>
          </w:tcPr>
          <w:p>
            <w:pPr>
              <w:jc w:val="right"/>
              <w:ind w:right="143"/>
              <w:spacing w:after="0"/>
              <w:rPr>
                <w:sz w:val="20"/>
                <w:szCs w:val="20"/>
                <w:color w:val="auto"/>
              </w:rPr>
            </w:pPr>
            <w:r>
              <w:rPr>
                <w:rFonts w:ascii="Arial" w:cs="Arial" w:eastAsia="Arial" w:hAnsi="Arial"/>
                <w:sz w:val="15"/>
                <w:szCs w:val="15"/>
                <w:b w:val="1"/>
                <w:bCs w:val="1"/>
                <w:color w:val="auto"/>
              </w:rPr>
              <w:t>January 28,</w:t>
            </w:r>
          </w:p>
        </w:tc>
      </w:tr>
      <w:tr>
        <w:trPr>
          <w:trHeight w:val="194"/>
        </w:trPr>
        <w:tc>
          <w:tcPr>
            <w:tcW w:w="4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83"/>
              <w:spacing w:after="0"/>
              <w:rPr>
                <w:sz w:val="20"/>
                <w:szCs w:val="20"/>
                <w:color w:val="auto"/>
              </w:rPr>
            </w:pPr>
            <w:r>
              <w:rPr>
                <w:rFonts w:ascii="Arial" w:cs="Arial" w:eastAsia="Arial" w:hAnsi="Arial"/>
                <w:sz w:val="15"/>
                <w:szCs w:val="15"/>
                <w:b w:val="1"/>
                <w:bCs w:val="1"/>
                <w:color w:val="auto"/>
              </w:rPr>
              <w:t>2017</w:t>
            </w:r>
          </w:p>
        </w:tc>
        <w:tc>
          <w:tcPr>
            <w:tcW w:w="4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483"/>
              <w:spacing w:after="0"/>
              <w:rPr>
                <w:sz w:val="20"/>
                <w:szCs w:val="20"/>
                <w:color w:val="auto"/>
              </w:rPr>
            </w:pPr>
            <w:r>
              <w:rPr>
                <w:rFonts w:ascii="Arial" w:cs="Arial" w:eastAsia="Arial" w:hAnsi="Arial"/>
                <w:sz w:val="15"/>
                <w:szCs w:val="15"/>
                <w:b w:val="1"/>
                <w:bCs w:val="1"/>
                <w:color w:val="auto"/>
              </w:rPr>
              <w:t>2016</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b w:val="1"/>
                <w:bCs w:val="1"/>
                <w:color w:val="auto"/>
              </w:rPr>
              <w:t>2017</w:t>
            </w:r>
          </w:p>
        </w:tc>
      </w:tr>
      <w:tr>
        <w:trPr>
          <w:trHeight w:val="187"/>
        </w:trPr>
        <w:tc>
          <w:tcPr>
            <w:tcW w:w="4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2"/>
          </w:tcPr>
          <w:p>
            <w:pPr>
              <w:jc w:val="center"/>
              <w:ind w:right="63"/>
              <w:spacing w:after="0"/>
              <w:rPr>
                <w:sz w:val="20"/>
                <w:szCs w:val="20"/>
                <w:color w:val="auto"/>
              </w:rPr>
            </w:pPr>
            <w:r>
              <w:rPr>
                <w:rFonts w:ascii="Arial" w:cs="Arial" w:eastAsia="Arial" w:hAnsi="Arial"/>
                <w:sz w:val="15"/>
                <w:szCs w:val="15"/>
                <w:color w:val="auto"/>
              </w:rPr>
              <w:t>($ in millions)</w:t>
            </w: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187"/>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Foreign currency translation adjustments</w:t>
            </w:r>
          </w:p>
        </w:tc>
        <w:tc>
          <w:tcPr>
            <w:tcW w:w="8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(57)</w:t>
            </w:r>
          </w:p>
        </w:tc>
        <w:tc>
          <w:tcPr>
            <w:tcW w:w="4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(116)</w:t>
            </w:r>
          </w:p>
        </w:tc>
        <w:tc>
          <w:tcPr>
            <w:tcW w:w="4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r>
      <w:tr>
        <w:trPr>
          <w:trHeight w:val="207"/>
        </w:trPr>
        <w:tc>
          <w:tcPr>
            <w:tcW w:w="4300" w:type="dxa"/>
            <w:vAlign w:val="bottom"/>
          </w:tcPr>
          <w:p>
            <w:pPr>
              <w:spacing w:after="0"/>
              <w:rPr>
                <w:sz w:val="20"/>
                <w:szCs w:val="20"/>
                <w:color w:val="auto"/>
              </w:rPr>
            </w:pPr>
            <w:r>
              <w:rPr>
                <w:rFonts w:ascii="Arial" w:cs="Arial" w:eastAsia="Arial" w:hAnsi="Arial"/>
                <w:sz w:val="15"/>
                <w:szCs w:val="15"/>
                <w:color w:val="auto"/>
              </w:rPr>
              <w:t>Cash flow hedges</w:t>
            </w:r>
          </w:p>
        </w:tc>
        <w:tc>
          <w:tcPr>
            <w:tcW w:w="800" w:type="dxa"/>
            <w:vAlign w:val="bottom"/>
          </w:tcPr>
          <w:p>
            <w:pPr>
              <w:spacing w:after="0"/>
              <w:rPr>
                <w:sz w:val="17"/>
                <w:szCs w:val="17"/>
                <w:color w:val="auto"/>
              </w:rPr>
            </w:pPr>
          </w:p>
        </w:tc>
        <w:tc>
          <w:tcPr>
            <w:tcW w:w="1120" w:type="dxa"/>
            <w:vAlign w:val="bottom"/>
          </w:tcPr>
          <w:p>
            <w:pPr>
              <w:jc w:val="right"/>
              <w:ind w:right="163"/>
              <w:spacing w:after="0"/>
              <w:rPr>
                <w:sz w:val="20"/>
                <w:szCs w:val="20"/>
                <w:color w:val="auto"/>
              </w:rPr>
            </w:pPr>
            <w:r>
              <w:rPr>
                <w:rFonts w:ascii="Arial" w:cs="Arial" w:eastAsia="Arial" w:hAnsi="Arial"/>
                <w:sz w:val="15"/>
                <w:szCs w:val="15"/>
                <w:b w:val="1"/>
                <w:bCs w:val="1"/>
                <w:color w:val="auto"/>
              </w:rPr>
              <w:t>2</w:t>
            </w:r>
          </w:p>
        </w:tc>
        <w:tc>
          <w:tcPr>
            <w:tcW w:w="400" w:type="dxa"/>
            <w:vAlign w:val="bottom"/>
          </w:tcPr>
          <w:p>
            <w:pPr>
              <w:spacing w:after="0"/>
              <w:rPr>
                <w:sz w:val="17"/>
                <w:szCs w:val="17"/>
                <w:color w:val="auto"/>
              </w:rPr>
            </w:pPr>
          </w:p>
        </w:tc>
        <w:tc>
          <w:tcPr>
            <w:tcW w:w="1140" w:type="dxa"/>
            <w:vAlign w:val="bottom"/>
          </w:tcPr>
          <w:p>
            <w:pPr>
              <w:jc w:val="right"/>
              <w:ind w:right="163"/>
              <w:spacing w:after="0"/>
              <w:rPr>
                <w:sz w:val="20"/>
                <w:szCs w:val="20"/>
                <w:color w:val="auto"/>
              </w:rPr>
            </w:pPr>
            <w:r>
              <w:rPr>
                <w:rFonts w:ascii="Arial" w:cs="Arial" w:eastAsia="Arial" w:hAnsi="Arial"/>
                <w:sz w:val="15"/>
                <w:szCs w:val="15"/>
                <w:color w:val="auto"/>
              </w:rPr>
              <w:t>6</w:t>
            </w:r>
          </w:p>
        </w:tc>
        <w:tc>
          <w:tcPr>
            <w:tcW w:w="4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1</w:t>
            </w:r>
          </w:p>
        </w:tc>
      </w:tr>
      <w:tr>
        <w:trPr>
          <w:trHeight w:val="207"/>
        </w:trPr>
        <w:tc>
          <w:tcPr>
            <w:tcW w:w="4300" w:type="dxa"/>
            <w:vAlign w:val="bottom"/>
            <w:shd w:val="clear" w:color="auto" w:fill="CCEEFF"/>
          </w:tcPr>
          <w:p>
            <w:pPr>
              <w:spacing w:after="0"/>
              <w:rPr>
                <w:sz w:val="20"/>
                <w:szCs w:val="20"/>
                <w:color w:val="auto"/>
              </w:rPr>
            </w:pPr>
            <w:r>
              <w:rPr>
                <w:rFonts w:ascii="Arial" w:cs="Arial" w:eastAsia="Arial" w:hAnsi="Arial"/>
                <w:sz w:val="15"/>
                <w:szCs w:val="15"/>
                <w:color w:val="auto"/>
              </w:rPr>
              <w:t>Unrecognized pension cost and postretirement benefit</w:t>
            </w:r>
          </w:p>
        </w:tc>
        <w:tc>
          <w:tcPr>
            <w:tcW w:w="80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(231)</w:t>
            </w:r>
          </w:p>
        </w:tc>
        <w:tc>
          <w:tcPr>
            <w:tcW w:w="400" w:type="dxa"/>
            <w:vAlign w:val="bottom"/>
            <w:shd w:val="clear" w:color="auto" w:fill="CCEEFF"/>
          </w:tcPr>
          <w:p>
            <w:pPr>
              <w:spacing w:after="0"/>
              <w:rPr>
                <w:sz w:val="17"/>
                <w:szCs w:val="17"/>
                <w:color w:val="auto"/>
              </w:rPr>
            </w:pP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(243)</w:t>
            </w:r>
          </w:p>
        </w:tc>
        <w:tc>
          <w:tcPr>
            <w:tcW w:w="4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(236)</w:t>
            </w:r>
          </w:p>
        </w:tc>
      </w:tr>
      <w:tr>
        <w:trPr>
          <w:trHeight w:val="207"/>
        </w:trPr>
        <w:tc>
          <w:tcPr>
            <w:tcW w:w="43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Unrealized loss on available-for-sale security</w:t>
            </w:r>
          </w:p>
        </w:tc>
        <w:tc>
          <w:tcPr>
            <w:tcW w:w="8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w:t>
            </w:r>
          </w:p>
        </w:tc>
        <w:tc>
          <w:tcPr>
            <w:tcW w:w="4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r>
      <w:tr>
        <w:trPr>
          <w:trHeight w:val="179"/>
        </w:trPr>
        <w:tc>
          <w:tcPr>
            <w:tcW w:w="43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12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(286)</w:t>
            </w:r>
          </w:p>
        </w:tc>
        <w:tc>
          <w:tcPr>
            <w:tcW w:w="4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(353)</w:t>
            </w:r>
          </w:p>
        </w:tc>
        <w:tc>
          <w:tcPr>
            <w:tcW w:w="4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(363)</w:t>
            </w:r>
          </w:p>
        </w:tc>
      </w:tr>
    </w:tbl>
    <w:p>
      <w:pPr>
        <w:spacing w:after="0" w:line="128" w:lineRule="exact"/>
        <w:rPr>
          <w:sz w:val="20"/>
          <w:szCs w:val="20"/>
          <w:color w:val="auto"/>
        </w:rPr>
      </w:pPr>
    </w:p>
    <w:p>
      <w:pPr>
        <w:spacing w:after="0"/>
        <w:rPr>
          <w:sz w:val="20"/>
          <w:szCs w:val="20"/>
          <w:color w:val="auto"/>
        </w:rPr>
      </w:pPr>
      <w:r>
        <w:rPr>
          <w:rFonts w:ascii="Arial" w:cs="Arial" w:eastAsia="Arial" w:hAnsi="Arial"/>
          <w:sz w:val="15"/>
          <w:szCs w:val="15"/>
          <w:color w:val="auto"/>
        </w:rPr>
        <w:t>The changes in AOCL for the thirty-nine weeks ended October 28, 2017 were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5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vMerge w:val="restart"/>
          </w:tcPr>
          <w:p>
            <w:pPr>
              <w:jc w:val="center"/>
              <w:ind w:right="243"/>
              <w:spacing w:after="0"/>
              <w:rPr>
                <w:sz w:val="20"/>
                <w:szCs w:val="20"/>
                <w:color w:val="auto"/>
              </w:rPr>
            </w:pPr>
            <w:r>
              <w:rPr>
                <w:rFonts w:ascii="Arial" w:cs="Arial" w:eastAsia="Arial" w:hAnsi="Arial"/>
                <w:sz w:val="15"/>
                <w:szCs w:val="15"/>
                <w:b w:val="1"/>
                <w:bCs w:val="1"/>
                <w:color w:val="auto"/>
              </w:rPr>
              <w:t>Foreign</w:t>
            </w: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80" w:type="dxa"/>
            <w:vAlign w:val="bottom"/>
            <w:gridSpan w:val="2"/>
          </w:tcPr>
          <w:p>
            <w:pPr>
              <w:jc w:val="center"/>
              <w:spacing w:after="0"/>
              <w:rPr>
                <w:sz w:val="20"/>
                <w:szCs w:val="20"/>
                <w:color w:val="auto"/>
              </w:rPr>
            </w:pPr>
            <w:r>
              <w:rPr>
                <w:rFonts w:ascii="Arial" w:cs="Arial" w:eastAsia="Arial" w:hAnsi="Arial"/>
                <w:sz w:val="15"/>
                <w:szCs w:val="15"/>
                <w:b w:val="1"/>
                <w:bCs w:val="1"/>
                <w:color w:val="auto"/>
              </w:rPr>
              <w:t>Items Related</w:t>
            </w:r>
          </w:p>
        </w:tc>
        <w:tc>
          <w:tcPr>
            <w:tcW w:w="1420" w:type="dxa"/>
            <w:vAlign w:val="bottom"/>
            <w:gridSpan w:val="2"/>
            <w:vMerge w:val="restart"/>
          </w:tcPr>
          <w:p>
            <w:pPr>
              <w:jc w:val="center"/>
              <w:ind w:right="3"/>
              <w:spacing w:after="0"/>
              <w:rPr>
                <w:sz w:val="20"/>
                <w:szCs w:val="20"/>
                <w:color w:val="auto"/>
              </w:rPr>
            </w:pPr>
            <w:r>
              <w:rPr>
                <w:rFonts w:ascii="Arial" w:cs="Arial" w:eastAsia="Arial" w:hAnsi="Arial"/>
                <w:sz w:val="15"/>
                <w:szCs w:val="15"/>
                <w:b w:val="1"/>
                <w:bCs w:val="1"/>
                <w:color w:val="auto"/>
              </w:rPr>
              <w:t>Unrealized Loss</w:t>
            </w: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5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9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2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020" w:type="dxa"/>
            <w:vAlign w:val="bottom"/>
          </w:tcPr>
          <w:p>
            <w:pPr>
              <w:jc w:val="center"/>
              <w:ind w:right="243"/>
              <w:spacing w:after="0"/>
              <w:rPr>
                <w:sz w:val="20"/>
                <w:szCs w:val="20"/>
                <w:color w:val="auto"/>
              </w:rPr>
            </w:pPr>
            <w:r>
              <w:rPr>
                <w:rFonts w:ascii="Arial" w:cs="Arial" w:eastAsia="Arial" w:hAnsi="Arial"/>
                <w:sz w:val="15"/>
                <w:szCs w:val="15"/>
                <w:b w:val="1"/>
                <w:bCs w:val="1"/>
                <w:color w:val="auto"/>
              </w:rPr>
              <w:t>Currency</w:t>
            </w:r>
          </w:p>
        </w:tc>
        <w:tc>
          <w:tcPr>
            <w:tcW w:w="9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80" w:type="dxa"/>
            <w:vAlign w:val="bottom"/>
            <w:gridSpan w:val="2"/>
          </w:tcPr>
          <w:p>
            <w:pPr>
              <w:jc w:val="center"/>
              <w:ind w:right="3"/>
              <w:spacing w:after="0"/>
              <w:rPr>
                <w:sz w:val="20"/>
                <w:szCs w:val="20"/>
                <w:color w:val="auto"/>
              </w:rPr>
            </w:pPr>
            <w:r>
              <w:rPr>
                <w:rFonts w:ascii="Arial" w:cs="Arial" w:eastAsia="Arial" w:hAnsi="Arial"/>
                <w:sz w:val="15"/>
                <w:szCs w:val="15"/>
                <w:b w:val="1"/>
                <w:bCs w:val="1"/>
                <w:color w:val="auto"/>
              </w:rPr>
              <w:t>to Pension and</w:t>
            </w:r>
          </w:p>
        </w:tc>
        <w:tc>
          <w:tcPr>
            <w:tcW w:w="380" w:type="dxa"/>
            <w:vAlign w:val="bottom"/>
          </w:tcPr>
          <w:p>
            <w:pPr>
              <w:spacing w:after="0"/>
              <w:rPr>
                <w:sz w:val="15"/>
                <w:szCs w:val="15"/>
                <w:color w:val="auto"/>
              </w:rPr>
            </w:pPr>
          </w:p>
        </w:tc>
        <w:tc>
          <w:tcPr>
            <w:tcW w:w="1040" w:type="dxa"/>
            <w:vAlign w:val="bottom"/>
          </w:tcPr>
          <w:p>
            <w:pPr>
              <w:jc w:val="center"/>
              <w:ind w:right="383"/>
              <w:spacing w:after="0"/>
              <w:rPr>
                <w:sz w:val="20"/>
                <w:szCs w:val="20"/>
                <w:color w:val="auto"/>
              </w:rPr>
            </w:pPr>
            <w:r>
              <w:rPr>
                <w:rFonts w:ascii="Arial" w:cs="Arial" w:eastAsia="Arial" w:hAnsi="Arial"/>
                <w:sz w:val="15"/>
                <w:szCs w:val="15"/>
                <w:b w:val="1"/>
                <w:bCs w:val="1"/>
                <w:color w:val="auto"/>
                <w:w w:val="97"/>
              </w:rPr>
              <w:t>on</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540" w:type="dxa"/>
            <w:vAlign w:val="bottom"/>
          </w:tcPr>
          <w:p>
            <w:pPr>
              <w:spacing w:after="0"/>
              <w:rPr>
                <w:sz w:val="15"/>
                <w:szCs w:val="15"/>
                <w:color w:val="auto"/>
              </w:rPr>
            </w:pPr>
          </w:p>
        </w:tc>
        <w:tc>
          <w:tcPr>
            <w:tcW w:w="1500" w:type="dxa"/>
            <w:vAlign w:val="bottom"/>
            <w:gridSpan w:val="2"/>
          </w:tcPr>
          <w:p>
            <w:pPr>
              <w:jc w:val="center"/>
              <w:ind w:left="83"/>
              <w:spacing w:after="0"/>
              <w:rPr>
                <w:sz w:val="20"/>
                <w:szCs w:val="20"/>
                <w:color w:val="auto"/>
              </w:rPr>
            </w:pPr>
            <w:r>
              <w:rPr>
                <w:rFonts w:ascii="Arial" w:cs="Arial" w:eastAsia="Arial" w:hAnsi="Arial"/>
                <w:sz w:val="15"/>
                <w:szCs w:val="15"/>
                <w:b w:val="1"/>
                <w:bCs w:val="1"/>
                <w:color w:val="auto"/>
              </w:rPr>
              <w:t>Translation</w:t>
            </w:r>
          </w:p>
        </w:tc>
        <w:tc>
          <w:tcPr>
            <w:tcW w:w="940" w:type="dxa"/>
            <w:vAlign w:val="bottom"/>
          </w:tcPr>
          <w:p>
            <w:pPr>
              <w:jc w:val="right"/>
              <w:spacing w:after="0"/>
              <w:rPr>
                <w:sz w:val="20"/>
                <w:szCs w:val="20"/>
                <w:color w:val="auto"/>
              </w:rPr>
            </w:pPr>
            <w:r>
              <w:rPr>
                <w:rFonts w:ascii="Arial" w:cs="Arial" w:eastAsia="Arial" w:hAnsi="Arial"/>
                <w:sz w:val="15"/>
                <w:szCs w:val="15"/>
                <w:b w:val="1"/>
                <w:bCs w:val="1"/>
                <w:color w:val="auto"/>
              </w:rPr>
              <w:t>Cash Flow</w:t>
            </w:r>
          </w:p>
        </w:tc>
        <w:tc>
          <w:tcPr>
            <w:tcW w:w="260" w:type="dxa"/>
            <w:vAlign w:val="bottom"/>
          </w:tcPr>
          <w:p>
            <w:pPr>
              <w:spacing w:after="0"/>
              <w:rPr>
                <w:sz w:val="15"/>
                <w:szCs w:val="15"/>
                <w:color w:val="auto"/>
              </w:rPr>
            </w:pPr>
          </w:p>
        </w:tc>
        <w:tc>
          <w:tcPr>
            <w:tcW w:w="1380" w:type="dxa"/>
            <w:vAlign w:val="bottom"/>
            <w:gridSpan w:val="2"/>
          </w:tcPr>
          <w:p>
            <w:pPr>
              <w:jc w:val="center"/>
              <w:ind w:right="3"/>
              <w:spacing w:after="0"/>
              <w:rPr>
                <w:sz w:val="20"/>
                <w:szCs w:val="20"/>
                <w:color w:val="auto"/>
              </w:rPr>
            </w:pPr>
            <w:r>
              <w:rPr>
                <w:rFonts w:ascii="Arial" w:cs="Arial" w:eastAsia="Arial" w:hAnsi="Arial"/>
                <w:sz w:val="15"/>
                <w:szCs w:val="15"/>
                <w:b w:val="1"/>
                <w:bCs w:val="1"/>
                <w:color w:val="auto"/>
              </w:rPr>
              <w:t>Postretirement</w:t>
            </w:r>
          </w:p>
        </w:tc>
        <w:tc>
          <w:tcPr>
            <w:tcW w:w="1420" w:type="dxa"/>
            <w:vAlign w:val="bottom"/>
            <w:gridSpan w:val="2"/>
          </w:tcPr>
          <w:p>
            <w:pPr>
              <w:jc w:val="center"/>
              <w:ind w:right="3"/>
              <w:spacing w:after="0"/>
              <w:rPr>
                <w:sz w:val="20"/>
                <w:szCs w:val="20"/>
                <w:color w:val="auto"/>
              </w:rPr>
            </w:pPr>
            <w:r>
              <w:rPr>
                <w:rFonts w:ascii="Arial" w:cs="Arial" w:eastAsia="Arial" w:hAnsi="Arial"/>
                <w:sz w:val="15"/>
                <w:szCs w:val="15"/>
                <w:b w:val="1"/>
                <w:bCs w:val="1"/>
                <w:color w:val="auto"/>
              </w:rPr>
              <w:t>Available-For-</w:t>
            </w: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1500" w:type="dxa"/>
            <w:vAlign w:val="bottom"/>
            <w:tcBorders>
              <w:bottom w:val="single" w:sz="8" w:color="auto"/>
            </w:tcBorders>
            <w:gridSpan w:val="2"/>
          </w:tcPr>
          <w:p>
            <w:pPr>
              <w:jc w:val="center"/>
              <w:ind w:left="83"/>
              <w:spacing w:after="0"/>
              <w:rPr>
                <w:sz w:val="20"/>
                <w:szCs w:val="20"/>
                <w:color w:val="auto"/>
              </w:rPr>
            </w:pPr>
            <w:r>
              <w:rPr>
                <w:rFonts w:ascii="Arial" w:cs="Arial" w:eastAsia="Arial" w:hAnsi="Arial"/>
                <w:sz w:val="15"/>
                <w:szCs w:val="15"/>
                <w:b w:val="1"/>
                <w:bCs w:val="1"/>
                <w:color w:val="auto"/>
              </w:rPr>
              <w:t>Adjustments</w:t>
            </w: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Hedges</w:t>
            </w:r>
          </w:p>
        </w:tc>
        <w:tc>
          <w:tcPr>
            <w:tcW w:w="26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303"/>
              <w:spacing w:after="0"/>
              <w:rPr>
                <w:sz w:val="20"/>
                <w:szCs w:val="20"/>
                <w:color w:val="auto"/>
              </w:rPr>
            </w:pPr>
            <w:r>
              <w:rPr>
                <w:rFonts w:ascii="Arial" w:cs="Arial" w:eastAsia="Arial" w:hAnsi="Arial"/>
                <w:sz w:val="15"/>
                <w:szCs w:val="15"/>
                <w:b w:val="1"/>
                <w:bCs w:val="1"/>
                <w:color w:val="auto"/>
              </w:rPr>
              <w:t>Benefits</w:t>
            </w:r>
          </w:p>
        </w:tc>
        <w:tc>
          <w:tcPr>
            <w:tcW w:w="1420" w:type="dxa"/>
            <w:vAlign w:val="bottom"/>
            <w:tcBorders>
              <w:bottom w:val="single" w:sz="8" w:color="auto"/>
            </w:tcBorders>
            <w:gridSpan w:val="2"/>
          </w:tcPr>
          <w:p>
            <w:pPr>
              <w:jc w:val="center"/>
              <w:ind w:right="23"/>
              <w:spacing w:after="0"/>
              <w:rPr>
                <w:sz w:val="20"/>
                <w:szCs w:val="20"/>
                <w:color w:val="auto"/>
              </w:rPr>
            </w:pPr>
            <w:r>
              <w:rPr>
                <w:rFonts w:ascii="Arial" w:cs="Arial" w:eastAsia="Arial" w:hAnsi="Arial"/>
                <w:sz w:val="15"/>
                <w:szCs w:val="15"/>
                <w:b w:val="1"/>
                <w:bCs w:val="1"/>
                <w:color w:val="auto"/>
              </w:rPr>
              <w:t>Sale Security</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Total</w:t>
            </w:r>
          </w:p>
        </w:tc>
        <w:tc>
          <w:tcPr>
            <w:tcW w:w="0" w:type="dxa"/>
            <w:vAlign w:val="bottom"/>
          </w:tcPr>
          <w:p>
            <w:pPr>
              <w:spacing w:after="0"/>
              <w:rPr>
                <w:sz w:val="1"/>
                <w:szCs w:val="1"/>
                <w:color w:val="auto"/>
              </w:rPr>
            </w:pPr>
          </w:p>
        </w:tc>
      </w:tr>
      <w:tr>
        <w:trPr>
          <w:trHeight w:val="187"/>
        </w:trPr>
        <w:tc>
          <w:tcPr>
            <w:tcW w:w="2540" w:type="dxa"/>
            <w:vAlign w:val="bottom"/>
            <w:shd w:val="clear" w:color="auto" w:fill="CCEEFF"/>
          </w:tcPr>
          <w:p>
            <w:pPr>
              <w:spacing w:after="0"/>
              <w:rPr>
                <w:sz w:val="20"/>
                <w:szCs w:val="20"/>
                <w:color w:val="auto"/>
              </w:rPr>
            </w:pPr>
            <w:r>
              <w:rPr>
                <w:rFonts w:ascii="Arial" w:cs="Arial" w:eastAsia="Arial" w:hAnsi="Arial"/>
                <w:sz w:val="15"/>
                <w:szCs w:val="15"/>
                <w:color w:val="auto"/>
              </w:rPr>
              <w:t>Balance as of January 28, 2017</w:t>
            </w: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(127)</w:t>
            </w:r>
          </w:p>
        </w:tc>
        <w:tc>
          <w:tcPr>
            <w:tcW w:w="940" w:type="dxa"/>
            <w:vAlign w:val="bottom"/>
            <w:shd w:val="clear" w:color="auto" w:fill="CCEEFF"/>
          </w:tcPr>
          <w:p>
            <w:pPr>
              <w:jc w:val="right"/>
              <w:ind w:right="64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center"/>
              <w:ind w:right="43"/>
              <w:spacing w:after="0"/>
              <w:rPr>
                <w:sz w:val="20"/>
                <w:szCs w:val="20"/>
                <w:color w:val="auto"/>
              </w:rPr>
            </w:pPr>
            <w:r>
              <w:rPr>
                <w:rFonts w:ascii="Arial" w:cs="Arial" w:eastAsia="Arial" w:hAnsi="Arial"/>
                <w:sz w:val="15"/>
                <w:szCs w:val="15"/>
                <w:color w:val="auto"/>
              </w:rPr>
              <w:t>1</w:t>
            </w: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8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(236)</w:t>
            </w:r>
          </w:p>
        </w:tc>
        <w:tc>
          <w:tcPr>
            <w:tcW w:w="38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w:t>
            </w:r>
          </w:p>
        </w:tc>
        <w:tc>
          <w:tcPr>
            <w:tcW w:w="2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(363)</w:t>
            </w:r>
          </w:p>
        </w:tc>
        <w:tc>
          <w:tcPr>
            <w:tcW w:w="0" w:type="dxa"/>
            <w:vAlign w:val="bottom"/>
          </w:tcPr>
          <w:p>
            <w:pPr>
              <w:spacing w:after="0"/>
              <w:rPr>
                <w:sz w:val="1"/>
                <w:szCs w:val="1"/>
                <w:color w:val="auto"/>
              </w:rPr>
            </w:pPr>
          </w:p>
        </w:tc>
      </w:tr>
      <w:tr>
        <w:trPr>
          <w:trHeight w:val="207"/>
        </w:trPr>
        <w:tc>
          <w:tcPr>
            <w:tcW w:w="2540" w:type="dxa"/>
            <w:vAlign w:val="bottom"/>
          </w:tcPr>
          <w:p>
            <w:pPr>
              <w:spacing w:after="0"/>
              <w:rPr>
                <w:sz w:val="20"/>
                <w:szCs w:val="20"/>
                <w:color w:val="auto"/>
              </w:rPr>
            </w:pPr>
            <w:r>
              <w:rPr>
                <w:rFonts w:ascii="Arial" w:cs="Arial" w:eastAsia="Arial" w:hAnsi="Arial"/>
                <w:sz w:val="15"/>
                <w:szCs w:val="15"/>
                <w:color w:val="auto"/>
              </w:rPr>
              <w:t>OCI before reclassification</w:t>
            </w:r>
          </w:p>
        </w:tc>
        <w:tc>
          <w:tcPr>
            <w:tcW w:w="480" w:type="dxa"/>
            <w:vAlign w:val="bottom"/>
          </w:tcPr>
          <w:p>
            <w:pPr>
              <w:spacing w:after="0"/>
              <w:rPr>
                <w:sz w:val="17"/>
                <w:szCs w:val="17"/>
                <w:color w:val="auto"/>
              </w:rPr>
            </w:pPr>
          </w:p>
        </w:tc>
        <w:tc>
          <w:tcPr>
            <w:tcW w:w="1020" w:type="dxa"/>
            <w:vAlign w:val="bottom"/>
          </w:tcPr>
          <w:p>
            <w:pPr>
              <w:jc w:val="right"/>
              <w:ind w:right="63"/>
              <w:spacing w:after="0"/>
              <w:rPr>
                <w:sz w:val="20"/>
                <w:szCs w:val="20"/>
                <w:color w:val="auto"/>
              </w:rPr>
            </w:pPr>
            <w:r>
              <w:rPr>
                <w:rFonts w:ascii="Arial" w:cs="Arial" w:eastAsia="Arial" w:hAnsi="Arial"/>
                <w:sz w:val="15"/>
                <w:szCs w:val="15"/>
                <w:color w:val="auto"/>
              </w:rPr>
              <w:t>70</w:t>
            </w:r>
          </w:p>
        </w:tc>
        <w:tc>
          <w:tcPr>
            <w:tcW w:w="940" w:type="dxa"/>
            <w:vAlign w:val="bottom"/>
          </w:tcPr>
          <w:p>
            <w:pPr>
              <w:spacing w:after="0"/>
              <w:rPr>
                <w:sz w:val="17"/>
                <w:szCs w:val="17"/>
                <w:color w:val="auto"/>
              </w:rPr>
            </w:pPr>
          </w:p>
        </w:tc>
        <w:tc>
          <w:tcPr>
            <w:tcW w:w="260" w:type="dxa"/>
            <w:vAlign w:val="bottom"/>
          </w:tcPr>
          <w:p>
            <w:pPr>
              <w:jc w:val="center"/>
              <w:ind w:right="43"/>
              <w:spacing w:after="0"/>
              <w:rPr>
                <w:sz w:val="20"/>
                <w:szCs w:val="20"/>
                <w:color w:val="auto"/>
              </w:rPr>
            </w:pPr>
            <w:r>
              <w:rPr>
                <w:rFonts w:ascii="Arial" w:cs="Arial" w:eastAsia="Arial" w:hAnsi="Arial"/>
                <w:sz w:val="15"/>
                <w:szCs w:val="15"/>
                <w:color w:val="auto"/>
              </w:rPr>
              <w:t>1</w:t>
            </w:r>
          </w:p>
        </w:tc>
        <w:tc>
          <w:tcPr>
            <w:tcW w:w="300" w:type="dxa"/>
            <w:vAlign w:val="bottom"/>
          </w:tcPr>
          <w:p>
            <w:pPr>
              <w:spacing w:after="0"/>
              <w:rPr>
                <w:sz w:val="17"/>
                <w:szCs w:val="17"/>
                <w:color w:val="auto"/>
              </w:rPr>
            </w:pPr>
          </w:p>
        </w:tc>
        <w:tc>
          <w:tcPr>
            <w:tcW w:w="108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380" w:type="dxa"/>
            <w:vAlign w:val="bottom"/>
          </w:tcPr>
          <w:p>
            <w:pPr>
              <w:spacing w:after="0"/>
              <w:rPr>
                <w:sz w:val="17"/>
                <w:szCs w:val="17"/>
                <w:color w:val="auto"/>
              </w:rPr>
            </w:pPr>
          </w:p>
        </w:tc>
        <w:tc>
          <w:tcPr>
            <w:tcW w:w="1040" w:type="dxa"/>
            <w:vAlign w:val="bottom"/>
          </w:tcPr>
          <w:p>
            <w:pPr>
              <w:jc w:val="right"/>
              <w:ind w:right="63"/>
              <w:spacing w:after="0"/>
              <w:rPr>
                <w:sz w:val="20"/>
                <w:szCs w:val="20"/>
                <w:color w:val="auto"/>
              </w:rPr>
            </w:pPr>
            <w:r>
              <w:rPr>
                <w:rFonts w:ascii="Arial" w:cs="Arial" w:eastAsia="Arial" w:hAnsi="Arial"/>
                <w:sz w:val="15"/>
                <w:szCs w:val="15"/>
                <w:color w:val="auto"/>
              </w:rPr>
              <w:t>1</w:t>
            </w:r>
          </w:p>
        </w:tc>
        <w:tc>
          <w:tcPr>
            <w:tcW w:w="26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Arial" w:cs="Arial" w:eastAsia="Arial" w:hAnsi="Arial"/>
                <w:sz w:val="15"/>
                <w:szCs w:val="15"/>
                <w:color w:val="auto"/>
              </w:rPr>
              <w:t>71</w:t>
            </w:r>
          </w:p>
        </w:tc>
        <w:tc>
          <w:tcPr>
            <w:tcW w:w="0" w:type="dxa"/>
            <w:vAlign w:val="bottom"/>
          </w:tcPr>
          <w:p>
            <w:pPr>
              <w:spacing w:after="0"/>
              <w:rPr>
                <w:sz w:val="1"/>
                <w:szCs w:val="1"/>
                <w:color w:val="auto"/>
              </w:rPr>
            </w:pPr>
          </w:p>
        </w:tc>
      </w:tr>
      <w:tr>
        <w:trPr>
          <w:trHeight w:val="207"/>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Reclassified from AOCL</w:t>
            </w:r>
          </w:p>
        </w:tc>
        <w:tc>
          <w:tcPr>
            <w:tcW w:w="4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4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center"/>
              <w:ind w:right="23"/>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6</w:t>
            </w:r>
          </w:p>
        </w:tc>
        <w:tc>
          <w:tcPr>
            <w:tcW w:w="38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w:t>
            </w:r>
          </w:p>
        </w:tc>
        <w:tc>
          <w:tcPr>
            <w:tcW w:w="0" w:type="dxa"/>
            <w:vAlign w:val="bottom"/>
          </w:tcPr>
          <w:p>
            <w:pPr>
              <w:spacing w:after="0"/>
              <w:rPr>
                <w:sz w:val="1"/>
                <w:szCs w:val="1"/>
                <w:color w:val="auto"/>
              </w:rPr>
            </w:pPr>
          </w:p>
        </w:tc>
      </w:tr>
      <w:tr>
        <w:trPr>
          <w:trHeight w:val="187"/>
        </w:trPr>
        <w:tc>
          <w:tcPr>
            <w:tcW w:w="25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Other comprehensive income</w:t>
            </w:r>
          </w:p>
        </w:tc>
        <w:tc>
          <w:tcPr>
            <w:tcW w:w="4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70</w:t>
            </w:r>
          </w:p>
        </w:tc>
        <w:tc>
          <w:tcPr>
            <w:tcW w:w="9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color w:val="auto"/>
              </w:rPr>
              <w:t>1</w:t>
            </w: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5</w:t>
            </w:r>
          </w:p>
        </w:tc>
        <w:tc>
          <w:tcPr>
            <w:tcW w:w="3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w:t>
            </w:r>
          </w:p>
        </w:tc>
        <w:tc>
          <w:tcPr>
            <w:tcW w:w="2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w:t>
            </w:r>
          </w:p>
        </w:tc>
        <w:tc>
          <w:tcPr>
            <w:tcW w:w="0" w:type="dxa"/>
            <w:vAlign w:val="bottom"/>
          </w:tcPr>
          <w:p>
            <w:pPr>
              <w:spacing w:after="0"/>
              <w:rPr>
                <w:sz w:val="1"/>
                <w:szCs w:val="1"/>
                <w:color w:val="auto"/>
              </w:rPr>
            </w:pPr>
          </w:p>
        </w:tc>
      </w:tr>
      <w:tr>
        <w:trPr>
          <w:trHeight w:val="179"/>
        </w:trPr>
        <w:tc>
          <w:tcPr>
            <w:tcW w:w="25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Balance as of October 28, 2017</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2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(57)</w:t>
            </w:r>
          </w:p>
        </w:tc>
        <w:tc>
          <w:tcPr>
            <w:tcW w:w="940" w:type="dxa"/>
            <w:vAlign w:val="bottom"/>
            <w:tcBorders>
              <w:bottom w:val="single" w:sz="8" w:color="auto"/>
            </w:tcBorders>
            <w:shd w:val="clear" w:color="auto" w:fill="CCEEFF"/>
          </w:tcPr>
          <w:p>
            <w:pPr>
              <w:jc w:val="right"/>
              <w:ind w:right="643"/>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shd w:val="clear" w:color="auto" w:fill="CCEEFF"/>
          </w:tcPr>
          <w:p>
            <w:pPr>
              <w:jc w:val="center"/>
              <w:ind w:right="43"/>
              <w:spacing w:after="0"/>
              <w:rPr>
                <w:sz w:val="20"/>
                <w:szCs w:val="20"/>
                <w:color w:val="auto"/>
              </w:rPr>
            </w:pPr>
            <w:r>
              <w:rPr>
                <w:rFonts w:ascii="Arial" w:cs="Arial" w:eastAsia="Arial" w:hAnsi="Arial"/>
                <w:sz w:val="15"/>
                <w:szCs w:val="15"/>
                <w:b w:val="1"/>
                <w:bCs w:val="1"/>
                <w:color w:val="auto"/>
              </w:rPr>
              <w:t>2</w:t>
            </w: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(231)</w:t>
            </w:r>
          </w:p>
        </w:tc>
        <w:tc>
          <w:tcPr>
            <w:tcW w:w="3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(286)</w:t>
            </w:r>
          </w:p>
        </w:tc>
        <w:tc>
          <w:tcPr>
            <w:tcW w:w="0" w:type="dxa"/>
            <w:vAlign w:val="bottom"/>
          </w:tcPr>
          <w:p>
            <w:pPr>
              <w:spacing w:after="0"/>
              <w:rPr>
                <w:sz w:val="1"/>
                <w:szCs w:val="1"/>
                <w:color w:val="auto"/>
              </w:rPr>
            </w:pPr>
          </w:p>
        </w:tc>
      </w:tr>
    </w:tbl>
    <w:p>
      <w:pPr>
        <w:spacing w:after="0" w:line="116" w:lineRule="exact"/>
        <w:rPr>
          <w:sz w:val="20"/>
          <w:szCs w:val="20"/>
          <w:color w:val="auto"/>
        </w:rPr>
      </w:pPr>
    </w:p>
    <w:p>
      <w:pPr>
        <w:spacing w:after="0"/>
        <w:rPr>
          <w:sz w:val="20"/>
          <w:szCs w:val="20"/>
          <w:color w:val="auto"/>
        </w:rPr>
      </w:pPr>
      <w:r>
        <w:rPr>
          <w:rFonts w:ascii="Arial" w:cs="Arial" w:eastAsia="Arial" w:hAnsi="Arial"/>
          <w:sz w:val="15"/>
          <w:szCs w:val="15"/>
          <w:color w:val="auto"/>
        </w:rPr>
        <w:t>Reclassifications from AOCL for the thirty-nine weeks ended October 28, 2017 were as follows: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160" w:type="dxa"/>
            <w:vAlign w:val="bottom"/>
          </w:tcPr>
          <w:p>
            <w:pPr>
              <w:spacing w:after="0"/>
              <w:rPr>
                <w:sz w:val="15"/>
                <w:szCs w:val="15"/>
                <w:color w:val="auto"/>
              </w:rPr>
            </w:pPr>
          </w:p>
        </w:tc>
        <w:tc>
          <w:tcPr>
            <w:tcW w:w="384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gridSpan w:val="2"/>
          </w:tcPr>
          <w:p>
            <w:pPr>
              <w:ind w:left="20"/>
              <w:spacing w:after="0"/>
              <w:rPr>
                <w:sz w:val="20"/>
                <w:szCs w:val="20"/>
                <w:color w:val="auto"/>
              </w:rPr>
            </w:pPr>
            <w:r>
              <w:rPr>
                <w:rFonts w:ascii="Arial" w:cs="Arial" w:eastAsia="Arial" w:hAnsi="Arial"/>
                <w:sz w:val="15"/>
                <w:szCs w:val="15"/>
                <w:color w:val="auto"/>
              </w:rPr>
              <w:t>in millions)</w:t>
            </w:r>
          </w:p>
        </w:tc>
      </w:tr>
      <w:tr>
        <w:trPr>
          <w:trHeight w:val="187"/>
        </w:trPr>
        <w:tc>
          <w:tcPr>
            <w:tcW w:w="4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rPr>
              <w:t>Amortization of actuarial (gain) loss:</w:t>
            </w:r>
          </w:p>
        </w:tc>
        <w:tc>
          <w:tcPr>
            <w:tcW w:w="38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4160" w:type="dxa"/>
            <w:vAlign w:val="bottom"/>
          </w:tcPr>
          <w:p>
            <w:pPr>
              <w:ind w:left="180"/>
              <w:spacing w:after="0"/>
              <w:rPr>
                <w:sz w:val="20"/>
                <w:szCs w:val="20"/>
                <w:color w:val="auto"/>
              </w:rPr>
            </w:pPr>
            <w:r>
              <w:rPr>
                <w:rFonts w:ascii="Arial" w:cs="Arial" w:eastAsia="Arial" w:hAnsi="Arial"/>
                <w:sz w:val="15"/>
                <w:szCs w:val="15"/>
                <w:color w:val="auto"/>
              </w:rPr>
              <w:t>Pension benefits- amortization of actuarial loss</w:t>
            </w:r>
          </w:p>
        </w:tc>
        <w:tc>
          <w:tcPr>
            <w:tcW w:w="3840" w:type="dxa"/>
            <w:vAlign w:val="bottom"/>
          </w:tcPr>
          <w:p>
            <w:pPr>
              <w:jc w:val="right"/>
              <w:ind w:right="403"/>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17"/>
                <w:szCs w:val="17"/>
                <w:color w:val="auto"/>
              </w:rPr>
            </w:pPr>
          </w:p>
        </w:tc>
      </w:tr>
      <w:tr>
        <w:trPr>
          <w:trHeight w:val="207"/>
        </w:trPr>
        <w:tc>
          <w:tcPr>
            <w:tcW w:w="4160" w:type="dxa"/>
            <w:vAlign w:val="bottom"/>
            <w:tcBorders>
              <w:bottom w:val="single" w:sz="8" w:color="auto"/>
            </w:tcBorders>
            <w:shd w:val="clear" w:color="auto" w:fill="CCEEFF"/>
          </w:tcPr>
          <w:p>
            <w:pPr>
              <w:ind w:left="180"/>
              <w:spacing w:after="0"/>
              <w:rPr>
                <w:sz w:val="20"/>
                <w:szCs w:val="20"/>
                <w:color w:val="auto"/>
              </w:rPr>
            </w:pPr>
            <w:r>
              <w:rPr>
                <w:rFonts w:ascii="Arial" w:cs="Arial" w:eastAsia="Arial" w:hAnsi="Arial"/>
                <w:sz w:val="15"/>
                <w:szCs w:val="15"/>
                <w:color w:val="auto"/>
              </w:rPr>
              <w:t>Postretirement benefits- amortization of actuarial gain</w:t>
            </w:r>
          </w:p>
        </w:tc>
        <w:tc>
          <w:tcPr>
            <w:tcW w:w="38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r>
      <w:tr>
        <w:trPr>
          <w:trHeight w:val="187"/>
        </w:trPr>
        <w:tc>
          <w:tcPr>
            <w:tcW w:w="4160" w:type="dxa"/>
            <w:vAlign w:val="bottom"/>
          </w:tcPr>
          <w:p>
            <w:pPr>
              <w:spacing w:after="0"/>
              <w:rPr>
                <w:sz w:val="20"/>
                <w:szCs w:val="20"/>
                <w:color w:val="auto"/>
              </w:rPr>
            </w:pPr>
            <w:r>
              <w:rPr>
                <w:rFonts w:ascii="Arial" w:cs="Arial" w:eastAsia="Arial" w:hAnsi="Arial"/>
                <w:sz w:val="15"/>
                <w:szCs w:val="15"/>
                <w:color w:val="auto"/>
              </w:rPr>
              <w:t>Net periodic benefit cost (see Note 12)</w:t>
            </w:r>
          </w:p>
        </w:tc>
        <w:tc>
          <w:tcPr>
            <w:tcW w:w="38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6"/>
                <w:szCs w:val="16"/>
                <w:color w:val="auto"/>
              </w:rPr>
            </w:pPr>
          </w:p>
        </w:tc>
      </w:tr>
      <w:tr>
        <w:trPr>
          <w:trHeight w:val="207"/>
        </w:trPr>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Income tax benefit</w:t>
            </w:r>
          </w:p>
        </w:tc>
        <w:tc>
          <w:tcPr>
            <w:tcW w:w="384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20" w:type="dxa"/>
            <w:vAlign w:val="bottom"/>
          </w:tcPr>
          <w:p>
            <w:pPr>
              <w:spacing w:after="0"/>
              <w:rPr>
                <w:sz w:val="17"/>
                <w:szCs w:val="17"/>
                <w:color w:val="auto"/>
              </w:rPr>
            </w:pPr>
          </w:p>
        </w:tc>
      </w:tr>
      <w:tr>
        <w:trPr>
          <w:trHeight w:val="179"/>
        </w:trPr>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Net of tax</w:t>
            </w:r>
          </w:p>
        </w:tc>
        <w:tc>
          <w:tcPr>
            <w:tcW w:w="3840" w:type="dxa"/>
            <w:vAlign w:val="bottom"/>
            <w:tcBorders>
              <w:bottom w:val="single" w:sz="8" w:color="auto"/>
            </w:tcBorders>
          </w:tcPr>
          <w:p>
            <w:pPr>
              <w:jc w:val="right"/>
              <w:ind w:right="403"/>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5"/>
                <w:szCs w:val="15"/>
                <w:color w:val="auto"/>
              </w:rPr>
            </w:pPr>
          </w:p>
        </w:tc>
      </w:tr>
      <w:tr>
        <w:trPr>
          <w:trHeight w:val="581"/>
        </w:trPr>
        <w:tc>
          <w:tcPr>
            <w:tcW w:w="4160" w:type="dxa"/>
            <w:vAlign w:val="bottom"/>
          </w:tcPr>
          <w:p>
            <w:pPr>
              <w:spacing w:after="0"/>
              <w:rPr>
                <w:sz w:val="24"/>
                <w:szCs w:val="24"/>
                <w:color w:val="auto"/>
              </w:rPr>
            </w:pPr>
          </w:p>
        </w:tc>
        <w:tc>
          <w:tcPr>
            <w:tcW w:w="3840" w:type="dxa"/>
            <w:vAlign w:val="bottom"/>
          </w:tcPr>
          <w:p>
            <w:pPr>
              <w:jc w:val="right"/>
              <w:ind w:right="3323"/>
              <w:spacing w:after="0"/>
              <w:rPr>
                <w:sz w:val="20"/>
                <w:szCs w:val="20"/>
                <w:color w:val="auto"/>
              </w:rPr>
            </w:pPr>
            <w:r>
              <w:rPr>
                <w:rFonts w:ascii="Arial" w:cs="Arial" w:eastAsia="Arial" w:hAnsi="Arial"/>
                <w:sz w:val="15"/>
                <w:szCs w:val="15"/>
                <w:color w:val="auto"/>
              </w:rPr>
              <w:t>9</w:t>
            </w: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4160" w:type="dxa"/>
            <w:vAlign w:val="bottom"/>
            <w:tcBorders>
              <w:bottom w:val="single" w:sz="8" w:color="9A9A9A"/>
            </w:tcBorders>
          </w:tcPr>
          <w:p>
            <w:pPr>
              <w:spacing w:after="0"/>
              <w:rPr>
                <w:sz w:val="7"/>
                <w:szCs w:val="7"/>
                <w:color w:val="auto"/>
              </w:rPr>
            </w:pPr>
          </w:p>
        </w:tc>
        <w:tc>
          <w:tcPr>
            <w:tcW w:w="384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4160" w:type="dxa"/>
            <w:vAlign w:val="bottom"/>
            <w:tcBorders>
              <w:bottom w:val="single" w:sz="8" w:color="EEEEEE"/>
            </w:tcBorders>
          </w:tcPr>
          <w:p>
            <w:pPr>
              <w:spacing w:after="0" w:line="20" w:lineRule="exact"/>
              <w:rPr>
                <w:sz w:val="1"/>
                <w:szCs w:val="1"/>
                <w:color w:val="auto"/>
              </w:rPr>
            </w:pPr>
          </w:p>
        </w:tc>
        <w:tc>
          <w:tcPr>
            <w:tcW w:w="3840" w:type="dxa"/>
            <w:vAlign w:val="bottom"/>
            <w:tcBorders>
              <w:bottom w:val="single" w:sz="8" w:color="EEEEEE"/>
            </w:tcBorders>
          </w:tcPr>
          <w:p>
            <w:pPr>
              <w:spacing w:after="0" w:line="20" w:lineRule="exact"/>
              <w:rPr>
                <w:sz w:val="1"/>
                <w:szCs w:val="1"/>
                <w:color w:val="auto"/>
              </w:rPr>
            </w:pPr>
          </w:p>
        </w:tc>
        <w:tc>
          <w:tcPr>
            <w:tcW w:w="110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1" w:name="page12"/>
    <w:bookmarkEnd w:id="11"/>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9. Financial Instruments</w:t>
      </w:r>
    </w:p>
    <w:p>
      <w:pPr>
        <w:spacing w:after="0" w:line="150"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The Company operates internationally and utilizes certain derivative financial instruments to mitigate its foreign currency exposures, primarily related to third-party and intercompany forecasted transactions. As a result of the use of derivative instruments, the Company is exposed to the risk that counterparties will fail to meet their contractual obligations. To mitigate this counterparty credit risk, the Company has a practice of entering into contracts only with major financial institutions selected based upon their credit ratings and other financial factors. The Company monitors the creditworthiness of counterparties throughout the duration of the derivative instrument. Additional information is contained within Note 10, </w:t>
      </w:r>
      <w:r>
        <w:rPr>
          <w:rFonts w:ascii="Arial" w:cs="Arial" w:eastAsia="Arial" w:hAnsi="Arial"/>
          <w:sz w:val="15"/>
          <w:szCs w:val="15"/>
          <w:i w:val="1"/>
          <w:iCs w:val="1"/>
          <w:color w:val="auto"/>
        </w:rPr>
        <w:t>Fair Value Measurements</w:t>
      </w:r>
      <w:r>
        <w:rPr>
          <w:rFonts w:ascii="Arial" w:cs="Arial" w:eastAsia="Arial" w:hAnsi="Arial"/>
          <w:sz w:val="15"/>
          <w:szCs w:val="15"/>
          <w:color w:val="auto"/>
        </w:rPr>
        <w:t>.</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Derivative Holdings Designated as Hedges</w:t>
      </w:r>
    </w:p>
    <w:p>
      <w:pPr>
        <w:spacing w:after="0" w:line="135"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For a derivative to qualify as a hedge at inception and throughout the hedged period, the Company formally documents the nature of the hedged items and the relationships between the hedging instruments and the hedged items, as well as its risk-management objectives, strategies for undertaking the various hedge transactions, and the methods of assessing hedge effectiveness and ineffectiveness. In addition, for hedges of forecasted transactions, the significant characteristics and expected terms of a forecasted transaction must be specifically identified, and it must be probable that each forecasted transaction would occur. If it were deemed probable that the forecasted transaction would not occur, the gain or loss on the derivative instrument would be recognized in earnings immediately. The amount of such gains or losses that were recognized in earnings during the thirty-nine weeks ended October 28, 2017 was not significant and there were no such gains or losses in the corresponding prior-year period. Derivative financial instruments qualifying for hedge accounting must maintain a specified level of effectiveness between the hedging instrument and the item being hedged, both at inception and throughout the hedged period, which management evaluates periodically.</w:t>
      </w:r>
    </w:p>
    <w:p>
      <w:pPr>
        <w:spacing w:after="0" w:line="9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The primary currencies to which the Company is exposed are the euro, British pound, Canadian dollar, and Australian dollar. For the most part, merchandise inventories are purchased by each geographic area in their respective local currency. The most significant exception to this is the United Kingdom, whose merchandise inventory purchases are denominated in euros. For option and foreign exchange forward contracts designated as cash flow hedges of the purchase of inventory, the effective portion of gains and losses is deferred as a component of AOCL and is recognized as a component of cost of sales when the related inventory is sold. The amount reclassified to cost of sales related to such contracts was not significant for any of the periods presented. The effective portion of gains or losses associated with other forward contracts is deferred as a component of AOCL until the underlying transaction is reported in earnings. The ineffective portion of gains and losses related to cash flow hedges recorded to earnings was also not significant for any of the periods presented. When using a forward contract as a hedging instrument, the Company excludes the time value of the contract from the assessment of effectiveness. At quarter-end, substantially all of the Company’s hedged forecasted transactions were less than twelve months into the future, and the Company expects the derivative-related amounts reported in AOCL to be reclassified to earnings within twelve months.</w:t>
      </w:r>
    </w:p>
    <w:p>
      <w:pPr>
        <w:spacing w:after="0" w:line="112"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The net change in the fair value of the foreign exchange derivative financial instruments designated as cash flow hedges was not significant for the thirteen weeks ended October 28, 2017 and was a $1 million gain for the thirty-nine weeks ended October 28, 2017. At October 28, 2017, a $2 million gain remained in AOCL. For the thirteen and thirty-nine weeks ended October 29, 2016, the net change in fair value was a $1 million and $4 million gain, respectively. The notional value of the foreign exchange contracts designated as hedges outstanding at October 28, 2017 was $138 million, and these contracts mature at various dates through January 2019.</w:t>
      </w:r>
    </w:p>
    <w:p>
      <w:pPr>
        <w:spacing w:after="0" w:line="26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Derivative Holdings Not Designated as Hedges</w:t>
      </w:r>
    </w:p>
    <w:p>
      <w:pPr>
        <w:spacing w:after="0" w:line="135"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The Company enters into certain derivative contracts that are not designated as hedges, such as foreign exchange forward contracts and currency option contracts. These derivative contracts are used to manage certain costs of foreign currency-denominated merchandise purchases, intercompany transactions, and the effect of fluctuating foreign exchange rates on the reporting of foreign currency-denominated earnings. Changes in the fair value of derivative holdings not designated as hedges, as well as realized gains and premiums paid, are recorded in earnings immediately within selling, general and administrative expenses or other income, depending on the type of transaction. The net change in fair value was not significant for the thirteen and thirty-nine weeks ended October 28, 2017.</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2" w:name="page13"/>
    <w:bookmarkEnd w:id="12"/>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net change in fair value resulted in income of $1 million for the thirteen weeks ended October 29, 2016, and was not significant for the thirty-nine weeks ended October 29, 2016. The notional value of the foreign exchange contracts not designated as hedges outstanding at October 28, 2017 was $2 million, and these contracts mature in November 2017.</w:t>
      </w:r>
    </w:p>
    <w:p>
      <w:pPr>
        <w:spacing w:after="0" w:line="92"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From time to time, the Company mitigates the effect of fluctuating foreign exchange rates on the reporting of foreign-currency denominated earnings by entering into currency option contracts. Changes in the fair value of these foreign currency option contracts, which are not designated as hedges, are recorded in earnings immediately within other income. The realized gains, premiums paid, and changes in the fair market value recorded were not significant for any of the periods presented. No such contracts were outstanding at October 28, 2017.</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Fair Value of Derivative Contracts</w:t>
      </w:r>
    </w:p>
    <w:p>
      <w:pPr>
        <w:spacing w:after="0" w:line="135"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The following represents the fair value of the Company’s derivative contracts. Many of the Company’s agreements allow for a netting arrangement. The following is presented on a gross basis, by type of contract:</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060" w:type="dxa"/>
            <w:vAlign w:val="bottom"/>
          </w:tcPr>
          <w:p>
            <w:pPr>
              <w:spacing w:after="0"/>
              <w:rPr>
                <w:sz w:val="15"/>
                <w:szCs w:val="15"/>
                <w:color w:val="auto"/>
              </w:rPr>
            </w:pPr>
          </w:p>
        </w:tc>
        <w:tc>
          <w:tcPr>
            <w:tcW w:w="2080" w:type="dxa"/>
            <w:vAlign w:val="bottom"/>
          </w:tcPr>
          <w:p>
            <w:pPr>
              <w:jc w:val="center"/>
              <w:ind w:left="203"/>
              <w:spacing w:after="0"/>
              <w:rPr>
                <w:sz w:val="20"/>
                <w:szCs w:val="20"/>
                <w:color w:val="auto"/>
              </w:rPr>
            </w:pPr>
            <w:r>
              <w:rPr>
                <w:rFonts w:ascii="Arial" w:cs="Arial" w:eastAsia="Arial" w:hAnsi="Arial"/>
                <w:sz w:val="15"/>
                <w:szCs w:val="15"/>
                <w:b w:val="1"/>
                <w:bCs w:val="1"/>
                <w:color w:val="auto"/>
              </w:rPr>
              <w:t>Balance Sheet</w:t>
            </w:r>
          </w:p>
        </w:tc>
        <w:tc>
          <w:tcPr>
            <w:tcW w:w="1480" w:type="dxa"/>
            <w:vAlign w:val="bottom"/>
            <w:gridSpan w:val="2"/>
          </w:tcPr>
          <w:p>
            <w:pPr>
              <w:ind w:left="340"/>
              <w:spacing w:after="0"/>
              <w:rPr>
                <w:sz w:val="20"/>
                <w:szCs w:val="20"/>
                <w:color w:val="auto"/>
              </w:rPr>
            </w:pPr>
            <w:r>
              <w:rPr>
                <w:rFonts w:ascii="Arial" w:cs="Arial" w:eastAsia="Arial" w:hAnsi="Arial"/>
                <w:sz w:val="15"/>
                <w:szCs w:val="15"/>
                <w:b w:val="1"/>
                <w:bCs w:val="1"/>
                <w:color w:val="auto"/>
              </w:rPr>
              <w:t>October 28,</w:t>
            </w:r>
          </w:p>
        </w:tc>
        <w:tc>
          <w:tcPr>
            <w:tcW w:w="1320" w:type="dxa"/>
            <w:vAlign w:val="bottom"/>
            <w:gridSpan w:val="2"/>
          </w:tcPr>
          <w:p>
            <w:pPr>
              <w:jc w:val="center"/>
              <w:ind w:right="23"/>
              <w:spacing w:after="0"/>
              <w:rPr>
                <w:sz w:val="20"/>
                <w:szCs w:val="20"/>
                <w:color w:val="auto"/>
              </w:rPr>
            </w:pPr>
            <w:r>
              <w:rPr>
                <w:rFonts w:ascii="Arial" w:cs="Arial" w:eastAsia="Arial" w:hAnsi="Arial"/>
                <w:sz w:val="15"/>
                <w:szCs w:val="15"/>
                <w:b w:val="1"/>
                <w:bCs w:val="1"/>
                <w:color w:val="auto"/>
              </w:rPr>
              <w:t>October 29,</w:t>
            </w:r>
          </w:p>
        </w:tc>
        <w:tc>
          <w:tcPr>
            <w:tcW w:w="1160" w:type="dxa"/>
            <w:vAlign w:val="bottom"/>
            <w:gridSpan w:val="2"/>
          </w:tcPr>
          <w:p>
            <w:pPr>
              <w:jc w:val="center"/>
              <w:spacing w:after="0"/>
              <w:rPr>
                <w:sz w:val="20"/>
                <w:szCs w:val="20"/>
                <w:color w:val="auto"/>
              </w:rPr>
            </w:pPr>
            <w:r>
              <w:rPr>
                <w:rFonts w:ascii="Arial" w:cs="Arial" w:eastAsia="Arial" w:hAnsi="Arial"/>
                <w:sz w:val="15"/>
                <w:szCs w:val="15"/>
                <w:b w:val="1"/>
                <w:bCs w:val="1"/>
                <w:color w:val="auto"/>
              </w:rPr>
              <w:t>January 28,</w:t>
            </w:r>
          </w:p>
        </w:tc>
      </w:tr>
      <w:tr>
        <w:trPr>
          <w:trHeight w:val="194"/>
        </w:trPr>
        <w:tc>
          <w:tcPr>
            <w:tcW w:w="30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2080" w:type="dxa"/>
            <w:vAlign w:val="bottom"/>
            <w:tcBorders>
              <w:bottom w:val="single" w:sz="8" w:color="auto"/>
            </w:tcBorders>
          </w:tcPr>
          <w:p>
            <w:pPr>
              <w:jc w:val="center"/>
              <w:ind w:left="203"/>
              <w:spacing w:after="0"/>
              <w:rPr>
                <w:sz w:val="20"/>
                <w:szCs w:val="20"/>
                <w:color w:val="auto"/>
              </w:rPr>
            </w:pPr>
            <w:r>
              <w:rPr>
                <w:rFonts w:ascii="Arial" w:cs="Arial" w:eastAsia="Arial" w:hAnsi="Arial"/>
                <w:sz w:val="15"/>
                <w:szCs w:val="15"/>
                <w:b w:val="1"/>
                <w:bCs w:val="1"/>
                <w:color w:val="auto"/>
              </w:rPr>
              <w:t>Caption</w:t>
            </w:r>
          </w:p>
        </w:tc>
        <w:tc>
          <w:tcPr>
            <w:tcW w:w="5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2016</w:t>
            </w:r>
          </w:p>
        </w:tc>
        <w:tc>
          <w:tcPr>
            <w:tcW w:w="3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2017</w:t>
            </w:r>
          </w:p>
        </w:tc>
      </w:tr>
      <w:tr>
        <w:trPr>
          <w:trHeight w:val="187"/>
        </w:trPr>
        <w:tc>
          <w:tcPr>
            <w:tcW w:w="3060" w:type="dxa"/>
            <w:vAlign w:val="bottom"/>
            <w:shd w:val="clear" w:color="auto" w:fill="CCEEFF"/>
          </w:tcPr>
          <w:p>
            <w:pPr>
              <w:spacing w:after="0"/>
              <w:rPr>
                <w:sz w:val="20"/>
                <w:szCs w:val="20"/>
                <w:color w:val="auto"/>
              </w:rPr>
            </w:pPr>
            <w:r>
              <w:rPr>
                <w:rFonts w:ascii="Arial" w:cs="Arial" w:eastAsia="Arial" w:hAnsi="Arial"/>
                <w:sz w:val="15"/>
                <w:szCs w:val="15"/>
                <w:b w:val="1"/>
                <w:bCs w:val="1"/>
                <w:i w:val="1"/>
                <w:iCs w:val="1"/>
                <w:color w:val="auto"/>
              </w:rPr>
              <w:t>Hedging Instruments:</w:t>
            </w:r>
          </w:p>
        </w:tc>
        <w:tc>
          <w:tcPr>
            <w:tcW w:w="20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07"/>
        </w:trPr>
        <w:tc>
          <w:tcPr>
            <w:tcW w:w="3060" w:type="dxa"/>
            <w:vAlign w:val="bottom"/>
          </w:tcPr>
          <w:p>
            <w:pPr>
              <w:spacing w:after="0"/>
              <w:rPr>
                <w:sz w:val="20"/>
                <w:szCs w:val="20"/>
                <w:color w:val="auto"/>
              </w:rPr>
            </w:pPr>
            <w:r>
              <w:rPr>
                <w:rFonts w:ascii="Arial" w:cs="Arial" w:eastAsia="Arial" w:hAnsi="Arial"/>
                <w:sz w:val="15"/>
                <w:szCs w:val="15"/>
                <w:color w:val="auto"/>
              </w:rPr>
              <w:t>Foreign exchange forward contracts</w:t>
            </w:r>
          </w:p>
        </w:tc>
        <w:tc>
          <w:tcPr>
            <w:tcW w:w="2080" w:type="dxa"/>
            <w:vAlign w:val="bottom"/>
          </w:tcPr>
          <w:p>
            <w:pPr>
              <w:jc w:val="center"/>
              <w:ind w:left="203"/>
              <w:spacing w:after="0"/>
              <w:rPr>
                <w:sz w:val="20"/>
                <w:szCs w:val="20"/>
                <w:color w:val="auto"/>
              </w:rPr>
            </w:pPr>
            <w:r>
              <w:rPr>
                <w:rFonts w:ascii="Arial" w:cs="Arial" w:eastAsia="Arial" w:hAnsi="Arial"/>
                <w:sz w:val="15"/>
                <w:szCs w:val="15"/>
                <w:color w:val="auto"/>
              </w:rPr>
              <w:t>Current assets</w:t>
            </w:r>
          </w:p>
        </w:tc>
        <w:tc>
          <w:tcPr>
            <w:tcW w:w="500" w:type="dxa"/>
            <w:vAlign w:val="bottom"/>
          </w:tcPr>
          <w:p>
            <w:pPr>
              <w:ind w:left="320"/>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center"/>
              <w:ind w:left="443"/>
              <w:spacing w:after="0"/>
              <w:rPr>
                <w:sz w:val="20"/>
                <w:szCs w:val="20"/>
                <w:color w:val="auto"/>
              </w:rPr>
            </w:pPr>
            <w:r>
              <w:rPr>
                <w:rFonts w:ascii="Arial" w:cs="Arial" w:eastAsia="Arial" w:hAnsi="Arial"/>
                <w:sz w:val="15"/>
                <w:szCs w:val="15"/>
                <w:b w:val="1"/>
                <w:bCs w:val="1"/>
                <w:color w:val="auto"/>
              </w:rPr>
              <w:t>2</w:t>
            </w:r>
          </w:p>
        </w:tc>
        <w:tc>
          <w:tcPr>
            <w:tcW w:w="3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980" w:type="dxa"/>
            <w:vAlign w:val="bottom"/>
          </w:tcPr>
          <w:p>
            <w:pPr>
              <w:jc w:val="center"/>
              <w:ind w:left="423"/>
              <w:spacing w:after="0"/>
              <w:rPr>
                <w:sz w:val="20"/>
                <w:szCs w:val="20"/>
                <w:color w:val="auto"/>
              </w:rPr>
            </w:pPr>
            <w:r>
              <w:rPr>
                <w:rFonts w:ascii="Arial" w:cs="Arial" w:eastAsia="Arial" w:hAnsi="Arial"/>
                <w:sz w:val="15"/>
                <w:szCs w:val="15"/>
                <w:color w:val="auto"/>
                <w:w w:val="95"/>
              </w:rPr>
              <w:t>7</w:t>
            </w:r>
          </w:p>
        </w:tc>
        <w:tc>
          <w:tcPr>
            <w:tcW w:w="340" w:type="dxa"/>
            <w:vAlign w:val="bottom"/>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Pr>
          <w:p>
            <w:pPr>
              <w:jc w:val="center"/>
              <w:ind w:left="583"/>
              <w:spacing w:after="0"/>
              <w:rPr>
                <w:sz w:val="20"/>
                <w:szCs w:val="20"/>
                <w:color w:val="auto"/>
              </w:rPr>
            </w:pPr>
            <w:r>
              <w:rPr>
                <w:rFonts w:ascii="Arial" w:cs="Arial" w:eastAsia="Arial" w:hAnsi="Arial"/>
                <w:sz w:val="15"/>
                <w:szCs w:val="15"/>
                <w:color w:val="auto"/>
                <w:w w:val="95"/>
              </w:rPr>
              <w:t>3</w:t>
            </w:r>
          </w:p>
        </w:tc>
      </w:tr>
      <w:tr>
        <w:trPr>
          <w:trHeight w:val="207"/>
        </w:trPr>
        <w:tc>
          <w:tcPr>
            <w:tcW w:w="306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forward contracts</w:t>
            </w:r>
          </w:p>
        </w:tc>
        <w:tc>
          <w:tcPr>
            <w:tcW w:w="2080" w:type="dxa"/>
            <w:vAlign w:val="bottom"/>
            <w:shd w:val="clear" w:color="auto" w:fill="CCEEFF"/>
          </w:tcPr>
          <w:p>
            <w:pPr>
              <w:jc w:val="center"/>
              <w:ind w:left="183"/>
              <w:spacing w:after="0"/>
              <w:rPr>
                <w:sz w:val="20"/>
                <w:szCs w:val="20"/>
                <w:color w:val="auto"/>
              </w:rPr>
            </w:pPr>
            <w:r>
              <w:rPr>
                <w:rFonts w:ascii="Arial" w:cs="Arial" w:eastAsia="Arial" w:hAnsi="Arial"/>
                <w:sz w:val="15"/>
                <w:szCs w:val="15"/>
                <w:color w:val="auto"/>
              </w:rPr>
              <w:t>Current liabilities</w:t>
            </w:r>
          </w:p>
        </w:tc>
        <w:tc>
          <w:tcPr>
            <w:tcW w:w="500" w:type="dxa"/>
            <w:vAlign w:val="bottom"/>
            <w:shd w:val="clear" w:color="auto" w:fill="CCEEFF"/>
          </w:tcPr>
          <w:p>
            <w:pPr>
              <w:ind w:left="320"/>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center"/>
              <w:ind w:left="443"/>
              <w:spacing w:after="0"/>
              <w:rPr>
                <w:sz w:val="20"/>
                <w:szCs w:val="20"/>
                <w:color w:val="auto"/>
              </w:rPr>
            </w:pPr>
            <w:r>
              <w:rPr>
                <w:rFonts w:ascii="Arial" w:cs="Arial" w:eastAsia="Arial" w:hAnsi="Arial"/>
                <w:sz w:val="15"/>
                <w:szCs w:val="15"/>
                <w:b w:val="1"/>
                <w:bCs w:val="1"/>
                <w:color w:val="auto"/>
              </w:rPr>
              <w:t>1</w:t>
            </w: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center"/>
              <w:ind w:left="443"/>
              <w:spacing w:after="0"/>
              <w:rPr>
                <w:sz w:val="20"/>
                <w:szCs w:val="20"/>
                <w:color w:val="auto"/>
              </w:rPr>
            </w:pPr>
            <w:r>
              <w:rPr>
                <w:rFonts w:ascii="Arial" w:cs="Arial" w:eastAsia="Arial" w:hAnsi="Arial"/>
                <w:sz w:val="15"/>
                <w:szCs w:val="15"/>
                <w:color w:val="auto"/>
                <w:w w:val="93"/>
              </w:rPr>
              <w:t>—</w:t>
            </w:r>
          </w:p>
        </w:tc>
        <w:tc>
          <w:tcPr>
            <w:tcW w:w="34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center"/>
              <w:ind w:left="583"/>
              <w:spacing w:after="0"/>
              <w:rPr>
                <w:sz w:val="20"/>
                <w:szCs w:val="20"/>
                <w:color w:val="auto"/>
              </w:rPr>
            </w:pPr>
            <w:r>
              <w:rPr>
                <w:rFonts w:ascii="Arial" w:cs="Arial" w:eastAsia="Arial" w:hAnsi="Arial"/>
                <w:sz w:val="15"/>
                <w:szCs w:val="15"/>
                <w:color w:val="auto"/>
                <w:w w:val="95"/>
              </w:rPr>
              <w:t>3</w:t>
            </w:r>
          </w:p>
        </w:tc>
      </w:tr>
      <w:tr>
        <w:trPr>
          <w:trHeight w:val="207"/>
        </w:trPr>
        <w:tc>
          <w:tcPr>
            <w:tcW w:w="3060" w:type="dxa"/>
            <w:vAlign w:val="bottom"/>
          </w:tcPr>
          <w:p>
            <w:pPr>
              <w:spacing w:after="0"/>
              <w:rPr>
                <w:sz w:val="20"/>
                <w:szCs w:val="20"/>
                <w:color w:val="auto"/>
              </w:rPr>
            </w:pPr>
            <w:r>
              <w:rPr>
                <w:rFonts w:ascii="Arial" w:cs="Arial" w:eastAsia="Arial" w:hAnsi="Arial"/>
                <w:sz w:val="15"/>
                <w:szCs w:val="15"/>
                <w:b w:val="1"/>
                <w:bCs w:val="1"/>
                <w:i w:val="1"/>
                <w:iCs w:val="1"/>
                <w:color w:val="auto"/>
              </w:rPr>
              <w:t>Non-hedging Instruments:</w:t>
            </w:r>
          </w:p>
        </w:tc>
        <w:tc>
          <w:tcPr>
            <w:tcW w:w="20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spacing w:after="0"/>
              <w:rPr>
                <w:sz w:val="17"/>
                <w:szCs w:val="17"/>
                <w:color w:val="auto"/>
              </w:rPr>
            </w:pPr>
          </w:p>
        </w:tc>
      </w:tr>
      <w:tr>
        <w:trPr>
          <w:trHeight w:val="207"/>
        </w:trPr>
        <w:tc>
          <w:tcPr>
            <w:tcW w:w="30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Foreign exchange forward contracts</w:t>
            </w:r>
          </w:p>
        </w:tc>
        <w:tc>
          <w:tcPr>
            <w:tcW w:w="2080" w:type="dxa"/>
            <w:vAlign w:val="bottom"/>
            <w:tcBorders>
              <w:bottom w:val="single" w:sz="8" w:color="auto"/>
            </w:tcBorders>
            <w:shd w:val="clear" w:color="auto" w:fill="CCEEFF"/>
          </w:tcPr>
          <w:p>
            <w:pPr>
              <w:jc w:val="center"/>
              <w:ind w:left="203"/>
              <w:spacing w:after="0"/>
              <w:rPr>
                <w:sz w:val="20"/>
                <w:szCs w:val="20"/>
                <w:color w:val="auto"/>
              </w:rPr>
            </w:pPr>
            <w:r>
              <w:rPr>
                <w:rFonts w:ascii="Arial" w:cs="Arial" w:eastAsia="Arial" w:hAnsi="Arial"/>
                <w:sz w:val="15"/>
                <w:szCs w:val="15"/>
                <w:color w:val="auto"/>
              </w:rPr>
              <w:t>Current assets</w:t>
            </w:r>
          </w:p>
        </w:tc>
        <w:tc>
          <w:tcPr>
            <w:tcW w:w="50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b w:val="1"/>
                <w:bCs w:val="1"/>
                <w:color w:val="auto"/>
              </w:rPr>
              <w:t>$</w:t>
            </w:r>
          </w:p>
        </w:tc>
        <w:tc>
          <w:tcPr>
            <w:tcW w:w="980" w:type="dxa"/>
            <w:vAlign w:val="bottom"/>
            <w:tcBorders>
              <w:bottom w:val="single" w:sz="8" w:color="auto"/>
            </w:tcBorders>
            <w:shd w:val="clear" w:color="auto" w:fill="CCEEFF"/>
          </w:tcPr>
          <w:p>
            <w:pPr>
              <w:jc w:val="center"/>
              <w:ind w:left="463"/>
              <w:spacing w:after="0"/>
              <w:rPr>
                <w:sz w:val="20"/>
                <w:szCs w:val="20"/>
                <w:color w:val="auto"/>
              </w:rPr>
            </w:pPr>
            <w:r>
              <w:rPr>
                <w:rFonts w:ascii="Arial" w:cs="Arial" w:eastAsia="Arial" w:hAnsi="Arial"/>
                <w:sz w:val="15"/>
                <w:szCs w:val="15"/>
                <w:b w:val="1"/>
                <w:bCs w:val="1"/>
                <w:color w:val="auto"/>
              </w:rPr>
              <w:t>—</w:t>
            </w:r>
          </w:p>
        </w:tc>
        <w:tc>
          <w:tcPr>
            <w:tcW w:w="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shd w:val="clear" w:color="auto" w:fill="CCEEFF"/>
          </w:tcPr>
          <w:p>
            <w:pPr>
              <w:jc w:val="center"/>
              <w:ind w:left="423"/>
              <w:spacing w:after="0"/>
              <w:rPr>
                <w:sz w:val="20"/>
                <w:szCs w:val="20"/>
                <w:color w:val="auto"/>
              </w:rPr>
            </w:pPr>
            <w:r>
              <w:rPr>
                <w:rFonts w:ascii="Arial" w:cs="Arial" w:eastAsia="Arial" w:hAnsi="Arial"/>
                <w:sz w:val="15"/>
                <w:szCs w:val="15"/>
                <w:color w:val="auto"/>
                <w:w w:val="95"/>
              </w:rPr>
              <w:t>1</w:t>
            </w:r>
          </w:p>
        </w:tc>
        <w:tc>
          <w:tcPr>
            <w:tcW w:w="3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820" w:type="dxa"/>
            <w:vAlign w:val="bottom"/>
            <w:tcBorders>
              <w:bottom w:val="single" w:sz="8" w:color="auto"/>
            </w:tcBorders>
            <w:shd w:val="clear" w:color="auto" w:fill="CCEEFF"/>
          </w:tcPr>
          <w:p>
            <w:pPr>
              <w:jc w:val="center"/>
              <w:ind w:left="583"/>
              <w:spacing w:after="0"/>
              <w:rPr>
                <w:sz w:val="20"/>
                <w:szCs w:val="20"/>
                <w:color w:val="auto"/>
              </w:rPr>
            </w:pPr>
            <w:r>
              <w:rPr>
                <w:rFonts w:ascii="Arial" w:cs="Arial" w:eastAsia="Arial" w:hAnsi="Arial"/>
                <w:sz w:val="15"/>
                <w:szCs w:val="15"/>
                <w:color w:val="auto"/>
              </w:rPr>
              <w:t>—</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10. Fair Value Measurements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 Company’s financial assets recorded at fair value are categorized as follows:</w:t>
      </w:r>
    </w:p>
    <w:p>
      <w:pPr>
        <w:spacing w:after="0" w:line="162" w:lineRule="exact"/>
        <w:rPr>
          <w:sz w:val="20"/>
          <w:szCs w:val="20"/>
          <w:color w:val="auto"/>
        </w:rPr>
      </w:pPr>
    </w:p>
    <w:p>
      <w:pPr>
        <w:ind w:left="180"/>
        <w:spacing w:after="0"/>
        <w:tabs>
          <w:tab w:leader="none" w:pos="1080" w:val="left"/>
        </w:tabs>
        <w:rPr>
          <w:sz w:val="20"/>
          <w:szCs w:val="20"/>
          <w:color w:val="auto"/>
        </w:rPr>
      </w:pPr>
      <w:r>
        <w:rPr>
          <w:rFonts w:ascii="Arial" w:cs="Arial" w:eastAsia="Arial" w:hAnsi="Arial"/>
          <w:sz w:val="15"/>
          <w:szCs w:val="15"/>
          <w:b w:val="1"/>
          <w:bCs w:val="1"/>
          <w:color w:val="auto"/>
        </w:rPr>
        <w:t xml:space="preserve">Level 1 </w:t>
      </w:r>
      <w:r>
        <w:rPr>
          <w:rFonts w:ascii="Arial" w:cs="Arial" w:eastAsia="Arial" w:hAnsi="Arial"/>
          <w:sz w:val="15"/>
          <w:szCs w:val="15"/>
          <w:color w:val="auto"/>
        </w:rPr>
        <w:t>–</w:t>
      </w:r>
      <w:r>
        <w:rPr>
          <w:sz w:val="20"/>
          <w:szCs w:val="20"/>
          <w:color w:val="auto"/>
        </w:rPr>
        <w:tab/>
      </w:r>
      <w:r>
        <w:rPr>
          <w:rFonts w:ascii="Arial" w:cs="Arial" w:eastAsia="Arial" w:hAnsi="Arial"/>
          <w:sz w:val="15"/>
          <w:szCs w:val="15"/>
          <w:color w:val="auto"/>
        </w:rPr>
        <w:t>Quoted prices for identical instruments in active markets.</w:t>
      </w:r>
    </w:p>
    <w:p>
      <w:pPr>
        <w:spacing w:after="0" w:line="241" w:lineRule="exact"/>
        <w:rPr>
          <w:sz w:val="20"/>
          <w:szCs w:val="20"/>
          <w:color w:val="auto"/>
        </w:rPr>
      </w:pPr>
    </w:p>
    <w:p>
      <w:pPr>
        <w:jc w:val="both"/>
        <w:ind w:left="1140" w:right="20" w:hanging="936"/>
        <w:spacing w:after="0" w:line="245" w:lineRule="auto"/>
        <w:tabs>
          <w:tab w:leader="none" w:pos="1120" w:val="left"/>
        </w:tabs>
        <w:rPr>
          <w:sz w:val="20"/>
          <w:szCs w:val="20"/>
          <w:color w:val="auto"/>
        </w:rPr>
      </w:pPr>
      <w:r>
        <w:rPr>
          <w:rFonts w:ascii="Arial" w:cs="Arial" w:eastAsia="Arial" w:hAnsi="Arial"/>
          <w:sz w:val="15"/>
          <w:szCs w:val="15"/>
          <w:b w:val="1"/>
          <w:bCs w:val="1"/>
          <w:color w:val="auto"/>
        </w:rPr>
        <w:t>Level 2 –</w:t>
      </w:r>
      <w:r>
        <w:rPr>
          <w:sz w:val="20"/>
          <w:szCs w:val="20"/>
          <w:color w:val="auto"/>
        </w:rPr>
        <w:tab/>
      </w:r>
      <w:r>
        <w:rPr>
          <w:rFonts w:ascii="Arial" w:cs="Arial" w:eastAsia="Arial" w:hAnsi="Arial"/>
          <w:sz w:val="15"/>
          <w:szCs w:val="15"/>
          <w:color w:val="auto"/>
        </w:rPr>
        <w:t>Quoted prices for similar instruments in active markets; quoted prices for identical or similar instruments in markets that are not active; and model-derived valuations in which all significant inputs or significant value-drivers are observable in active markets.</w:t>
      </w:r>
    </w:p>
    <w:p>
      <w:pPr>
        <w:spacing w:after="0" w:line="116" w:lineRule="exact"/>
        <w:rPr>
          <w:sz w:val="20"/>
          <w:szCs w:val="20"/>
          <w:color w:val="auto"/>
        </w:rPr>
      </w:pPr>
    </w:p>
    <w:p>
      <w:pPr>
        <w:ind w:left="200"/>
        <w:spacing w:after="0"/>
        <w:tabs>
          <w:tab w:leader="none" w:pos="1120" w:val="left"/>
        </w:tabs>
        <w:rPr>
          <w:sz w:val="20"/>
          <w:szCs w:val="20"/>
          <w:color w:val="auto"/>
        </w:rPr>
      </w:pPr>
      <w:r>
        <w:rPr>
          <w:rFonts w:ascii="Arial" w:cs="Arial" w:eastAsia="Arial" w:hAnsi="Arial"/>
          <w:sz w:val="15"/>
          <w:szCs w:val="15"/>
          <w:b w:val="1"/>
          <w:bCs w:val="1"/>
          <w:color w:val="auto"/>
        </w:rPr>
        <w:t>Level 3 –</w:t>
      </w:r>
      <w:r>
        <w:rPr>
          <w:sz w:val="20"/>
          <w:szCs w:val="20"/>
          <w:color w:val="auto"/>
        </w:rPr>
        <w:tab/>
      </w:r>
      <w:r>
        <w:rPr>
          <w:rFonts w:ascii="Arial" w:cs="Arial" w:eastAsia="Arial" w:hAnsi="Arial"/>
          <w:sz w:val="15"/>
          <w:szCs w:val="15"/>
          <w:color w:val="auto"/>
        </w:rPr>
        <w:t>Model-derived valuations in which one or more significant inputs or significant value-drivers are unobservable.</w:t>
      </w:r>
    </w:p>
    <w:p>
      <w:pPr>
        <w:spacing w:after="0" w:line="200" w:lineRule="exact"/>
        <w:rPr>
          <w:sz w:val="20"/>
          <w:szCs w:val="20"/>
          <w:color w:val="auto"/>
        </w:rPr>
      </w:pPr>
    </w:p>
    <w:p>
      <w:pPr>
        <w:spacing w:after="0" w:line="205" w:lineRule="exact"/>
        <w:rPr>
          <w:sz w:val="20"/>
          <w:szCs w:val="20"/>
          <w:color w:val="auto"/>
        </w:rPr>
      </w:pPr>
    </w:p>
    <w:p>
      <w:pPr>
        <w:ind w:right="20"/>
        <w:spacing w:after="0" w:line="254" w:lineRule="auto"/>
        <w:rPr>
          <w:sz w:val="20"/>
          <w:szCs w:val="20"/>
          <w:color w:val="auto"/>
        </w:rPr>
      </w:pPr>
      <w:r>
        <w:rPr>
          <w:rFonts w:ascii="Arial" w:cs="Arial" w:eastAsia="Arial" w:hAnsi="Arial"/>
          <w:sz w:val="15"/>
          <w:szCs w:val="15"/>
          <w:color w:val="auto"/>
        </w:rPr>
        <w:t>The following tables provide a summary of the Company’s recognized assets and liabilities that are measured at fair value on a recurring basis: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4"/>
          </w:tcPr>
          <w:p>
            <w:pPr>
              <w:ind w:left="60"/>
              <w:spacing w:after="0"/>
              <w:rPr>
                <w:sz w:val="20"/>
                <w:szCs w:val="20"/>
                <w:color w:val="auto"/>
              </w:rPr>
            </w:pPr>
            <w:r>
              <w:rPr>
                <w:rFonts w:ascii="Arial" w:cs="Arial" w:eastAsia="Arial" w:hAnsi="Arial"/>
                <w:sz w:val="15"/>
                <w:szCs w:val="15"/>
                <w:b w:val="1"/>
                <w:bCs w:val="1"/>
                <w:color w:val="auto"/>
              </w:rPr>
              <w:t>As of October 28, 2017</w:t>
            </w:r>
          </w:p>
        </w:tc>
        <w:tc>
          <w:tcPr>
            <w:tcW w:w="3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5"/>
                <w:szCs w:val="15"/>
                <w:b w:val="1"/>
                <w:bCs w:val="1"/>
                <w:color w:val="auto"/>
              </w:rPr>
              <w:t>As of October 29, 2016</w:t>
            </w:r>
          </w:p>
        </w:tc>
        <w:tc>
          <w:tcPr>
            <w:tcW w:w="26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4"/>
          </w:tcPr>
          <w:p>
            <w:pPr>
              <w:ind w:left="80"/>
              <w:spacing w:after="0"/>
              <w:rPr>
                <w:sz w:val="20"/>
                <w:szCs w:val="20"/>
                <w:color w:val="auto"/>
              </w:rPr>
            </w:pPr>
            <w:r>
              <w:rPr>
                <w:rFonts w:ascii="Arial" w:cs="Arial" w:eastAsia="Arial" w:hAnsi="Arial"/>
                <w:sz w:val="15"/>
                <w:szCs w:val="15"/>
                <w:b w:val="1"/>
                <w:bCs w:val="1"/>
                <w:color w:val="auto"/>
              </w:rPr>
              <w:t>As of January 28, 2017</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60" w:type="dxa"/>
            <w:vAlign w:val="bottom"/>
            <w:gridSpan w:val="4"/>
          </w:tcPr>
          <w:p>
            <w:pPr>
              <w:jc w:val="center"/>
              <w:spacing w:after="0"/>
              <w:rPr>
                <w:sz w:val="20"/>
                <w:szCs w:val="20"/>
                <w:color w:val="auto"/>
              </w:rPr>
            </w:pPr>
            <w:r>
              <w:rPr>
                <w:rFonts w:ascii="Arial" w:cs="Arial" w:eastAsia="Arial" w:hAnsi="Arial"/>
                <w:sz w:val="15"/>
                <w:szCs w:val="15"/>
                <w:color w:val="auto"/>
              </w:rPr>
              <w:t>($ in millions)</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1"/>
        </w:trPr>
        <w:tc>
          <w:tcPr>
            <w:tcW w:w="2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gridSpan w:val="2"/>
          </w:tcPr>
          <w:p>
            <w:pPr>
              <w:ind w:left="300"/>
              <w:spacing w:after="0"/>
              <w:rPr>
                <w:sz w:val="20"/>
                <w:szCs w:val="20"/>
                <w:color w:val="auto"/>
              </w:rPr>
            </w:pPr>
            <w:r>
              <w:rPr>
                <w:rFonts w:ascii="Arial" w:cs="Arial" w:eastAsia="Arial" w:hAnsi="Arial"/>
                <w:sz w:val="15"/>
                <w:szCs w:val="15"/>
                <w:b w:val="1"/>
                <w:bCs w:val="1"/>
                <w:color w:val="auto"/>
              </w:rPr>
              <w:t>Level 1</w:t>
            </w:r>
          </w:p>
        </w:tc>
        <w:tc>
          <w:tcPr>
            <w:tcW w:w="74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Level 2</w:t>
            </w:r>
          </w:p>
        </w:tc>
        <w:tc>
          <w:tcPr>
            <w:tcW w:w="80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3</w:t>
            </w:r>
          </w:p>
        </w:tc>
        <w:tc>
          <w:tcPr>
            <w:tcW w:w="70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Level 1</w:t>
            </w:r>
          </w:p>
        </w:tc>
        <w:tc>
          <w:tcPr>
            <w:tcW w:w="740" w:type="dxa"/>
            <w:vAlign w:val="bottom"/>
            <w:tcBorders>
              <w:bottom w:val="single" w:sz="8" w:color="auto"/>
            </w:tcBorders>
            <w:gridSpan w:val="2"/>
          </w:tcPr>
          <w:p>
            <w:pPr>
              <w:jc w:val="center"/>
              <w:spacing w:after="0"/>
              <w:rPr>
                <w:sz w:val="20"/>
                <w:szCs w:val="20"/>
                <w:color w:val="auto"/>
              </w:rPr>
            </w:pPr>
            <w:r>
              <w:rPr>
                <w:rFonts w:ascii="Arial" w:cs="Arial" w:eastAsia="Arial" w:hAnsi="Arial"/>
                <w:sz w:val="15"/>
                <w:szCs w:val="15"/>
                <w:b w:val="1"/>
                <w:bCs w:val="1"/>
                <w:color w:val="auto"/>
              </w:rPr>
              <w:t>Level 2</w:t>
            </w:r>
          </w:p>
        </w:tc>
        <w:tc>
          <w:tcPr>
            <w:tcW w:w="740" w:type="dxa"/>
            <w:vAlign w:val="bottom"/>
            <w:tcBorders>
              <w:bottom w:val="single" w:sz="8" w:color="auto"/>
            </w:tcBorders>
            <w:gridSpan w:val="2"/>
          </w:tcPr>
          <w:p>
            <w:pPr>
              <w:ind w:left="80"/>
              <w:spacing w:after="0"/>
              <w:rPr>
                <w:sz w:val="20"/>
                <w:szCs w:val="20"/>
                <w:color w:val="auto"/>
              </w:rPr>
            </w:pPr>
            <w:r>
              <w:rPr>
                <w:rFonts w:ascii="Arial" w:cs="Arial" w:eastAsia="Arial" w:hAnsi="Arial"/>
                <w:sz w:val="15"/>
                <w:szCs w:val="15"/>
                <w:b w:val="1"/>
                <w:bCs w:val="1"/>
                <w:color w:val="auto"/>
              </w:rPr>
              <w:t>Level 3</w:t>
            </w:r>
          </w:p>
        </w:tc>
        <w:tc>
          <w:tcPr>
            <w:tcW w:w="760" w:type="dxa"/>
            <w:vAlign w:val="bottom"/>
            <w:tcBorders>
              <w:bottom w:val="single" w:sz="8" w:color="auto"/>
            </w:tcBorders>
            <w:gridSpan w:val="2"/>
          </w:tcPr>
          <w:p>
            <w:pPr>
              <w:ind w:left="100"/>
              <w:spacing w:after="0"/>
              <w:rPr>
                <w:sz w:val="20"/>
                <w:szCs w:val="20"/>
                <w:color w:val="auto"/>
              </w:rPr>
            </w:pPr>
            <w:r>
              <w:rPr>
                <w:rFonts w:ascii="Arial" w:cs="Arial" w:eastAsia="Arial" w:hAnsi="Arial"/>
                <w:sz w:val="15"/>
                <w:szCs w:val="15"/>
                <w:b w:val="1"/>
                <w:bCs w:val="1"/>
                <w:color w:val="auto"/>
              </w:rPr>
              <w:t>Level 1</w:t>
            </w:r>
          </w:p>
        </w:tc>
        <w:tc>
          <w:tcPr>
            <w:tcW w:w="760" w:type="dxa"/>
            <w:vAlign w:val="bottom"/>
            <w:tcBorders>
              <w:bottom w:val="single" w:sz="8" w:color="auto"/>
            </w:tcBorders>
            <w:gridSpan w:val="2"/>
          </w:tcPr>
          <w:p>
            <w:pPr>
              <w:jc w:val="right"/>
              <w:ind w:right="43"/>
              <w:spacing w:after="0"/>
              <w:rPr>
                <w:sz w:val="20"/>
                <w:szCs w:val="20"/>
                <w:color w:val="auto"/>
              </w:rPr>
            </w:pPr>
            <w:r>
              <w:rPr>
                <w:rFonts w:ascii="Arial" w:cs="Arial" w:eastAsia="Arial" w:hAnsi="Arial"/>
                <w:sz w:val="15"/>
                <w:szCs w:val="15"/>
                <w:b w:val="1"/>
                <w:bCs w:val="1"/>
                <w:color w:val="auto"/>
              </w:rPr>
              <w:t>Level 2</w:t>
            </w:r>
          </w:p>
        </w:tc>
        <w:tc>
          <w:tcPr>
            <w:tcW w:w="740" w:type="dxa"/>
            <w:vAlign w:val="bottom"/>
            <w:tcBorders>
              <w:bottom w:val="single" w:sz="8" w:color="auto"/>
            </w:tcBorders>
            <w:gridSpan w:val="2"/>
          </w:tcPr>
          <w:p>
            <w:pPr>
              <w:ind w:left="120"/>
              <w:spacing w:after="0"/>
              <w:rPr>
                <w:sz w:val="20"/>
                <w:szCs w:val="20"/>
                <w:color w:val="auto"/>
              </w:rPr>
            </w:pPr>
            <w:r>
              <w:rPr>
                <w:rFonts w:ascii="Arial" w:cs="Arial" w:eastAsia="Arial" w:hAnsi="Arial"/>
                <w:sz w:val="15"/>
                <w:szCs w:val="15"/>
                <w:b w:val="1"/>
                <w:bCs w:val="1"/>
                <w:color w:val="auto"/>
              </w:rPr>
              <w:t>Level 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2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Assets</w:t>
            </w: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60" w:type="dxa"/>
            <w:vAlign w:val="bottom"/>
          </w:tcPr>
          <w:p>
            <w:pPr>
              <w:spacing w:after="0"/>
              <w:rPr>
                <w:sz w:val="20"/>
                <w:szCs w:val="20"/>
                <w:color w:val="auto"/>
              </w:rPr>
            </w:pPr>
            <w:r>
              <w:rPr>
                <w:rFonts w:ascii="Arial" w:cs="Arial" w:eastAsia="Arial" w:hAnsi="Arial"/>
                <w:sz w:val="15"/>
                <w:szCs w:val="15"/>
                <w:color w:val="auto"/>
              </w:rPr>
              <w:t>Available-for-sale securities</w:t>
            </w:r>
          </w:p>
        </w:tc>
        <w:tc>
          <w:tcPr>
            <w:tcW w:w="42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540" w:type="dxa"/>
            <w:vAlign w:val="bottom"/>
          </w:tcPr>
          <w:p>
            <w:pPr>
              <w:ind w:left="32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jc w:val="right"/>
              <w:ind w:right="143"/>
              <w:spacing w:after="0"/>
              <w:rPr>
                <w:sz w:val="20"/>
                <w:szCs w:val="20"/>
                <w:color w:val="auto"/>
              </w:rPr>
            </w:pPr>
            <w:r>
              <w:rPr>
                <w:rFonts w:ascii="Arial" w:cs="Arial" w:eastAsia="Arial" w:hAnsi="Arial"/>
                <w:sz w:val="15"/>
                <w:szCs w:val="15"/>
                <w:b w:val="1"/>
                <w:bCs w:val="1"/>
                <w:color w:val="auto"/>
              </w:rPr>
              <w:t>$</w:t>
            </w:r>
          </w:p>
        </w:tc>
        <w:tc>
          <w:tcPr>
            <w:tcW w:w="380" w:type="dxa"/>
            <w:vAlign w:val="bottom"/>
          </w:tcPr>
          <w:p>
            <w:pPr>
              <w:jc w:val="right"/>
              <w:ind w:right="23"/>
              <w:spacing w:after="0"/>
              <w:rPr>
                <w:sz w:val="20"/>
                <w:szCs w:val="20"/>
                <w:color w:val="auto"/>
              </w:rPr>
            </w:pPr>
            <w:r>
              <w:rPr>
                <w:rFonts w:ascii="Arial" w:cs="Arial" w:eastAsia="Arial" w:hAnsi="Arial"/>
                <w:sz w:val="15"/>
                <w:szCs w:val="15"/>
                <w:b w:val="1"/>
                <w:bCs w:val="1"/>
                <w:color w:val="auto"/>
              </w:rPr>
              <w:t>7</w:t>
            </w:r>
          </w:p>
        </w:tc>
        <w:tc>
          <w:tcPr>
            <w:tcW w:w="500" w:type="dxa"/>
            <w:vAlign w:val="bottom"/>
          </w:tcPr>
          <w:p>
            <w:pPr>
              <w:jc w:val="right"/>
              <w:ind w:right="263"/>
              <w:spacing w:after="0"/>
              <w:rPr>
                <w:sz w:val="20"/>
                <w:szCs w:val="20"/>
                <w:color w:val="auto"/>
              </w:rPr>
            </w:pPr>
            <w:r>
              <w:rPr>
                <w:rFonts w:ascii="Arial" w:cs="Arial" w:eastAsia="Arial" w:hAnsi="Arial"/>
                <w:sz w:val="15"/>
                <w:szCs w:val="15"/>
                <w:b w:val="1"/>
                <w:bCs w:val="1"/>
                <w:color w:val="auto"/>
              </w:rPr>
              <w:t>$</w:t>
            </w:r>
          </w:p>
        </w:tc>
        <w:tc>
          <w:tcPr>
            <w:tcW w:w="300" w:type="dxa"/>
            <w:vAlign w:val="bottom"/>
          </w:tcPr>
          <w:p>
            <w:pPr>
              <w:ind w:left="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ind w:left="20"/>
              <w:spacing w:after="0"/>
              <w:rPr>
                <w:sz w:val="20"/>
                <w:szCs w:val="20"/>
                <w:color w:val="auto"/>
              </w:rPr>
            </w:pPr>
            <w:r>
              <w:rPr>
                <w:rFonts w:ascii="Arial" w:cs="Arial" w:eastAsia="Arial" w:hAnsi="Arial"/>
                <w:sz w:val="15"/>
                <w:szCs w:val="15"/>
                <w:color w:val="auto"/>
              </w:rPr>
              <w:t>$</w:t>
            </w:r>
          </w:p>
        </w:tc>
        <w:tc>
          <w:tcPr>
            <w:tcW w:w="540" w:type="dxa"/>
            <w:vAlign w:val="bottom"/>
          </w:tcPr>
          <w:p>
            <w:pPr>
              <w:ind w:left="320"/>
              <w:spacing w:after="0"/>
              <w:rPr>
                <w:sz w:val="20"/>
                <w:szCs w:val="20"/>
                <w:color w:val="auto"/>
              </w:rPr>
            </w:pPr>
            <w:r>
              <w:rPr>
                <w:rFonts w:ascii="Arial" w:cs="Arial" w:eastAsia="Arial" w:hAnsi="Arial"/>
                <w:sz w:val="15"/>
                <w:szCs w:val="15"/>
                <w:color w:val="auto"/>
              </w:rPr>
              <w:t>—</w:t>
            </w:r>
          </w:p>
        </w:tc>
        <w:tc>
          <w:tcPr>
            <w:tcW w:w="300" w:type="dxa"/>
            <w:vAlign w:val="bottom"/>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Pr>
          <w:p>
            <w:pPr>
              <w:jc w:val="right"/>
              <w:ind w:right="23"/>
              <w:spacing w:after="0"/>
              <w:rPr>
                <w:sz w:val="20"/>
                <w:szCs w:val="20"/>
                <w:color w:val="auto"/>
              </w:rPr>
            </w:pPr>
            <w:r>
              <w:rPr>
                <w:rFonts w:ascii="Arial" w:cs="Arial" w:eastAsia="Arial" w:hAnsi="Arial"/>
                <w:sz w:val="15"/>
                <w:szCs w:val="15"/>
                <w:color w:val="auto"/>
              </w:rPr>
              <w:t>7</w:t>
            </w:r>
          </w:p>
        </w:tc>
        <w:tc>
          <w:tcPr>
            <w:tcW w:w="48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260" w:type="dxa"/>
            <w:vAlign w:val="bottom"/>
          </w:tcPr>
          <w:p>
            <w:pPr>
              <w:ind w:left="40"/>
              <w:spacing w:after="0"/>
              <w:rPr>
                <w:sz w:val="20"/>
                <w:szCs w:val="20"/>
                <w:color w:val="auto"/>
              </w:rPr>
            </w:pPr>
            <w:r>
              <w:rPr>
                <w:rFonts w:ascii="Arial" w:cs="Arial" w:eastAsia="Arial" w:hAnsi="Arial"/>
                <w:sz w:val="15"/>
                <w:szCs w:val="15"/>
                <w:color w:val="auto"/>
              </w:rPr>
              <w:t>—</w:t>
            </w:r>
          </w:p>
        </w:tc>
        <w:tc>
          <w:tcPr>
            <w:tcW w:w="22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540" w:type="dxa"/>
            <w:vAlign w:val="bottom"/>
          </w:tcPr>
          <w:p>
            <w:pPr>
              <w:ind w:left="340"/>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143"/>
              <w:spacing w:after="0"/>
              <w:rPr>
                <w:sz w:val="20"/>
                <w:szCs w:val="20"/>
                <w:color w:val="auto"/>
              </w:rPr>
            </w:pPr>
            <w:r>
              <w:rPr>
                <w:rFonts w:ascii="Arial" w:cs="Arial" w:eastAsia="Arial" w:hAnsi="Arial"/>
                <w:sz w:val="15"/>
                <w:szCs w:val="15"/>
                <w:color w:val="auto"/>
              </w:rPr>
              <w:t>$</w:t>
            </w:r>
          </w:p>
        </w:tc>
        <w:tc>
          <w:tcPr>
            <w:tcW w:w="380" w:type="dxa"/>
            <w:vAlign w:val="bottom"/>
          </w:tcPr>
          <w:p>
            <w:pPr>
              <w:jc w:val="right"/>
              <w:ind w:right="3"/>
              <w:spacing w:after="0"/>
              <w:rPr>
                <w:sz w:val="20"/>
                <w:szCs w:val="20"/>
                <w:color w:val="auto"/>
              </w:rPr>
            </w:pPr>
            <w:r>
              <w:rPr>
                <w:rFonts w:ascii="Arial" w:cs="Arial" w:eastAsia="Arial" w:hAnsi="Arial"/>
                <w:sz w:val="15"/>
                <w:szCs w:val="15"/>
                <w:color w:val="auto"/>
              </w:rPr>
              <w:t>6</w:t>
            </w:r>
          </w:p>
        </w:tc>
        <w:tc>
          <w:tcPr>
            <w:tcW w:w="520" w:type="dxa"/>
            <w:vAlign w:val="bottom"/>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160" w:type="dxa"/>
            <w:vAlign w:val="bottom"/>
            <w:shd w:val="clear" w:color="auto" w:fill="CCEEFF"/>
          </w:tcPr>
          <w:p>
            <w:pPr>
              <w:spacing w:after="0"/>
              <w:rPr>
                <w:sz w:val="20"/>
                <w:szCs w:val="20"/>
                <w:color w:val="auto"/>
              </w:rPr>
            </w:pPr>
            <w:r>
              <w:rPr>
                <w:rFonts w:ascii="Arial" w:cs="Arial" w:eastAsia="Arial" w:hAnsi="Arial"/>
                <w:sz w:val="15"/>
                <w:szCs w:val="15"/>
                <w:color w:val="auto"/>
              </w:rPr>
              <w:t>Foreign exchange forward</w:t>
            </w:r>
          </w:p>
        </w:tc>
        <w:tc>
          <w:tcPr>
            <w:tcW w:w="420" w:type="dxa"/>
            <w:vAlign w:val="bottom"/>
            <w:shd w:val="clear" w:color="auto" w:fill="CCEEFF"/>
          </w:tcPr>
          <w:p>
            <w:pPr>
              <w:spacing w:after="0"/>
              <w:rPr>
                <w:sz w:val="18"/>
                <w:szCs w:val="18"/>
                <w:color w:val="auto"/>
              </w:rPr>
            </w:pPr>
          </w:p>
        </w:tc>
        <w:tc>
          <w:tcPr>
            <w:tcW w:w="540" w:type="dxa"/>
            <w:vAlign w:val="bottom"/>
            <w:vMerge w:val="restart"/>
            <w:shd w:val="clear" w:color="auto" w:fill="CCEEFF"/>
          </w:tcPr>
          <w:p>
            <w:pPr>
              <w:ind w:left="320"/>
              <w:spacing w:after="0"/>
              <w:rPr>
                <w:sz w:val="20"/>
                <w:szCs w:val="20"/>
                <w:color w:val="auto"/>
              </w:rPr>
            </w:pPr>
            <w:r>
              <w:rPr>
                <w:rFonts w:ascii="Arial" w:cs="Arial" w:eastAsia="Arial" w:hAnsi="Arial"/>
                <w:sz w:val="15"/>
                <w:szCs w:val="15"/>
                <w:b w:val="1"/>
                <w:bCs w:val="1"/>
                <w:color w:val="auto"/>
              </w:rPr>
              <w:t>—</w:t>
            </w:r>
          </w:p>
        </w:tc>
        <w:tc>
          <w:tcPr>
            <w:tcW w:w="360" w:type="dxa"/>
            <w:vAlign w:val="bottom"/>
            <w:shd w:val="clear" w:color="auto" w:fill="CCEEFF"/>
          </w:tcPr>
          <w:p>
            <w:pPr>
              <w:spacing w:after="0"/>
              <w:rPr>
                <w:sz w:val="18"/>
                <w:szCs w:val="18"/>
                <w:color w:val="auto"/>
              </w:rPr>
            </w:pPr>
          </w:p>
        </w:tc>
        <w:tc>
          <w:tcPr>
            <w:tcW w:w="380" w:type="dxa"/>
            <w:vAlign w:val="bottom"/>
            <w:vMerge w:val="restart"/>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2</w:t>
            </w:r>
          </w:p>
        </w:tc>
        <w:tc>
          <w:tcPr>
            <w:tcW w:w="500" w:type="dxa"/>
            <w:vAlign w:val="bottom"/>
            <w:shd w:val="clear" w:color="auto" w:fill="CCEEFF"/>
          </w:tcPr>
          <w:p>
            <w:pPr>
              <w:spacing w:after="0"/>
              <w:rPr>
                <w:sz w:val="18"/>
                <w:szCs w:val="18"/>
                <w:color w:val="auto"/>
              </w:rPr>
            </w:pPr>
          </w:p>
        </w:tc>
        <w:tc>
          <w:tcPr>
            <w:tcW w:w="300" w:type="dxa"/>
            <w:vAlign w:val="bottom"/>
            <w:vMerge w:val="restart"/>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6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contracts</w:t>
            </w:r>
          </w:p>
        </w:tc>
        <w:tc>
          <w:tcPr>
            <w:tcW w:w="4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vMerge w:val="continue"/>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vMerge w:val="continue"/>
            <w:shd w:val="clear" w:color="auto" w:fill="CCEEFF"/>
          </w:tcPr>
          <w:p>
            <w:pPr>
              <w:spacing w:after="0"/>
              <w:rPr>
                <w:sz w:val="15"/>
                <w:szCs w:val="15"/>
                <w:color w:val="auto"/>
              </w:rPr>
            </w:pPr>
          </w:p>
        </w:tc>
        <w:tc>
          <w:tcPr>
            <w:tcW w:w="50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vMerge w:val="continue"/>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color w:val="auto"/>
              </w:rPr>
              <w:t>8</w:t>
            </w:r>
          </w:p>
        </w:tc>
        <w:tc>
          <w:tcPr>
            <w:tcW w:w="480" w:type="dxa"/>
            <w:vAlign w:val="bottom"/>
            <w:tcBorders>
              <w:bottom w:val="single" w:sz="8" w:color="auto"/>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520" w:type="dxa"/>
            <w:vAlign w:val="bottom"/>
            <w:tcBorders>
              <w:bottom w:val="single" w:sz="8" w:color="auto"/>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Total Assets</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9</w:t>
            </w:r>
          </w:p>
        </w:tc>
        <w:tc>
          <w:tcPr>
            <w:tcW w:w="50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auto"/>
            </w:tcBorders>
          </w:tcPr>
          <w:p>
            <w:pPr>
              <w:ind w:left="60"/>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15</w:t>
            </w:r>
          </w:p>
        </w:tc>
        <w:tc>
          <w:tcPr>
            <w:tcW w:w="48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9</w:t>
            </w:r>
          </w:p>
        </w:tc>
        <w:tc>
          <w:tcPr>
            <w:tcW w:w="52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1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Liabilities</w:t>
            </w: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160" w:type="dxa"/>
            <w:vAlign w:val="bottom"/>
          </w:tcPr>
          <w:p>
            <w:pPr>
              <w:spacing w:after="0"/>
              <w:rPr>
                <w:sz w:val="20"/>
                <w:szCs w:val="20"/>
                <w:color w:val="auto"/>
              </w:rPr>
            </w:pPr>
            <w:r>
              <w:rPr>
                <w:rFonts w:ascii="Arial" w:cs="Arial" w:eastAsia="Arial" w:hAnsi="Arial"/>
                <w:sz w:val="15"/>
                <w:szCs w:val="15"/>
                <w:color w:val="auto"/>
              </w:rPr>
              <w:t>Foreign exchange forward</w:t>
            </w:r>
          </w:p>
        </w:tc>
        <w:tc>
          <w:tcPr>
            <w:tcW w:w="420" w:type="dxa"/>
            <w:vAlign w:val="bottom"/>
          </w:tcPr>
          <w:p>
            <w:pPr>
              <w:spacing w:after="0"/>
              <w:rPr>
                <w:sz w:val="18"/>
                <w:szCs w:val="18"/>
                <w:color w:val="auto"/>
              </w:rPr>
            </w:pPr>
          </w:p>
        </w:tc>
        <w:tc>
          <w:tcPr>
            <w:tcW w:w="540" w:type="dxa"/>
            <w:vAlign w:val="bottom"/>
            <w:vMerge w:val="restart"/>
          </w:tcPr>
          <w:p>
            <w:pPr>
              <w:ind w:left="320"/>
              <w:spacing w:after="0"/>
              <w:rPr>
                <w:sz w:val="20"/>
                <w:szCs w:val="20"/>
                <w:color w:val="auto"/>
              </w:rPr>
            </w:pPr>
            <w:r>
              <w:rPr>
                <w:rFonts w:ascii="Arial" w:cs="Arial" w:eastAsia="Arial" w:hAnsi="Arial"/>
                <w:sz w:val="15"/>
                <w:szCs w:val="15"/>
                <w:b w:val="1"/>
                <w:bCs w:val="1"/>
                <w:color w:val="auto"/>
              </w:rPr>
              <w:t>—</w:t>
            </w:r>
          </w:p>
        </w:tc>
        <w:tc>
          <w:tcPr>
            <w:tcW w:w="360" w:type="dxa"/>
            <w:vAlign w:val="bottom"/>
          </w:tcPr>
          <w:p>
            <w:pPr>
              <w:spacing w:after="0"/>
              <w:rPr>
                <w:sz w:val="18"/>
                <w:szCs w:val="18"/>
                <w:color w:val="auto"/>
              </w:rPr>
            </w:pPr>
          </w:p>
        </w:tc>
        <w:tc>
          <w:tcPr>
            <w:tcW w:w="380" w:type="dxa"/>
            <w:vAlign w:val="bottom"/>
            <w:vMerge w:val="restart"/>
          </w:tcPr>
          <w:p>
            <w:pPr>
              <w:jc w:val="right"/>
              <w:ind w:right="23"/>
              <w:spacing w:after="0"/>
              <w:rPr>
                <w:sz w:val="20"/>
                <w:szCs w:val="20"/>
                <w:color w:val="auto"/>
              </w:rPr>
            </w:pPr>
            <w:r>
              <w:rPr>
                <w:rFonts w:ascii="Arial" w:cs="Arial" w:eastAsia="Arial" w:hAnsi="Arial"/>
                <w:sz w:val="15"/>
                <w:szCs w:val="15"/>
                <w:b w:val="1"/>
                <w:bCs w:val="1"/>
                <w:color w:val="auto"/>
              </w:rPr>
              <w:t>1</w:t>
            </w:r>
          </w:p>
        </w:tc>
        <w:tc>
          <w:tcPr>
            <w:tcW w:w="500" w:type="dxa"/>
            <w:vAlign w:val="bottom"/>
          </w:tcPr>
          <w:p>
            <w:pPr>
              <w:spacing w:after="0"/>
              <w:rPr>
                <w:sz w:val="18"/>
                <w:szCs w:val="18"/>
                <w:color w:val="auto"/>
              </w:rPr>
            </w:pPr>
          </w:p>
        </w:tc>
        <w:tc>
          <w:tcPr>
            <w:tcW w:w="300" w:type="dxa"/>
            <w:vAlign w:val="bottom"/>
            <w:vMerge w:val="restart"/>
          </w:tcPr>
          <w:p>
            <w:pPr>
              <w:ind w:left="60"/>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16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contracts</w:t>
            </w: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vMerge w:val="continue"/>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vMerge w:val="continue"/>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3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34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rPr>
              <w:t>3</w:t>
            </w:r>
          </w:p>
        </w:tc>
        <w:tc>
          <w:tcPr>
            <w:tcW w:w="52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Liabilities</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b w:val="1"/>
                <w:bCs w:val="1"/>
                <w:color w:val="auto"/>
              </w:rPr>
              <w:t>—</w:t>
            </w:r>
          </w:p>
        </w:tc>
        <w:tc>
          <w:tcPr>
            <w:tcW w:w="36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w:t>
            </w:r>
          </w:p>
        </w:tc>
        <w:tc>
          <w:tcPr>
            <w:tcW w:w="3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w:t>
            </w:r>
          </w:p>
        </w:tc>
        <w:tc>
          <w:tcPr>
            <w:tcW w:w="5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w:t>
            </w:r>
          </w:p>
        </w:tc>
        <w:tc>
          <w:tcPr>
            <w:tcW w:w="30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ind w:left="320"/>
              <w:spacing w:after="0"/>
              <w:rPr>
                <w:sz w:val="20"/>
                <w:szCs w:val="20"/>
                <w:color w:val="auto"/>
              </w:rPr>
            </w:pPr>
            <w:r>
              <w:rPr>
                <w:rFonts w:ascii="Arial" w:cs="Arial" w:eastAsia="Arial" w:hAnsi="Arial"/>
                <w:sz w:val="15"/>
                <w:szCs w:val="15"/>
                <w:color w:val="auto"/>
              </w:rPr>
              <w:t>—</w:t>
            </w:r>
          </w:p>
        </w:tc>
        <w:tc>
          <w:tcPr>
            <w:tcW w:w="30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48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shd w:val="clear" w:color="auto" w:fill="CCEEFF"/>
          </w:tcPr>
          <w:p>
            <w:pPr>
              <w:ind w:left="340"/>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w:t>
            </w:r>
          </w:p>
        </w:tc>
        <w:tc>
          <w:tcPr>
            <w:tcW w:w="38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3</w:t>
            </w:r>
          </w:p>
        </w:tc>
        <w:tc>
          <w:tcPr>
            <w:tcW w:w="52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ind w:left="60"/>
              <w:spacing w:after="0"/>
              <w:rPr>
                <w:sz w:val="20"/>
                <w:szCs w:val="20"/>
                <w:color w:val="auto"/>
              </w:rPr>
            </w:pPr>
            <w:r>
              <w:rPr>
                <w:rFonts w:ascii="Arial" w:cs="Arial" w:eastAsia="Arial" w:hAnsi="Arial"/>
                <w:sz w:val="15"/>
                <w:szCs w:val="15"/>
                <w:color w:val="auto"/>
                <w:w w:val="93"/>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15"/>
        </w:trPr>
        <w:tc>
          <w:tcPr>
            <w:tcW w:w="2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00" w:type="dxa"/>
            <w:vAlign w:val="bottom"/>
          </w:tcPr>
          <w:p>
            <w:pPr>
              <w:ind w:left="100"/>
              <w:spacing w:after="0"/>
              <w:rPr>
                <w:sz w:val="20"/>
                <w:szCs w:val="20"/>
                <w:color w:val="auto"/>
              </w:rPr>
            </w:pPr>
            <w:r>
              <w:rPr>
                <w:rFonts w:ascii="Arial" w:cs="Arial" w:eastAsia="Arial" w:hAnsi="Arial"/>
                <w:sz w:val="15"/>
                <w:szCs w:val="15"/>
                <w:color w:val="auto"/>
              </w:rPr>
              <w:t>11</w:t>
            </w: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216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48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54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16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50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300" w:type="dxa"/>
            <w:vAlign w:val="bottom"/>
            <w:tcBorders>
              <w:bottom w:val="single" w:sz="8" w:color="EEEEEE"/>
            </w:tcBorders>
          </w:tcPr>
          <w:p>
            <w:pPr>
              <w:spacing w:after="0" w:line="20" w:lineRule="exact"/>
              <w:rPr>
                <w:sz w:val="1"/>
                <w:szCs w:val="1"/>
                <w:color w:val="auto"/>
              </w:rPr>
            </w:pPr>
          </w:p>
        </w:tc>
        <w:tc>
          <w:tcPr>
            <w:tcW w:w="440" w:type="dxa"/>
            <w:vAlign w:val="bottom"/>
            <w:tcBorders>
              <w:bottom w:val="single" w:sz="8" w:color="EEEEEE"/>
            </w:tcBorders>
          </w:tcPr>
          <w:p>
            <w:pPr>
              <w:spacing w:after="0" w:line="20" w:lineRule="exact"/>
              <w:rPr>
                <w:sz w:val="1"/>
                <w:szCs w:val="1"/>
                <w:color w:val="auto"/>
              </w:rPr>
            </w:pPr>
          </w:p>
        </w:tc>
        <w:tc>
          <w:tcPr>
            <w:tcW w:w="4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54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380" w:type="dxa"/>
            <w:vAlign w:val="bottom"/>
            <w:tcBorders>
              <w:bottom w:val="single" w:sz="8" w:color="EEEEEE"/>
            </w:tcBorders>
          </w:tcPr>
          <w:p>
            <w:pPr>
              <w:spacing w:after="0" w:line="20" w:lineRule="exact"/>
              <w:rPr>
                <w:sz w:val="1"/>
                <w:szCs w:val="1"/>
                <w:color w:val="auto"/>
              </w:rPr>
            </w:pPr>
          </w:p>
        </w:tc>
        <w:tc>
          <w:tcPr>
            <w:tcW w:w="52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3" w:name="page14"/>
    <w:bookmarkEnd w:id="13"/>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Securities classified as available-for-sale are recorded at fair value with unrealized gains and losses reported, net of tax, in other comprehensive income, unless unrealized gains or losses are determined to be other than temporary. The fair value of the auction rate security is determined by using quoted prices for similar instruments in active markets and accordingly is classified as a Level 2 instrument.</w:t>
      </w:r>
    </w:p>
    <w:p>
      <w:pPr>
        <w:spacing w:after="0" w:line="156"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Company’s derivative financial instruments are valued using market-based inputs to valuation models. These valuation models require a variety of inputs, including contractual terms, market prices, yield curves, and measures of volatility and therefore are classified as Level 2 instruments.</w:t>
      </w:r>
    </w:p>
    <w:p>
      <w:pPr>
        <w:spacing w:after="0" w:line="153"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transfers into or out of Level 1, Level 2, or Level 3 assets and liabilities for any of the periods presented.</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color w:val="auto"/>
        </w:rPr>
        <w:t>The carrying value and estimated fair value of long-term debt and obligations under capital leases were as follows:</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40" w:type="dxa"/>
            <w:vAlign w:val="bottom"/>
          </w:tcPr>
          <w:p>
            <w:pPr>
              <w:spacing w:after="0"/>
              <w:rPr>
                <w:sz w:val="15"/>
                <w:szCs w:val="15"/>
                <w:color w:val="auto"/>
              </w:rPr>
            </w:pPr>
          </w:p>
        </w:tc>
        <w:tc>
          <w:tcPr>
            <w:tcW w:w="3220" w:type="dxa"/>
            <w:vAlign w:val="bottom"/>
            <w:gridSpan w:val="2"/>
          </w:tcPr>
          <w:p>
            <w:pPr>
              <w:jc w:val="right"/>
              <w:ind w:right="283"/>
              <w:spacing w:after="0"/>
              <w:rPr>
                <w:sz w:val="20"/>
                <w:szCs w:val="20"/>
                <w:color w:val="auto"/>
              </w:rPr>
            </w:pPr>
            <w:r>
              <w:rPr>
                <w:rFonts w:ascii="Arial" w:cs="Arial" w:eastAsia="Arial" w:hAnsi="Arial"/>
                <w:sz w:val="15"/>
                <w:szCs w:val="15"/>
                <w:b w:val="1"/>
                <w:bCs w:val="1"/>
                <w:color w:val="auto"/>
              </w:rPr>
              <w:t>October 28,</w:t>
            </w:r>
          </w:p>
        </w:tc>
        <w:tc>
          <w:tcPr>
            <w:tcW w:w="260" w:type="dxa"/>
            <w:vAlign w:val="bottom"/>
          </w:tcPr>
          <w:p>
            <w:pPr>
              <w:spacing w:after="0"/>
              <w:rPr>
                <w:sz w:val="15"/>
                <w:szCs w:val="15"/>
                <w:color w:val="auto"/>
              </w:rPr>
            </w:pPr>
          </w:p>
        </w:tc>
        <w:tc>
          <w:tcPr>
            <w:tcW w:w="1300" w:type="dxa"/>
            <w:vAlign w:val="bottom"/>
          </w:tcPr>
          <w:p>
            <w:pPr>
              <w:jc w:val="center"/>
              <w:ind w:right="263"/>
              <w:spacing w:after="0"/>
              <w:rPr>
                <w:sz w:val="20"/>
                <w:szCs w:val="20"/>
                <w:color w:val="auto"/>
              </w:rPr>
            </w:pPr>
            <w:r>
              <w:rPr>
                <w:rFonts w:ascii="Arial" w:cs="Arial" w:eastAsia="Arial" w:hAnsi="Arial"/>
                <w:sz w:val="15"/>
                <w:szCs w:val="15"/>
                <w:b w:val="1"/>
                <w:bCs w:val="1"/>
                <w:color w:val="auto"/>
              </w:rPr>
              <w:t>October 29,</w:t>
            </w:r>
          </w:p>
        </w:tc>
        <w:tc>
          <w:tcPr>
            <w:tcW w:w="1380" w:type="dxa"/>
            <w:vAlign w:val="bottom"/>
            <w:gridSpan w:val="2"/>
          </w:tcPr>
          <w:p>
            <w:pPr>
              <w:jc w:val="right"/>
              <w:ind w:right="183"/>
              <w:spacing w:after="0"/>
              <w:rPr>
                <w:sz w:val="20"/>
                <w:szCs w:val="20"/>
                <w:color w:val="auto"/>
              </w:rPr>
            </w:pPr>
            <w:r>
              <w:rPr>
                <w:rFonts w:ascii="Arial" w:cs="Arial" w:eastAsia="Arial" w:hAnsi="Arial"/>
                <w:sz w:val="15"/>
                <w:szCs w:val="15"/>
                <w:b w:val="1"/>
                <w:bCs w:val="1"/>
                <w:color w:val="auto"/>
              </w:rPr>
              <w:t>January 28,</w:t>
            </w:r>
          </w:p>
        </w:tc>
      </w:tr>
      <w:tr>
        <w:trPr>
          <w:trHeight w:val="194"/>
        </w:trPr>
        <w:tc>
          <w:tcPr>
            <w:tcW w:w="29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83"/>
              <w:spacing w:after="0"/>
              <w:rPr>
                <w:sz w:val="20"/>
                <w:szCs w:val="20"/>
                <w:color w:val="auto"/>
              </w:rPr>
            </w:pPr>
            <w:r>
              <w:rPr>
                <w:rFonts w:ascii="Arial" w:cs="Arial" w:eastAsia="Arial" w:hAnsi="Arial"/>
                <w:sz w:val="15"/>
                <w:szCs w:val="15"/>
                <w:b w:val="1"/>
                <w:bCs w:val="1"/>
                <w:color w:val="auto"/>
              </w:rPr>
              <w:t>2016</w:t>
            </w:r>
          </w:p>
        </w:tc>
        <w:tc>
          <w:tcPr>
            <w:tcW w:w="4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2017</w:t>
            </w:r>
          </w:p>
        </w:tc>
      </w:tr>
      <w:tr>
        <w:trPr>
          <w:trHeight w:val="187"/>
        </w:trPr>
        <w:tc>
          <w:tcPr>
            <w:tcW w:w="294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tcPr>
          <w:p>
            <w:pPr>
              <w:jc w:val="center"/>
              <w:ind w:right="283"/>
              <w:spacing w:after="0"/>
              <w:rPr>
                <w:sz w:val="20"/>
                <w:szCs w:val="20"/>
                <w:color w:val="auto"/>
              </w:rPr>
            </w:pPr>
            <w:r>
              <w:rPr>
                <w:rFonts w:ascii="Arial" w:cs="Arial" w:eastAsia="Arial" w:hAnsi="Arial"/>
                <w:sz w:val="15"/>
                <w:szCs w:val="15"/>
                <w:color w:val="auto"/>
              </w:rPr>
              <w:t>($ in millions)</w:t>
            </w: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7"/>
        </w:trPr>
        <w:tc>
          <w:tcPr>
            <w:tcW w:w="2940" w:type="dxa"/>
            <w:vAlign w:val="bottom"/>
            <w:shd w:val="clear" w:color="auto" w:fill="CCEEFF"/>
          </w:tcPr>
          <w:p>
            <w:pPr>
              <w:spacing w:after="0"/>
              <w:rPr>
                <w:sz w:val="20"/>
                <w:szCs w:val="20"/>
                <w:color w:val="auto"/>
              </w:rPr>
            </w:pPr>
            <w:r>
              <w:rPr>
                <w:rFonts w:ascii="Arial" w:cs="Arial" w:eastAsia="Arial" w:hAnsi="Arial"/>
                <w:sz w:val="15"/>
                <w:szCs w:val="15"/>
                <w:color w:val="auto"/>
              </w:rPr>
              <w:t>Carrying value</w:t>
            </w:r>
          </w:p>
        </w:tc>
        <w:tc>
          <w:tcPr>
            <w:tcW w:w="21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108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126</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0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128</w:t>
            </w:r>
          </w:p>
        </w:tc>
        <w:tc>
          <w:tcPr>
            <w:tcW w:w="4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r>
      <w:tr>
        <w:trPr>
          <w:trHeight w:val="207"/>
        </w:trPr>
        <w:tc>
          <w:tcPr>
            <w:tcW w:w="2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Fair value</w:t>
            </w:r>
          </w:p>
        </w:tc>
        <w:tc>
          <w:tcPr>
            <w:tcW w:w="2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w:t>
            </w:r>
          </w:p>
        </w:tc>
        <w:tc>
          <w:tcPr>
            <w:tcW w:w="10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145</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3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150</w:t>
            </w:r>
          </w:p>
        </w:tc>
        <w:tc>
          <w:tcPr>
            <w:tcW w:w="4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148</w:t>
            </w:r>
          </w:p>
        </w:tc>
      </w:tr>
    </w:tbl>
    <w:p>
      <w:pPr>
        <w:spacing w:after="0" w:line="189"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fair value of long-term debt is determined by using model-derived valuations in which all significant inputs or significant value drivers are observable in active markets and therefore are classified as Level 2. The carrying values of cash and cash equivalents, and other current receivables and payables approximate their fair value.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11. Earnings Per Share</w:t>
      </w:r>
    </w:p>
    <w:p>
      <w:pPr>
        <w:spacing w:after="0" w:line="113"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The Company accounts for and discloses earnings per share using the treasury stock method. Basic earnings per share is computed by dividing net income for the period by the weighted-average number of common shares outstanding at the end of the period. Restricted stock awards, which contain non-forfeitable rights to dividends, are considered participating securities and are included in the calculation of basic earnings per share. Diluted earnings per share reflects the weighted-average number of common shares outstanding during the period used in the basic earnings per share computation plus dilutive common stock equivalents.</w:t>
      </w:r>
    </w:p>
    <w:p>
      <w:pPr>
        <w:spacing w:after="0" w:line="83" w:lineRule="exact"/>
        <w:rPr>
          <w:sz w:val="20"/>
          <w:szCs w:val="20"/>
          <w:color w:val="auto"/>
        </w:rPr>
      </w:pPr>
    </w:p>
    <w:p>
      <w:pPr>
        <w:spacing w:after="0"/>
        <w:rPr>
          <w:sz w:val="20"/>
          <w:szCs w:val="20"/>
          <w:color w:val="auto"/>
        </w:rPr>
      </w:pPr>
      <w:r>
        <w:rPr>
          <w:rFonts w:ascii="Arial" w:cs="Arial" w:eastAsia="Arial" w:hAnsi="Arial"/>
          <w:sz w:val="15"/>
          <w:szCs w:val="15"/>
          <w:color w:val="auto"/>
        </w:rPr>
        <w:t>The computation of basic and diluted earnings per share is as follows:</w:t>
      </w:r>
    </w:p>
    <w:p>
      <w:pPr>
        <w:spacing w:after="0" w:line="6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40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3"/>
          </w:tcPr>
          <w:p>
            <w:pPr>
              <w:ind w:left="60"/>
              <w:spacing w:after="0"/>
              <w:rPr>
                <w:sz w:val="20"/>
                <w:szCs w:val="20"/>
                <w:color w:val="auto"/>
              </w:rPr>
            </w:pPr>
            <w:r>
              <w:rPr>
                <w:rFonts w:ascii="Arial" w:cs="Arial" w:eastAsia="Arial" w:hAnsi="Arial"/>
                <w:sz w:val="15"/>
                <w:szCs w:val="15"/>
                <w:b w:val="1"/>
                <w:bCs w:val="1"/>
                <w:color w:val="auto"/>
              </w:rPr>
              <w:t>Thirteen weeks ended</w:t>
            </w:r>
          </w:p>
        </w:tc>
        <w:tc>
          <w:tcPr>
            <w:tcW w:w="280" w:type="dxa"/>
            <w:vAlign w:val="bottom"/>
            <w:tcBorders>
              <w:bottom w:val="single" w:sz="8" w:color="auto"/>
            </w:tcBorders>
          </w:tcPr>
          <w:p>
            <w:pPr>
              <w:spacing w:after="0"/>
              <w:rPr>
                <w:sz w:val="18"/>
                <w:szCs w:val="18"/>
                <w:color w:val="auto"/>
              </w:rPr>
            </w:pPr>
          </w:p>
        </w:tc>
        <w:tc>
          <w:tcPr>
            <w:tcW w:w="2140" w:type="dxa"/>
            <w:vAlign w:val="bottom"/>
            <w:tcBorders>
              <w:bottom w:val="single" w:sz="8" w:color="auto"/>
            </w:tcBorders>
            <w:gridSpan w:val="3"/>
          </w:tcPr>
          <w:p>
            <w:pPr>
              <w:jc w:val="right"/>
              <w:ind w:right="183"/>
              <w:spacing w:after="0"/>
              <w:rPr>
                <w:sz w:val="20"/>
                <w:szCs w:val="20"/>
                <w:color w:val="auto"/>
              </w:rPr>
            </w:pPr>
            <w:r>
              <w:rPr>
                <w:rFonts w:ascii="Arial" w:cs="Arial" w:eastAsia="Arial" w:hAnsi="Arial"/>
                <w:sz w:val="15"/>
                <w:szCs w:val="15"/>
                <w:b w:val="1"/>
                <w:bCs w:val="1"/>
                <w:color w:val="auto"/>
              </w:rPr>
              <w:t>Thirty-nine weeks ended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4080" w:type="dxa"/>
            <w:vAlign w:val="bottom"/>
          </w:tcPr>
          <w:p>
            <w:pPr>
              <w:spacing w:after="0"/>
              <w:rPr>
                <w:sz w:val="12"/>
                <w:szCs w:val="12"/>
                <w:color w:val="auto"/>
              </w:rPr>
            </w:pPr>
          </w:p>
        </w:tc>
        <w:tc>
          <w:tcPr>
            <w:tcW w:w="1260" w:type="dxa"/>
            <w:vAlign w:val="bottom"/>
            <w:gridSpan w:val="2"/>
          </w:tcPr>
          <w:p>
            <w:pPr>
              <w:jc w:val="right"/>
              <w:ind w:right="103"/>
              <w:spacing w:after="0" w:line="146" w:lineRule="exact"/>
              <w:rPr>
                <w:sz w:val="20"/>
                <w:szCs w:val="20"/>
                <w:color w:val="auto"/>
              </w:rPr>
            </w:pPr>
            <w:r>
              <w:rPr>
                <w:rFonts w:ascii="Arial" w:cs="Arial" w:eastAsia="Arial" w:hAnsi="Arial"/>
                <w:sz w:val="15"/>
                <w:szCs w:val="15"/>
                <w:b w:val="1"/>
                <w:bCs w:val="1"/>
                <w:color w:val="auto"/>
              </w:rPr>
              <w:t>October 28,</w:t>
            </w:r>
          </w:p>
        </w:tc>
        <w:tc>
          <w:tcPr>
            <w:tcW w:w="1340" w:type="dxa"/>
            <w:vAlign w:val="bottom"/>
            <w:gridSpan w:val="2"/>
          </w:tcPr>
          <w:p>
            <w:pPr>
              <w:jc w:val="right"/>
              <w:ind w:right="143"/>
              <w:spacing w:after="0" w:line="146" w:lineRule="exact"/>
              <w:rPr>
                <w:sz w:val="20"/>
                <w:szCs w:val="20"/>
                <w:color w:val="auto"/>
              </w:rPr>
            </w:pPr>
            <w:r>
              <w:rPr>
                <w:rFonts w:ascii="Arial" w:cs="Arial" w:eastAsia="Arial" w:hAnsi="Arial"/>
                <w:sz w:val="15"/>
                <w:szCs w:val="15"/>
                <w:b w:val="1"/>
                <w:bCs w:val="1"/>
                <w:color w:val="auto"/>
              </w:rPr>
              <w:t>October 29,</w:t>
            </w:r>
          </w:p>
        </w:tc>
        <w:tc>
          <w:tcPr>
            <w:tcW w:w="1260" w:type="dxa"/>
            <w:vAlign w:val="bottom"/>
            <w:gridSpan w:val="2"/>
          </w:tcPr>
          <w:p>
            <w:pPr>
              <w:jc w:val="right"/>
              <w:ind w:right="123"/>
              <w:spacing w:after="0" w:line="146" w:lineRule="exact"/>
              <w:rPr>
                <w:sz w:val="20"/>
                <w:szCs w:val="20"/>
                <w:color w:val="auto"/>
              </w:rPr>
            </w:pPr>
            <w:r>
              <w:rPr>
                <w:rFonts w:ascii="Arial" w:cs="Arial" w:eastAsia="Arial" w:hAnsi="Arial"/>
                <w:sz w:val="15"/>
                <w:szCs w:val="15"/>
                <w:b w:val="1"/>
                <w:bCs w:val="1"/>
                <w:color w:val="auto"/>
              </w:rPr>
              <w:t>October 28,</w:t>
            </w:r>
          </w:p>
        </w:tc>
        <w:tc>
          <w:tcPr>
            <w:tcW w:w="1160" w:type="dxa"/>
            <w:vAlign w:val="bottom"/>
            <w:gridSpan w:val="2"/>
          </w:tcPr>
          <w:p>
            <w:pPr>
              <w:jc w:val="right"/>
              <w:ind w:right="23"/>
              <w:spacing w:after="0" w:line="146" w:lineRule="exact"/>
              <w:rPr>
                <w:sz w:val="20"/>
                <w:szCs w:val="20"/>
                <w:color w:val="auto"/>
              </w:rPr>
            </w:pPr>
            <w:r>
              <w:rPr>
                <w:rFonts w:ascii="Arial" w:cs="Arial" w:eastAsia="Arial" w:hAnsi="Arial"/>
                <w:sz w:val="15"/>
                <w:szCs w:val="15"/>
                <w:b w:val="1"/>
                <w:bCs w:val="1"/>
                <w:color w:val="auto"/>
              </w:rPr>
              <w:t>October 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5"/>
        </w:trPr>
        <w:tc>
          <w:tcPr>
            <w:tcW w:w="4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2017</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2016</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600" w:type="dxa"/>
            <w:vAlign w:val="bottom"/>
            <w:gridSpan w:val="4"/>
          </w:tcPr>
          <w:p>
            <w:pPr>
              <w:jc w:val="right"/>
              <w:ind w:right="43"/>
              <w:spacing w:after="0"/>
              <w:rPr>
                <w:sz w:val="20"/>
                <w:szCs w:val="20"/>
                <w:color w:val="auto"/>
              </w:rPr>
            </w:pPr>
            <w:r>
              <w:rPr>
                <w:rFonts w:ascii="Arial" w:cs="Arial" w:eastAsia="Arial" w:hAnsi="Arial"/>
                <w:sz w:val="15"/>
                <w:szCs w:val="15"/>
                <w:color w:val="auto"/>
              </w:rPr>
              <w:t>(in millions, except per share data)</w:t>
            </w: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Net Income</w:t>
            </w: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102</w:t>
            </w:r>
          </w:p>
        </w:tc>
        <w:tc>
          <w:tcPr>
            <w:tcW w:w="4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157</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333</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w:t>
            </w:r>
          </w:p>
        </w:tc>
        <w:tc>
          <w:tcPr>
            <w:tcW w:w="320" w:type="dxa"/>
            <w:vAlign w:val="bottom"/>
            <w:shd w:val="clear" w:color="auto" w:fill="CCEEFF"/>
          </w:tcPr>
          <w:p>
            <w:pPr>
              <w:spacing w:after="0"/>
              <w:rPr>
                <w:sz w:val="17"/>
                <w:szCs w:val="17"/>
                <w:color w:val="auto"/>
              </w:rPr>
            </w:pP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126.0</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132.9</w:t>
            </w: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129.6</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134.6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Dilutive effect of potential common shares</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0.4</w:t>
            </w:r>
          </w:p>
        </w:tc>
        <w:tc>
          <w:tcPr>
            <w:tcW w:w="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1.1</w:t>
            </w:r>
          </w:p>
        </w:tc>
        <w:tc>
          <w:tcPr>
            <w:tcW w:w="2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0.7</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common shares outstanding assuming</w:t>
            </w:r>
          </w:p>
        </w:tc>
        <w:tc>
          <w:tcPr>
            <w:tcW w:w="320" w:type="dxa"/>
            <w:vAlign w:val="bottom"/>
            <w:shd w:val="clear" w:color="auto" w:fill="CCEEFF"/>
          </w:tcPr>
          <w:p>
            <w:pPr>
              <w:spacing w:after="0"/>
              <w:rPr>
                <w:sz w:val="17"/>
                <w:szCs w:val="17"/>
                <w:color w:val="auto"/>
              </w:rPr>
            </w:pPr>
          </w:p>
        </w:tc>
        <w:tc>
          <w:tcPr>
            <w:tcW w:w="940" w:type="dxa"/>
            <w:vAlign w:val="bottom"/>
            <w:vMerge w:val="restart"/>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126.4</w:t>
            </w:r>
          </w:p>
        </w:tc>
        <w:tc>
          <w:tcPr>
            <w:tcW w:w="4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vMerge w:val="restart"/>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130.3</w:t>
            </w:r>
          </w:p>
        </w:tc>
        <w:tc>
          <w:tcPr>
            <w:tcW w:w="3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40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dilution</w:t>
            </w:r>
          </w:p>
        </w:tc>
        <w:tc>
          <w:tcPr>
            <w:tcW w:w="32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vMerge w:val="continue"/>
            <w:shd w:val="clear" w:color="auto" w:fill="CCEEFF"/>
          </w:tcPr>
          <w:p>
            <w:pPr>
              <w:spacing w:after="0"/>
              <w:rPr>
                <w:sz w:val="15"/>
                <w:szCs w:val="15"/>
                <w:color w:val="auto"/>
              </w:rPr>
            </w:pPr>
          </w:p>
        </w:tc>
        <w:tc>
          <w:tcPr>
            <w:tcW w:w="4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134.0</w:t>
            </w:r>
          </w:p>
        </w:tc>
        <w:tc>
          <w:tcPr>
            <w:tcW w:w="2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vMerge w:val="continue"/>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40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080" w:type="dxa"/>
            <w:vAlign w:val="bottom"/>
            <w:shd w:val="clear" w:color="auto" w:fill="CCEEFF"/>
          </w:tcPr>
          <w:p>
            <w:pPr>
              <w:spacing w:after="0"/>
              <w:rPr>
                <w:sz w:val="20"/>
                <w:szCs w:val="20"/>
                <w:color w:val="auto"/>
              </w:rPr>
            </w:pPr>
            <w:r>
              <w:rPr>
                <w:rFonts w:ascii="Arial" w:cs="Arial" w:eastAsia="Arial" w:hAnsi="Arial"/>
                <w:sz w:val="15"/>
                <w:szCs w:val="15"/>
                <w:color w:val="auto"/>
              </w:rPr>
              <w:t>Earnings per share - basic</w:t>
            </w:r>
          </w:p>
        </w:tc>
        <w:tc>
          <w:tcPr>
            <w:tcW w:w="32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rPr>
              <w:t>$</w:t>
            </w:r>
          </w:p>
        </w:tc>
        <w:tc>
          <w:tcPr>
            <w:tcW w:w="9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0.81</w:t>
            </w:r>
          </w:p>
        </w:tc>
        <w:tc>
          <w:tcPr>
            <w:tcW w:w="42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1.18</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2.57</w:t>
            </w:r>
          </w:p>
        </w:tc>
        <w:tc>
          <w:tcPr>
            <w:tcW w:w="3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080" w:type="dxa"/>
            <w:vAlign w:val="bottom"/>
          </w:tcPr>
          <w:p>
            <w:pPr>
              <w:spacing w:after="0"/>
              <w:rPr>
                <w:sz w:val="20"/>
                <w:szCs w:val="20"/>
                <w:color w:val="auto"/>
              </w:rPr>
            </w:pPr>
            <w:r>
              <w:rPr>
                <w:rFonts w:ascii="Arial" w:cs="Arial" w:eastAsia="Arial" w:hAnsi="Arial"/>
                <w:sz w:val="15"/>
                <w:szCs w:val="15"/>
                <w:color w:val="auto"/>
              </w:rPr>
              <w:t>Earnings per share - diluted</w:t>
            </w:r>
          </w:p>
        </w:tc>
        <w:tc>
          <w:tcPr>
            <w:tcW w:w="320" w:type="dxa"/>
            <w:vAlign w:val="bottom"/>
          </w:tcPr>
          <w:p>
            <w:pPr>
              <w:jc w:val="right"/>
              <w:ind w:right="3"/>
              <w:spacing w:after="0"/>
              <w:rPr>
                <w:sz w:val="20"/>
                <w:szCs w:val="20"/>
                <w:color w:val="auto"/>
              </w:rPr>
            </w:pPr>
            <w:r>
              <w:rPr>
                <w:rFonts w:ascii="Arial" w:cs="Arial" w:eastAsia="Arial" w:hAnsi="Arial"/>
                <w:sz w:val="15"/>
                <w:szCs w:val="15"/>
                <w:b w:val="1"/>
                <w:bCs w:val="1"/>
                <w:color w:val="auto"/>
              </w:rPr>
              <w:t>$</w:t>
            </w:r>
          </w:p>
        </w:tc>
        <w:tc>
          <w:tcPr>
            <w:tcW w:w="940" w:type="dxa"/>
            <w:vAlign w:val="bottom"/>
          </w:tcPr>
          <w:p>
            <w:pPr>
              <w:jc w:val="right"/>
              <w:ind w:right="43"/>
              <w:spacing w:after="0"/>
              <w:rPr>
                <w:sz w:val="20"/>
                <w:szCs w:val="20"/>
                <w:color w:val="auto"/>
              </w:rPr>
            </w:pPr>
            <w:r>
              <w:rPr>
                <w:rFonts w:ascii="Arial" w:cs="Arial" w:eastAsia="Arial" w:hAnsi="Arial"/>
                <w:sz w:val="15"/>
                <w:szCs w:val="15"/>
                <w:b w:val="1"/>
                <w:bCs w:val="1"/>
                <w:color w:val="auto"/>
              </w:rPr>
              <w:t>0.81</w:t>
            </w:r>
          </w:p>
        </w:tc>
        <w:tc>
          <w:tcPr>
            <w:tcW w:w="420" w:type="dxa"/>
            <w:vAlign w:val="bottom"/>
          </w:tcPr>
          <w:p>
            <w:pPr>
              <w:jc w:val="right"/>
              <w:ind w:right="43"/>
              <w:spacing w:after="0"/>
              <w:rPr>
                <w:sz w:val="20"/>
                <w:szCs w:val="20"/>
                <w:color w:val="auto"/>
              </w:rPr>
            </w:pPr>
            <w:r>
              <w:rPr>
                <w:rFonts w:ascii="Arial" w:cs="Arial" w:eastAsia="Arial" w:hAnsi="Arial"/>
                <w:sz w:val="15"/>
                <w:szCs w:val="15"/>
                <w:color w:val="auto"/>
              </w:rPr>
              <w:t>$</w:t>
            </w:r>
          </w:p>
        </w:tc>
        <w:tc>
          <w:tcPr>
            <w:tcW w:w="920" w:type="dxa"/>
            <w:vAlign w:val="bottom"/>
          </w:tcPr>
          <w:p>
            <w:pPr>
              <w:jc w:val="right"/>
              <w:ind w:right="63"/>
              <w:spacing w:after="0"/>
              <w:rPr>
                <w:sz w:val="20"/>
                <w:szCs w:val="20"/>
                <w:color w:val="auto"/>
              </w:rPr>
            </w:pPr>
            <w:r>
              <w:rPr>
                <w:rFonts w:ascii="Arial" w:cs="Arial" w:eastAsia="Arial" w:hAnsi="Arial"/>
                <w:sz w:val="15"/>
                <w:szCs w:val="15"/>
                <w:color w:val="auto"/>
              </w:rPr>
              <w:t>1.17</w:t>
            </w:r>
          </w:p>
        </w:tc>
        <w:tc>
          <w:tcPr>
            <w:tcW w:w="28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980" w:type="dxa"/>
            <w:vAlign w:val="bottom"/>
          </w:tcPr>
          <w:p>
            <w:pPr>
              <w:jc w:val="right"/>
              <w:ind w:right="63"/>
              <w:spacing w:after="0"/>
              <w:rPr>
                <w:sz w:val="20"/>
                <w:szCs w:val="20"/>
                <w:color w:val="auto"/>
              </w:rPr>
            </w:pPr>
            <w:r>
              <w:rPr>
                <w:rFonts w:ascii="Arial" w:cs="Arial" w:eastAsia="Arial" w:hAnsi="Arial"/>
                <w:sz w:val="15"/>
                <w:szCs w:val="15"/>
                <w:b w:val="1"/>
                <w:bCs w:val="1"/>
                <w:color w:val="auto"/>
              </w:rPr>
              <w:t>2.55</w:t>
            </w:r>
          </w:p>
        </w:tc>
        <w:tc>
          <w:tcPr>
            <w:tcW w:w="340" w:type="dxa"/>
            <w:vAlign w:val="bottom"/>
          </w:tcPr>
          <w:p>
            <w:pPr>
              <w:jc w:val="right"/>
              <w:ind w:right="63"/>
              <w:spacing w:after="0"/>
              <w:rPr>
                <w:sz w:val="20"/>
                <w:szCs w:val="20"/>
                <w:color w:val="auto"/>
              </w:rPr>
            </w:pPr>
            <w:r>
              <w:rPr>
                <w:rFonts w:ascii="Arial" w:cs="Arial" w:eastAsia="Arial" w:hAnsi="Arial"/>
                <w:sz w:val="15"/>
                <w:szCs w:val="15"/>
                <w:color w:val="auto"/>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3.50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40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4080" w:type="dxa"/>
            <w:vAlign w:val="bottom"/>
          </w:tcPr>
          <w:p>
            <w:pPr>
              <w:spacing w:after="0"/>
              <w:rPr>
                <w:sz w:val="20"/>
                <w:szCs w:val="20"/>
                <w:color w:val="auto"/>
              </w:rPr>
            </w:pPr>
            <w:r>
              <w:rPr>
                <w:rFonts w:ascii="Arial" w:cs="Arial" w:eastAsia="Arial" w:hAnsi="Arial"/>
                <w:sz w:val="15"/>
                <w:szCs w:val="15"/>
                <w:color w:val="auto"/>
              </w:rPr>
              <w:t>Anti-dilutive share-based awards excluded from diluted</w:t>
            </w:r>
          </w:p>
        </w:tc>
        <w:tc>
          <w:tcPr>
            <w:tcW w:w="320" w:type="dxa"/>
            <w:vAlign w:val="bottom"/>
          </w:tcPr>
          <w:p>
            <w:pPr>
              <w:spacing w:after="0"/>
              <w:rPr>
                <w:sz w:val="20"/>
                <w:szCs w:val="20"/>
                <w:color w:val="auto"/>
              </w:rPr>
            </w:pPr>
          </w:p>
        </w:tc>
        <w:tc>
          <w:tcPr>
            <w:tcW w:w="940" w:type="dxa"/>
            <w:vAlign w:val="bottom"/>
            <w:vMerge w:val="restart"/>
          </w:tcPr>
          <w:p>
            <w:pPr>
              <w:jc w:val="right"/>
              <w:ind w:right="43"/>
              <w:spacing w:after="0"/>
              <w:rPr>
                <w:sz w:val="20"/>
                <w:szCs w:val="20"/>
                <w:color w:val="auto"/>
              </w:rPr>
            </w:pPr>
            <w:r>
              <w:rPr>
                <w:rFonts w:ascii="Arial" w:cs="Arial" w:eastAsia="Arial" w:hAnsi="Arial"/>
                <w:sz w:val="15"/>
                <w:szCs w:val="15"/>
                <w:b w:val="1"/>
                <w:bCs w:val="1"/>
                <w:color w:val="auto"/>
              </w:rPr>
              <w:t>2.0</w:t>
            </w:r>
          </w:p>
        </w:tc>
        <w:tc>
          <w:tcPr>
            <w:tcW w:w="4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vMerge w:val="restart"/>
          </w:tcPr>
          <w:p>
            <w:pPr>
              <w:jc w:val="right"/>
              <w:ind w:right="63"/>
              <w:spacing w:after="0"/>
              <w:rPr>
                <w:sz w:val="20"/>
                <w:szCs w:val="20"/>
                <w:color w:val="auto"/>
              </w:rPr>
            </w:pPr>
            <w:r>
              <w:rPr>
                <w:rFonts w:ascii="Arial" w:cs="Arial" w:eastAsia="Arial" w:hAnsi="Arial"/>
                <w:sz w:val="15"/>
                <w:szCs w:val="15"/>
                <w:b w:val="1"/>
                <w:bCs w:val="1"/>
                <w:color w:val="auto"/>
              </w:rPr>
              <w:t>1.6</w:t>
            </w:r>
          </w:p>
        </w:tc>
        <w:tc>
          <w:tcPr>
            <w:tcW w:w="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4080" w:type="dxa"/>
            <w:vAlign w:val="bottom"/>
            <w:tcBorders>
              <w:bottom w:val="single" w:sz="8" w:color="auto"/>
            </w:tcBorders>
          </w:tcPr>
          <w:p>
            <w:pPr>
              <w:ind w:left="160"/>
              <w:spacing w:after="0"/>
              <w:rPr>
                <w:sz w:val="20"/>
                <w:szCs w:val="20"/>
                <w:color w:val="auto"/>
              </w:rPr>
            </w:pPr>
            <w:r>
              <w:rPr>
                <w:rFonts w:ascii="Arial" w:cs="Arial" w:eastAsia="Arial" w:hAnsi="Arial"/>
                <w:sz w:val="15"/>
                <w:szCs w:val="15"/>
                <w:color w:val="auto"/>
              </w:rPr>
              <w:t>calculation</w:t>
            </w:r>
          </w:p>
        </w:tc>
        <w:tc>
          <w:tcPr>
            <w:tcW w:w="3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vMerge w:val="continue"/>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0.5</w:t>
            </w:r>
          </w:p>
        </w:tc>
        <w:tc>
          <w:tcPr>
            <w:tcW w:w="2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61"/>
        </w:trPr>
        <w:tc>
          <w:tcPr>
            <w:tcW w:w="4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40" w:type="dxa"/>
            <w:vAlign w:val="bottom"/>
          </w:tcPr>
          <w:p>
            <w:pPr>
              <w:ind w:left="60"/>
              <w:spacing w:after="0"/>
              <w:rPr>
                <w:sz w:val="20"/>
                <w:szCs w:val="20"/>
                <w:color w:val="auto"/>
              </w:rPr>
            </w:pPr>
            <w:r>
              <w:rPr>
                <w:rFonts w:ascii="Arial" w:cs="Arial" w:eastAsia="Arial" w:hAnsi="Arial"/>
                <w:sz w:val="15"/>
                <w:szCs w:val="15"/>
                <w:color w:val="auto"/>
              </w:rPr>
              <w:t>12</w:t>
            </w:r>
          </w:p>
        </w:tc>
        <w:tc>
          <w:tcPr>
            <w:tcW w:w="4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08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94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8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080" w:type="dxa"/>
            <w:vAlign w:val="bottom"/>
            <w:tcBorders>
              <w:bottom w:val="single" w:sz="8" w:color="EEEEEE"/>
            </w:tcBorders>
          </w:tcPr>
          <w:p>
            <w:pPr>
              <w:spacing w:after="0" w:line="20" w:lineRule="exact"/>
              <w:rPr>
                <w:sz w:val="1"/>
                <w:szCs w:val="1"/>
                <w:color w:val="auto"/>
              </w:rPr>
            </w:pPr>
          </w:p>
        </w:tc>
        <w:tc>
          <w:tcPr>
            <w:tcW w:w="320" w:type="dxa"/>
            <w:vAlign w:val="bottom"/>
            <w:tcBorders>
              <w:bottom w:val="single" w:sz="8" w:color="EEEEEE"/>
            </w:tcBorders>
          </w:tcPr>
          <w:p>
            <w:pPr>
              <w:spacing w:after="0" w:line="20" w:lineRule="exact"/>
              <w:rPr>
                <w:sz w:val="1"/>
                <w:szCs w:val="1"/>
                <w:color w:val="auto"/>
              </w:rPr>
            </w:pPr>
          </w:p>
        </w:tc>
        <w:tc>
          <w:tcPr>
            <w:tcW w:w="940" w:type="dxa"/>
            <w:vAlign w:val="bottom"/>
            <w:tcBorders>
              <w:bottom w:val="single" w:sz="8" w:color="EEEEEE"/>
            </w:tcBorders>
          </w:tcPr>
          <w:p>
            <w:pPr>
              <w:spacing w:after="0" w:line="20" w:lineRule="exact"/>
              <w:rPr>
                <w:sz w:val="1"/>
                <w:szCs w:val="1"/>
                <w:color w:val="auto"/>
              </w:rPr>
            </w:pPr>
          </w:p>
        </w:tc>
        <w:tc>
          <w:tcPr>
            <w:tcW w:w="420" w:type="dxa"/>
            <w:vAlign w:val="bottom"/>
            <w:tcBorders>
              <w:bottom w:val="single" w:sz="8" w:color="EEEEEE"/>
            </w:tcBorders>
          </w:tcPr>
          <w:p>
            <w:pPr>
              <w:spacing w:after="0" w:line="20" w:lineRule="exact"/>
              <w:rPr>
                <w:sz w:val="1"/>
                <w:szCs w:val="1"/>
                <w:color w:val="auto"/>
              </w:rPr>
            </w:pPr>
          </w:p>
        </w:tc>
        <w:tc>
          <w:tcPr>
            <w:tcW w:w="920" w:type="dxa"/>
            <w:vAlign w:val="bottom"/>
            <w:tcBorders>
              <w:bottom w:val="single" w:sz="8" w:color="EEEEEE"/>
            </w:tcBorders>
          </w:tcPr>
          <w:p>
            <w:pPr>
              <w:spacing w:after="0" w:line="20" w:lineRule="exact"/>
              <w:rPr>
                <w:sz w:val="1"/>
                <w:szCs w:val="1"/>
                <w:color w:val="auto"/>
              </w:rPr>
            </w:pPr>
          </w:p>
        </w:tc>
        <w:tc>
          <w:tcPr>
            <w:tcW w:w="280" w:type="dxa"/>
            <w:vAlign w:val="bottom"/>
            <w:tcBorders>
              <w:bottom w:val="single" w:sz="8" w:color="EEEEEE"/>
            </w:tcBorders>
          </w:tcPr>
          <w:p>
            <w:pPr>
              <w:spacing w:after="0" w:line="20" w:lineRule="exact"/>
              <w:rPr>
                <w:sz w:val="1"/>
                <w:szCs w:val="1"/>
                <w:color w:val="auto"/>
              </w:rPr>
            </w:pPr>
          </w:p>
        </w:tc>
        <w:tc>
          <w:tcPr>
            <w:tcW w:w="980" w:type="dxa"/>
            <w:vAlign w:val="bottom"/>
            <w:tcBorders>
              <w:bottom w:val="single" w:sz="8" w:color="EEEEEE"/>
            </w:tcBorders>
          </w:tcPr>
          <w:p>
            <w:pPr>
              <w:spacing w:after="0" w:line="20" w:lineRule="exact"/>
              <w:rPr>
                <w:sz w:val="1"/>
                <w:szCs w:val="1"/>
                <w:color w:val="auto"/>
              </w:rPr>
            </w:pPr>
          </w:p>
        </w:tc>
        <w:tc>
          <w:tcPr>
            <w:tcW w:w="340" w:type="dxa"/>
            <w:vAlign w:val="bottom"/>
            <w:tcBorders>
              <w:bottom w:val="single" w:sz="8" w:color="EEEEEE"/>
            </w:tcBorders>
          </w:tcPr>
          <w:p>
            <w:pPr>
              <w:spacing w:after="0" w:line="20" w:lineRule="exact"/>
              <w:rPr>
                <w:sz w:val="1"/>
                <w:szCs w:val="1"/>
                <w:color w:val="auto"/>
              </w:rPr>
            </w:pPr>
          </w:p>
        </w:tc>
        <w:tc>
          <w:tcPr>
            <w:tcW w:w="8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4" w:name="page15"/>
    <w:bookmarkEnd w:id="14"/>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The Company adopted ASU 2016-09 during the first quarter of 2017. As a result, excess tax benefits and tax deficiencies are no longer included as assumed proceeds in the calculation of diluted shares outstanding. This change was adopted prospectively.</w:t>
      </w:r>
    </w:p>
    <w:p>
      <w:pPr>
        <w:spacing w:after="0" w:line="97"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Contingently issuable shares of 0.4 million and 0.3 million have not been included as the vesting conditions have not been satisfied as of October 28, 2017 and October 29, 2016, respectively. These shares relate to restricted stock units issued in connection with the Company’s long-term incentive program.</w:t>
      </w:r>
    </w:p>
    <w:p>
      <w:pPr>
        <w:spacing w:after="0" w:line="1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12. Pension and Postretirement Plans</w:t>
      </w:r>
    </w:p>
    <w:p>
      <w:pPr>
        <w:spacing w:after="0" w:line="186"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Company has defined benefit pension plans covering certain of its North American employees, which are funded in accordance with the provisions of the laws where the plans are in effect. The Company also has a defined benefit pension plan covering certain employees of the Runners Point Group.</w:t>
      </w:r>
    </w:p>
    <w:p>
      <w:pPr>
        <w:spacing w:after="0" w:line="153"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In addition to providing pension benefits, the Company sponsors postretirement medical and life insurance plans, which are available to most of its retired U.S. employees. These medical and life insurance plans are contributory and are not funded.</w:t>
      </w:r>
    </w:p>
    <w:p>
      <w:pPr>
        <w:spacing w:after="0" w:line="146"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The following are the components of net periodic pension benefit cost and net periodic postretirement benefit income, which are recognized as part of SG&amp;A expense:</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3"/>
          </w:tcPr>
          <w:p>
            <w:pPr>
              <w:ind w:left="120"/>
              <w:spacing w:after="0"/>
              <w:rPr>
                <w:sz w:val="20"/>
                <w:szCs w:val="20"/>
                <w:color w:val="auto"/>
              </w:rPr>
            </w:pPr>
            <w:r>
              <w:rPr>
                <w:rFonts w:ascii="Arial" w:cs="Arial" w:eastAsia="Arial" w:hAnsi="Arial"/>
                <w:sz w:val="15"/>
                <w:szCs w:val="15"/>
                <w:b w:val="1"/>
                <w:bCs w:val="1"/>
                <w:color w:val="auto"/>
              </w:rPr>
              <w:t>Pension Benefits</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620"/>
              <w:spacing w:after="0"/>
              <w:rPr>
                <w:sz w:val="20"/>
                <w:szCs w:val="20"/>
                <w:color w:val="auto"/>
              </w:rPr>
            </w:pPr>
            <w:r>
              <w:rPr>
                <w:rFonts w:ascii="Arial" w:cs="Arial" w:eastAsia="Arial" w:hAnsi="Arial"/>
                <w:sz w:val="15"/>
                <w:szCs w:val="15"/>
                <w:b w:val="1"/>
                <w:bCs w:val="1"/>
                <w:color w:val="auto"/>
              </w:rPr>
              <w:t>Postretirement Benefits</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2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3"/>
          </w:tcPr>
          <w:p>
            <w:pPr>
              <w:jc w:val="center"/>
              <w:ind w:right="183"/>
              <w:spacing w:after="0" w:line="139" w:lineRule="exact"/>
              <w:rPr>
                <w:sz w:val="20"/>
                <w:szCs w:val="20"/>
                <w:color w:val="auto"/>
              </w:rPr>
            </w:pPr>
            <w:r>
              <w:rPr>
                <w:rFonts w:ascii="Arial" w:cs="Arial" w:eastAsia="Arial" w:hAnsi="Arial"/>
                <w:sz w:val="15"/>
                <w:szCs w:val="15"/>
                <w:b w:val="1"/>
                <w:bCs w:val="1"/>
                <w:color w:val="auto"/>
              </w:rPr>
              <w:t>Thirty-nine weeks</w:t>
            </w:r>
          </w:p>
        </w:tc>
        <w:tc>
          <w:tcPr>
            <w:tcW w:w="2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60" w:type="dxa"/>
            <w:vAlign w:val="bottom"/>
            <w:gridSpan w:val="3"/>
          </w:tcPr>
          <w:p>
            <w:pPr>
              <w:jc w:val="right"/>
              <w:ind w:right="83"/>
              <w:spacing w:after="0" w:line="139" w:lineRule="exact"/>
              <w:rPr>
                <w:sz w:val="20"/>
                <w:szCs w:val="20"/>
                <w:color w:val="auto"/>
              </w:rPr>
            </w:pPr>
            <w:r>
              <w:rPr>
                <w:rFonts w:ascii="Arial" w:cs="Arial" w:eastAsia="Arial" w:hAnsi="Arial"/>
                <w:sz w:val="15"/>
                <w:szCs w:val="15"/>
                <w:b w:val="1"/>
                <w:bCs w:val="1"/>
                <w:color w:val="auto"/>
              </w:rPr>
              <w:t>Thirty-nine weeks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00" w:type="dxa"/>
            <w:vAlign w:val="bottom"/>
          </w:tcPr>
          <w:p>
            <w:pPr>
              <w:spacing w:after="0"/>
              <w:rPr>
                <w:sz w:val="16"/>
                <w:szCs w:val="16"/>
                <w:color w:val="auto"/>
              </w:rPr>
            </w:pPr>
          </w:p>
        </w:tc>
        <w:tc>
          <w:tcPr>
            <w:tcW w:w="1820" w:type="dxa"/>
            <w:vAlign w:val="bottom"/>
            <w:gridSpan w:val="4"/>
          </w:tcPr>
          <w:p>
            <w:pPr>
              <w:jc w:val="right"/>
              <w:ind w:right="63"/>
              <w:spacing w:after="0"/>
              <w:rPr>
                <w:sz w:val="20"/>
                <w:szCs w:val="20"/>
                <w:color w:val="auto"/>
              </w:rPr>
            </w:pPr>
            <w:r>
              <w:rPr>
                <w:rFonts w:ascii="Arial" w:cs="Arial" w:eastAsia="Arial" w:hAnsi="Arial"/>
                <w:sz w:val="15"/>
                <w:szCs w:val="15"/>
                <w:b w:val="1"/>
                <w:bCs w:val="1"/>
                <w:color w:val="auto"/>
              </w:rPr>
              <w:t>Thirteen weeks ended</w:t>
            </w:r>
          </w:p>
        </w:tc>
        <w:tc>
          <w:tcPr>
            <w:tcW w:w="200" w:type="dxa"/>
            <w:vAlign w:val="bottom"/>
          </w:tcPr>
          <w:p>
            <w:pPr>
              <w:spacing w:after="0"/>
              <w:rPr>
                <w:sz w:val="16"/>
                <w:szCs w:val="16"/>
                <w:color w:val="auto"/>
              </w:rPr>
            </w:pPr>
          </w:p>
        </w:tc>
        <w:tc>
          <w:tcPr>
            <w:tcW w:w="1560" w:type="dxa"/>
            <w:vAlign w:val="bottom"/>
            <w:gridSpan w:val="3"/>
          </w:tcPr>
          <w:p>
            <w:pPr>
              <w:jc w:val="center"/>
              <w:ind w:right="183"/>
              <w:spacing w:after="0"/>
              <w:rPr>
                <w:sz w:val="20"/>
                <w:szCs w:val="20"/>
                <w:color w:val="auto"/>
              </w:rPr>
            </w:pPr>
            <w:r>
              <w:rPr>
                <w:rFonts w:ascii="Arial" w:cs="Arial" w:eastAsia="Arial" w:hAnsi="Arial"/>
                <w:sz w:val="15"/>
                <w:szCs w:val="15"/>
                <w:b w:val="1"/>
                <w:bCs w:val="1"/>
                <w:color w:val="auto"/>
              </w:rPr>
              <w:t>ended</w:t>
            </w:r>
          </w:p>
        </w:tc>
        <w:tc>
          <w:tcPr>
            <w:tcW w:w="1780" w:type="dxa"/>
            <w:vAlign w:val="bottom"/>
            <w:gridSpan w:val="3"/>
          </w:tcPr>
          <w:p>
            <w:pPr>
              <w:jc w:val="right"/>
              <w:ind w:right="23"/>
              <w:spacing w:after="0"/>
              <w:rPr>
                <w:sz w:val="20"/>
                <w:szCs w:val="20"/>
                <w:color w:val="auto"/>
              </w:rPr>
            </w:pPr>
            <w:r>
              <w:rPr>
                <w:rFonts w:ascii="Arial" w:cs="Arial" w:eastAsia="Arial" w:hAnsi="Arial"/>
                <w:sz w:val="15"/>
                <w:szCs w:val="15"/>
                <w:b w:val="1"/>
                <w:bCs w:val="1"/>
                <w:color w:val="auto"/>
              </w:rPr>
              <w:t>Thirteen weeks ended</w:t>
            </w:r>
          </w:p>
        </w:tc>
        <w:tc>
          <w:tcPr>
            <w:tcW w:w="180" w:type="dxa"/>
            <w:vAlign w:val="bottom"/>
          </w:tcPr>
          <w:p>
            <w:pPr>
              <w:spacing w:after="0"/>
              <w:rPr>
                <w:sz w:val="16"/>
                <w:szCs w:val="16"/>
                <w:color w:val="auto"/>
              </w:rPr>
            </w:pPr>
          </w:p>
        </w:tc>
        <w:tc>
          <w:tcPr>
            <w:tcW w:w="1480" w:type="dxa"/>
            <w:vAlign w:val="bottom"/>
            <w:gridSpan w:val="4"/>
          </w:tcPr>
          <w:p>
            <w:pPr>
              <w:jc w:val="right"/>
              <w:ind w:right="620"/>
              <w:spacing w:after="0"/>
              <w:rPr>
                <w:sz w:val="20"/>
                <w:szCs w:val="20"/>
                <w:color w:val="auto"/>
              </w:rPr>
            </w:pPr>
            <w:r>
              <w:rPr>
                <w:rFonts w:ascii="Arial" w:cs="Arial" w:eastAsia="Arial" w:hAnsi="Arial"/>
                <w:sz w:val="15"/>
                <w:szCs w:val="15"/>
                <w:b w:val="1"/>
                <w:bCs w:val="1"/>
                <w:color w:val="auto"/>
              </w:rPr>
              <w:t>ended</w:t>
            </w:r>
          </w:p>
        </w:tc>
        <w:tc>
          <w:tcPr>
            <w:tcW w:w="0" w:type="dxa"/>
            <w:vAlign w:val="bottom"/>
          </w:tcPr>
          <w:p>
            <w:pPr>
              <w:spacing w:after="0"/>
              <w:rPr>
                <w:sz w:val="1"/>
                <w:szCs w:val="1"/>
                <w:color w:val="auto"/>
              </w:rPr>
            </w:pPr>
          </w:p>
        </w:tc>
      </w:tr>
      <w:tr>
        <w:trPr>
          <w:trHeight w:val="139"/>
        </w:trPr>
        <w:tc>
          <w:tcPr>
            <w:tcW w:w="21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5"/>
                <w:szCs w:val="15"/>
                <w:b w:val="1"/>
                <w:bCs w:val="1"/>
                <w:color w:val="auto"/>
              </w:rPr>
              <w:t>Oct. 28,</w:t>
            </w:r>
          </w:p>
        </w:tc>
        <w:tc>
          <w:tcPr>
            <w:tcW w:w="14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ind w:right="143"/>
              <w:spacing w:after="0" w:line="139" w:lineRule="exact"/>
              <w:rPr>
                <w:sz w:val="20"/>
                <w:szCs w:val="20"/>
                <w:color w:val="auto"/>
              </w:rPr>
            </w:pPr>
            <w:r>
              <w:rPr>
                <w:rFonts w:ascii="Arial" w:cs="Arial" w:eastAsia="Arial" w:hAnsi="Arial"/>
                <w:sz w:val="15"/>
                <w:szCs w:val="15"/>
                <w:b w:val="1"/>
                <w:bCs w:val="1"/>
                <w:color w:val="auto"/>
              </w:rPr>
              <w:t>Oct. 29,</w:t>
            </w:r>
          </w:p>
        </w:tc>
        <w:tc>
          <w:tcPr>
            <w:tcW w:w="860" w:type="dxa"/>
            <w:vAlign w:val="bottom"/>
            <w:tcBorders>
              <w:top w:val="single" w:sz="8" w:color="auto"/>
            </w:tcBorders>
            <w:gridSpan w:val="2"/>
          </w:tcPr>
          <w:p>
            <w:pPr>
              <w:jc w:val="center"/>
              <w:spacing w:after="0" w:line="139" w:lineRule="exact"/>
              <w:rPr>
                <w:sz w:val="20"/>
                <w:szCs w:val="20"/>
                <w:color w:val="auto"/>
              </w:rPr>
            </w:pPr>
            <w:r>
              <w:rPr>
                <w:rFonts w:ascii="Arial" w:cs="Arial" w:eastAsia="Arial" w:hAnsi="Arial"/>
                <w:sz w:val="15"/>
                <w:szCs w:val="15"/>
                <w:b w:val="1"/>
                <w:bCs w:val="1"/>
                <w:color w:val="auto"/>
              </w:rPr>
              <w:t>Oct. 28,</w:t>
            </w:r>
          </w:p>
        </w:tc>
        <w:tc>
          <w:tcPr>
            <w:tcW w:w="1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center"/>
              <w:ind w:right="83"/>
              <w:spacing w:after="0" w:line="139" w:lineRule="exact"/>
              <w:rPr>
                <w:sz w:val="20"/>
                <w:szCs w:val="20"/>
                <w:color w:val="auto"/>
              </w:rPr>
            </w:pPr>
            <w:r>
              <w:rPr>
                <w:rFonts w:ascii="Arial" w:cs="Arial" w:eastAsia="Arial" w:hAnsi="Arial"/>
                <w:sz w:val="15"/>
                <w:szCs w:val="15"/>
                <w:b w:val="1"/>
                <w:bCs w:val="1"/>
                <w:color w:val="auto"/>
              </w:rPr>
              <w:t>Oct. 29,</w:t>
            </w:r>
          </w:p>
        </w:tc>
        <w:tc>
          <w:tcPr>
            <w:tcW w:w="1020" w:type="dxa"/>
            <w:vAlign w:val="bottom"/>
            <w:tcBorders>
              <w:top w:val="single" w:sz="8" w:color="auto"/>
            </w:tcBorders>
            <w:gridSpan w:val="2"/>
          </w:tcPr>
          <w:p>
            <w:pPr>
              <w:ind w:left="160"/>
              <w:spacing w:after="0" w:line="139" w:lineRule="exact"/>
              <w:rPr>
                <w:sz w:val="20"/>
                <w:szCs w:val="20"/>
                <w:color w:val="auto"/>
              </w:rPr>
            </w:pPr>
            <w:r>
              <w:rPr>
                <w:rFonts w:ascii="Arial" w:cs="Arial" w:eastAsia="Arial" w:hAnsi="Arial"/>
                <w:sz w:val="15"/>
                <w:szCs w:val="15"/>
                <w:b w:val="1"/>
                <w:bCs w:val="1"/>
                <w:color w:val="auto"/>
              </w:rPr>
              <w:t>Oct. 28,</w:t>
            </w:r>
          </w:p>
        </w:tc>
        <w:tc>
          <w:tcPr>
            <w:tcW w:w="760" w:type="dxa"/>
            <w:vAlign w:val="bottom"/>
            <w:tcBorders>
              <w:top w:val="single" w:sz="8" w:color="auto"/>
            </w:tcBorders>
          </w:tcPr>
          <w:p>
            <w:pPr>
              <w:jc w:val="right"/>
              <w:ind w:right="123"/>
              <w:spacing w:after="0" w:line="139" w:lineRule="exact"/>
              <w:rPr>
                <w:sz w:val="20"/>
                <w:szCs w:val="20"/>
                <w:color w:val="auto"/>
              </w:rPr>
            </w:pPr>
            <w:r>
              <w:rPr>
                <w:rFonts w:ascii="Arial" w:cs="Arial" w:eastAsia="Arial" w:hAnsi="Arial"/>
                <w:sz w:val="15"/>
                <w:szCs w:val="15"/>
                <w:b w:val="1"/>
                <w:bCs w:val="1"/>
                <w:color w:val="auto"/>
                <w:w w:val="99"/>
              </w:rPr>
              <w:t>Oct. 29,</w:t>
            </w:r>
          </w:p>
        </w:tc>
        <w:tc>
          <w:tcPr>
            <w:tcW w:w="840" w:type="dxa"/>
            <w:vAlign w:val="bottom"/>
            <w:tcBorders>
              <w:top w:val="single" w:sz="8" w:color="auto"/>
            </w:tcBorders>
            <w:gridSpan w:val="2"/>
          </w:tcPr>
          <w:p>
            <w:pPr>
              <w:jc w:val="right"/>
              <w:ind w:right="103"/>
              <w:spacing w:after="0" w:line="139" w:lineRule="exact"/>
              <w:rPr>
                <w:sz w:val="20"/>
                <w:szCs w:val="20"/>
                <w:color w:val="auto"/>
              </w:rPr>
            </w:pPr>
            <w:r>
              <w:rPr>
                <w:rFonts w:ascii="Arial" w:cs="Arial" w:eastAsia="Arial" w:hAnsi="Arial"/>
                <w:sz w:val="15"/>
                <w:szCs w:val="15"/>
                <w:b w:val="1"/>
                <w:bCs w:val="1"/>
                <w:color w:val="auto"/>
              </w:rPr>
              <w:t>Oct. 28,</w:t>
            </w:r>
          </w:p>
        </w:tc>
        <w:tc>
          <w:tcPr>
            <w:tcW w:w="12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3"/>
              <w:spacing w:after="0" w:line="139" w:lineRule="exact"/>
              <w:rPr>
                <w:sz w:val="20"/>
                <w:szCs w:val="20"/>
                <w:color w:val="auto"/>
              </w:rPr>
            </w:pPr>
            <w:r>
              <w:rPr>
                <w:rFonts w:ascii="Arial" w:cs="Arial" w:eastAsia="Arial" w:hAnsi="Arial"/>
                <w:sz w:val="15"/>
                <w:szCs w:val="15"/>
                <w:b w:val="1"/>
                <w:bCs w:val="1"/>
                <w:color w:val="auto"/>
              </w:rPr>
              <w:t>Oct. 29,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4"/>
        </w:trPr>
        <w:tc>
          <w:tcPr>
            <w:tcW w:w="21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in millions)</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2017</w:t>
            </w: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ind w:left="140"/>
              <w:spacing w:after="0"/>
              <w:rPr>
                <w:sz w:val="20"/>
                <w:szCs w:val="20"/>
                <w:color w:val="auto"/>
              </w:rPr>
            </w:pPr>
            <w:r>
              <w:rPr>
                <w:rFonts w:ascii="Arial" w:cs="Arial" w:eastAsia="Arial" w:hAnsi="Arial"/>
                <w:sz w:val="15"/>
                <w:szCs w:val="15"/>
                <w:b w:val="1"/>
                <w:bCs w:val="1"/>
                <w:color w:val="auto"/>
              </w:rPr>
              <w:t>2016</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2017</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2016</w:t>
            </w:r>
          </w:p>
        </w:tc>
        <w:tc>
          <w:tcPr>
            <w:tcW w:w="2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20"/>
              <w:spacing w:after="0"/>
              <w:rPr>
                <w:sz w:val="20"/>
                <w:szCs w:val="20"/>
                <w:color w:val="auto"/>
              </w:rPr>
            </w:pPr>
            <w:r>
              <w:rPr>
                <w:rFonts w:ascii="Arial" w:cs="Arial" w:eastAsia="Arial" w:hAnsi="Arial"/>
                <w:sz w:val="15"/>
                <w:szCs w:val="15"/>
                <w:b w:val="1"/>
                <w:bCs w:val="1"/>
                <w:color w:val="auto"/>
              </w:rPr>
              <w:t>2017</w:t>
            </w:r>
          </w:p>
        </w:tc>
        <w:tc>
          <w:tcPr>
            <w:tcW w:w="7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2016</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2017</w:t>
            </w: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4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100" w:type="dxa"/>
            <w:vAlign w:val="bottom"/>
            <w:shd w:val="clear" w:color="auto" w:fill="CCEEFF"/>
          </w:tcPr>
          <w:p>
            <w:pPr>
              <w:spacing w:after="0"/>
              <w:rPr>
                <w:sz w:val="20"/>
                <w:szCs w:val="20"/>
                <w:color w:val="auto"/>
              </w:rPr>
            </w:pPr>
            <w:r>
              <w:rPr>
                <w:rFonts w:ascii="Arial" w:cs="Arial" w:eastAsia="Arial" w:hAnsi="Arial"/>
                <w:sz w:val="15"/>
                <w:szCs w:val="15"/>
                <w:color w:val="auto"/>
              </w:rPr>
              <w:t>Service cost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jc w:val="center"/>
              <w:ind w:left="303"/>
              <w:spacing w:after="0"/>
              <w:rPr>
                <w:sz w:val="20"/>
                <w:szCs w:val="20"/>
                <w:color w:val="auto"/>
              </w:rPr>
            </w:pPr>
            <w:r>
              <w:rPr>
                <w:rFonts w:ascii="Arial" w:cs="Arial" w:eastAsia="Arial" w:hAnsi="Arial"/>
                <w:sz w:val="15"/>
                <w:szCs w:val="15"/>
                <w:b w:val="1"/>
                <w:bCs w:val="1"/>
                <w:color w:val="auto"/>
                <w:w w:val="95"/>
              </w:rPr>
              <w:t>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4</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shd w:val="clear" w:color="auto" w:fill="CCEEFF"/>
          </w:tcPr>
          <w:p>
            <w:pPr>
              <w:jc w:val="center"/>
              <w:ind w:left="223"/>
              <w:spacing w:after="0"/>
              <w:rPr>
                <w:sz w:val="20"/>
                <w:szCs w:val="20"/>
                <w:color w:val="auto"/>
              </w:rPr>
            </w:pPr>
            <w:r>
              <w:rPr>
                <w:rFonts w:ascii="Arial" w:cs="Arial" w:eastAsia="Arial" w:hAnsi="Arial"/>
                <w:sz w:val="15"/>
                <w:szCs w:val="15"/>
                <w:b w:val="1"/>
                <w:bCs w:val="1"/>
                <w:color w:val="auto"/>
                <w:w w:val="95"/>
              </w:rPr>
              <w:t>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shd w:val="clear" w:color="auto" w:fill="CCEEFF"/>
          </w:tcPr>
          <w:p>
            <w:pPr>
              <w:jc w:val="center"/>
              <w:ind w:left="323"/>
              <w:spacing w:after="0"/>
              <w:rPr>
                <w:sz w:val="20"/>
                <w:szCs w:val="20"/>
                <w:color w:val="auto"/>
              </w:rPr>
            </w:pPr>
            <w:r>
              <w:rPr>
                <w:rFonts w:ascii="Arial" w:cs="Arial" w:eastAsia="Arial" w:hAnsi="Arial"/>
                <w:sz w:val="15"/>
                <w:szCs w:val="15"/>
                <w:color w:val="auto"/>
                <w:w w:val="95"/>
              </w:rPr>
              <w:t>12</w:t>
            </w:r>
          </w:p>
        </w:tc>
        <w:tc>
          <w:tcPr>
            <w:tcW w:w="240" w:type="dxa"/>
            <w:vAlign w:val="bottom"/>
            <w:shd w:val="clear" w:color="auto" w:fill="CCEEFF"/>
          </w:tcPr>
          <w:p>
            <w:pPr>
              <w:ind w:left="140"/>
              <w:spacing w:after="0"/>
              <w:rPr>
                <w:sz w:val="20"/>
                <w:szCs w:val="20"/>
                <w:color w:val="auto"/>
              </w:rPr>
            </w:pPr>
            <w:r>
              <w:rPr>
                <w:rFonts w:ascii="Arial" w:cs="Arial" w:eastAsia="Arial" w:hAnsi="Arial"/>
                <w:sz w:val="15"/>
                <w:szCs w:val="15"/>
                <w:b w:val="1"/>
                <w:bCs w:val="1"/>
                <w:color w:val="auto"/>
                <w:w w:val="95"/>
              </w:rPr>
              <w:t>$</w:t>
            </w:r>
          </w:p>
        </w:tc>
        <w:tc>
          <w:tcPr>
            <w:tcW w:w="780" w:type="dxa"/>
            <w:vAlign w:val="bottom"/>
            <w:shd w:val="clear" w:color="auto" w:fill="CCEEFF"/>
          </w:tcPr>
          <w:p>
            <w:pPr>
              <w:ind w:left="4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100" w:type="dxa"/>
            <w:vAlign w:val="bottom"/>
          </w:tcPr>
          <w:p>
            <w:pPr>
              <w:spacing w:after="0"/>
              <w:rPr>
                <w:sz w:val="20"/>
                <w:szCs w:val="20"/>
                <w:color w:val="auto"/>
              </w:rPr>
            </w:pPr>
            <w:r>
              <w:rPr>
                <w:rFonts w:ascii="Arial" w:cs="Arial" w:eastAsia="Arial" w:hAnsi="Arial"/>
                <w:sz w:val="15"/>
                <w:szCs w:val="15"/>
                <w:color w:val="auto"/>
              </w:rPr>
              <w:t>Interest cost</w:t>
            </w:r>
          </w:p>
        </w:tc>
        <w:tc>
          <w:tcPr>
            <w:tcW w:w="220" w:type="dxa"/>
            <w:vAlign w:val="bottom"/>
          </w:tcPr>
          <w:p>
            <w:pPr>
              <w:spacing w:after="0"/>
              <w:rPr>
                <w:sz w:val="17"/>
                <w:szCs w:val="17"/>
                <w:color w:val="auto"/>
              </w:rPr>
            </w:pPr>
          </w:p>
        </w:tc>
        <w:tc>
          <w:tcPr>
            <w:tcW w:w="660" w:type="dxa"/>
            <w:vAlign w:val="bottom"/>
          </w:tcPr>
          <w:p>
            <w:pPr>
              <w:jc w:val="center"/>
              <w:ind w:left="303"/>
              <w:spacing w:after="0"/>
              <w:rPr>
                <w:sz w:val="20"/>
                <w:szCs w:val="20"/>
                <w:color w:val="auto"/>
              </w:rPr>
            </w:pPr>
            <w:r>
              <w:rPr>
                <w:rFonts w:ascii="Arial" w:cs="Arial" w:eastAsia="Arial" w:hAnsi="Arial"/>
                <w:sz w:val="15"/>
                <w:szCs w:val="15"/>
                <w:b w:val="1"/>
                <w:bCs w:val="1"/>
                <w:color w:val="auto"/>
                <w:w w:val="95"/>
              </w:rPr>
              <w:t>6</w:t>
            </w:r>
          </w:p>
        </w:tc>
        <w:tc>
          <w:tcPr>
            <w:tcW w:w="140" w:type="dxa"/>
            <w:vAlign w:val="bottom"/>
          </w:tcPr>
          <w:p>
            <w:pPr>
              <w:spacing w:after="0"/>
              <w:rPr>
                <w:sz w:val="17"/>
                <w:szCs w:val="17"/>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6</w:t>
            </w:r>
          </w:p>
        </w:tc>
        <w:tc>
          <w:tcPr>
            <w:tcW w:w="200" w:type="dxa"/>
            <w:vAlign w:val="bottom"/>
          </w:tcPr>
          <w:p>
            <w:pPr>
              <w:spacing w:after="0"/>
              <w:rPr>
                <w:sz w:val="17"/>
                <w:szCs w:val="17"/>
                <w:color w:val="auto"/>
              </w:rPr>
            </w:pPr>
          </w:p>
        </w:tc>
        <w:tc>
          <w:tcPr>
            <w:tcW w:w="660" w:type="dxa"/>
            <w:vAlign w:val="bottom"/>
          </w:tcPr>
          <w:p>
            <w:pPr>
              <w:jc w:val="center"/>
              <w:ind w:left="223"/>
              <w:spacing w:after="0"/>
              <w:rPr>
                <w:sz w:val="20"/>
                <w:szCs w:val="20"/>
                <w:color w:val="auto"/>
              </w:rPr>
            </w:pPr>
            <w:r>
              <w:rPr>
                <w:rFonts w:ascii="Arial" w:cs="Arial" w:eastAsia="Arial" w:hAnsi="Arial"/>
                <w:sz w:val="15"/>
                <w:szCs w:val="15"/>
                <w:b w:val="1"/>
                <w:bCs w:val="1"/>
                <w:color w:val="auto"/>
                <w:w w:val="95"/>
              </w:rPr>
              <w:t>19</w:t>
            </w:r>
          </w:p>
        </w:tc>
        <w:tc>
          <w:tcPr>
            <w:tcW w:w="140" w:type="dxa"/>
            <w:vAlign w:val="bottom"/>
          </w:tcPr>
          <w:p>
            <w:pPr>
              <w:spacing w:after="0"/>
              <w:rPr>
                <w:sz w:val="17"/>
                <w:szCs w:val="17"/>
                <w:color w:val="auto"/>
              </w:rPr>
            </w:pPr>
          </w:p>
        </w:tc>
        <w:tc>
          <w:tcPr>
            <w:tcW w:w="760" w:type="dxa"/>
            <w:vAlign w:val="bottom"/>
          </w:tcPr>
          <w:p>
            <w:pPr>
              <w:jc w:val="center"/>
              <w:ind w:left="323"/>
              <w:spacing w:after="0"/>
              <w:rPr>
                <w:sz w:val="20"/>
                <w:szCs w:val="20"/>
                <w:color w:val="auto"/>
              </w:rPr>
            </w:pPr>
            <w:r>
              <w:rPr>
                <w:rFonts w:ascii="Arial" w:cs="Arial" w:eastAsia="Arial" w:hAnsi="Arial"/>
                <w:sz w:val="15"/>
                <w:szCs w:val="15"/>
                <w:color w:val="auto"/>
                <w:w w:val="95"/>
              </w:rPr>
              <w:t>19</w:t>
            </w:r>
          </w:p>
        </w:tc>
        <w:tc>
          <w:tcPr>
            <w:tcW w:w="240" w:type="dxa"/>
            <w:vAlign w:val="bottom"/>
          </w:tcPr>
          <w:p>
            <w:pPr>
              <w:spacing w:after="0"/>
              <w:rPr>
                <w:sz w:val="17"/>
                <w:szCs w:val="17"/>
                <w:color w:val="auto"/>
              </w:rPr>
            </w:pPr>
          </w:p>
        </w:tc>
        <w:tc>
          <w:tcPr>
            <w:tcW w:w="780" w:type="dxa"/>
            <w:vAlign w:val="bottom"/>
          </w:tcPr>
          <w:p>
            <w:pPr>
              <w:ind w:left="44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jc w:val="right"/>
              <w:ind w:right="43"/>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100" w:type="dxa"/>
            <w:vAlign w:val="bottom"/>
            <w:shd w:val="clear" w:color="auto" w:fill="CCEEFF"/>
          </w:tcPr>
          <w:p>
            <w:pPr>
              <w:spacing w:after="0"/>
              <w:rPr>
                <w:sz w:val="20"/>
                <w:szCs w:val="20"/>
                <w:color w:val="auto"/>
              </w:rPr>
            </w:pPr>
            <w:r>
              <w:rPr>
                <w:rFonts w:ascii="Arial" w:cs="Arial" w:eastAsia="Arial" w:hAnsi="Arial"/>
                <w:sz w:val="15"/>
                <w:szCs w:val="15"/>
                <w:color w:val="auto"/>
              </w:rPr>
              <w:t>Expected return on plan</w:t>
            </w:r>
          </w:p>
        </w:tc>
        <w:tc>
          <w:tcPr>
            <w:tcW w:w="22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center"/>
              <w:ind w:left="283"/>
              <w:spacing w:after="0"/>
              <w:rPr>
                <w:sz w:val="20"/>
                <w:szCs w:val="20"/>
                <w:color w:val="auto"/>
              </w:rPr>
            </w:pPr>
            <w:r>
              <w:rPr>
                <w:rFonts w:ascii="Arial" w:cs="Arial" w:eastAsia="Arial" w:hAnsi="Arial"/>
                <w:sz w:val="15"/>
                <w:szCs w:val="15"/>
                <w:b w:val="1"/>
                <w:bCs w:val="1"/>
                <w:color w:val="auto"/>
                <w:w w:val="97"/>
              </w:rPr>
              <w:t>(9)</w:t>
            </w:r>
          </w:p>
        </w:tc>
        <w:tc>
          <w:tcPr>
            <w:tcW w:w="1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center"/>
              <w:ind w:left="203"/>
              <w:spacing w:after="0"/>
              <w:rPr>
                <w:sz w:val="20"/>
                <w:szCs w:val="20"/>
                <w:color w:val="auto"/>
              </w:rPr>
            </w:pPr>
            <w:r>
              <w:rPr>
                <w:rFonts w:ascii="Arial" w:cs="Arial" w:eastAsia="Arial" w:hAnsi="Arial"/>
                <w:sz w:val="15"/>
                <w:szCs w:val="15"/>
                <w:b w:val="1"/>
                <w:bCs w:val="1"/>
                <w:color w:val="auto"/>
                <w:w w:val="97"/>
              </w:rPr>
              <w:t>(28)</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80" w:type="dxa"/>
            <w:vAlign w:val="bottom"/>
            <w:vMerge w:val="restart"/>
            <w:shd w:val="clear" w:color="auto" w:fill="CCEEFF"/>
          </w:tcPr>
          <w:p>
            <w:pPr>
              <w:ind w:left="440"/>
              <w:spacing w:after="0"/>
              <w:rPr>
                <w:sz w:val="20"/>
                <w:szCs w:val="20"/>
                <w:color w:val="auto"/>
              </w:rPr>
            </w:pPr>
            <w:r>
              <w:rPr>
                <w:rFonts w:ascii="Arial" w:cs="Arial" w:eastAsia="Arial" w:hAnsi="Arial"/>
                <w:sz w:val="15"/>
                <w:szCs w:val="15"/>
                <w:b w:val="1"/>
                <w:bCs w:val="1"/>
                <w:color w:val="auto"/>
              </w:rPr>
              <w:t>—</w:t>
            </w: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0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assets</w:t>
            </w:r>
          </w:p>
        </w:tc>
        <w:tc>
          <w:tcPr>
            <w:tcW w:w="22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(9)</w:t>
            </w:r>
          </w:p>
        </w:tc>
        <w:tc>
          <w:tcPr>
            <w:tcW w:w="20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center"/>
              <w:ind w:left="303"/>
              <w:spacing w:after="0"/>
              <w:rPr>
                <w:sz w:val="20"/>
                <w:szCs w:val="20"/>
                <w:color w:val="auto"/>
              </w:rPr>
            </w:pPr>
            <w:r>
              <w:rPr>
                <w:rFonts w:ascii="Arial" w:cs="Arial" w:eastAsia="Arial" w:hAnsi="Arial"/>
                <w:sz w:val="15"/>
                <w:szCs w:val="15"/>
                <w:color w:val="auto"/>
                <w:w w:val="97"/>
              </w:rPr>
              <w:t>(27)</w:t>
            </w:r>
          </w:p>
        </w:tc>
        <w:tc>
          <w:tcPr>
            <w:tcW w:w="240" w:type="dxa"/>
            <w:vAlign w:val="bottom"/>
            <w:shd w:val="clear" w:color="auto" w:fill="CCEEFF"/>
          </w:tcPr>
          <w:p>
            <w:pPr>
              <w:spacing w:after="0"/>
              <w:rPr>
                <w:sz w:val="15"/>
                <w:szCs w:val="15"/>
                <w:color w:val="auto"/>
              </w:rPr>
            </w:pPr>
          </w:p>
        </w:tc>
        <w:tc>
          <w:tcPr>
            <w:tcW w:w="780" w:type="dxa"/>
            <w:vAlign w:val="bottom"/>
            <w:vMerge w:val="continue"/>
            <w:shd w:val="clear" w:color="auto" w:fill="CCEEFF"/>
          </w:tcPr>
          <w:p>
            <w:pPr>
              <w:spacing w:after="0"/>
              <w:rPr>
                <w:sz w:val="15"/>
                <w:szCs w:val="15"/>
                <w:color w:val="auto"/>
              </w:rPr>
            </w:pPr>
          </w:p>
        </w:tc>
        <w:tc>
          <w:tcPr>
            <w:tcW w:w="7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100" w:type="dxa"/>
            <w:vAlign w:val="bottom"/>
          </w:tcPr>
          <w:p>
            <w:pPr>
              <w:spacing w:after="0"/>
              <w:rPr>
                <w:sz w:val="20"/>
                <w:szCs w:val="20"/>
                <w:color w:val="auto"/>
              </w:rPr>
            </w:pPr>
            <w:r>
              <w:rPr>
                <w:rFonts w:ascii="Arial" w:cs="Arial" w:eastAsia="Arial" w:hAnsi="Arial"/>
                <w:sz w:val="15"/>
                <w:szCs w:val="15"/>
                <w:color w:val="auto"/>
              </w:rPr>
              <w:t>Amortization of net loss</w:t>
            </w:r>
          </w:p>
        </w:tc>
        <w:tc>
          <w:tcPr>
            <w:tcW w:w="220" w:type="dxa"/>
            <w:vAlign w:val="bottom"/>
          </w:tcPr>
          <w:p>
            <w:pPr>
              <w:spacing w:after="0"/>
              <w:rPr>
                <w:sz w:val="16"/>
                <w:szCs w:val="16"/>
                <w:color w:val="auto"/>
              </w:rPr>
            </w:pPr>
          </w:p>
        </w:tc>
        <w:tc>
          <w:tcPr>
            <w:tcW w:w="660" w:type="dxa"/>
            <w:vAlign w:val="bottom"/>
            <w:vMerge w:val="restart"/>
          </w:tcPr>
          <w:p>
            <w:pPr>
              <w:jc w:val="center"/>
              <w:ind w:left="303"/>
              <w:spacing w:after="0"/>
              <w:rPr>
                <w:sz w:val="20"/>
                <w:szCs w:val="20"/>
                <w:color w:val="auto"/>
              </w:rPr>
            </w:pPr>
            <w:r>
              <w:rPr>
                <w:rFonts w:ascii="Arial" w:cs="Arial" w:eastAsia="Arial" w:hAnsi="Arial"/>
                <w:sz w:val="15"/>
                <w:szCs w:val="15"/>
                <w:b w:val="1"/>
                <w:bCs w:val="1"/>
                <w:color w:val="auto"/>
                <w:w w:val="95"/>
              </w:rPr>
              <w:t>3</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vMerge w:val="restart"/>
          </w:tcPr>
          <w:p>
            <w:pPr>
              <w:jc w:val="center"/>
              <w:ind w:left="223"/>
              <w:spacing w:after="0"/>
              <w:rPr>
                <w:sz w:val="20"/>
                <w:szCs w:val="20"/>
                <w:color w:val="auto"/>
              </w:rPr>
            </w:pPr>
            <w:r>
              <w:rPr>
                <w:rFonts w:ascii="Arial" w:cs="Arial" w:eastAsia="Arial" w:hAnsi="Arial"/>
                <w:sz w:val="15"/>
                <w:szCs w:val="15"/>
                <w:b w:val="1"/>
                <w:bCs w:val="1"/>
                <w:color w:val="auto"/>
                <w:w w:val="95"/>
              </w:rPr>
              <w:t>10</w:t>
            </w: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vMerge w:val="restart"/>
          </w:tcPr>
          <w:p>
            <w:pPr>
              <w:ind w:left="440"/>
              <w:spacing w:after="0"/>
              <w:rPr>
                <w:sz w:val="20"/>
                <w:szCs w:val="20"/>
                <w:color w:val="auto"/>
              </w:rPr>
            </w:pPr>
            <w:r>
              <w:rPr>
                <w:rFonts w:ascii="Arial" w:cs="Arial" w:eastAsia="Arial" w:hAnsi="Arial"/>
                <w:sz w:val="15"/>
                <w:szCs w:val="15"/>
                <w:b w:val="1"/>
                <w:bCs w:val="1"/>
                <w:color w:val="auto"/>
              </w:rPr>
              <w:t>—</w:t>
            </w: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(1)</w:t>
            </w: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100" w:type="dxa"/>
            <w:vAlign w:val="bottom"/>
          </w:tcPr>
          <w:p>
            <w:pPr>
              <w:ind w:left="160"/>
              <w:spacing w:after="0"/>
              <w:rPr>
                <w:sz w:val="20"/>
                <w:szCs w:val="20"/>
                <w:color w:val="auto"/>
              </w:rPr>
            </w:pPr>
            <w:r>
              <w:rPr>
                <w:rFonts w:ascii="Arial" w:cs="Arial" w:eastAsia="Arial" w:hAnsi="Arial"/>
                <w:sz w:val="15"/>
                <w:szCs w:val="15"/>
                <w:color w:val="auto"/>
              </w:rPr>
              <w:t>(gain)</w:t>
            </w:r>
          </w:p>
        </w:tc>
        <w:tc>
          <w:tcPr>
            <w:tcW w:w="22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jc w:val="right"/>
              <w:ind w:right="63"/>
              <w:spacing w:after="0"/>
              <w:rPr>
                <w:sz w:val="20"/>
                <w:szCs w:val="20"/>
                <w:color w:val="auto"/>
              </w:rPr>
            </w:pPr>
            <w:r>
              <w:rPr>
                <w:rFonts w:ascii="Arial" w:cs="Arial" w:eastAsia="Arial" w:hAnsi="Arial"/>
                <w:sz w:val="15"/>
                <w:szCs w:val="15"/>
                <w:color w:val="auto"/>
              </w:rPr>
              <w:t>4</w:t>
            </w:r>
          </w:p>
        </w:tc>
        <w:tc>
          <w:tcPr>
            <w:tcW w:w="2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center"/>
              <w:ind w:left="323"/>
              <w:spacing w:after="0"/>
              <w:rPr>
                <w:sz w:val="20"/>
                <w:szCs w:val="20"/>
                <w:color w:val="auto"/>
              </w:rPr>
            </w:pPr>
            <w:r>
              <w:rPr>
                <w:rFonts w:ascii="Arial" w:cs="Arial" w:eastAsia="Arial" w:hAnsi="Arial"/>
                <w:sz w:val="15"/>
                <w:szCs w:val="15"/>
                <w:color w:val="auto"/>
                <w:w w:val="95"/>
              </w:rPr>
              <w:t>11</w:t>
            </w:r>
          </w:p>
        </w:tc>
        <w:tc>
          <w:tcPr>
            <w:tcW w:w="24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60" w:type="dxa"/>
            <w:vAlign w:val="bottom"/>
          </w:tcPr>
          <w:p>
            <w:pPr>
              <w:jc w:val="right"/>
              <w:ind w:right="3"/>
              <w:spacing w:after="0"/>
              <w:rPr>
                <w:sz w:val="20"/>
                <w:szCs w:val="20"/>
                <w:color w:val="auto"/>
              </w:rPr>
            </w:pPr>
            <w:r>
              <w:rPr>
                <w:rFonts w:ascii="Arial" w:cs="Arial" w:eastAsia="Arial" w:hAnsi="Arial"/>
                <w:sz w:val="15"/>
                <w:szCs w:val="15"/>
                <w:color w:val="auto"/>
              </w:rPr>
              <w:t>(1)</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337"/>
        </w:trPr>
        <w:tc>
          <w:tcPr>
            <w:tcW w:w="2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Net benefit expense (income)</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bottom w:val="single" w:sz="8" w:color="auto"/>
            </w:tcBorders>
            <w:shd w:val="clear" w:color="auto" w:fill="CCEEFF"/>
          </w:tcPr>
          <w:p>
            <w:pPr>
              <w:jc w:val="center"/>
              <w:ind w:left="303"/>
              <w:spacing w:after="0"/>
              <w:rPr>
                <w:sz w:val="20"/>
                <w:szCs w:val="20"/>
                <w:color w:val="auto"/>
              </w:rPr>
            </w:pPr>
            <w:r>
              <w:rPr>
                <w:rFonts w:ascii="Arial" w:cs="Arial" w:eastAsia="Arial" w:hAnsi="Arial"/>
                <w:sz w:val="15"/>
                <w:szCs w:val="15"/>
                <w:b w:val="1"/>
                <w:bCs w:val="1"/>
                <w:color w:val="auto"/>
                <w:w w:val="95"/>
              </w:rPr>
              <w:t>4</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0" w:type="dxa"/>
            <w:vAlign w:val="bottom"/>
            <w:tcBorders>
              <w:top w:val="single" w:sz="8" w:color="auto"/>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5</w:t>
            </w: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bottom w:val="single" w:sz="8" w:color="auto"/>
            </w:tcBorders>
            <w:shd w:val="clear" w:color="auto" w:fill="CCEEFF"/>
          </w:tcPr>
          <w:p>
            <w:pPr>
              <w:jc w:val="center"/>
              <w:ind w:left="223"/>
              <w:spacing w:after="0"/>
              <w:rPr>
                <w:sz w:val="20"/>
                <w:szCs w:val="20"/>
                <w:color w:val="auto"/>
              </w:rPr>
            </w:pPr>
            <w:r>
              <w:rPr>
                <w:rFonts w:ascii="Arial" w:cs="Arial" w:eastAsia="Arial" w:hAnsi="Arial"/>
                <w:sz w:val="15"/>
                <w:szCs w:val="15"/>
                <w:b w:val="1"/>
                <w:bCs w:val="1"/>
                <w:color w:val="auto"/>
                <w:w w:val="95"/>
              </w:rPr>
              <w:t>13</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CCEEFF"/>
          </w:tcPr>
          <w:p>
            <w:pPr>
              <w:jc w:val="center"/>
              <w:ind w:left="323"/>
              <w:spacing w:after="0"/>
              <w:rPr>
                <w:sz w:val="20"/>
                <w:szCs w:val="20"/>
                <w:color w:val="auto"/>
              </w:rPr>
            </w:pPr>
            <w:r>
              <w:rPr>
                <w:rFonts w:ascii="Arial" w:cs="Arial" w:eastAsia="Arial" w:hAnsi="Arial"/>
                <w:sz w:val="15"/>
                <w:szCs w:val="15"/>
                <w:color w:val="auto"/>
                <w:w w:val="95"/>
              </w:rPr>
              <w:t>15</w:t>
            </w:r>
          </w:p>
        </w:tc>
        <w:tc>
          <w:tcPr>
            <w:tcW w:w="240" w:type="dxa"/>
            <w:vAlign w:val="bottom"/>
            <w:tcBorders>
              <w:top w:val="single" w:sz="8" w:color="auto"/>
              <w:bottom w:val="single" w:sz="8" w:color="auto"/>
            </w:tcBorders>
            <w:shd w:val="clear" w:color="auto" w:fill="CCEEFF"/>
          </w:tcPr>
          <w:p>
            <w:pPr>
              <w:ind w:left="140"/>
              <w:spacing w:after="0"/>
              <w:rPr>
                <w:sz w:val="20"/>
                <w:szCs w:val="20"/>
                <w:color w:val="auto"/>
              </w:rPr>
            </w:pPr>
            <w:r>
              <w:rPr>
                <w:rFonts w:ascii="Arial" w:cs="Arial" w:eastAsia="Arial" w:hAnsi="Arial"/>
                <w:sz w:val="15"/>
                <w:szCs w:val="15"/>
                <w:b w:val="1"/>
                <w:bCs w:val="1"/>
                <w:color w:val="auto"/>
                <w:w w:val="95"/>
              </w:rPr>
              <w:t>$</w:t>
            </w:r>
          </w:p>
        </w:tc>
        <w:tc>
          <w:tcPr>
            <w:tcW w:w="7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Arial" w:cs="Arial" w:eastAsia="Arial" w:hAnsi="Arial"/>
                <w:sz w:val="15"/>
                <w:szCs w:val="15"/>
                <w:b w:val="1"/>
                <w:bCs w:val="1"/>
                <w:color w:val="auto"/>
              </w:rPr>
              <w:t xml:space="preserve">— </w:t>
            </w:r>
            <w:r>
              <w:rPr>
                <w:rFonts w:ascii="Arial" w:cs="Arial" w:eastAsia="Arial" w:hAnsi="Arial"/>
                <w:sz w:val="15"/>
                <w:szCs w:val="15"/>
                <w:color w:val="auto"/>
              </w:rPr>
              <w:t>$</w:t>
            </w:r>
          </w:p>
        </w:tc>
        <w:tc>
          <w:tcPr>
            <w:tcW w:w="7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6" w:lineRule="exact"/>
        <w:rPr>
          <w:sz w:val="20"/>
          <w:szCs w:val="20"/>
          <w:color w:val="auto"/>
        </w:rPr>
      </w:pPr>
    </w:p>
    <w:p>
      <w:pPr>
        <w:jc w:val="both"/>
        <w:ind w:right="20"/>
        <w:spacing w:after="0" w:line="259" w:lineRule="auto"/>
        <w:rPr>
          <w:sz w:val="20"/>
          <w:szCs w:val="20"/>
          <w:color w:val="auto"/>
        </w:rPr>
      </w:pPr>
      <w:r>
        <w:rPr>
          <w:rFonts w:ascii="Arial" w:cs="Arial" w:eastAsia="Arial" w:hAnsi="Arial"/>
          <w:sz w:val="15"/>
          <w:szCs w:val="15"/>
          <w:color w:val="auto"/>
        </w:rPr>
        <w:t xml:space="preserve">During the first quarter of 2017, the Company made a contribution of $25 million to the U.S. qualified plan. The Company continually evaluates the amount and timing of any future contributions. The Company currently does not expect to make any further pension plan contributions during this year. Actual contributions are dependent on several factors, including the outcome of the ongoing U.S. pension litigation. See Note 14,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for further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13. Share-Based Compensation</w:t>
      </w:r>
    </w:p>
    <w:p>
      <w:pPr>
        <w:spacing w:after="0" w:line="186" w:lineRule="exact"/>
        <w:rPr>
          <w:sz w:val="20"/>
          <w:szCs w:val="20"/>
          <w:color w:val="auto"/>
        </w:rPr>
      </w:pPr>
    </w:p>
    <w:p>
      <w:pPr>
        <w:jc w:val="both"/>
        <w:ind w:right="20"/>
        <w:spacing w:after="0" w:line="254" w:lineRule="auto"/>
        <w:rPr>
          <w:sz w:val="20"/>
          <w:szCs w:val="20"/>
          <w:color w:val="auto"/>
        </w:rPr>
      </w:pPr>
      <w:r>
        <w:rPr>
          <w:rFonts w:ascii="Arial" w:cs="Arial" w:eastAsia="Arial" w:hAnsi="Arial"/>
          <w:sz w:val="15"/>
          <w:szCs w:val="15"/>
          <w:color w:val="auto"/>
        </w:rPr>
        <w:t>Total compensation expense included in SG&amp;A, and the associated tax benefits recognized related to the Company’s share-based compensation plans, were as follows: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16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3"/>
          </w:tcPr>
          <w:p>
            <w:pPr>
              <w:ind w:left="520"/>
              <w:spacing w:after="0"/>
              <w:rPr>
                <w:sz w:val="20"/>
                <w:szCs w:val="20"/>
                <w:color w:val="auto"/>
              </w:rPr>
            </w:pPr>
            <w:r>
              <w:rPr>
                <w:rFonts w:ascii="Arial" w:cs="Arial" w:eastAsia="Arial" w:hAnsi="Arial"/>
                <w:sz w:val="15"/>
                <w:szCs w:val="15"/>
                <w:b w:val="1"/>
                <w:bCs w:val="1"/>
                <w:color w:val="auto"/>
              </w:rPr>
              <w:t>Thirteen weeks ended</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ind w:left="40"/>
              <w:spacing w:after="0"/>
              <w:rPr>
                <w:sz w:val="20"/>
                <w:szCs w:val="20"/>
                <w:color w:val="auto"/>
              </w:rPr>
            </w:pPr>
            <w:r>
              <w:rPr>
                <w:rFonts w:ascii="Arial" w:cs="Arial" w:eastAsia="Arial" w:hAnsi="Arial"/>
                <w:sz w:val="15"/>
                <w:szCs w:val="15"/>
                <w:b w:val="1"/>
                <w:bCs w:val="1"/>
                <w:color w:val="auto"/>
              </w:rPr>
              <w:t>Thirty-nine weeks ended</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4160" w:type="dxa"/>
            <w:vAlign w:val="bottom"/>
          </w:tcPr>
          <w:p>
            <w:pPr>
              <w:spacing w:after="0"/>
              <w:rPr>
                <w:sz w:val="13"/>
                <w:szCs w:val="13"/>
                <w:color w:val="auto"/>
              </w:rPr>
            </w:pPr>
          </w:p>
        </w:tc>
        <w:tc>
          <w:tcPr>
            <w:tcW w:w="1120" w:type="dxa"/>
            <w:vAlign w:val="bottom"/>
          </w:tcPr>
          <w:p>
            <w:pPr>
              <w:jc w:val="right"/>
              <w:spacing w:after="0" w:line="151" w:lineRule="exact"/>
              <w:rPr>
                <w:sz w:val="20"/>
                <w:szCs w:val="20"/>
                <w:color w:val="auto"/>
              </w:rPr>
            </w:pPr>
            <w:r>
              <w:rPr>
                <w:rFonts w:ascii="Arial" w:cs="Arial" w:eastAsia="Arial" w:hAnsi="Arial"/>
                <w:sz w:val="15"/>
                <w:szCs w:val="15"/>
                <w:b w:val="1"/>
                <w:bCs w:val="1"/>
                <w:color w:val="auto"/>
              </w:rPr>
              <w:t>October 28,</w:t>
            </w:r>
          </w:p>
        </w:tc>
        <w:tc>
          <w:tcPr>
            <w:tcW w:w="260" w:type="dxa"/>
            <w:vAlign w:val="bottom"/>
          </w:tcPr>
          <w:p>
            <w:pPr>
              <w:spacing w:after="0"/>
              <w:rPr>
                <w:sz w:val="13"/>
                <w:szCs w:val="13"/>
                <w:color w:val="auto"/>
              </w:rPr>
            </w:pPr>
          </w:p>
        </w:tc>
        <w:tc>
          <w:tcPr>
            <w:tcW w:w="1240" w:type="dxa"/>
            <w:vAlign w:val="bottom"/>
            <w:gridSpan w:val="2"/>
          </w:tcPr>
          <w:p>
            <w:pPr>
              <w:ind w:left="180"/>
              <w:spacing w:after="0" w:line="151" w:lineRule="exact"/>
              <w:rPr>
                <w:sz w:val="20"/>
                <w:szCs w:val="20"/>
                <w:color w:val="auto"/>
              </w:rPr>
            </w:pPr>
            <w:r>
              <w:rPr>
                <w:rFonts w:ascii="Arial" w:cs="Arial" w:eastAsia="Arial" w:hAnsi="Arial"/>
                <w:sz w:val="15"/>
                <w:szCs w:val="15"/>
                <w:b w:val="1"/>
                <w:bCs w:val="1"/>
                <w:color w:val="auto"/>
              </w:rPr>
              <w:t>October 29,</w:t>
            </w:r>
          </w:p>
        </w:tc>
        <w:tc>
          <w:tcPr>
            <w:tcW w:w="1220" w:type="dxa"/>
            <w:vAlign w:val="bottom"/>
            <w:gridSpan w:val="2"/>
          </w:tcPr>
          <w:p>
            <w:pPr>
              <w:ind w:left="160"/>
              <w:spacing w:after="0" w:line="151" w:lineRule="exact"/>
              <w:rPr>
                <w:sz w:val="20"/>
                <w:szCs w:val="20"/>
                <w:color w:val="auto"/>
              </w:rPr>
            </w:pPr>
            <w:r>
              <w:rPr>
                <w:rFonts w:ascii="Arial" w:cs="Arial" w:eastAsia="Arial" w:hAnsi="Arial"/>
                <w:sz w:val="15"/>
                <w:szCs w:val="15"/>
                <w:b w:val="1"/>
                <w:bCs w:val="1"/>
                <w:color w:val="auto"/>
              </w:rPr>
              <w:t>October 28,</w:t>
            </w:r>
          </w:p>
        </w:tc>
        <w:tc>
          <w:tcPr>
            <w:tcW w:w="1100" w:type="dxa"/>
            <w:vAlign w:val="bottom"/>
            <w:gridSpan w:val="2"/>
          </w:tcPr>
          <w:p>
            <w:pPr>
              <w:ind w:left="160"/>
              <w:spacing w:after="0" w:line="151" w:lineRule="exact"/>
              <w:rPr>
                <w:sz w:val="20"/>
                <w:szCs w:val="20"/>
                <w:color w:val="auto"/>
              </w:rPr>
            </w:pPr>
            <w:r>
              <w:rPr>
                <w:rFonts w:ascii="Arial" w:cs="Arial" w:eastAsia="Arial" w:hAnsi="Arial"/>
                <w:sz w:val="15"/>
                <w:szCs w:val="15"/>
                <w:b w:val="1"/>
                <w:bCs w:val="1"/>
                <w:color w:val="auto"/>
              </w:rPr>
              <w:t>October 29,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ind w:left="540"/>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ind w:left="420"/>
              <w:spacing w:after="0"/>
              <w:rPr>
                <w:sz w:val="20"/>
                <w:szCs w:val="20"/>
                <w:color w:val="auto"/>
              </w:rPr>
            </w:pPr>
            <w:r>
              <w:rPr>
                <w:rFonts w:ascii="Arial" w:cs="Arial" w:eastAsia="Arial" w:hAnsi="Arial"/>
                <w:sz w:val="15"/>
                <w:szCs w:val="15"/>
                <w:b w:val="1"/>
                <w:bCs w:val="1"/>
                <w:color w:val="auto"/>
              </w:rPr>
              <w:t>2016</w:t>
            </w:r>
          </w:p>
        </w:tc>
        <w:tc>
          <w:tcPr>
            <w:tcW w:w="36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2017</w:t>
            </w:r>
          </w:p>
        </w:tc>
        <w:tc>
          <w:tcPr>
            <w:tcW w:w="880" w:type="dxa"/>
            <w:vAlign w:val="bottom"/>
            <w:tcBorders>
              <w:bottom w:val="single" w:sz="8" w:color="auto"/>
            </w:tcBorders>
          </w:tcPr>
          <w:p>
            <w:pPr>
              <w:ind w:left="400"/>
              <w:spacing w:after="0"/>
              <w:rPr>
                <w:sz w:val="20"/>
                <w:szCs w:val="20"/>
                <w:color w:val="auto"/>
              </w:rPr>
            </w:pPr>
            <w:r>
              <w:rPr>
                <w:rFonts w:ascii="Arial" w:cs="Arial" w:eastAsia="Arial" w:hAnsi="Arial"/>
                <w:sz w:val="15"/>
                <w:szCs w:val="15"/>
                <w:b w:val="1"/>
                <w:bCs w:val="1"/>
                <w:color w:val="auto"/>
              </w:rPr>
              <w:t>2016</w:t>
            </w:r>
          </w:p>
        </w:tc>
        <w:tc>
          <w:tcPr>
            <w:tcW w:w="2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ind w:left="720"/>
              <w:spacing w:after="0"/>
              <w:rPr>
                <w:sz w:val="20"/>
                <w:szCs w:val="20"/>
                <w:color w:val="auto"/>
              </w:rPr>
            </w:pPr>
            <w:r>
              <w:rPr>
                <w:rFonts w:ascii="Arial" w:cs="Arial" w:eastAsia="Arial" w:hAnsi="Arial"/>
                <w:sz w:val="15"/>
                <w:szCs w:val="15"/>
                <w:color w:val="auto"/>
              </w:rPr>
              <w:t>($</w:t>
            </w:r>
          </w:p>
        </w:tc>
        <w:tc>
          <w:tcPr>
            <w:tcW w:w="1580" w:type="dxa"/>
            <w:vAlign w:val="bottom"/>
            <w:gridSpan w:val="3"/>
          </w:tcPr>
          <w:p>
            <w:pPr>
              <w:jc w:val="right"/>
              <w:ind w:right="763"/>
              <w:spacing w:after="0"/>
              <w:rPr>
                <w:sz w:val="20"/>
                <w:szCs w:val="20"/>
                <w:color w:val="auto"/>
              </w:rPr>
            </w:pPr>
            <w:r>
              <w:rPr>
                <w:rFonts w:ascii="Arial" w:cs="Arial" w:eastAsia="Arial" w:hAnsi="Arial"/>
                <w:sz w:val="15"/>
                <w:szCs w:val="15"/>
                <w:color w:val="auto"/>
              </w:rPr>
              <w:t>in millions)</w:t>
            </w: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2"/>
        </w:trPr>
        <w:tc>
          <w:tcPr>
            <w:tcW w:w="4160" w:type="dxa"/>
            <w:vAlign w:val="bottom"/>
            <w:shd w:val="clear" w:color="auto" w:fill="CCEEFF"/>
          </w:tcPr>
          <w:p>
            <w:pPr>
              <w:spacing w:after="0"/>
              <w:rPr>
                <w:sz w:val="20"/>
                <w:szCs w:val="20"/>
                <w:color w:val="auto"/>
              </w:rPr>
            </w:pPr>
            <w:r>
              <w:rPr>
                <w:rFonts w:ascii="Arial" w:cs="Arial" w:eastAsia="Arial" w:hAnsi="Arial"/>
                <w:sz w:val="15"/>
                <w:szCs w:val="15"/>
                <w:color w:val="auto"/>
              </w:rPr>
              <w:t>Options and shares purchased under the employee stock</w:t>
            </w:r>
          </w:p>
        </w:tc>
        <w:tc>
          <w:tcPr>
            <w:tcW w:w="1120" w:type="dxa"/>
            <w:vAlign w:val="bottom"/>
            <w:vMerge w:val="restart"/>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26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2</w:t>
            </w:r>
          </w:p>
        </w:tc>
        <w:tc>
          <w:tcPr>
            <w:tcW w:w="8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260" w:type="dxa"/>
            <w:vAlign w:val="bottom"/>
            <w:vMerge w:val="restart"/>
            <w:shd w:val="clear" w:color="auto" w:fill="CCEEFF"/>
          </w:tcPr>
          <w:p>
            <w:pPr>
              <w:ind w:left="140"/>
              <w:spacing w:after="0"/>
              <w:rPr>
                <w:sz w:val="20"/>
                <w:szCs w:val="20"/>
                <w:color w:val="auto"/>
              </w:rPr>
            </w:pPr>
            <w:r>
              <w:rPr>
                <w:rFonts w:ascii="Arial" w:cs="Arial" w:eastAsia="Arial" w:hAnsi="Arial"/>
                <w:sz w:val="15"/>
                <w:szCs w:val="15"/>
                <w:b w:val="1"/>
                <w:bCs w:val="1"/>
                <w:color w:val="auto"/>
              </w:rPr>
              <w:t>$</w:t>
            </w:r>
          </w:p>
        </w:tc>
        <w:tc>
          <w:tcPr>
            <w:tcW w:w="960" w:type="dxa"/>
            <w:vAlign w:val="bottom"/>
            <w:vMerge w:val="restart"/>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7</w:t>
            </w:r>
          </w:p>
        </w:tc>
        <w:tc>
          <w:tcPr>
            <w:tcW w:w="8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416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purchase plan</w:t>
            </w:r>
          </w:p>
        </w:tc>
        <w:tc>
          <w:tcPr>
            <w:tcW w:w="1120" w:type="dxa"/>
            <w:vAlign w:val="bottom"/>
            <w:vMerge w:val="continue"/>
            <w:shd w:val="clear" w:color="auto" w:fill="CCEEFF"/>
          </w:tcPr>
          <w:p>
            <w:pPr>
              <w:spacing w:after="0"/>
              <w:rPr>
                <w:sz w:val="15"/>
                <w:szCs w:val="15"/>
                <w:color w:val="auto"/>
              </w:rPr>
            </w:pPr>
          </w:p>
        </w:tc>
        <w:tc>
          <w:tcPr>
            <w:tcW w:w="2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3</w:t>
            </w:r>
          </w:p>
        </w:tc>
        <w:tc>
          <w:tcPr>
            <w:tcW w:w="260" w:type="dxa"/>
            <w:vAlign w:val="bottom"/>
            <w:vMerge w:val="continue"/>
            <w:shd w:val="clear" w:color="auto" w:fill="CCEEFF"/>
          </w:tcPr>
          <w:p>
            <w:pPr>
              <w:spacing w:after="0"/>
              <w:rPr>
                <w:sz w:val="15"/>
                <w:szCs w:val="15"/>
                <w:color w:val="auto"/>
              </w:rPr>
            </w:pPr>
          </w:p>
        </w:tc>
        <w:tc>
          <w:tcPr>
            <w:tcW w:w="960" w:type="dxa"/>
            <w:vAlign w:val="bottom"/>
            <w:vMerge w:val="continue"/>
            <w:shd w:val="clear" w:color="auto" w:fill="CCEEFF"/>
          </w:tcPr>
          <w:p>
            <w:pPr>
              <w:spacing w:after="0"/>
              <w:rPr>
                <w:sz w:val="15"/>
                <w:szCs w:val="15"/>
                <w:color w:val="auto"/>
              </w:rPr>
            </w:pPr>
          </w:p>
        </w:tc>
        <w:tc>
          <w:tcPr>
            <w:tcW w:w="880" w:type="dxa"/>
            <w:vAlign w:val="bottom"/>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41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Restricted stock and restricted stock units</w:t>
            </w:r>
          </w:p>
        </w:tc>
        <w:tc>
          <w:tcPr>
            <w:tcW w:w="112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w w:val="95"/>
              </w:rPr>
              <w:t>1</w:t>
            </w:r>
          </w:p>
        </w:tc>
        <w:tc>
          <w:tcPr>
            <w:tcW w:w="88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3</w:t>
            </w:r>
          </w:p>
        </w:tc>
        <w:tc>
          <w:tcPr>
            <w:tcW w:w="2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4</w:t>
            </w:r>
          </w:p>
        </w:tc>
        <w:tc>
          <w:tcPr>
            <w:tcW w:w="88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9"/>
        </w:trPr>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Total share-based compensation expense</w:t>
            </w:r>
          </w:p>
        </w:tc>
        <w:tc>
          <w:tcPr>
            <w:tcW w:w="112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3</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6</w:t>
            </w:r>
          </w:p>
        </w:tc>
        <w:tc>
          <w:tcPr>
            <w:tcW w:w="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11</w:t>
            </w:r>
          </w:p>
        </w:tc>
        <w:tc>
          <w:tcPr>
            <w:tcW w:w="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17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41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Tax benefit recognized</w:t>
            </w:r>
          </w:p>
        </w:tc>
        <w:tc>
          <w:tcPr>
            <w:tcW w:w="1120" w:type="dxa"/>
            <w:vAlign w:val="bottom"/>
            <w:tcBorders>
              <w:bottom w:val="single" w:sz="8" w:color="auto"/>
            </w:tcBorders>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2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95"/>
              </w:rPr>
              <w:t>1</w:t>
            </w:r>
          </w:p>
        </w:tc>
        <w:tc>
          <w:tcPr>
            <w:tcW w:w="880" w:type="dxa"/>
            <w:vAlign w:val="bottom"/>
            <w:tcBorders>
              <w:bottom w:val="single" w:sz="8" w:color="auto"/>
            </w:tcBorders>
            <w:shd w:val="clear" w:color="auto" w:fill="CCEEFF"/>
          </w:tcPr>
          <w:p>
            <w:pPr>
              <w:ind w:left="160"/>
              <w:spacing w:after="0"/>
              <w:rPr>
                <w:sz w:val="20"/>
                <w:szCs w:val="20"/>
                <w:color w:val="auto"/>
              </w:rPr>
            </w:pPr>
            <w:r>
              <w:rPr>
                <w:rFonts w:ascii="Arial" w:cs="Arial" w:eastAsia="Arial" w:hAnsi="Arial"/>
                <w:sz w:val="15"/>
                <w:szCs w:val="15"/>
                <w:color w:val="auto"/>
              </w:rPr>
              <w:t>$</w:t>
            </w:r>
          </w:p>
        </w:tc>
        <w:tc>
          <w:tcPr>
            <w:tcW w:w="3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color w:val="auto"/>
              </w:rPr>
              <w:t>2</w:t>
            </w:r>
          </w:p>
        </w:tc>
        <w:tc>
          <w:tcPr>
            <w:tcW w:w="2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b w:val="1"/>
                <w:bCs w:val="1"/>
                <w:color w:val="auto"/>
              </w:rPr>
              <w:t>$</w:t>
            </w:r>
          </w:p>
        </w:tc>
        <w:tc>
          <w:tcPr>
            <w:tcW w:w="96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3</w:t>
            </w:r>
          </w:p>
        </w:tc>
        <w:tc>
          <w:tcPr>
            <w:tcW w:w="88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5"/>
                <w:szCs w:val="15"/>
                <w:color w:val="auto"/>
              </w:rPr>
              <w:t>$</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31"/>
        </w:trPr>
        <w:tc>
          <w:tcPr>
            <w:tcW w:w="4160" w:type="dxa"/>
            <w:vAlign w:val="bottom"/>
          </w:tcPr>
          <w:p>
            <w:pPr>
              <w:spacing w:after="0"/>
              <w:rPr>
                <w:sz w:val="24"/>
                <w:szCs w:val="24"/>
                <w:color w:val="auto"/>
              </w:rPr>
            </w:pPr>
          </w:p>
        </w:tc>
        <w:tc>
          <w:tcPr>
            <w:tcW w:w="1120" w:type="dxa"/>
            <w:vAlign w:val="bottom"/>
          </w:tcPr>
          <w:p>
            <w:pPr>
              <w:jc w:val="right"/>
              <w:ind w:right="563"/>
              <w:spacing w:after="0"/>
              <w:rPr>
                <w:sz w:val="20"/>
                <w:szCs w:val="20"/>
                <w:color w:val="auto"/>
              </w:rPr>
            </w:pPr>
            <w:r>
              <w:rPr>
                <w:rFonts w:ascii="Arial" w:cs="Arial" w:eastAsia="Arial" w:hAnsi="Arial"/>
                <w:sz w:val="15"/>
                <w:szCs w:val="15"/>
                <w:color w:val="auto"/>
              </w:rPr>
              <w:t>13</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1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36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88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41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36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960" w:type="dxa"/>
            <w:vAlign w:val="bottom"/>
            <w:tcBorders>
              <w:bottom w:val="single" w:sz="8" w:color="EEEEEE"/>
            </w:tcBorders>
          </w:tcPr>
          <w:p>
            <w:pPr>
              <w:spacing w:after="0" w:line="20" w:lineRule="exact"/>
              <w:rPr>
                <w:sz w:val="1"/>
                <w:szCs w:val="1"/>
                <w:color w:val="auto"/>
              </w:rPr>
            </w:pPr>
          </w:p>
        </w:tc>
        <w:tc>
          <w:tcPr>
            <w:tcW w:w="88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16" w:right="1379" w:bottom="1440" w:gutter="0" w:footer="0" w:header="0"/>
        </w:sectPr>
      </w:pPr>
    </w:p>
    <w:bookmarkStart w:id="15" w:name="page16"/>
    <w:bookmarkEnd w:id="15"/>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Valuation Model and Assumptions</w:t>
      </w:r>
    </w:p>
    <w:p>
      <w:pPr>
        <w:spacing w:after="0" w:line="13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Company uses the Black-Scholes option-pricing model to estimate the fair value of share-based awards. The Black-Scholes option-pricing model incorporates various and highly subjective assumptions, including expected term and expected volatility.</w:t>
      </w:r>
    </w:p>
    <w:p>
      <w:pPr>
        <w:spacing w:after="0" w:line="9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During the first quarter of 2017, in connection with the adoption of ASU 2016-09, we have made the accounting policy election to discontinue estimating forfeitures and will account for forfeitures as they occur.</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 shows the Company’s assumptions used to compute share-based compensation expense for awards granted during the thirty-nine weeks ended October 28, 2017 and October 29, 2016:</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623"/>
              <w:spacing w:after="0"/>
              <w:rPr>
                <w:sz w:val="20"/>
                <w:szCs w:val="20"/>
                <w:color w:val="auto"/>
              </w:rPr>
            </w:pPr>
            <w:r>
              <w:rPr>
                <w:rFonts w:ascii="Arial" w:cs="Arial" w:eastAsia="Arial" w:hAnsi="Arial"/>
                <w:sz w:val="15"/>
                <w:szCs w:val="15"/>
                <w:b w:val="1"/>
                <w:bCs w:val="1"/>
                <w:color w:val="auto"/>
              </w:rPr>
              <w:t>Stock Option Plans</w:t>
            </w: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Stock Purchase Plan</w:t>
            </w:r>
          </w:p>
        </w:tc>
      </w:tr>
      <w:tr>
        <w:trPr>
          <w:trHeight w:val="151"/>
        </w:trPr>
        <w:tc>
          <w:tcPr>
            <w:tcW w:w="3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jc w:val="right"/>
              <w:ind w:right="203"/>
              <w:spacing w:after="0" w:line="151" w:lineRule="exact"/>
              <w:rPr>
                <w:sz w:val="20"/>
                <w:szCs w:val="20"/>
                <w:color w:val="auto"/>
              </w:rPr>
            </w:pPr>
            <w:r>
              <w:rPr>
                <w:rFonts w:ascii="Arial" w:cs="Arial" w:eastAsia="Arial" w:hAnsi="Arial"/>
                <w:sz w:val="15"/>
                <w:szCs w:val="15"/>
                <w:b w:val="1"/>
                <w:bCs w:val="1"/>
                <w:color w:val="auto"/>
              </w:rPr>
              <w:t>October 28,</w:t>
            </w:r>
          </w:p>
        </w:tc>
        <w:tc>
          <w:tcPr>
            <w:tcW w:w="200" w:type="dxa"/>
            <w:vAlign w:val="bottom"/>
          </w:tcPr>
          <w:p>
            <w:pPr>
              <w:spacing w:after="0"/>
              <w:rPr>
                <w:sz w:val="13"/>
                <w:szCs w:val="13"/>
                <w:color w:val="auto"/>
              </w:rPr>
            </w:pPr>
          </w:p>
        </w:tc>
        <w:tc>
          <w:tcPr>
            <w:tcW w:w="1180" w:type="dxa"/>
            <w:vAlign w:val="bottom"/>
          </w:tcPr>
          <w:p>
            <w:pPr>
              <w:jc w:val="right"/>
              <w:ind w:right="203"/>
              <w:spacing w:after="0" w:line="151" w:lineRule="exact"/>
              <w:rPr>
                <w:sz w:val="20"/>
                <w:szCs w:val="20"/>
                <w:color w:val="auto"/>
              </w:rPr>
            </w:pPr>
            <w:r>
              <w:rPr>
                <w:rFonts w:ascii="Arial" w:cs="Arial" w:eastAsia="Arial" w:hAnsi="Arial"/>
                <w:sz w:val="15"/>
                <w:szCs w:val="15"/>
                <w:b w:val="1"/>
                <w:bCs w:val="1"/>
                <w:color w:val="auto"/>
              </w:rPr>
              <w:t>October 29,</w:t>
            </w:r>
          </w:p>
        </w:tc>
        <w:tc>
          <w:tcPr>
            <w:tcW w:w="180" w:type="dxa"/>
            <w:vAlign w:val="bottom"/>
          </w:tcPr>
          <w:p>
            <w:pPr>
              <w:spacing w:after="0"/>
              <w:rPr>
                <w:sz w:val="13"/>
                <w:szCs w:val="13"/>
                <w:color w:val="auto"/>
              </w:rPr>
            </w:pPr>
          </w:p>
        </w:tc>
        <w:tc>
          <w:tcPr>
            <w:tcW w:w="1180" w:type="dxa"/>
            <w:vAlign w:val="bottom"/>
          </w:tcPr>
          <w:p>
            <w:pPr>
              <w:jc w:val="right"/>
              <w:ind w:right="203"/>
              <w:spacing w:after="0" w:line="151" w:lineRule="exact"/>
              <w:rPr>
                <w:sz w:val="20"/>
                <w:szCs w:val="20"/>
                <w:color w:val="auto"/>
              </w:rPr>
            </w:pPr>
            <w:r>
              <w:rPr>
                <w:rFonts w:ascii="Arial" w:cs="Arial" w:eastAsia="Arial" w:hAnsi="Arial"/>
                <w:sz w:val="15"/>
                <w:szCs w:val="15"/>
                <w:b w:val="1"/>
                <w:bCs w:val="1"/>
                <w:color w:val="auto"/>
              </w:rPr>
              <w:t>October 28,</w:t>
            </w:r>
          </w:p>
        </w:tc>
        <w:tc>
          <w:tcPr>
            <w:tcW w:w="180" w:type="dxa"/>
            <w:vAlign w:val="bottom"/>
          </w:tcPr>
          <w:p>
            <w:pPr>
              <w:spacing w:after="0"/>
              <w:rPr>
                <w:sz w:val="13"/>
                <w:szCs w:val="13"/>
                <w:color w:val="auto"/>
              </w:rPr>
            </w:pPr>
          </w:p>
        </w:tc>
        <w:tc>
          <w:tcPr>
            <w:tcW w:w="1160" w:type="dxa"/>
            <w:vAlign w:val="bottom"/>
          </w:tcPr>
          <w:p>
            <w:pPr>
              <w:jc w:val="right"/>
              <w:ind w:right="183"/>
              <w:spacing w:after="0" w:line="151" w:lineRule="exact"/>
              <w:rPr>
                <w:sz w:val="20"/>
                <w:szCs w:val="20"/>
                <w:color w:val="auto"/>
              </w:rPr>
            </w:pPr>
            <w:r>
              <w:rPr>
                <w:rFonts w:ascii="Arial" w:cs="Arial" w:eastAsia="Arial" w:hAnsi="Arial"/>
                <w:sz w:val="15"/>
                <w:szCs w:val="15"/>
                <w:b w:val="1"/>
                <w:bCs w:val="1"/>
                <w:color w:val="auto"/>
              </w:rPr>
              <w:t>October 29,</w:t>
            </w:r>
          </w:p>
        </w:tc>
      </w:tr>
      <w:tr>
        <w:trPr>
          <w:trHeight w:val="194"/>
        </w:trPr>
        <w:tc>
          <w:tcPr>
            <w:tcW w:w="35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2016</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2016</w:t>
            </w:r>
          </w:p>
        </w:tc>
      </w:tr>
      <w:tr>
        <w:trPr>
          <w:trHeight w:val="187"/>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risk free rate of interest</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2.1 %</w:t>
            </w:r>
          </w:p>
        </w:tc>
        <w:tc>
          <w:tcPr>
            <w:tcW w:w="2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1.4 %</w:t>
            </w:r>
          </w:p>
        </w:tc>
        <w:tc>
          <w:tcPr>
            <w:tcW w:w="1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0.9 %</w:t>
            </w:r>
          </w:p>
        </w:tc>
        <w:tc>
          <w:tcPr>
            <w:tcW w:w="18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0.4 %</w:t>
            </w:r>
          </w:p>
        </w:tc>
      </w:tr>
      <w:tr>
        <w:trPr>
          <w:trHeight w:val="207"/>
        </w:trPr>
        <w:tc>
          <w:tcPr>
            <w:tcW w:w="3500" w:type="dxa"/>
            <w:vAlign w:val="bottom"/>
          </w:tcPr>
          <w:p>
            <w:pPr>
              <w:spacing w:after="0"/>
              <w:rPr>
                <w:sz w:val="20"/>
                <w:szCs w:val="20"/>
                <w:color w:val="auto"/>
              </w:rPr>
            </w:pPr>
            <w:r>
              <w:rPr>
                <w:rFonts w:ascii="Arial" w:cs="Arial" w:eastAsia="Arial" w:hAnsi="Arial"/>
                <w:sz w:val="15"/>
                <w:szCs w:val="15"/>
                <w:color w:val="auto"/>
              </w:rPr>
              <w:t>Expected volatility</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25 %</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30 %</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29 %</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27 %</w:t>
            </w:r>
          </w:p>
        </w:tc>
      </w:tr>
      <w:tr>
        <w:trPr>
          <w:trHeight w:val="365"/>
        </w:trPr>
        <w:tc>
          <w:tcPr>
            <w:tcW w:w="3500" w:type="dxa"/>
            <w:vAlign w:val="bottom"/>
            <w:shd w:val="clear" w:color="auto" w:fill="CCEEFF"/>
          </w:tcPr>
          <w:p>
            <w:pPr>
              <w:spacing w:after="0"/>
              <w:rPr>
                <w:sz w:val="20"/>
                <w:szCs w:val="20"/>
                <w:color w:val="auto"/>
              </w:rPr>
            </w:pPr>
            <w:r>
              <w:rPr>
                <w:rFonts w:ascii="Arial" w:cs="Arial" w:eastAsia="Arial" w:hAnsi="Arial"/>
                <w:sz w:val="15"/>
                <w:szCs w:val="15"/>
                <w:color w:val="auto"/>
              </w:rPr>
              <w:t>Weighted-average expected award life (in years)</w:t>
            </w:r>
          </w:p>
        </w:tc>
        <w:tc>
          <w:tcPr>
            <w:tcW w:w="34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5.4</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5.7</w:t>
            </w:r>
          </w:p>
        </w:tc>
        <w:tc>
          <w:tcPr>
            <w:tcW w:w="1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1.0</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1.0</w:t>
            </w:r>
          </w:p>
        </w:tc>
      </w:tr>
      <w:tr>
        <w:trPr>
          <w:trHeight w:val="207"/>
        </w:trPr>
        <w:tc>
          <w:tcPr>
            <w:tcW w:w="3500" w:type="dxa"/>
            <w:vAlign w:val="bottom"/>
          </w:tcPr>
          <w:p>
            <w:pPr>
              <w:spacing w:after="0"/>
              <w:rPr>
                <w:sz w:val="20"/>
                <w:szCs w:val="20"/>
                <w:color w:val="auto"/>
              </w:rPr>
            </w:pPr>
            <w:r>
              <w:rPr>
                <w:rFonts w:ascii="Arial" w:cs="Arial" w:eastAsia="Arial" w:hAnsi="Arial"/>
                <w:sz w:val="15"/>
                <w:szCs w:val="15"/>
                <w:color w:val="auto"/>
              </w:rPr>
              <w:t>Dividend yield</w:t>
            </w:r>
          </w:p>
        </w:tc>
        <w:tc>
          <w:tcPr>
            <w:tcW w:w="34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1.9 %</w:t>
            </w:r>
          </w:p>
        </w:tc>
        <w:tc>
          <w:tcPr>
            <w:tcW w:w="2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1.7 %</w:t>
            </w:r>
          </w:p>
        </w:tc>
        <w:tc>
          <w:tcPr>
            <w:tcW w:w="18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5"/>
                <w:szCs w:val="15"/>
                <w:b w:val="1"/>
                <w:bCs w:val="1"/>
                <w:color w:val="auto"/>
              </w:rPr>
              <w:t>2.0 %</w:t>
            </w:r>
          </w:p>
        </w:tc>
        <w:tc>
          <w:tcPr>
            <w:tcW w:w="1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5"/>
                <w:szCs w:val="15"/>
                <w:color w:val="auto"/>
              </w:rPr>
              <w:t>1.7 %</w:t>
            </w:r>
          </w:p>
        </w:tc>
      </w:tr>
      <w:tr>
        <w:trPr>
          <w:trHeight w:val="207"/>
        </w:trPr>
        <w:tc>
          <w:tcPr>
            <w:tcW w:w="3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Weighted-average fair value</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14.74</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color w:val="auto"/>
              </w:rPr>
              <w:t>15.71</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8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10.84</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14.04</w:t>
            </w:r>
          </w:p>
        </w:tc>
      </w:tr>
    </w:tbl>
    <w:p>
      <w:pPr>
        <w:spacing w:after="0" w:line="102" w:lineRule="exact"/>
        <w:rPr>
          <w:sz w:val="20"/>
          <w:szCs w:val="20"/>
          <w:color w:val="auto"/>
        </w:rPr>
      </w:pPr>
    </w:p>
    <w:p>
      <w:pPr>
        <w:spacing w:after="0"/>
        <w:rPr>
          <w:sz w:val="20"/>
          <w:szCs w:val="20"/>
          <w:color w:val="auto"/>
        </w:rPr>
      </w:pPr>
      <w:r>
        <w:rPr>
          <w:rFonts w:ascii="Arial" w:cs="Arial" w:eastAsia="Arial" w:hAnsi="Arial"/>
          <w:sz w:val="15"/>
          <w:szCs w:val="15"/>
          <w:color w:val="auto"/>
        </w:rPr>
        <w:t>The information in the following table covers option activity under the Company’s stock option plans for the thirty-nine weeks ended</w:t>
      </w:r>
    </w:p>
    <w:p>
      <w:pPr>
        <w:spacing w:after="0"/>
        <w:rPr>
          <w:sz w:val="20"/>
          <w:szCs w:val="20"/>
          <w:color w:val="auto"/>
        </w:rPr>
      </w:pPr>
      <w:r>
        <w:rPr>
          <w:rFonts w:ascii="Arial" w:cs="Arial" w:eastAsia="Arial" w:hAnsi="Arial"/>
          <w:sz w:val="15"/>
          <w:szCs w:val="15"/>
          <w:color w:val="auto"/>
        </w:rPr>
        <w:t>October 28, 2017:</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580" w:type="dxa"/>
            <w:vAlign w:val="bottom"/>
          </w:tcPr>
          <w:p>
            <w:pPr>
              <w:jc w:val="center"/>
              <w:ind w:right="83"/>
              <w:spacing w:after="0"/>
              <w:rPr>
                <w:sz w:val="20"/>
                <w:szCs w:val="20"/>
                <w:color w:val="auto"/>
              </w:rPr>
            </w:pPr>
            <w:r>
              <w:rPr>
                <w:rFonts w:ascii="Arial" w:cs="Arial" w:eastAsia="Arial" w:hAnsi="Arial"/>
                <w:sz w:val="15"/>
                <w:szCs w:val="15"/>
                <w:b w:val="1"/>
                <w:bCs w:val="1"/>
                <w:color w:val="auto"/>
              </w:rPr>
              <w:t>Weighted-</w:t>
            </w:r>
          </w:p>
        </w:tc>
        <w:tc>
          <w:tcPr>
            <w:tcW w:w="320" w:type="dxa"/>
            <w:vAlign w:val="bottom"/>
          </w:tcPr>
          <w:p>
            <w:pPr>
              <w:spacing w:after="0"/>
              <w:rPr>
                <w:sz w:val="14"/>
                <w:szCs w:val="14"/>
                <w:color w:val="auto"/>
              </w:rPr>
            </w:pPr>
          </w:p>
        </w:tc>
        <w:tc>
          <w:tcPr>
            <w:tcW w:w="1100" w:type="dxa"/>
            <w:vAlign w:val="bottom"/>
          </w:tcPr>
          <w:p>
            <w:pPr>
              <w:jc w:val="center"/>
              <w:ind w:right="203"/>
              <w:spacing w:after="0"/>
              <w:rPr>
                <w:sz w:val="20"/>
                <w:szCs w:val="20"/>
                <w:color w:val="auto"/>
              </w:rPr>
            </w:pPr>
            <w:r>
              <w:rPr>
                <w:rFonts w:ascii="Arial" w:cs="Arial" w:eastAsia="Arial" w:hAnsi="Arial"/>
                <w:sz w:val="15"/>
                <w:szCs w:val="15"/>
                <w:b w:val="1"/>
                <w:bCs w:val="1"/>
                <w:color w:val="auto"/>
              </w:rPr>
              <w:t>Weighted-</w:t>
            </w:r>
          </w:p>
        </w:tc>
      </w:tr>
      <w:tr>
        <w:trPr>
          <w:trHeight w:val="170"/>
        </w:trPr>
        <w:tc>
          <w:tcPr>
            <w:tcW w:w="6100" w:type="dxa"/>
            <w:vAlign w:val="bottom"/>
            <w:gridSpan w:val="2"/>
          </w:tcPr>
          <w:p>
            <w:pPr>
              <w:jc w:val="center"/>
              <w:ind w:left="4563"/>
              <w:spacing w:after="0" w:line="170" w:lineRule="exact"/>
              <w:rPr>
                <w:sz w:val="20"/>
                <w:szCs w:val="20"/>
                <w:color w:val="auto"/>
              </w:rPr>
            </w:pPr>
            <w:r>
              <w:rPr>
                <w:rFonts w:ascii="Arial" w:cs="Arial" w:eastAsia="Arial" w:hAnsi="Arial"/>
                <w:sz w:val="15"/>
                <w:szCs w:val="15"/>
                <w:b w:val="1"/>
                <w:bCs w:val="1"/>
                <w:color w:val="auto"/>
              </w:rPr>
              <w:t>Number</w:t>
            </w:r>
          </w:p>
        </w:tc>
        <w:tc>
          <w:tcPr>
            <w:tcW w:w="1580" w:type="dxa"/>
            <w:vAlign w:val="bottom"/>
          </w:tcPr>
          <w:p>
            <w:pPr>
              <w:jc w:val="center"/>
              <w:ind w:right="63"/>
              <w:spacing w:after="0" w:line="170" w:lineRule="exact"/>
              <w:rPr>
                <w:sz w:val="20"/>
                <w:szCs w:val="20"/>
                <w:color w:val="auto"/>
              </w:rPr>
            </w:pPr>
            <w:r>
              <w:rPr>
                <w:rFonts w:ascii="Arial" w:cs="Arial" w:eastAsia="Arial" w:hAnsi="Arial"/>
                <w:sz w:val="15"/>
                <w:szCs w:val="15"/>
                <w:b w:val="1"/>
                <w:bCs w:val="1"/>
                <w:color w:val="auto"/>
              </w:rPr>
              <w:t>Average</w:t>
            </w:r>
          </w:p>
        </w:tc>
        <w:tc>
          <w:tcPr>
            <w:tcW w:w="320" w:type="dxa"/>
            <w:vAlign w:val="bottom"/>
          </w:tcPr>
          <w:p>
            <w:pPr>
              <w:spacing w:after="0"/>
              <w:rPr>
                <w:sz w:val="14"/>
                <w:szCs w:val="14"/>
                <w:color w:val="auto"/>
              </w:rPr>
            </w:pPr>
          </w:p>
        </w:tc>
        <w:tc>
          <w:tcPr>
            <w:tcW w:w="1100" w:type="dxa"/>
            <w:vAlign w:val="bottom"/>
          </w:tcPr>
          <w:p>
            <w:pPr>
              <w:jc w:val="center"/>
              <w:ind w:right="183"/>
              <w:spacing w:after="0" w:line="170" w:lineRule="exact"/>
              <w:rPr>
                <w:sz w:val="20"/>
                <w:szCs w:val="20"/>
                <w:color w:val="auto"/>
              </w:rPr>
            </w:pPr>
            <w:r>
              <w:rPr>
                <w:rFonts w:ascii="Arial" w:cs="Arial" w:eastAsia="Arial" w:hAnsi="Arial"/>
                <w:sz w:val="15"/>
                <w:szCs w:val="15"/>
                <w:b w:val="1"/>
                <w:bCs w:val="1"/>
                <w:color w:val="auto"/>
              </w:rPr>
              <w:t>Average</w:t>
            </w:r>
          </w:p>
        </w:tc>
      </w:tr>
      <w:tr>
        <w:trPr>
          <w:trHeight w:val="170"/>
        </w:trPr>
        <w:tc>
          <w:tcPr>
            <w:tcW w:w="5440" w:type="dxa"/>
            <w:vAlign w:val="bottom"/>
          </w:tcPr>
          <w:p>
            <w:pPr>
              <w:jc w:val="center"/>
              <w:ind w:left="5223"/>
              <w:spacing w:after="0" w:line="170" w:lineRule="exact"/>
              <w:rPr>
                <w:sz w:val="20"/>
                <w:szCs w:val="20"/>
                <w:color w:val="auto"/>
              </w:rPr>
            </w:pPr>
            <w:r>
              <w:rPr>
                <w:rFonts w:ascii="Arial" w:cs="Arial" w:eastAsia="Arial" w:hAnsi="Arial"/>
                <w:sz w:val="15"/>
                <w:szCs w:val="15"/>
                <w:b w:val="1"/>
                <w:bCs w:val="1"/>
                <w:color w:val="auto"/>
                <w:w w:val="98"/>
              </w:rPr>
              <w:t>of</w:t>
            </w:r>
          </w:p>
        </w:tc>
        <w:tc>
          <w:tcPr>
            <w:tcW w:w="660" w:type="dxa"/>
            <w:vAlign w:val="bottom"/>
          </w:tcPr>
          <w:p>
            <w:pPr>
              <w:spacing w:after="0"/>
              <w:rPr>
                <w:sz w:val="14"/>
                <w:szCs w:val="14"/>
                <w:color w:val="auto"/>
              </w:rPr>
            </w:pPr>
          </w:p>
        </w:tc>
        <w:tc>
          <w:tcPr>
            <w:tcW w:w="1580" w:type="dxa"/>
            <w:vAlign w:val="bottom"/>
          </w:tcPr>
          <w:p>
            <w:pPr>
              <w:jc w:val="center"/>
              <w:ind w:right="63"/>
              <w:spacing w:after="0" w:line="170" w:lineRule="exact"/>
              <w:rPr>
                <w:sz w:val="20"/>
                <w:szCs w:val="20"/>
                <w:color w:val="auto"/>
              </w:rPr>
            </w:pPr>
            <w:r>
              <w:rPr>
                <w:rFonts w:ascii="Arial" w:cs="Arial" w:eastAsia="Arial" w:hAnsi="Arial"/>
                <w:sz w:val="15"/>
                <w:szCs w:val="15"/>
                <w:b w:val="1"/>
                <w:bCs w:val="1"/>
                <w:color w:val="auto"/>
              </w:rPr>
              <w:t>Remaining</w:t>
            </w:r>
          </w:p>
        </w:tc>
        <w:tc>
          <w:tcPr>
            <w:tcW w:w="320" w:type="dxa"/>
            <w:vAlign w:val="bottom"/>
          </w:tcPr>
          <w:p>
            <w:pPr>
              <w:spacing w:after="0"/>
              <w:rPr>
                <w:sz w:val="14"/>
                <w:szCs w:val="14"/>
                <w:color w:val="auto"/>
              </w:rPr>
            </w:pPr>
          </w:p>
        </w:tc>
        <w:tc>
          <w:tcPr>
            <w:tcW w:w="1100" w:type="dxa"/>
            <w:vAlign w:val="bottom"/>
          </w:tcPr>
          <w:p>
            <w:pPr>
              <w:jc w:val="center"/>
              <w:ind w:right="183"/>
              <w:spacing w:after="0" w:line="170" w:lineRule="exact"/>
              <w:rPr>
                <w:sz w:val="20"/>
                <w:szCs w:val="20"/>
                <w:color w:val="auto"/>
              </w:rPr>
            </w:pPr>
            <w:r>
              <w:rPr>
                <w:rFonts w:ascii="Arial" w:cs="Arial" w:eastAsia="Arial" w:hAnsi="Arial"/>
                <w:sz w:val="15"/>
                <w:szCs w:val="15"/>
                <w:b w:val="1"/>
                <w:bCs w:val="1"/>
                <w:color w:val="auto"/>
              </w:rPr>
              <w:t>Exercise</w:t>
            </w:r>
          </w:p>
        </w:tc>
      </w:tr>
      <w:tr>
        <w:trPr>
          <w:trHeight w:val="194"/>
        </w:trPr>
        <w:tc>
          <w:tcPr>
            <w:tcW w:w="6100" w:type="dxa"/>
            <w:vAlign w:val="bottom"/>
            <w:tcBorders>
              <w:bottom w:val="single" w:sz="8" w:color="auto"/>
            </w:tcBorders>
            <w:gridSpan w:val="2"/>
          </w:tcPr>
          <w:p>
            <w:pPr>
              <w:jc w:val="center"/>
              <w:ind w:left="4543"/>
              <w:spacing w:after="0"/>
              <w:rPr>
                <w:sz w:val="20"/>
                <w:szCs w:val="20"/>
                <w:color w:val="auto"/>
              </w:rPr>
            </w:pPr>
            <w:r>
              <w:rPr>
                <w:rFonts w:ascii="Arial" w:cs="Arial" w:eastAsia="Arial" w:hAnsi="Arial"/>
                <w:sz w:val="15"/>
                <w:szCs w:val="15"/>
                <w:b w:val="1"/>
                <w:bCs w:val="1"/>
                <w:color w:val="auto"/>
              </w:rPr>
              <w:t>Shares</w:t>
            </w:r>
          </w:p>
        </w:tc>
        <w:tc>
          <w:tcPr>
            <w:tcW w:w="1580" w:type="dxa"/>
            <w:vAlign w:val="bottom"/>
            <w:tcBorders>
              <w:bottom w:val="single" w:sz="8" w:color="auto"/>
            </w:tcBorders>
          </w:tcPr>
          <w:p>
            <w:pPr>
              <w:jc w:val="center"/>
              <w:ind w:right="63"/>
              <w:spacing w:after="0"/>
              <w:rPr>
                <w:sz w:val="20"/>
                <w:szCs w:val="20"/>
                <w:color w:val="auto"/>
              </w:rPr>
            </w:pPr>
            <w:r>
              <w:rPr>
                <w:rFonts w:ascii="Arial" w:cs="Arial" w:eastAsia="Arial" w:hAnsi="Arial"/>
                <w:sz w:val="15"/>
                <w:szCs w:val="15"/>
                <w:b w:val="1"/>
                <w:bCs w:val="1"/>
                <w:color w:val="auto"/>
              </w:rPr>
              <w:t>Contractual Life</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203"/>
              <w:spacing w:after="0"/>
              <w:rPr>
                <w:sz w:val="20"/>
                <w:szCs w:val="20"/>
                <w:color w:val="auto"/>
              </w:rPr>
            </w:pPr>
            <w:r>
              <w:rPr>
                <w:rFonts w:ascii="Arial" w:cs="Arial" w:eastAsia="Arial" w:hAnsi="Arial"/>
                <w:sz w:val="15"/>
                <w:szCs w:val="15"/>
                <w:b w:val="1"/>
                <w:bCs w:val="1"/>
                <w:color w:val="auto"/>
              </w:rPr>
              <w:t>Price</w:t>
            </w:r>
          </w:p>
        </w:tc>
      </w:tr>
      <w:tr>
        <w:trPr>
          <w:trHeight w:val="187"/>
        </w:trPr>
        <w:tc>
          <w:tcPr>
            <w:tcW w:w="6100" w:type="dxa"/>
            <w:vAlign w:val="bottom"/>
            <w:gridSpan w:val="2"/>
          </w:tcPr>
          <w:p>
            <w:pPr>
              <w:jc w:val="center"/>
              <w:ind w:left="4563"/>
              <w:spacing w:after="0"/>
              <w:rPr>
                <w:sz w:val="20"/>
                <w:szCs w:val="20"/>
                <w:color w:val="auto"/>
              </w:rPr>
            </w:pPr>
            <w:r>
              <w:rPr>
                <w:rFonts w:ascii="Arial" w:cs="Arial" w:eastAsia="Arial" w:hAnsi="Arial"/>
                <w:sz w:val="15"/>
                <w:szCs w:val="15"/>
                <w:color w:val="auto"/>
              </w:rPr>
              <w:t>(in thousands)</w:t>
            </w:r>
          </w:p>
        </w:tc>
        <w:tc>
          <w:tcPr>
            <w:tcW w:w="1580" w:type="dxa"/>
            <w:vAlign w:val="bottom"/>
          </w:tcPr>
          <w:p>
            <w:pPr>
              <w:jc w:val="center"/>
              <w:ind w:right="63"/>
              <w:spacing w:after="0"/>
              <w:rPr>
                <w:sz w:val="20"/>
                <w:szCs w:val="20"/>
                <w:color w:val="auto"/>
              </w:rPr>
            </w:pPr>
            <w:r>
              <w:rPr>
                <w:rFonts w:ascii="Arial" w:cs="Arial" w:eastAsia="Arial" w:hAnsi="Arial"/>
                <w:sz w:val="15"/>
                <w:szCs w:val="15"/>
                <w:color w:val="auto"/>
              </w:rPr>
              <w:t>(in years)</w:t>
            </w:r>
          </w:p>
        </w:tc>
        <w:tc>
          <w:tcPr>
            <w:tcW w:w="320" w:type="dxa"/>
            <w:vAlign w:val="bottom"/>
          </w:tcPr>
          <w:p>
            <w:pPr>
              <w:spacing w:after="0"/>
              <w:rPr>
                <w:sz w:val="16"/>
                <w:szCs w:val="16"/>
                <w:color w:val="auto"/>
              </w:rPr>
            </w:pPr>
          </w:p>
        </w:tc>
        <w:tc>
          <w:tcPr>
            <w:tcW w:w="1100" w:type="dxa"/>
            <w:vAlign w:val="bottom"/>
          </w:tcPr>
          <w:p>
            <w:pPr>
              <w:jc w:val="center"/>
              <w:ind w:right="183"/>
              <w:spacing w:after="0"/>
              <w:rPr>
                <w:sz w:val="20"/>
                <w:szCs w:val="20"/>
                <w:color w:val="auto"/>
              </w:rPr>
            </w:pPr>
            <w:r>
              <w:rPr>
                <w:rFonts w:ascii="Arial" w:cs="Arial" w:eastAsia="Arial" w:hAnsi="Arial"/>
                <w:sz w:val="15"/>
                <w:szCs w:val="15"/>
                <w:color w:val="auto"/>
              </w:rPr>
              <w:t>(per share)</w:t>
            </w:r>
          </w:p>
        </w:tc>
      </w:tr>
      <w:tr>
        <w:trPr>
          <w:trHeight w:val="207"/>
        </w:trPr>
        <w:tc>
          <w:tcPr>
            <w:tcW w:w="5440" w:type="dxa"/>
            <w:vAlign w:val="bottom"/>
            <w:shd w:val="clear" w:color="auto" w:fill="CCEEFF"/>
          </w:tcPr>
          <w:p>
            <w:pPr>
              <w:spacing w:after="0"/>
              <w:rPr>
                <w:sz w:val="20"/>
                <w:szCs w:val="20"/>
                <w:color w:val="auto"/>
              </w:rPr>
            </w:pPr>
            <w:r>
              <w:rPr>
                <w:rFonts w:ascii="Arial" w:cs="Arial" w:eastAsia="Arial" w:hAnsi="Arial"/>
                <w:sz w:val="15"/>
                <w:szCs w:val="15"/>
                <w:color w:val="auto"/>
              </w:rPr>
              <w:t>Options outstanding at the beginning of the year</w:t>
            </w:r>
          </w:p>
        </w:tc>
        <w:tc>
          <w:tcPr>
            <w:tcW w:w="6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2,806</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42.61</w:t>
            </w:r>
          </w:p>
        </w:tc>
      </w:tr>
      <w:tr>
        <w:trPr>
          <w:trHeight w:val="207"/>
        </w:trPr>
        <w:tc>
          <w:tcPr>
            <w:tcW w:w="5440" w:type="dxa"/>
            <w:vAlign w:val="bottom"/>
          </w:tcPr>
          <w:p>
            <w:pPr>
              <w:spacing w:after="0"/>
              <w:rPr>
                <w:sz w:val="20"/>
                <w:szCs w:val="20"/>
                <w:color w:val="auto"/>
              </w:rPr>
            </w:pPr>
            <w:r>
              <w:rPr>
                <w:rFonts w:ascii="Arial" w:cs="Arial" w:eastAsia="Arial" w:hAnsi="Arial"/>
                <w:sz w:val="15"/>
                <w:szCs w:val="15"/>
                <w:color w:val="auto"/>
              </w:rPr>
              <w:t>Granted</w:t>
            </w:r>
          </w:p>
        </w:tc>
        <w:tc>
          <w:tcPr>
            <w:tcW w:w="660" w:type="dxa"/>
            <w:vAlign w:val="bottom"/>
          </w:tcPr>
          <w:p>
            <w:pPr>
              <w:jc w:val="right"/>
              <w:ind w:right="103"/>
              <w:spacing w:after="0"/>
              <w:rPr>
                <w:sz w:val="20"/>
                <w:szCs w:val="20"/>
                <w:color w:val="auto"/>
              </w:rPr>
            </w:pPr>
            <w:r>
              <w:rPr>
                <w:rFonts w:ascii="Arial" w:cs="Arial" w:eastAsia="Arial" w:hAnsi="Arial"/>
                <w:sz w:val="15"/>
                <w:szCs w:val="15"/>
                <w:color w:val="auto"/>
              </w:rPr>
              <w:t>547</w:t>
            </w: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69.58</w:t>
            </w:r>
          </w:p>
        </w:tc>
      </w:tr>
      <w:tr>
        <w:trPr>
          <w:trHeight w:val="207"/>
        </w:trPr>
        <w:tc>
          <w:tcPr>
            <w:tcW w:w="5440" w:type="dxa"/>
            <w:vAlign w:val="bottom"/>
            <w:shd w:val="clear" w:color="auto" w:fill="CCEEFF"/>
          </w:tcPr>
          <w:p>
            <w:pPr>
              <w:spacing w:after="0"/>
              <w:rPr>
                <w:sz w:val="20"/>
                <w:szCs w:val="20"/>
                <w:color w:val="auto"/>
              </w:rPr>
            </w:pPr>
            <w:r>
              <w:rPr>
                <w:rFonts w:ascii="Arial" w:cs="Arial" w:eastAsia="Arial" w:hAnsi="Arial"/>
                <w:sz w:val="15"/>
                <w:szCs w:val="15"/>
                <w:color w:val="auto"/>
              </w:rPr>
              <w:t>Exercised</w:t>
            </w:r>
          </w:p>
        </w:tc>
        <w:tc>
          <w:tcPr>
            <w:tcW w:w="66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(536)</w:t>
            </w:r>
          </w:p>
        </w:tc>
        <w:tc>
          <w:tcPr>
            <w:tcW w:w="15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21.38</w:t>
            </w:r>
          </w:p>
        </w:tc>
      </w:tr>
      <w:tr>
        <w:trPr>
          <w:trHeight w:val="207"/>
        </w:trPr>
        <w:tc>
          <w:tcPr>
            <w:tcW w:w="5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Expired or cancelled</w:t>
            </w:r>
          </w:p>
        </w:tc>
        <w:tc>
          <w:tcPr>
            <w:tcW w:w="66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(19)</w:t>
            </w:r>
          </w:p>
        </w:tc>
        <w:tc>
          <w:tcPr>
            <w:tcW w:w="15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61.01</w:t>
            </w:r>
          </w:p>
        </w:tc>
      </w:tr>
      <w:tr>
        <w:trPr>
          <w:trHeight w:val="179"/>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Options outstanding at October 28, 2017</w:t>
            </w:r>
          </w:p>
        </w:tc>
        <w:tc>
          <w:tcPr>
            <w:tcW w:w="6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2,798</w:t>
            </w:r>
          </w:p>
        </w:tc>
        <w:tc>
          <w:tcPr>
            <w:tcW w:w="158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6.7</w:t>
            </w: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51.82</w:t>
            </w:r>
          </w:p>
        </w:tc>
      </w:tr>
      <w:tr>
        <w:trPr>
          <w:trHeight w:val="195"/>
        </w:trPr>
        <w:tc>
          <w:tcPr>
            <w:tcW w:w="5440" w:type="dxa"/>
            <w:vAlign w:val="bottom"/>
          </w:tcPr>
          <w:p>
            <w:pPr>
              <w:spacing w:after="0"/>
              <w:rPr>
                <w:sz w:val="20"/>
                <w:szCs w:val="20"/>
                <w:color w:val="auto"/>
              </w:rPr>
            </w:pPr>
            <w:r>
              <w:rPr>
                <w:rFonts w:ascii="Arial" w:cs="Arial" w:eastAsia="Arial" w:hAnsi="Arial"/>
                <w:sz w:val="15"/>
                <w:szCs w:val="15"/>
                <w:color w:val="auto"/>
              </w:rPr>
              <w:t>Options exercisable at October 28, 2017</w:t>
            </w:r>
          </w:p>
        </w:tc>
        <w:tc>
          <w:tcPr>
            <w:tcW w:w="660" w:type="dxa"/>
            <w:vAlign w:val="bottom"/>
          </w:tcPr>
          <w:p>
            <w:pPr>
              <w:jc w:val="right"/>
              <w:ind w:right="103"/>
              <w:spacing w:after="0"/>
              <w:rPr>
                <w:sz w:val="20"/>
                <w:szCs w:val="20"/>
                <w:color w:val="auto"/>
              </w:rPr>
            </w:pPr>
            <w:r>
              <w:rPr>
                <w:rFonts w:ascii="Arial" w:cs="Arial" w:eastAsia="Arial" w:hAnsi="Arial"/>
                <w:sz w:val="15"/>
                <w:szCs w:val="15"/>
                <w:color w:val="auto"/>
              </w:rPr>
              <w:t>1,729</w:t>
            </w:r>
          </w:p>
        </w:tc>
        <w:tc>
          <w:tcPr>
            <w:tcW w:w="1580" w:type="dxa"/>
            <w:vAlign w:val="bottom"/>
          </w:tcPr>
          <w:p>
            <w:pPr>
              <w:jc w:val="right"/>
              <w:ind w:right="103"/>
              <w:spacing w:after="0"/>
              <w:rPr>
                <w:sz w:val="20"/>
                <w:szCs w:val="20"/>
                <w:color w:val="auto"/>
              </w:rPr>
            </w:pPr>
            <w:r>
              <w:rPr>
                <w:rFonts w:ascii="Arial" w:cs="Arial" w:eastAsia="Arial" w:hAnsi="Arial"/>
                <w:sz w:val="15"/>
                <w:szCs w:val="15"/>
                <w:color w:val="auto"/>
              </w:rPr>
              <w:t>5.4</w:t>
            </w:r>
          </w:p>
        </w:tc>
        <w:tc>
          <w:tcPr>
            <w:tcW w:w="320" w:type="dxa"/>
            <w:vAlign w:val="bottom"/>
          </w:tcPr>
          <w:p>
            <w:pPr>
              <w:jc w:val="right"/>
              <w:spacing w:after="0"/>
              <w:rPr>
                <w:sz w:val="20"/>
                <w:szCs w:val="20"/>
                <w:color w:val="auto"/>
              </w:rPr>
            </w:pPr>
            <w:r>
              <w:rPr>
                <w:rFonts w:ascii="Arial" w:cs="Arial" w:eastAsia="Arial" w:hAnsi="Arial"/>
                <w:sz w:val="15"/>
                <w:szCs w:val="15"/>
                <w:color w:val="auto"/>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42.91</w:t>
            </w:r>
          </w:p>
        </w:tc>
      </w:tr>
      <w:tr>
        <w:trPr>
          <w:trHeight w:val="207"/>
        </w:trPr>
        <w:tc>
          <w:tcPr>
            <w:tcW w:w="5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Options available for future grant at October 28, 2017</w:t>
            </w:r>
          </w:p>
        </w:tc>
        <w:tc>
          <w:tcPr>
            <w:tcW w:w="6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10,759</w:t>
            </w:r>
          </w:p>
        </w:tc>
        <w:tc>
          <w:tcPr>
            <w:tcW w:w="1580" w:type="dxa"/>
            <w:vAlign w:val="bottom"/>
            <w:tcBorders>
              <w:bottom w:val="single" w:sz="8" w:color="auto"/>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spacing w:after="0"/>
              <w:rPr>
                <w:sz w:val="17"/>
                <w:szCs w:val="17"/>
                <w:color w:val="auto"/>
              </w:rPr>
            </w:pPr>
          </w:p>
        </w:tc>
      </w:tr>
    </w:tbl>
    <w:p>
      <w:pPr>
        <w:spacing w:after="0" w:line="12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total fair value of options vested as of October 28, 2017 and October 29, 2016 was $8 million and $9 million, respectively. The cash received from option exercises for the thirteen and thirty-nine weeks ended October 28, 2017 was $2 million and $12 million, respectively. The cash received from option exercises for the thirteen and thirty-nine weeks ended October 29, 2016 was $10 million and $24 million, respectively.</w:t>
      </w:r>
    </w:p>
    <w:p>
      <w:pPr>
        <w:spacing w:after="0" w:line="131"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total intrinsic value of options exercised (the difference between the market price of the Company’s common stock on the exercise date and the price paid by the optionee to exercise the option) is presented below:</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ind w:left="260"/>
              <w:spacing w:after="0"/>
              <w:rPr>
                <w:sz w:val="20"/>
                <w:szCs w:val="20"/>
                <w:color w:val="auto"/>
              </w:rPr>
            </w:pPr>
            <w:r>
              <w:rPr>
                <w:rFonts w:ascii="Arial" w:cs="Arial" w:eastAsia="Arial" w:hAnsi="Arial"/>
                <w:sz w:val="15"/>
                <w:szCs w:val="15"/>
                <w:b w:val="1"/>
                <w:bCs w:val="1"/>
                <w:color w:val="auto"/>
              </w:rPr>
              <w:t>Thirteen weeks ended</w:t>
            </w:r>
          </w:p>
        </w:tc>
        <w:tc>
          <w:tcPr>
            <w:tcW w:w="20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3"/>
          </w:tcPr>
          <w:p>
            <w:pPr>
              <w:jc w:val="right"/>
              <w:ind w:right="163"/>
              <w:spacing w:after="0"/>
              <w:rPr>
                <w:sz w:val="20"/>
                <w:szCs w:val="20"/>
                <w:color w:val="auto"/>
              </w:rPr>
            </w:pPr>
            <w:r>
              <w:rPr>
                <w:rFonts w:ascii="Arial" w:cs="Arial" w:eastAsia="Arial" w:hAnsi="Arial"/>
                <w:sz w:val="15"/>
                <w:szCs w:val="15"/>
                <w:b w:val="1"/>
                <w:bCs w:val="1"/>
                <w:color w:val="auto"/>
              </w:rPr>
              <w:t>Thirty-nine weeks ended</w:t>
            </w:r>
          </w:p>
        </w:tc>
      </w:tr>
      <w:tr>
        <w:trPr>
          <w:trHeight w:val="151"/>
        </w:trPr>
        <w:tc>
          <w:tcPr>
            <w:tcW w:w="250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1040" w:type="dxa"/>
            <w:vAlign w:val="bottom"/>
          </w:tcPr>
          <w:p>
            <w:pPr>
              <w:ind w:left="20"/>
              <w:spacing w:after="0" w:line="151" w:lineRule="exact"/>
              <w:rPr>
                <w:sz w:val="20"/>
                <w:szCs w:val="20"/>
                <w:color w:val="auto"/>
              </w:rPr>
            </w:pPr>
            <w:r>
              <w:rPr>
                <w:rFonts w:ascii="Arial" w:cs="Arial" w:eastAsia="Arial" w:hAnsi="Arial"/>
                <w:sz w:val="15"/>
                <w:szCs w:val="15"/>
                <w:b w:val="1"/>
                <w:bCs w:val="1"/>
                <w:color w:val="auto"/>
              </w:rPr>
              <w:t>October 28,</w:t>
            </w:r>
          </w:p>
        </w:tc>
        <w:tc>
          <w:tcPr>
            <w:tcW w:w="220" w:type="dxa"/>
            <w:vAlign w:val="bottom"/>
          </w:tcPr>
          <w:p>
            <w:pPr>
              <w:spacing w:after="0"/>
              <w:rPr>
                <w:sz w:val="13"/>
                <w:szCs w:val="13"/>
                <w:color w:val="auto"/>
              </w:rPr>
            </w:pPr>
          </w:p>
        </w:tc>
        <w:tc>
          <w:tcPr>
            <w:tcW w:w="1040" w:type="dxa"/>
            <w:vAlign w:val="bottom"/>
          </w:tcPr>
          <w:p>
            <w:pPr>
              <w:jc w:val="center"/>
              <w:ind w:right="103"/>
              <w:spacing w:after="0" w:line="151" w:lineRule="exact"/>
              <w:rPr>
                <w:sz w:val="20"/>
                <w:szCs w:val="20"/>
                <w:color w:val="auto"/>
              </w:rPr>
            </w:pPr>
            <w:r>
              <w:rPr>
                <w:rFonts w:ascii="Arial" w:cs="Arial" w:eastAsia="Arial" w:hAnsi="Arial"/>
                <w:sz w:val="15"/>
                <w:szCs w:val="15"/>
                <w:b w:val="1"/>
                <w:bCs w:val="1"/>
                <w:color w:val="auto"/>
              </w:rPr>
              <w:t>October 29,</w:t>
            </w:r>
          </w:p>
        </w:tc>
        <w:tc>
          <w:tcPr>
            <w:tcW w:w="200" w:type="dxa"/>
            <w:vAlign w:val="bottom"/>
          </w:tcPr>
          <w:p>
            <w:pPr>
              <w:spacing w:after="0"/>
              <w:rPr>
                <w:sz w:val="13"/>
                <w:szCs w:val="13"/>
                <w:color w:val="auto"/>
              </w:rPr>
            </w:pPr>
          </w:p>
        </w:tc>
        <w:tc>
          <w:tcPr>
            <w:tcW w:w="1040" w:type="dxa"/>
            <w:vAlign w:val="bottom"/>
          </w:tcPr>
          <w:p>
            <w:pPr>
              <w:jc w:val="center"/>
              <w:ind w:right="83"/>
              <w:spacing w:after="0" w:line="151" w:lineRule="exact"/>
              <w:rPr>
                <w:sz w:val="20"/>
                <w:szCs w:val="20"/>
                <w:color w:val="auto"/>
              </w:rPr>
            </w:pPr>
            <w:r>
              <w:rPr>
                <w:rFonts w:ascii="Arial" w:cs="Arial" w:eastAsia="Arial" w:hAnsi="Arial"/>
                <w:sz w:val="15"/>
                <w:szCs w:val="15"/>
                <w:b w:val="1"/>
                <w:bCs w:val="1"/>
                <w:color w:val="auto"/>
              </w:rPr>
              <w:t>October 28,</w:t>
            </w:r>
          </w:p>
        </w:tc>
        <w:tc>
          <w:tcPr>
            <w:tcW w:w="180" w:type="dxa"/>
            <w:vAlign w:val="bottom"/>
          </w:tcPr>
          <w:p>
            <w:pPr>
              <w:spacing w:after="0"/>
              <w:rPr>
                <w:sz w:val="13"/>
                <w:szCs w:val="13"/>
                <w:color w:val="auto"/>
              </w:rPr>
            </w:pPr>
          </w:p>
        </w:tc>
        <w:tc>
          <w:tcPr>
            <w:tcW w:w="960" w:type="dxa"/>
            <w:vAlign w:val="bottom"/>
          </w:tcPr>
          <w:p>
            <w:pPr>
              <w:jc w:val="center"/>
              <w:ind w:right="3"/>
              <w:spacing w:after="0" w:line="151" w:lineRule="exact"/>
              <w:rPr>
                <w:sz w:val="20"/>
                <w:szCs w:val="20"/>
                <w:color w:val="auto"/>
              </w:rPr>
            </w:pPr>
            <w:r>
              <w:rPr>
                <w:rFonts w:ascii="Arial" w:cs="Arial" w:eastAsia="Arial" w:hAnsi="Arial"/>
                <w:sz w:val="15"/>
                <w:szCs w:val="15"/>
                <w:b w:val="1"/>
                <w:bCs w:val="1"/>
                <w:color w:val="auto"/>
              </w:rPr>
              <w:t>October 29,</w:t>
            </w:r>
          </w:p>
        </w:tc>
      </w:tr>
      <w:tr>
        <w:trPr>
          <w:trHeight w:val="194"/>
        </w:trPr>
        <w:tc>
          <w:tcPr>
            <w:tcW w:w="250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260"/>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2016</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2016</w:t>
            </w:r>
          </w:p>
        </w:tc>
      </w:tr>
      <w:tr>
        <w:trPr>
          <w:trHeight w:val="199"/>
        </w:trPr>
        <w:tc>
          <w:tcPr>
            <w:tcW w:w="250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80" w:type="dxa"/>
            <w:vAlign w:val="bottom"/>
            <w:gridSpan w:val="3"/>
          </w:tcPr>
          <w:p>
            <w:pPr>
              <w:jc w:val="right"/>
              <w:ind w:right="723"/>
              <w:spacing w:after="0"/>
              <w:rPr>
                <w:sz w:val="20"/>
                <w:szCs w:val="20"/>
                <w:color w:val="auto"/>
              </w:rPr>
            </w:pPr>
            <w:r>
              <w:rPr>
                <w:rFonts w:ascii="Arial" w:cs="Arial" w:eastAsia="Arial" w:hAnsi="Arial"/>
                <w:sz w:val="15"/>
                <w:szCs w:val="15"/>
                <w:color w:val="auto"/>
              </w:rPr>
              <w:t>($ in millions)</w:t>
            </w: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7"/>
        </w:trPr>
        <w:tc>
          <w:tcPr>
            <w:tcW w:w="25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Exercised</w:t>
            </w:r>
          </w:p>
        </w:tc>
        <w:tc>
          <w:tcPr>
            <w:tcW w:w="1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5</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w:t>
            </w:r>
          </w:p>
        </w:tc>
      </w:tr>
    </w:tbl>
    <w:p>
      <w:pPr>
        <w:spacing w:after="0" w:line="165"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total tax benefit realized from option exercises was $2 million and $8 million for the thirteen and thirty-nine weeks ended October 28, 2017. The total tax benefit realized from option exercises was $7 million and $17 million for the corresponding prior-year periods.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6" w:name="page17"/>
    <w:bookmarkEnd w:id="16"/>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aggregate intrinsic value for stock options outstanding, outstanding and exercisable, and vested and expected to vest (the difference between the Company’s closing stock price on the last trading day of the period and the exercise price of the options, multiplied by the number of in-the-money stock options) is presented below:</w:t>
      </w:r>
    </w:p>
    <w:p>
      <w:pPr>
        <w:spacing w:after="0" w:line="74" w:lineRule="exact"/>
        <w:rPr>
          <w:sz w:val="20"/>
          <w:szCs w:val="20"/>
          <w:color w:val="auto"/>
        </w:rPr>
      </w:pPr>
    </w:p>
    <w:p>
      <w:pPr>
        <w:ind w:left="6600"/>
        <w:spacing w:after="0"/>
        <w:rPr>
          <w:sz w:val="20"/>
          <w:szCs w:val="20"/>
          <w:color w:val="auto"/>
        </w:rPr>
      </w:pPr>
      <w:r>
        <w:rPr>
          <w:rFonts w:ascii="Arial" w:cs="Arial" w:eastAsia="Arial" w:hAnsi="Arial"/>
          <w:sz w:val="15"/>
          <w:szCs w:val="15"/>
          <w:b w:val="1"/>
          <w:bCs w:val="1"/>
          <w:color w:val="auto"/>
        </w:rPr>
        <w:t>Thirty-nine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4000" w:type="dxa"/>
            <w:vAlign w:val="bottom"/>
            <w:tcBorders>
              <w:top w:val="single" w:sz="8" w:color="auto"/>
            </w:tcBorders>
          </w:tcPr>
          <w:p>
            <w:pPr>
              <w:spacing w:after="0"/>
              <w:rPr>
                <w:sz w:val="13"/>
                <w:szCs w:val="13"/>
                <w:color w:val="auto"/>
              </w:rPr>
            </w:pPr>
          </w:p>
        </w:tc>
        <w:tc>
          <w:tcPr>
            <w:tcW w:w="3180" w:type="dxa"/>
            <w:vAlign w:val="bottom"/>
            <w:tcBorders>
              <w:top w:val="single" w:sz="8" w:color="auto"/>
            </w:tcBorders>
          </w:tcPr>
          <w:p>
            <w:pPr>
              <w:jc w:val="right"/>
              <w:ind w:right="23"/>
              <w:spacing w:after="0" w:line="151" w:lineRule="exact"/>
              <w:rPr>
                <w:sz w:val="20"/>
                <w:szCs w:val="20"/>
                <w:color w:val="auto"/>
              </w:rPr>
            </w:pPr>
            <w:r>
              <w:rPr>
                <w:rFonts w:ascii="Arial" w:cs="Arial" w:eastAsia="Arial" w:hAnsi="Arial"/>
                <w:sz w:val="15"/>
                <w:szCs w:val="15"/>
                <w:b w:val="1"/>
                <w:bCs w:val="1"/>
                <w:color w:val="auto"/>
              </w:rPr>
              <w:t>October 28,</w:t>
            </w:r>
          </w:p>
        </w:tc>
        <w:tc>
          <w:tcPr>
            <w:tcW w:w="4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October 29,</w:t>
            </w:r>
          </w:p>
        </w:tc>
        <w:tc>
          <w:tcPr>
            <w:tcW w:w="260" w:type="dxa"/>
            <w:vAlign w:val="bottom"/>
            <w:tcBorders>
              <w:top w:val="single" w:sz="8" w:color="auto"/>
            </w:tcBorders>
          </w:tcPr>
          <w:p>
            <w:pPr>
              <w:spacing w:after="0"/>
              <w:rPr>
                <w:sz w:val="13"/>
                <w:szCs w:val="13"/>
                <w:color w:val="auto"/>
              </w:rPr>
            </w:pPr>
          </w:p>
        </w:tc>
      </w:tr>
      <w:tr>
        <w:trPr>
          <w:trHeight w:val="194"/>
        </w:trPr>
        <w:tc>
          <w:tcPr>
            <w:tcW w:w="40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b w:val="1"/>
                <w:bCs w:val="1"/>
                <w:color w:val="auto"/>
              </w:rPr>
              <w:t>2017</w:t>
            </w:r>
          </w:p>
        </w:tc>
        <w:tc>
          <w:tcPr>
            <w:tcW w:w="4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223"/>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bottom w:val="single" w:sz="8" w:color="auto"/>
            </w:tcBorders>
          </w:tcPr>
          <w:p>
            <w:pPr>
              <w:spacing w:after="0"/>
              <w:rPr>
                <w:sz w:val="16"/>
                <w:szCs w:val="16"/>
                <w:color w:val="auto"/>
              </w:rPr>
            </w:pPr>
          </w:p>
        </w:tc>
      </w:tr>
      <w:tr>
        <w:trPr>
          <w:trHeight w:val="187"/>
        </w:trPr>
        <w:tc>
          <w:tcPr>
            <w:tcW w:w="4000" w:type="dxa"/>
            <w:vAlign w:val="bottom"/>
          </w:tcPr>
          <w:p>
            <w:pPr>
              <w:spacing w:after="0"/>
              <w:rPr>
                <w:sz w:val="16"/>
                <w:szCs w:val="16"/>
                <w:color w:val="auto"/>
              </w:rPr>
            </w:pPr>
          </w:p>
        </w:tc>
        <w:tc>
          <w:tcPr>
            <w:tcW w:w="4840" w:type="dxa"/>
            <w:vAlign w:val="bottom"/>
            <w:gridSpan w:val="3"/>
          </w:tcPr>
          <w:p>
            <w:pPr>
              <w:jc w:val="right"/>
              <w:ind w:right="803"/>
              <w:spacing w:after="0"/>
              <w:rPr>
                <w:sz w:val="20"/>
                <w:szCs w:val="20"/>
                <w:color w:val="auto"/>
              </w:rPr>
            </w:pPr>
            <w:r>
              <w:rPr>
                <w:rFonts w:ascii="Arial" w:cs="Arial" w:eastAsia="Arial" w:hAnsi="Arial"/>
                <w:sz w:val="15"/>
                <w:szCs w:val="15"/>
                <w:color w:val="auto"/>
              </w:rPr>
              <w:t>($ in millions)</w:t>
            </w:r>
          </w:p>
        </w:tc>
        <w:tc>
          <w:tcPr>
            <w:tcW w:w="260" w:type="dxa"/>
            <w:vAlign w:val="bottom"/>
          </w:tcPr>
          <w:p>
            <w:pPr>
              <w:spacing w:after="0"/>
              <w:rPr>
                <w:sz w:val="16"/>
                <w:szCs w:val="16"/>
                <w:color w:val="auto"/>
              </w:rPr>
            </w:pPr>
          </w:p>
        </w:tc>
      </w:tr>
      <w:tr>
        <w:trPr>
          <w:trHeight w:val="207"/>
        </w:trPr>
        <w:tc>
          <w:tcPr>
            <w:tcW w:w="4000" w:type="dxa"/>
            <w:vAlign w:val="bottom"/>
            <w:shd w:val="clear" w:color="auto" w:fill="CCEEFF"/>
          </w:tcPr>
          <w:p>
            <w:pPr>
              <w:spacing w:after="0"/>
              <w:rPr>
                <w:sz w:val="20"/>
                <w:szCs w:val="20"/>
                <w:color w:val="auto"/>
              </w:rPr>
            </w:pPr>
            <w:r>
              <w:rPr>
                <w:rFonts w:ascii="Arial" w:cs="Arial" w:eastAsia="Arial" w:hAnsi="Arial"/>
                <w:sz w:val="15"/>
                <w:szCs w:val="15"/>
                <w:color w:val="auto"/>
              </w:rPr>
              <w:t>Outstanding</w:t>
            </w:r>
          </w:p>
        </w:tc>
        <w:tc>
          <w:tcPr>
            <w:tcW w:w="3180" w:type="dxa"/>
            <w:vAlign w:val="bottom"/>
            <w:shd w:val="clear" w:color="auto" w:fill="CCEEFF"/>
          </w:tcPr>
          <w:p>
            <w:pPr>
              <w:jc w:val="right"/>
              <w:ind w:right="963"/>
              <w:spacing w:after="0"/>
              <w:rPr>
                <w:sz w:val="20"/>
                <w:szCs w:val="20"/>
                <w:color w:val="auto"/>
              </w:rPr>
            </w:pPr>
            <w:r>
              <w:rPr>
                <w:rFonts w:ascii="Arial" w:cs="Arial" w:eastAsia="Arial" w:hAnsi="Arial"/>
                <w:sz w:val="15"/>
                <w:szCs w:val="15"/>
                <w:b w:val="1"/>
                <w:bCs w:val="1"/>
                <w:color w:val="auto"/>
              </w:rPr>
              <w:t>$</w:t>
            </w:r>
          </w:p>
        </w:tc>
        <w:tc>
          <w:tcPr>
            <w:tcW w:w="40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5</w:t>
            </w:r>
          </w:p>
        </w:tc>
        <w:tc>
          <w:tcPr>
            <w:tcW w:w="1260" w:type="dxa"/>
            <w:vAlign w:val="bottom"/>
            <w:shd w:val="clear" w:color="auto" w:fill="CCEEFF"/>
          </w:tcPr>
          <w:p>
            <w:pPr>
              <w:jc w:val="right"/>
              <w:ind w:right="883"/>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w:t>
            </w:r>
          </w:p>
        </w:tc>
      </w:tr>
      <w:tr>
        <w:trPr>
          <w:trHeight w:val="207"/>
        </w:trPr>
        <w:tc>
          <w:tcPr>
            <w:tcW w:w="4000" w:type="dxa"/>
            <w:vAlign w:val="bottom"/>
          </w:tcPr>
          <w:p>
            <w:pPr>
              <w:spacing w:after="0"/>
              <w:rPr>
                <w:sz w:val="20"/>
                <w:szCs w:val="20"/>
                <w:color w:val="auto"/>
              </w:rPr>
            </w:pPr>
            <w:r>
              <w:rPr>
                <w:rFonts w:ascii="Arial" w:cs="Arial" w:eastAsia="Arial" w:hAnsi="Arial"/>
                <w:sz w:val="15"/>
                <w:szCs w:val="15"/>
                <w:color w:val="auto"/>
              </w:rPr>
              <w:t>Outstanding and exercisable</w:t>
            </w:r>
          </w:p>
        </w:tc>
        <w:tc>
          <w:tcPr>
            <w:tcW w:w="3180" w:type="dxa"/>
            <w:vAlign w:val="bottom"/>
          </w:tcPr>
          <w:p>
            <w:pPr>
              <w:jc w:val="right"/>
              <w:ind w:right="963"/>
              <w:spacing w:after="0"/>
              <w:rPr>
                <w:sz w:val="20"/>
                <w:szCs w:val="20"/>
                <w:color w:val="auto"/>
              </w:rPr>
            </w:pPr>
            <w:r>
              <w:rPr>
                <w:rFonts w:ascii="Arial" w:cs="Arial" w:eastAsia="Arial" w:hAnsi="Arial"/>
                <w:sz w:val="15"/>
                <w:szCs w:val="15"/>
                <w:b w:val="1"/>
                <w:bCs w:val="1"/>
                <w:color w:val="auto"/>
              </w:rPr>
              <w:t>$</w:t>
            </w:r>
          </w:p>
        </w:tc>
        <w:tc>
          <w:tcPr>
            <w:tcW w:w="400" w:type="dxa"/>
            <w:vAlign w:val="bottom"/>
          </w:tcPr>
          <w:p>
            <w:pPr>
              <w:jc w:val="right"/>
              <w:ind w:right="143"/>
              <w:spacing w:after="0"/>
              <w:rPr>
                <w:sz w:val="20"/>
                <w:szCs w:val="20"/>
                <w:color w:val="auto"/>
              </w:rPr>
            </w:pPr>
            <w:r>
              <w:rPr>
                <w:rFonts w:ascii="Arial" w:cs="Arial" w:eastAsia="Arial" w:hAnsi="Arial"/>
                <w:sz w:val="15"/>
                <w:szCs w:val="15"/>
                <w:b w:val="1"/>
                <w:bCs w:val="1"/>
                <w:color w:val="auto"/>
              </w:rPr>
              <w:t>5</w:t>
            </w:r>
          </w:p>
        </w:tc>
        <w:tc>
          <w:tcPr>
            <w:tcW w:w="1260" w:type="dxa"/>
            <w:vAlign w:val="bottom"/>
          </w:tcPr>
          <w:p>
            <w:pPr>
              <w:jc w:val="right"/>
              <w:ind w:right="883"/>
              <w:spacing w:after="0"/>
              <w:rPr>
                <w:sz w:val="20"/>
                <w:szCs w:val="20"/>
                <w:color w:val="auto"/>
              </w:rPr>
            </w:pPr>
            <w:r>
              <w:rPr>
                <w:rFonts w:ascii="Arial" w:cs="Arial" w:eastAsia="Arial" w:hAnsi="Arial"/>
                <w:sz w:val="15"/>
                <w:szCs w:val="15"/>
                <w:color w:val="auto"/>
              </w:rPr>
              <w:t>$</w:t>
            </w:r>
          </w:p>
        </w:tc>
        <w:tc>
          <w:tcPr>
            <w:tcW w:w="260" w:type="dxa"/>
            <w:vAlign w:val="bottom"/>
          </w:tcPr>
          <w:p>
            <w:pPr>
              <w:jc w:val="right"/>
              <w:spacing w:after="0"/>
              <w:rPr>
                <w:sz w:val="20"/>
                <w:szCs w:val="20"/>
                <w:color w:val="auto"/>
              </w:rPr>
            </w:pPr>
            <w:r>
              <w:rPr>
                <w:rFonts w:ascii="Arial" w:cs="Arial" w:eastAsia="Arial" w:hAnsi="Arial"/>
                <w:sz w:val="15"/>
                <w:szCs w:val="15"/>
                <w:color w:val="auto"/>
              </w:rPr>
              <w:t>71</w:t>
            </w:r>
          </w:p>
        </w:tc>
      </w:tr>
      <w:tr>
        <w:trPr>
          <w:trHeight w:val="207"/>
        </w:trPr>
        <w:tc>
          <w:tcPr>
            <w:tcW w:w="40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Vested and expected to vest</w:t>
            </w:r>
          </w:p>
        </w:tc>
        <w:tc>
          <w:tcPr>
            <w:tcW w:w="3180" w:type="dxa"/>
            <w:vAlign w:val="bottom"/>
            <w:tcBorders>
              <w:bottom w:val="single" w:sz="8" w:color="auto"/>
            </w:tcBorders>
            <w:shd w:val="clear" w:color="auto" w:fill="CCEEFF"/>
          </w:tcPr>
          <w:p>
            <w:pPr>
              <w:jc w:val="right"/>
              <w:ind w:right="963"/>
              <w:spacing w:after="0"/>
              <w:rPr>
                <w:sz w:val="20"/>
                <w:szCs w:val="20"/>
                <w:color w:val="auto"/>
              </w:rPr>
            </w:pPr>
            <w:r>
              <w:rPr>
                <w:rFonts w:ascii="Arial" w:cs="Arial" w:eastAsia="Arial" w:hAnsi="Arial"/>
                <w:sz w:val="15"/>
                <w:szCs w:val="15"/>
                <w:b w:val="1"/>
                <w:bCs w:val="1"/>
                <w:color w:val="auto"/>
              </w:rPr>
              <w:t>$</w:t>
            </w:r>
          </w:p>
        </w:tc>
        <w:tc>
          <w:tcPr>
            <w:tcW w:w="400" w:type="dxa"/>
            <w:vAlign w:val="bottom"/>
            <w:tcBorders>
              <w:bottom w:val="single" w:sz="8" w:color="auto"/>
            </w:tcBorders>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5</w:t>
            </w:r>
          </w:p>
        </w:tc>
        <w:tc>
          <w:tcPr>
            <w:tcW w:w="1260" w:type="dxa"/>
            <w:vAlign w:val="bottom"/>
            <w:tcBorders>
              <w:bottom w:val="single" w:sz="8" w:color="auto"/>
            </w:tcBorders>
            <w:shd w:val="clear" w:color="auto" w:fill="CCEEFF"/>
          </w:tcPr>
          <w:p>
            <w:pPr>
              <w:jc w:val="right"/>
              <w:ind w:right="883"/>
              <w:spacing w:after="0"/>
              <w:rPr>
                <w:sz w:val="20"/>
                <w:szCs w:val="20"/>
                <w:color w:val="auto"/>
              </w:rPr>
            </w:pPr>
            <w:r>
              <w:rPr>
                <w:rFonts w:ascii="Arial" w:cs="Arial" w:eastAsia="Arial" w:hAnsi="Arial"/>
                <w:sz w:val="15"/>
                <w:szCs w:val="15"/>
                <w:color w:val="auto"/>
              </w:rPr>
              <w:t>$</w:t>
            </w:r>
          </w:p>
        </w:tc>
        <w:tc>
          <w:tcPr>
            <w:tcW w:w="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w:t>
            </w:r>
          </w:p>
        </w:tc>
      </w:tr>
    </w:tbl>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As of October 28, 2017 there was $7 million of total unrecognized compensation cost related to nonvested stock options, which is expected to be recognized over a remaining weighted-average period of 1.5 years. The following table summarizes information about stock options outstanding and exercisable at October 28, 2017:</w:t>
      </w:r>
    </w:p>
    <w:p>
      <w:pPr>
        <w:spacing w:after="0" w:line="74"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94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Options Outstanding</w:t>
            </w: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3"/>
          </w:tcPr>
          <w:p>
            <w:pPr>
              <w:jc w:val="right"/>
              <w:ind w:right="403"/>
              <w:spacing w:after="0"/>
              <w:rPr>
                <w:sz w:val="20"/>
                <w:szCs w:val="20"/>
                <w:color w:val="auto"/>
              </w:rPr>
            </w:pPr>
            <w:r>
              <w:rPr>
                <w:rFonts w:ascii="Arial" w:cs="Arial" w:eastAsia="Arial" w:hAnsi="Arial"/>
                <w:sz w:val="15"/>
                <w:szCs w:val="15"/>
                <w:b w:val="1"/>
                <w:bCs w:val="1"/>
                <w:color w:val="auto"/>
              </w:rPr>
              <w:t>Options Exercisable</w:t>
            </w:r>
          </w:p>
        </w:tc>
      </w:tr>
      <w:tr>
        <w:trPr>
          <w:trHeight w:val="151"/>
        </w:trPr>
        <w:tc>
          <w:tcPr>
            <w:tcW w:w="19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66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rPr>
              <w:t>Weighted-</w:t>
            </w: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r>
      <w:tr>
        <w:trPr>
          <w:trHeight w:val="182"/>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c>
          <w:tcPr>
            <w:tcW w:w="240" w:type="dxa"/>
            <w:vAlign w:val="bottom"/>
          </w:tcPr>
          <w:p>
            <w:pPr>
              <w:spacing w:after="0"/>
              <w:rPr>
                <w:sz w:val="15"/>
                <w:szCs w:val="15"/>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Weighted-</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Weighted-</w:t>
            </w:r>
          </w:p>
        </w:tc>
      </w:tr>
      <w:tr>
        <w:trPr>
          <w:trHeight w:val="182"/>
        </w:trPr>
        <w:tc>
          <w:tcPr>
            <w:tcW w:w="19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Remaining</w:t>
            </w:r>
          </w:p>
        </w:tc>
        <w:tc>
          <w:tcPr>
            <w:tcW w:w="240" w:type="dxa"/>
            <w:vAlign w:val="bottom"/>
          </w:tcPr>
          <w:p>
            <w:pPr>
              <w:spacing w:after="0"/>
              <w:rPr>
                <w:sz w:val="15"/>
                <w:szCs w:val="15"/>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Average</w:t>
            </w:r>
          </w:p>
        </w:tc>
        <w:tc>
          <w:tcPr>
            <w:tcW w:w="1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Average</w:t>
            </w:r>
          </w:p>
        </w:tc>
      </w:tr>
      <w:tr>
        <w:trPr>
          <w:trHeight w:val="203"/>
        </w:trPr>
        <w:tc>
          <w:tcPr>
            <w:tcW w:w="1940" w:type="dxa"/>
            <w:vAlign w:val="bottom"/>
          </w:tcPr>
          <w:p>
            <w:pPr>
              <w:spacing w:after="0"/>
              <w:rPr>
                <w:sz w:val="20"/>
                <w:szCs w:val="20"/>
                <w:color w:val="auto"/>
              </w:rPr>
            </w:pPr>
            <w:r>
              <w:rPr>
                <w:rFonts w:ascii="Arial" w:cs="Arial" w:eastAsia="Arial" w:hAnsi="Arial"/>
                <w:sz w:val="15"/>
                <w:szCs w:val="15"/>
                <w:b w:val="1"/>
                <w:bCs w:val="1"/>
                <w:color w:val="auto"/>
              </w:rPr>
              <w:t>Range of Exercise</w:t>
            </w:r>
          </w:p>
        </w:tc>
        <w:tc>
          <w:tcPr>
            <w:tcW w:w="1640" w:type="dxa"/>
            <w:vAlign w:val="bottom"/>
          </w:tcPr>
          <w:p>
            <w:pPr>
              <w:jc w:val="right"/>
              <w:ind w:right="223"/>
              <w:spacing w:after="0"/>
              <w:rPr>
                <w:sz w:val="20"/>
                <w:szCs w:val="20"/>
                <w:color w:val="auto"/>
              </w:rPr>
            </w:pPr>
            <w:r>
              <w:rPr>
                <w:rFonts w:ascii="Arial" w:cs="Arial" w:eastAsia="Arial" w:hAnsi="Arial"/>
                <w:sz w:val="15"/>
                <w:szCs w:val="15"/>
                <w:b w:val="1"/>
                <w:bCs w:val="1"/>
                <w:color w:val="auto"/>
              </w:rPr>
              <w:t>Number</w:t>
            </w:r>
          </w:p>
        </w:tc>
        <w:tc>
          <w:tcPr>
            <w:tcW w:w="1660" w:type="dxa"/>
            <w:vAlign w:val="bottom"/>
          </w:tcPr>
          <w:p>
            <w:pPr>
              <w:jc w:val="center"/>
              <w:spacing w:after="0"/>
              <w:rPr>
                <w:sz w:val="20"/>
                <w:szCs w:val="20"/>
                <w:color w:val="auto"/>
              </w:rPr>
            </w:pPr>
            <w:r>
              <w:rPr>
                <w:rFonts w:ascii="Arial" w:cs="Arial" w:eastAsia="Arial" w:hAnsi="Arial"/>
                <w:sz w:val="15"/>
                <w:szCs w:val="15"/>
                <w:b w:val="1"/>
                <w:bCs w:val="1"/>
                <w:color w:val="auto"/>
              </w:rPr>
              <w:t>Contractual</w:t>
            </w:r>
          </w:p>
        </w:tc>
        <w:tc>
          <w:tcPr>
            <w:tcW w:w="240" w:type="dxa"/>
            <w:vAlign w:val="bottom"/>
          </w:tcPr>
          <w:p>
            <w:pPr>
              <w:spacing w:after="0"/>
              <w:rPr>
                <w:sz w:val="17"/>
                <w:szCs w:val="17"/>
                <w:color w:val="auto"/>
              </w:rPr>
            </w:pPr>
          </w:p>
        </w:tc>
        <w:tc>
          <w:tcPr>
            <w:tcW w:w="1060" w:type="dxa"/>
            <w:vAlign w:val="bottom"/>
          </w:tcPr>
          <w:p>
            <w:pPr>
              <w:jc w:val="center"/>
              <w:ind w:right="123"/>
              <w:spacing w:after="0"/>
              <w:rPr>
                <w:sz w:val="20"/>
                <w:szCs w:val="20"/>
                <w:color w:val="auto"/>
              </w:rPr>
            </w:pPr>
            <w:r>
              <w:rPr>
                <w:rFonts w:ascii="Arial" w:cs="Arial" w:eastAsia="Arial" w:hAnsi="Arial"/>
                <w:sz w:val="15"/>
                <w:szCs w:val="15"/>
                <w:b w:val="1"/>
                <w:bCs w:val="1"/>
                <w:color w:val="auto"/>
              </w:rPr>
              <w:t>Exercise</w:t>
            </w:r>
          </w:p>
        </w:tc>
        <w:tc>
          <w:tcPr>
            <w:tcW w:w="1360" w:type="dxa"/>
            <w:vAlign w:val="bottom"/>
          </w:tcPr>
          <w:p>
            <w:pPr>
              <w:jc w:val="right"/>
              <w:ind w:right="383"/>
              <w:spacing w:after="0"/>
              <w:rPr>
                <w:sz w:val="20"/>
                <w:szCs w:val="20"/>
                <w:color w:val="auto"/>
              </w:rPr>
            </w:pPr>
            <w:r>
              <w:rPr>
                <w:rFonts w:ascii="Arial" w:cs="Arial" w:eastAsia="Arial" w:hAnsi="Arial"/>
                <w:sz w:val="15"/>
                <w:szCs w:val="15"/>
                <w:b w:val="1"/>
                <w:bCs w:val="1"/>
                <w:color w:val="auto"/>
              </w:rPr>
              <w:t>Number</w:t>
            </w:r>
          </w:p>
        </w:tc>
        <w:tc>
          <w:tcPr>
            <w:tcW w:w="2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Arial" w:cs="Arial" w:eastAsia="Arial" w:hAnsi="Arial"/>
                <w:sz w:val="15"/>
                <w:szCs w:val="15"/>
                <w:b w:val="1"/>
                <w:bCs w:val="1"/>
                <w:color w:val="auto"/>
              </w:rPr>
              <w:t>Exercise</w:t>
            </w:r>
          </w:p>
        </w:tc>
      </w:tr>
      <w:tr>
        <w:trPr>
          <w:trHeight w:val="197"/>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Prices</w:t>
            </w:r>
          </w:p>
        </w:tc>
        <w:tc>
          <w:tcPr>
            <w:tcW w:w="16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Outstanding</w:t>
            </w:r>
          </w:p>
        </w:tc>
        <w:tc>
          <w:tcPr>
            <w:tcW w:w="166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Life</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123"/>
              <w:spacing w:after="0"/>
              <w:rPr>
                <w:sz w:val="20"/>
                <w:szCs w:val="20"/>
                <w:color w:val="auto"/>
              </w:rPr>
            </w:pPr>
            <w:r>
              <w:rPr>
                <w:rFonts w:ascii="Arial" w:cs="Arial" w:eastAsia="Arial" w:hAnsi="Arial"/>
                <w:sz w:val="15"/>
                <w:szCs w:val="15"/>
                <w:b w:val="1"/>
                <w:bCs w:val="1"/>
                <w:color w:val="auto"/>
              </w:rPr>
              <w:t>Price</w:t>
            </w:r>
          </w:p>
        </w:tc>
        <w:tc>
          <w:tcPr>
            <w:tcW w:w="1360" w:type="dxa"/>
            <w:vAlign w:val="bottom"/>
            <w:tcBorders>
              <w:bottom w:val="single" w:sz="8" w:color="auto"/>
            </w:tcBorders>
          </w:tcPr>
          <w:p>
            <w:pPr>
              <w:jc w:val="right"/>
              <w:ind w:right="243"/>
              <w:spacing w:after="0"/>
              <w:rPr>
                <w:sz w:val="20"/>
                <w:szCs w:val="20"/>
                <w:color w:val="auto"/>
              </w:rPr>
            </w:pPr>
            <w:r>
              <w:rPr>
                <w:rFonts w:ascii="Arial" w:cs="Arial" w:eastAsia="Arial" w:hAnsi="Arial"/>
                <w:sz w:val="15"/>
                <w:szCs w:val="15"/>
                <w:b w:val="1"/>
                <w:bCs w:val="1"/>
                <w:color w:val="auto"/>
              </w:rPr>
              <w:t>Exercisable</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5"/>
                <w:szCs w:val="15"/>
                <w:b w:val="1"/>
                <w:bCs w:val="1"/>
                <w:color w:val="auto"/>
              </w:rPr>
              <w:t>Price</w:t>
            </w:r>
          </w:p>
        </w:tc>
      </w:tr>
      <w:tr>
        <w:trPr>
          <w:trHeight w:val="187"/>
        </w:trPr>
        <w:tc>
          <w:tcPr>
            <w:tcW w:w="19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4320" w:type="dxa"/>
            <w:vAlign w:val="bottom"/>
            <w:gridSpan w:val="4"/>
          </w:tcPr>
          <w:p>
            <w:pPr>
              <w:jc w:val="right"/>
              <w:ind w:right="83"/>
              <w:spacing w:after="0"/>
              <w:rPr>
                <w:sz w:val="20"/>
                <w:szCs w:val="20"/>
                <w:color w:val="auto"/>
              </w:rPr>
            </w:pPr>
            <w:r>
              <w:rPr>
                <w:rFonts w:ascii="Arial" w:cs="Arial" w:eastAsia="Arial" w:hAnsi="Arial"/>
                <w:sz w:val="15"/>
                <w:szCs w:val="15"/>
                <w:color w:val="auto"/>
              </w:rPr>
              <w:t>(in thousands, except prices per share and contractual life)</w:t>
            </w:r>
          </w:p>
        </w:tc>
        <w:tc>
          <w:tcPr>
            <w:tcW w:w="2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$9.85 to $24.75</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344</w:t>
            </w:r>
          </w:p>
        </w:tc>
        <w:tc>
          <w:tcPr>
            <w:tcW w:w="16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2.7</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16.77</w:t>
            </w:r>
          </w:p>
        </w:tc>
        <w:tc>
          <w:tcPr>
            <w:tcW w:w="1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344</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16.77</w:t>
            </w:r>
          </w:p>
        </w:tc>
      </w:tr>
      <w:tr>
        <w:trPr>
          <w:trHeight w:val="207"/>
        </w:trPr>
        <w:tc>
          <w:tcPr>
            <w:tcW w:w="1940" w:type="dxa"/>
            <w:vAlign w:val="bottom"/>
          </w:tcPr>
          <w:p>
            <w:pPr>
              <w:spacing w:after="0"/>
              <w:rPr>
                <w:sz w:val="20"/>
                <w:szCs w:val="20"/>
                <w:color w:val="auto"/>
              </w:rPr>
            </w:pPr>
            <w:r>
              <w:rPr>
                <w:rFonts w:ascii="Arial" w:cs="Arial" w:eastAsia="Arial" w:hAnsi="Arial"/>
                <w:sz w:val="15"/>
                <w:szCs w:val="15"/>
                <w:color w:val="auto"/>
              </w:rPr>
              <w:t>$30.92 to $45.75</w:t>
            </w:r>
          </w:p>
        </w:tc>
        <w:tc>
          <w:tcPr>
            <w:tcW w:w="1640" w:type="dxa"/>
            <w:vAlign w:val="bottom"/>
          </w:tcPr>
          <w:p>
            <w:pPr>
              <w:jc w:val="right"/>
              <w:spacing w:after="0"/>
              <w:rPr>
                <w:sz w:val="20"/>
                <w:szCs w:val="20"/>
                <w:color w:val="auto"/>
              </w:rPr>
            </w:pPr>
            <w:r>
              <w:rPr>
                <w:rFonts w:ascii="Arial" w:cs="Arial" w:eastAsia="Arial" w:hAnsi="Arial"/>
                <w:sz w:val="15"/>
                <w:szCs w:val="15"/>
                <w:color w:val="auto"/>
              </w:rPr>
              <w:t>787</w:t>
            </w:r>
          </w:p>
        </w:tc>
        <w:tc>
          <w:tcPr>
            <w:tcW w:w="1660" w:type="dxa"/>
            <w:vAlign w:val="bottom"/>
          </w:tcPr>
          <w:p>
            <w:pPr>
              <w:jc w:val="right"/>
              <w:ind w:right="283"/>
              <w:spacing w:after="0"/>
              <w:rPr>
                <w:sz w:val="20"/>
                <w:szCs w:val="20"/>
                <w:color w:val="auto"/>
              </w:rPr>
            </w:pPr>
            <w:r>
              <w:rPr>
                <w:rFonts w:ascii="Arial" w:cs="Arial" w:eastAsia="Arial" w:hAnsi="Arial"/>
                <w:sz w:val="15"/>
                <w:szCs w:val="15"/>
                <w:color w:val="auto"/>
              </w:rPr>
              <w:t>5.5</w:t>
            </w:r>
          </w:p>
        </w:tc>
        <w:tc>
          <w:tcPr>
            <w:tcW w:w="240" w:type="dxa"/>
            <w:vAlign w:val="bottom"/>
          </w:tcPr>
          <w:p>
            <w:pPr>
              <w:spacing w:after="0"/>
              <w:rPr>
                <w:sz w:val="17"/>
                <w:szCs w:val="17"/>
                <w:color w:val="auto"/>
              </w:rPr>
            </w:pPr>
          </w:p>
        </w:tc>
        <w:tc>
          <w:tcPr>
            <w:tcW w:w="1060" w:type="dxa"/>
            <w:vAlign w:val="bottom"/>
          </w:tcPr>
          <w:p>
            <w:pPr>
              <w:jc w:val="right"/>
              <w:ind w:right="103"/>
              <w:spacing w:after="0"/>
              <w:rPr>
                <w:sz w:val="20"/>
                <w:szCs w:val="20"/>
                <w:color w:val="auto"/>
              </w:rPr>
            </w:pPr>
            <w:r>
              <w:rPr>
                <w:rFonts w:ascii="Arial" w:cs="Arial" w:eastAsia="Arial" w:hAnsi="Arial"/>
                <w:sz w:val="15"/>
                <w:szCs w:val="15"/>
                <w:color w:val="auto"/>
              </w:rPr>
              <w:t>38.33</w:t>
            </w:r>
          </w:p>
        </w:tc>
        <w:tc>
          <w:tcPr>
            <w:tcW w:w="1360" w:type="dxa"/>
            <w:vAlign w:val="bottom"/>
          </w:tcPr>
          <w:p>
            <w:pPr>
              <w:jc w:val="right"/>
              <w:ind w:right="203"/>
              <w:spacing w:after="0"/>
              <w:rPr>
                <w:sz w:val="20"/>
                <w:szCs w:val="20"/>
                <w:color w:val="auto"/>
              </w:rPr>
            </w:pPr>
            <w:r>
              <w:rPr>
                <w:rFonts w:ascii="Arial" w:cs="Arial" w:eastAsia="Arial" w:hAnsi="Arial"/>
                <w:sz w:val="15"/>
                <w:szCs w:val="15"/>
                <w:color w:val="auto"/>
              </w:rPr>
              <w:t>747</w:t>
            </w:r>
          </w:p>
        </w:tc>
        <w:tc>
          <w:tcPr>
            <w:tcW w:w="2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38.50</w:t>
            </w:r>
          </w:p>
        </w:tc>
      </w:tr>
      <w:tr>
        <w:trPr>
          <w:trHeight w:val="207"/>
        </w:trPr>
        <w:tc>
          <w:tcPr>
            <w:tcW w:w="1940" w:type="dxa"/>
            <w:vAlign w:val="bottom"/>
            <w:shd w:val="clear" w:color="auto" w:fill="CCEEFF"/>
          </w:tcPr>
          <w:p>
            <w:pPr>
              <w:spacing w:after="0"/>
              <w:rPr>
                <w:sz w:val="20"/>
                <w:szCs w:val="20"/>
                <w:color w:val="auto"/>
              </w:rPr>
            </w:pPr>
            <w:r>
              <w:rPr>
                <w:rFonts w:ascii="Arial" w:cs="Arial" w:eastAsia="Arial" w:hAnsi="Arial"/>
                <w:sz w:val="15"/>
                <w:szCs w:val="15"/>
                <w:color w:val="auto"/>
              </w:rPr>
              <w:t>$48.55 to $62.11</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704</w:t>
            </w:r>
          </w:p>
        </w:tc>
        <w:tc>
          <w:tcPr>
            <w:tcW w:w="1660" w:type="dxa"/>
            <w:vAlign w:val="bottom"/>
            <w:shd w:val="clear" w:color="auto" w:fill="CCEEFF"/>
          </w:tcPr>
          <w:p>
            <w:pPr>
              <w:jc w:val="right"/>
              <w:ind w:right="283"/>
              <w:spacing w:after="0"/>
              <w:rPr>
                <w:sz w:val="20"/>
                <w:szCs w:val="20"/>
                <w:color w:val="auto"/>
              </w:rPr>
            </w:pPr>
            <w:r>
              <w:rPr>
                <w:rFonts w:ascii="Arial" w:cs="Arial" w:eastAsia="Arial" w:hAnsi="Arial"/>
                <w:sz w:val="15"/>
                <w:szCs w:val="15"/>
                <w:color w:val="auto"/>
              </w:rPr>
              <w:t>6.9</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61.05</w:t>
            </w:r>
          </w:p>
        </w:tc>
        <w:tc>
          <w:tcPr>
            <w:tcW w:w="1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rPr>
              <w:t>472</w:t>
            </w:r>
          </w:p>
        </w:tc>
        <w:tc>
          <w:tcPr>
            <w:tcW w:w="28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61.35</w:t>
            </w:r>
          </w:p>
        </w:tc>
      </w:tr>
      <w:tr>
        <w:trPr>
          <w:trHeight w:val="207"/>
        </w:trPr>
        <w:tc>
          <w:tcPr>
            <w:tcW w:w="19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$63.79 to $73.21</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963</w:t>
            </w:r>
          </w:p>
        </w:tc>
        <w:tc>
          <w:tcPr>
            <w:tcW w:w="1660" w:type="dxa"/>
            <w:vAlign w:val="bottom"/>
            <w:tcBorders>
              <w:bottom w:val="single" w:sz="8" w:color="auto"/>
            </w:tcBorders>
          </w:tcPr>
          <w:p>
            <w:pPr>
              <w:jc w:val="right"/>
              <w:ind w:right="283"/>
              <w:spacing w:after="0"/>
              <w:rPr>
                <w:sz w:val="20"/>
                <w:szCs w:val="20"/>
                <w:color w:val="auto"/>
              </w:rPr>
            </w:pPr>
            <w:r>
              <w:rPr>
                <w:rFonts w:ascii="Arial" w:cs="Arial" w:eastAsia="Arial" w:hAnsi="Arial"/>
                <w:sz w:val="15"/>
                <w:szCs w:val="15"/>
                <w:color w:val="auto"/>
              </w:rPr>
              <w:t>8.8</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68.60</w:t>
            </w:r>
          </w:p>
        </w:tc>
        <w:tc>
          <w:tcPr>
            <w:tcW w:w="136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color w:val="auto"/>
              </w:rPr>
              <w:t>166</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64.35</w:t>
            </w:r>
          </w:p>
        </w:tc>
      </w:tr>
      <w:tr>
        <w:trPr>
          <w:trHeight w:val="179"/>
        </w:trPr>
        <w:tc>
          <w:tcPr>
            <w:tcW w:w="1940" w:type="dxa"/>
            <w:vAlign w:val="bottom"/>
            <w:tcBorders>
              <w:bottom w:val="single" w:sz="8" w:color="auto"/>
            </w:tcBorders>
            <w:shd w:val="clear" w:color="auto" w:fill="CCEEFF"/>
          </w:tcPr>
          <w:p>
            <w:pPr>
              <w:spacing w:after="0"/>
              <w:rPr>
                <w:sz w:val="15"/>
                <w:szCs w:val="15"/>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2,798</w:t>
            </w:r>
          </w:p>
        </w:tc>
        <w:tc>
          <w:tcPr>
            <w:tcW w:w="1660" w:type="dxa"/>
            <w:vAlign w:val="bottom"/>
            <w:tcBorders>
              <w:bottom w:val="single" w:sz="8" w:color="auto"/>
            </w:tcBorders>
            <w:shd w:val="clear" w:color="auto" w:fill="CCEEFF"/>
          </w:tcPr>
          <w:p>
            <w:pPr>
              <w:jc w:val="right"/>
              <w:ind w:right="283"/>
              <w:spacing w:after="0"/>
              <w:rPr>
                <w:sz w:val="20"/>
                <w:szCs w:val="20"/>
                <w:color w:val="auto"/>
              </w:rPr>
            </w:pPr>
            <w:r>
              <w:rPr>
                <w:rFonts w:ascii="Arial" w:cs="Arial" w:eastAsia="Arial" w:hAnsi="Arial"/>
                <w:sz w:val="15"/>
                <w:szCs w:val="15"/>
                <w:color w:val="auto"/>
              </w:rPr>
              <w:t>6.7</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51.82</w:t>
            </w:r>
          </w:p>
        </w:tc>
        <w:tc>
          <w:tcPr>
            <w:tcW w:w="13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5"/>
                <w:szCs w:val="15"/>
                <w:color w:val="auto"/>
              </w:rPr>
              <w:t>1,729</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42.91</w:t>
            </w:r>
          </w:p>
        </w:tc>
      </w:tr>
    </w:tbl>
    <w:p>
      <w:pPr>
        <w:spacing w:after="0" w:line="14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Restricted Stock and Restricted Stock Units</w:t>
      </w:r>
    </w:p>
    <w:p>
      <w:pPr>
        <w:spacing w:after="0" w:line="184"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Restricted shares of the Company’s common stock and restricted stock units (“RSU”) may be awarded to certain officers and key employees of the Company. Additionally, RSU awards are made to employees in connection with the Company’s long-term incentive program, and to nonemployee directors. Each RSU represents the right to receive one share of the Company’s common stock provided that the performance and vesting conditions are satisfied. There were 361,137 and 678,466 RSU awards outstanding as of October 28, 2017 and October 29, 2016, respectively.</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Generally, awards fully vest after the passage of time, typically three years. However, RSU awards made in connection with the Company’s performance-based long-term incentive program are earned after the attainment of certain performance metrics and vest after the passage of time. Restricted stock is considered outstanding at the time of grant and the holders have voting rights. Dividends are paid to holders of restricted stock that vest with the passage of time. With regard to performance-based restricted stock, dividends will be accumulated and paid after the performance criteria are met. No dividends are paid or accumulated on RSU awards. Compensation expense is recognized using the market value at the date of grant and is amortized over the vesting period, provided the recipient continues to be employed by the Company.</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7" w:name="page18"/>
    <w:bookmarkEnd w:id="17"/>
    <w:p>
      <w:pPr>
        <w:jc w:val="center"/>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NOTES TO CONDENSED CONSOLIDATED FINANCIAL STATEMENTS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80" w:type="dxa"/>
            <w:vAlign w:val="bottom"/>
            <w:gridSpan w:val="4"/>
          </w:tcPr>
          <w:p>
            <w:pPr>
              <w:spacing w:after="0"/>
              <w:rPr>
                <w:sz w:val="20"/>
                <w:szCs w:val="20"/>
                <w:color w:val="auto"/>
              </w:rPr>
            </w:pPr>
            <w:r>
              <w:rPr>
                <w:rFonts w:ascii="Arial" w:cs="Arial" w:eastAsia="Arial" w:hAnsi="Arial"/>
                <w:sz w:val="15"/>
                <w:szCs w:val="15"/>
                <w:color w:val="auto"/>
              </w:rPr>
              <w:t>Restricted stock and RSU activity for the thirty-nine weeks ended October 28, 2017 is summarized as follows:</w:t>
            </w:r>
          </w:p>
        </w:tc>
        <w:tc>
          <w:tcPr>
            <w:tcW w:w="30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344"/>
        </w:trPr>
        <w:tc>
          <w:tcPr>
            <w:tcW w:w="34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20" w:type="dxa"/>
            <w:vAlign w:val="bottom"/>
          </w:tcPr>
          <w:p>
            <w:pPr>
              <w:jc w:val="center"/>
              <w:ind w:right="23"/>
              <w:spacing w:after="0"/>
              <w:rPr>
                <w:sz w:val="20"/>
                <w:szCs w:val="20"/>
                <w:color w:val="auto"/>
              </w:rPr>
            </w:pPr>
            <w:r>
              <w:rPr>
                <w:rFonts w:ascii="Arial" w:cs="Arial" w:eastAsia="Arial" w:hAnsi="Arial"/>
                <w:sz w:val="15"/>
                <w:szCs w:val="15"/>
                <w:b w:val="1"/>
                <w:bCs w:val="1"/>
                <w:color w:val="auto"/>
              </w:rPr>
              <w:t>Weighted-</w:t>
            </w:r>
          </w:p>
        </w:tc>
        <w:tc>
          <w:tcPr>
            <w:tcW w:w="3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82"/>
        </w:trPr>
        <w:tc>
          <w:tcPr>
            <w:tcW w:w="3440" w:type="dxa"/>
            <w:vAlign w:val="bottom"/>
          </w:tcPr>
          <w:p>
            <w:pPr>
              <w:spacing w:after="0"/>
              <w:rPr>
                <w:sz w:val="15"/>
                <w:szCs w:val="15"/>
                <w:color w:val="auto"/>
              </w:rPr>
            </w:pPr>
          </w:p>
        </w:tc>
        <w:tc>
          <w:tcPr>
            <w:tcW w:w="22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320" w:type="dxa"/>
            <w:vAlign w:val="bottom"/>
          </w:tcPr>
          <w:p>
            <w:pPr>
              <w:jc w:val="center"/>
              <w:ind w:right="43"/>
              <w:spacing w:after="0"/>
              <w:rPr>
                <w:sz w:val="20"/>
                <w:szCs w:val="20"/>
                <w:color w:val="auto"/>
              </w:rPr>
            </w:pPr>
            <w:r>
              <w:rPr>
                <w:rFonts w:ascii="Arial" w:cs="Arial" w:eastAsia="Arial" w:hAnsi="Arial"/>
                <w:sz w:val="15"/>
                <w:szCs w:val="15"/>
                <w:b w:val="1"/>
                <w:bCs w:val="1"/>
                <w:color w:val="auto"/>
              </w:rPr>
              <w:t>Average</w:t>
            </w:r>
          </w:p>
        </w:tc>
        <w:tc>
          <w:tcPr>
            <w:tcW w:w="300" w:type="dxa"/>
            <w:vAlign w:val="bottom"/>
          </w:tcPr>
          <w:p>
            <w:pPr>
              <w:spacing w:after="0"/>
              <w:rPr>
                <w:sz w:val="15"/>
                <w:szCs w:val="15"/>
                <w:color w:val="auto"/>
              </w:rPr>
            </w:pPr>
          </w:p>
        </w:tc>
        <w:tc>
          <w:tcPr>
            <w:tcW w:w="1220" w:type="dxa"/>
            <w:vAlign w:val="bottom"/>
          </w:tcPr>
          <w:p>
            <w:pPr>
              <w:jc w:val="center"/>
              <w:ind w:right="243"/>
              <w:spacing w:after="0"/>
              <w:rPr>
                <w:sz w:val="20"/>
                <w:szCs w:val="20"/>
                <w:color w:val="auto"/>
              </w:rPr>
            </w:pPr>
            <w:r>
              <w:rPr>
                <w:rFonts w:ascii="Arial" w:cs="Arial" w:eastAsia="Arial" w:hAnsi="Arial"/>
                <w:sz w:val="15"/>
                <w:szCs w:val="15"/>
                <w:b w:val="1"/>
                <w:bCs w:val="1"/>
                <w:color w:val="auto"/>
              </w:rPr>
              <w:t>Weighted-</w:t>
            </w:r>
          </w:p>
        </w:tc>
      </w:tr>
      <w:tr>
        <w:trPr>
          <w:trHeight w:val="170"/>
        </w:trPr>
        <w:tc>
          <w:tcPr>
            <w:tcW w:w="3440" w:type="dxa"/>
            <w:vAlign w:val="bottom"/>
          </w:tcPr>
          <w:p>
            <w:pPr>
              <w:spacing w:after="0"/>
              <w:rPr>
                <w:sz w:val="14"/>
                <w:szCs w:val="14"/>
                <w:color w:val="auto"/>
              </w:rPr>
            </w:pPr>
          </w:p>
        </w:tc>
        <w:tc>
          <w:tcPr>
            <w:tcW w:w="2820" w:type="dxa"/>
            <w:vAlign w:val="bottom"/>
            <w:gridSpan w:val="2"/>
          </w:tcPr>
          <w:p>
            <w:pPr>
              <w:jc w:val="center"/>
              <w:ind w:left="1123"/>
              <w:spacing w:after="0" w:line="170" w:lineRule="exact"/>
              <w:rPr>
                <w:sz w:val="20"/>
                <w:szCs w:val="20"/>
                <w:color w:val="auto"/>
              </w:rPr>
            </w:pPr>
            <w:r>
              <w:rPr>
                <w:rFonts w:ascii="Arial" w:cs="Arial" w:eastAsia="Arial" w:hAnsi="Arial"/>
                <w:sz w:val="15"/>
                <w:szCs w:val="15"/>
                <w:b w:val="1"/>
                <w:bCs w:val="1"/>
                <w:color w:val="auto"/>
              </w:rPr>
              <w:t>Number</w:t>
            </w:r>
          </w:p>
        </w:tc>
        <w:tc>
          <w:tcPr>
            <w:tcW w:w="1320" w:type="dxa"/>
            <w:vAlign w:val="bottom"/>
          </w:tcPr>
          <w:p>
            <w:pPr>
              <w:jc w:val="center"/>
              <w:ind w:right="23"/>
              <w:spacing w:after="0" w:line="170" w:lineRule="exact"/>
              <w:rPr>
                <w:sz w:val="20"/>
                <w:szCs w:val="20"/>
                <w:color w:val="auto"/>
              </w:rPr>
            </w:pPr>
            <w:r>
              <w:rPr>
                <w:rFonts w:ascii="Arial" w:cs="Arial" w:eastAsia="Arial" w:hAnsi="Arial"/>
                <w:sz w:val="15"/>
                <w:szCs w:val="15"/>
                <w:b w:val="1"/>
                <w:bCs w:val="1"/>
                <w:color w:val="auto"/>
              </w:rPr>
              <w:t>Remaining</w:t>
            </w:r>
          </w:p>
        </w:tc>
        <w:tc>
          <w:tcPr>
            <w:tcW w:w="300" w:type="dxa"/>
            <w:vAlign w:val="bottom"/>
          </w:tcPr>
          <w:p>
            <w:pPr>
              <w:spacing w:after="0"/>
              <w:rPr>
                <w:sz w:val="14"/>
                <w:szCs w:val="14"/>
                <w:color w:val="auto"/>
              </w:rPr>
            </w:pPr>
          </w:p>
        </w:tc>
        <w:tc>
          <w:tcPr>
            <w:tcW w:w="1220" w:type="dxa"/>
            <w:vAlign w:val="bottom"/>
          </w:tcPr>
          <w:p>
            <w:pPr>
              <w:jc w:val="center"/>
              <w:ind w:right="223"/>
              <w:spacing w:after="0" w:line="170" w:lineRule="exact"/>
              <w:rPr>
                <w:sz w:val="20"/>
                <w:szCs w:val="20"/>
                <w:color w:val="auto"/>
              </w:rPr>
            </w:pPr>
            <w:r>
              <w:rPr>
                <w:rFonts w:ascii="Arial" w:cs="Arial" w:eastAsia="Arial" w:hAnsi="Arial"/>
                <w:sz w:val="15"/>
                <w:szCs w:val="15"/>
                <w:b w:val="1"/>
                <w:bCs w:val="1"/>
                <w:color w:val="auto"/>
              </w:rPr>
              <w:t>Average</w:t>
            </w:r>
          </w:p>
        </w:tc>
      </w:tr>
      <w:tr>
        <w:trPr>
          <w:trHeight w:val="170"/>
        </w:trPr>
        <w:tc>
          <w:tcPr>
            <w:tcW w:w="3440" w:type="dxa"/>
            <w:vAlign w:val="bottom"/>
          </w:tcPr>
          <w:p>
            <w:pPr>
              <w:spacing w:after="0"/>
              <w:rPr>
                <w:sz w:val="14"/>
                <w:szCs w:val="14"/>
                <w:color w:val="auto"/>
              </w:rPr>
            </w:pPr>
          </w:p>
        </w:tc>
        <w:tc>
          <w:tcPr>
            <w:tcW w:w="2280" w:type="dxa"/>
            <w:vAlign w:val="bottom"/>
          </w:tcPr>
          <w:p>
            <w:pPr>
              <w:jc w:val="center"/>
              <w:ind w:left="1663"/>
              <w:spacing w:after="0" w:line="170" w:lineRule="exact"/>
              <w:rPr>
                <w:sz w:val="20"/>
                <w:szCs w:val="20"/>
                <w:color w:val="auto"/>
              </w:rPr>
            </w:pPr>
            <w:r>
              <w:rPr>
                <w:rFonts w:ascii="Arial" w:cs="Arial" w:eastAsia="Arial" w:hAnsi="Arial"/>
                <w:sz w:val="15"/>
                <w:szCs w:val="15"/>
                <w:b w:val="1"/>
                <w:bCs w:val="1"/>
                <w:color w:val="auto"/>
                <w:w w:val="98"/>
              </w:rPr>
              <w:t>of</w:t>
            </w:r>
          </w:p>
        </w:tc>
        <w:tc>
          <w:tcPr>
            <w:tcW w:w="540" w:type="dxa"/>
            <w:vAlign w:val="bottom"/>
          </w:tcPr>
          <w:p>
            <w:pPr>
              <w:spacing w:after="0"/>
              <w:rPr>
                <w:sz w:val="14"/>
                <w:szCs w:val="14"/>
                <w:color w:val="auto"/>
              </w:rPr>
            </w:pPr>
          </w:p>
        </w:tc>
        <w:tc>
          <w:tcPr>
            <w:tcW w:w="1320" w:type="dxa"/>
            <w:vAlign w:val="bottom"/>
          </w:tcPr>
          <w:p>
            <w:pPr>
              <w:jc w:val="center"/>
              <w:ind w:right="23"/>
              <w:spacing w:after="0" w:line="170" w:lineRule="exact"/>
              <w:rPr>
                <w:sz w:val="20"/>
                <w:szCs w:val="20"/>
                <w:color w:val="auto"/>
              </w:rPr>
            </w:pPr>
            <w:r>
              <w:rPr>
                <w:rFonts w:ascii="Arial" w:cs="Arial" w:eastAsia="Arial" w:hAnsi="Arial"/>
                <w:sz w:val="15"/>
                <w:szCs w:val="15"/>
                <w:b w:val="1"/>
                <w:bCs w:val="1"/>
                <w:color w:val="auto"/>
              </w:rPr>
              <w:t>Contractual</w:t>
            </w:r>
          </w:p>
        </w:tc>
        <w:tc>
          <w:tcPr>
            <w:tcW w:w="300" w:type="dxa"/>
            <w:vAlign w:val="bottom"/>
          </w:tcPr>
          <w:p>
            <w:pPr>
              <w:spacing w:after="0"/>
              <w:rPr>
                <w:sz w:val="14"/>
                <w:szCs w:val="14"/>
                <w:color w:val="auto"/>
              </w:rPr>
            </w:pPr>
          </w:p>
        </w:tc>
        <w:tc>
          <w:tcPr>
            <w:tcW w:w="1220" w:type="dxa"/>
            <w:vAlign w:val="bottom"/>
          </w:tcPr>
          <w:p>
            <w:pPr>
              <w:jc w:val="center"/>
              <w:ind w:right="223"/>
              <w:spacing w:after="0" w:line="170" w:lineRule="exact"/>
              <w:rPr>
                <w:sz w:val="20"/>
                <w:szCs w:val="20"/>
                <w:color w:val="auto"/>
              </w:rPr>
            </w:pPr>
            <w:r>
              <w:rPr>
                <w:rFonts w:ascii="Arial" w:cs="Arial" w:eastAsia="Arial" w:hAnsi="Arial"/>
                <w:sz w:val="15"/>
                <w:szCs w:val="15"/>
                <w:b w:val="1"/>
                <w:bCs w:val="1"/>
                <w:color w:val="auto"/>
              </w:rPr>
              <w:t>Grant Date</w:t>
            </w:r>
          </w:p>
        </w:tc>
      </w:tr>
      <w:tr>
        <w:trPr>
          <w:trHeight w:val="194"/>
        </w:trPr>
        <w:tc>
          <w:tcPr>
            <w:tcW w:w="3440" w:type="dxa"/>
            <w:vAlign w:val="bottom"/>
            <w:tcBorders>
              <w:bottom w:val="single" w:sz="8" w:color="auto"/>
            </w:tcBorders>
          </w:tcPr>
          <w:p>
            <w:pPr>
              <w:spacing w:after="0"/>
              <w:rPr>
                <w:sz w:val="16"/>
                <w:szCs w:val="16"/>
                <w:color w:val="auto"/>
              </w:rPr>
            </w:pPr>
          </w:p>
        </w:tc>
        <w:tc>
          <w:tcPr>
            <w:tcW w:w="2280" w:type="dxa"/>
            <w:vAlign w:val="bottom"/>
            <w:tcBorders>
              <w:bottom w:val="single" w:sz="8" w:color="auto"/>
            </w:tcBorders>
          </w:tcPr>
          <w:p>
            <w:pPr>
              <w:jc w:val="center"/>
              <w:ind w:left="1683"/>
              <w:spacing w:after="0"/>
              <w:rPr>
                <w:sz w:val="20"/>
                <w:szCs w:val="20"/>
                <w:color w:val="auto"/>
              </w:rPr>
            </w:pPr>
            <w:r>
              <w:rPr>
                <w:rFonts w:ascii="Arial" w:cs="Arial" w:eastAsia="Arial" w:hAnsi="Arial"/>
                <w:sz w:val="15"/>
                <w:szCs w:val="15"/>
                <w:b w:val="1"/>
                <w:bCs w:val="1"/>
                <w:color w:val="auto"/>
              </w:rPr>
              <w:t>Shares</w:t>
            </w:r>
          </w:p>
        </w:tc>
        <w:tc>
          <w:tcPr>
            <w:tcW w:w="5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43"/>
              <w:spacing w:after="0"/>
              <w:rPr>
                <w:sz w:val="20"/>
                <w:szCs w:val="20"/>
                <w:color w:val="auto"/>
              </w:rPr>
            </w:pPr>
            <w:r>
              <w:rPr>
                <w:rFonts w:ascii="Arial" w:cs="Arial" w:eastAsia="Arial" w:hAnsi="Arial"/>
                <w:sz w:val="15"/>
                <w:szCs w:val="15"/>
                <w:b w:val="1"/>
                <w:bCs w:val="1"/>
                <w:color w:val="auto"/>
              </w:rPr>
              <w:t>Life</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223"/>
              <w:spacing w:after="0"/>
              <w:rPr>
                <w:sz w:val="20"/>
                <w:szCs w:val="20"/>
                <w:color w:val="auto"/>
              </w:rPr>
            </w:pPr>
            <w:r>
              <w:rPr>
                <w:rFonts w:ascii="Arial" w:cs="Arial" w:eastAsia="Arial" w:hAnsi="Arial"/>
                <w:sz w:val="15"/>
                <w:szCs w:val="15"/>
                <w:b w:val="1"/>
                <w:bCs w:val="1"/>
                <w:color w:val="auto"/>
              </w:rPr>
              <w:t>Fair Value</w:t>
            </w:r>
          </w:p>
        </w:tc>
      </w:tr>
      <w:tr>
        <w:trPr>
          <w:trHeight w:val="187"/>
        </w:trPr>
        <w:tc>
          <w:tcPr>
            <w:tcW w:w="3440" w:type="dxa"/>
            <w:vAlign w:val="bottom"/>
          </w:tcPr>
          <w:p>
            <w:pPr>
              <w:spacing w:after="0"/>
              <w:rPr>
                <w:sz w:val="16"/>
                <w:szCs w:val="16"/>
                <w:color w:val="auto"/>
              </w:rPr>
            </w:pPr>
          </w:p>
        </w:tc>
        <w:tc>
          <w:tcPr>
            <w:tcW w:w="2820" w:type="dxa"/>
            <w:vAlign w:val="bottom"/>
            <w:gridSpan w:val="2"/>
          </w:tcPr>
          <w:p>
            <w:pPr>
              <w:jc w:val="center"/>
              <w:ind w:left="1123"/>
              <w:spacing w:after="0"/>
              <w:rPr>
                <w:sz w:val="20"/>
                <w:szCs w:val="20"/>
                <w:color w:val="auto"/>
              </w:rPr>
            </w:pPr>
            <w:r>
              <w:rPr>
                <w:rFonts w:ascii="Arial" w:cs="Arial" w:eastAsia="Arial" w:hAnsi="Arial"/>
                <w:sz w:val="15"/>
                <w:szCs w:val="15"/>
                <w:color w:val="auto"/>
              </w:rPr>
              <w:t>(in thousands)</w:t>
            </w:r>
          </w:p>
        </w:tc>
        <w:tc>
          <w:tcPr>
            <w:tcW w:w="1320" w:type="dxa"/>
            <w:vAlign w:val="bottom"/>
          </w:tcPr>
          <w:p>
            <w:pPr>
              <w:jc w:val="center"/>
              <w:ind w:right="43"/>
              <w:spacing w:after="0"/>
              <w:rPr>
                <w:sz w:val="20"/>
                <w:szCs w:val="20"/>
                <w:color w:val="auto"/>
              </w:rPr>
            </w:pPr>
            <w:r>
              <w:rPr>
                <w:rFonts w:ascii="Arial" w:cs="Arial" w:eastAsia="Arial" w:hAnsi="Arial"/>
                <w:sz w:val="15"/>
                <w:szCs w:val="15"/>
                <w:color w:val="auto"/>
              </w:rPr>
              <w:t>(in years)</w:t>
            </w:r>
          </w:p>
        </w:tc>
        <w:tc>
          <w:tcPr>
            <w:tcW w:w="300" w:type="dxa"/>
            <w:vAlign w:val="bottom"/>
          </w:tcPr>
          <w:p>
            <w:pPr>
              <w:spacing w:after="0"/>
              <w:rPr>
                <w:sz w:val="16"/>
                <w:szCs w:val="16"/>
                <w:color w:val="auto"/>
              </w:rPr>
            </w:pPr>
          </w:p>
        </w:tc>
        <w:tc>
          <w:tcPr>
            <w:tcW w:w="1220" w:type="dxa"/>
            <w:vAlign w:val="bottom"/>
          </w:tcPr>
          <w:p>
            <w:pPr>
              <w:jc w:val="right"/>
              <w:ind w:right="203"/>
              <w:spacing w:after="0"/>
              <w:rPr>
                <w:sz w:val="20"/>
                <w:szCs w:val="20"/>
                <w:color w:val="auto"/>
              </w:rPr>
            </w:pPr>
            <w:r>
              <w:rPr>
                <w:rFonts w:ascii="Arial" w:cs="Arial" w:eastAsia="Arial" w:hAnsi="Arial"/>
                <w:sz w:val="15"/>
                <w:szCs w:val="15"/>
                <w:color w:val="auto"/>
              </w:rPr>
              <w:t>(per share)</w:t>
            </w: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Nonvested at beginning of year</w:t>
            </w:r>
          </w:p>
        </w:tc>
        <w:tc>
          <w:tcPr>
            <w:tcW w:w="22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798</w:t>
            </w: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56.91</w:t>
            </w:r>
          </w:p>
        </w:tc>
      </w:tr>
      <w:tr>
        <w:trPr>
          <w:trHeight w:val="207"/>
        </w:trPr>
        <w:tc>
          <w:tcPr>
            <w:tcW w:w="3440" w:type="dxa"/>
            <w:vAlign w:val="bottom"/>
          </w:tcPr>
          <w:p>
            <w:pPr>
              <w:spacing w:after="0"/>
              <w:rPr>
                <w:sz w:val="20"/>
                <w:szCs w:val="20"/>
                <w:color w:val="auto"/>
              </w:rPr>
            </w:pPr>
            <w:r>
              <w:rPr>
                <w:rFonts w:ascii="Arial" w:cs="Arial" w:eastAsia="Arial" w:hAnsi="Arial"/>
                <w:sz w:val="15"/>
                <w:szCs w:val="15"/>
                <w:color w:val="auto"/>
              </w:rPr>
              <w:t>Granted</w:t>
            </w:r>
          </w:p>
        </w:tc>
        <w:tc>
          <w:tcPr>
            <w:tcW w:w="2280" w:type="dxa"/>
            <w:vAlign w:val="bottom"/>
          </w:tcPr>
          <w:p>
            <w:pPr>
              <w:spacing w:after="0"/>
              <w:rPr>
                <w:sz w:val="17"/>
                <w:szCs w:val="17"/>
                <w:color w:val="auto"/>
              </w:rPr>
            </w:pPr>
          </w:p>
        </w:tc>
        <w:tc>
          <w:tcPr>
            <w:tcW w:w="540" w:type="dxa"/>
            <w:vAlign w:val="bottom"/>
          </w:tcPr>
          <w:p>
            <w:pPr>
              <w:jc w:val="right"/>
              <w:ind w:right="123"/>
              <w:spacing w:after="0"/>
              <w:rPr>
                <w:sz w:val="20"/>
                <w:szCs w:val="20"/>
                <w:color w:val="auto"/>
              </w:rPr>
            </w:pPr>
            <w:r>
              <w:rPr>
                <w:rFonts w:ascii="Arial" w:cs="Arial" w:eastAsia="Arial" w:hAnsi="Arial"/>
                <w:sz w:val="15"/>
                <w:szCs w:val="15"/>
                <w:color w:val="auto"/>
              </w:rPr>
              <w:t>328</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63.72</w:t>
            </w:r>
          </w:p>
        </w:tc>
      </w:tr>
      <w:tr>
        <w:trPr>
          <w:trHeight w:val="207"/>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Vested</w:t>
            </w:r>
          </w:p>
        </w:tc>
        <w:tc>
          <w:tcPr>
            <w:tcW w:w="2280" w:type="dxa"/>
            <w:vAlign w:val="bottom"/>
            <w:shd w:val="clear" w:color="auto" w:fill="CCEEFF"/>
          </w:tcPr>
          <w:p>
            <w:pPr>
              <w:spacing w:after="0"/>
              <w:rPr>
                <w:sz w:val="17"/>
                <w:szCs w:val="17"/>
                <w:color w:val="auto"/>
              </w:rPr>
            </w:pPr>
          </w:p>
        </w:tc>
        <w:tc>
          <w:tcPr>
            <w:tcW w:w="54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(286)</w:t>
            </w:r>
          </w:p>
        </w:tc>
        <w:tc>
          <w:tcPr>
            <w:tcW w:w="13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49.55</w:t>
            </w:r>
          </w:p>
        </w:tc>
      </w:tr>
      <w:tr>
        <w:trPr>
          <w:trHeight w:val="207"/>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Expired or cancelled</w:t>
            </w:r>
          </w:p>
        </w:tc>
        <w:tc>
          <w:tcPr>
            <w:tcW w:w="2280" w:type="dxa"/>
            <w:vAlign w:val="bottom"/>
            <w:tcBorders>
              <w:bottom w:val="single" w:sz="8" w:color="auto"/>
            </w:tcBorders>
          </w:tcPr>
          <w:p>
            <w:pPr>
              <w:spacing w:after="0"/>
              <w:rPr>
                <w:sz w:val="17"/>
                <w:szCs w:val="17"/>
                <w:color w:val="auto"/>
              </w:rPr>
            </w:pPr>
          </w:p>
        </w:tc>
        <w:tc>
          <w:tcPr>
            <w:tcW w:w="54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color w:val="auto"/>
              </w:rPr>
              <w:t>(447)</w:t>
            </w:r>
          </w:p>
        </w:tc>
        <w:tc>
          <w:tcPr>
            <w:tcW w:w="132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64.74</w:t>
            </w:r>
          </w:p>
        </w:tc>
      </w:tr>
      <w:tr>
        <w:trPr>
          <w:trHeight w:val="179"/>
        </w:trPr>
        <w:tc>
          <w:tcPr>
            <w:tcW w:w="34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Nonvested at October 28, 2017</w:t>
            </w:r>
          </w:p>
        </w:tc>
        <w:tc>
          <w:tcPr>
            <w:tcW w:w="228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393</w:t>
            </w:r>
          </w:p>
        </w:tc>
        <w:tc>
          <w:tcPr>
            <w:tcW w:w="1320" w:type="dxa"/>
            <w:vAlign w:val="bottom"/>
            <w:tcBorders>
              <w:bottom w:val="single" w:sz="8" w:color="auto"/>
            </w:tcBorders>
            <w:shd w:val="clear" w:color="auto" w:fill="CCEEFF"/>
          </w:tcPr>
          <w:p>
            <w:pPr>
              <w:jc w:val="right"/>
              <w:ind w:right="163"/>
              <w:spacing w:after="0"/>
              <w:rPr>
                <w:sz w:val="20"/>
                <w:szCs w:val="20"/>
                <w:color w:val="auto"/>
              </w:rPr>
            </w:pPr>
            <w:r>
              <w:rPr>
                <w:rFonts w:ascii="Arial" w:cs="Arial" w:eastAsia="Arial" w:hAnsi="Arial"/>
                <w:sz w:val="15"/>
                <w:szCs w:val="15"/>
                <w:color w:val="auto"/>
              </w:rPr>
              <w:t>1.5</w:t>
            </w:r>
          </w:p>
        </w:tc>
        <w:tc>
          <w:tcPr>
            <w:tcW w:w="3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59.07</w:t>
            </w:r>
          </w:p>
        </w:tc>
      </w:tr>
      <w:tr>
        <w:trPr>
          <w:trHeight w:val="219"/>
        </w:trPr>
        <w:tc>
          <w:tcPr>
            <w:tcW w:w="344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Aggregate value ($ in millions)</w:t>
            </w:r>
          </w:p>
        </w:tc>
        <w:tc>
          <w:tcPr>
            <w:tcW w:w="228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rPr>
              <w:t>$</w:t>
            </w:r>
          </w:p>
        </w:tc>
        <w:tc>
          <w:tcPr>
            <w:tcW w:w="5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23</w:t>
            </w:r>
          </w:p>
        </w:tc>
        <w:tc>
          <w:tcPr>
            <w:tcW w:w="13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r>
    </w:tbl>
    <w:p>
      <w:pPr>
        <w:spacing w:after="0" w:line="12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total value of awards for which restrictions lapsed during the thirty-nine weeks ended October 28, 2017 and October 29, 2016 was $14 million and $8 million, respectively. As of October 28, 2017, there was $10 million of total unrecognized compensation cost related to nonvested restricted awards.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14. Legal Proceedings</w:t>
      </w:r>
    </w:p>
    <w:p>
      <w:pPr>
        <w:spacing w:after="0" w:line="125"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Legal proceedings pending against the Company or its consolidated subsidiaries consist of ordinary, routine litigation, including administrative proceedings, incidental to the business of the Company or businesses that have been sold or disposed of by the Company in past years. These legal proceedings include commercial, intellectual property, customer, environmental, and employment-related claims.</w:t>
      </w:r>
    </w:p>
    <w:p>
      <w:pPr>
        <w:spacing w:after="0" w:line="140"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The Company and the Company’s U.S. retirement plan are defendants in a class action (</w:t>
      </w:r>
      <w:r>
        <w:rPr>
          <w:rFonts w:ascii="Arial" w:cs="Arial" w:eastAsia="Arial" w:hAnsi="Arial"/>
          <w:sz w:val="15"/>
          <w:szCs w:val="15"/>
          <w:i w:val="1"/>
          <w:iCs w:val="1"/>
          <w:color w:val="auto"/>
        </w:rPr>
        <w:t>Osberg v. Foot Locker Inc.</w:t>
      </w:r>
      <w:r>
        <w:rPr>
          <w:rFonts w:ascii="Arial" w:cs="Arial" w:eastAsia="Arial" w:hAnsi="Arial"/>
          <w:sz w:val="15"/>
          <w:szCs w:val="15"/>
          <w:color w:val="auto"/>
        </w:rPr>
        <w:t xml:space="preserve"> et ano., filed in the U.S. District Court for the Southern District of New York) in which the plaintiff alleges that, in connection with the 1996 conversion of the retirement plan to a defined benefit plan with a cash balance formula, the Company and the retirement plan failed to properly advise plan participants of the “wear-away” effect of the conversion. Plaintiff’s claims were for breach of fiduciary duty under the Employee Retirement Income Security Act of 1974, as amended, and violation of the statutory provisions governing the content of the Summary Plan Description. During the third quarter of 2015, the trial court ruled that the retirement plan be reformed. As a result of this development, the Company recorded a charge of $100 million pre-tax ($61 million after-tax) during the third quarter of 2015.</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The Company appealed the trial court’s decision, and the judgment was stayed pending the outcome of the appeal process. During the second quarter of 2017, the Second Circuit Court of Appeals affirmed the trial court’s decision. In light of this development, the Company reassessed its estimate of the liability. The Company’s updated reasonable estimate of this liability is a range between $150 million and $260 million. The high end of the range reflects the estimated cost to reform the retirement plan in accordance with the court ruling; however, it excludes any legal fees that may be awarded to plaintiff’s counsel. No amount within that range is more probable than any other amount and therefore, in accordance with U.S. GAAP, the Company recorded a charge of $50 million pre-tax ($30 million after-tax) during the second quarter of 2017, bringing the cumulative amount accrued for this matter to $150 million. The accrual has been classified as a long-term liability. The Company will continue to vigorously defend itself in this case and on November 8, 2017 filed a Petition for Writ of Certiorari with the U.S. Supreme Court. In light of the uncertainties involved in this matter, there is no assurance that the ultimate resolution will not differ from the amount currently accrued by the Company.</w:t>
      </w:r>
    </w:p>
    <w:p>
      <w:pPr>
        <w:spacing w:after="0" w:line="10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Management does not believe that the outcome of any such legal proceedings pending against the Company or its consolidated subsidiaries, as described above, would have a material adverse effect on the Company’s consolidated financial position, liquidity, or results of operations, taken as a whole, based upon current knowledge and taking into consideration current accruals. Litigation is inherently unpredictable, and judgments could be rendered or settlements entered into that could adversely affect the Company’s operating results or cash flows in a particular period.</w:t>
      </w: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16" w:right="1399" w:bottom="1440" w:gutter="0" w:footer="0" w:header="0"/>
        </w:sectPr>
      </w:pPr>
    </w:p>
    <w:bookmarkStart w:id="18" w:name="page19"/>
    <w:bookmarkEnd w:id="18"/>
    <w:p>
      <w:pPr>
        <w:ind w:right="2020"/>
        <w:spacing w:after="0" w:line="486" w:lineRule="auto"/>
        <w:rPr>
          <w:sz w:val="20"/>
          <w:szCs w:val="20"/>
          <w:color w:val="auto"/>
        </w:rPr>
      </w:pPr>
      <w:r>
        <w:rPr>
          <w:rFonts w:ascii="Arial" w:cs="Arial" w:eastAsia="Arial" w:hAnsi="Arial"/>
          <w:sz w:val="15"/>
          <w:szCs w:val="15"/>
          <w:b w:val="1"/>
          <w:bCs w:val="1"/>
          <w:i w:val="1"/>
          <w:iCs w:val="1"/>
          <w:color w:val="auto"/>
        </w:rPr>
        <w:t xml:space="preserve">Item 2. Management’s Discussion and Analysis of Financial Condition and Results of Operations </w:t>
      </w:r>
      <w:r>
        <w:rPr>
          <w:rFonts w:ascii="Arial" w:cs="Arial" w:eastAsia="Arial" w:hAnsi="Arial"/>
          <w:sz w:val="15"/>
          <w:szCs w:val="15"/>
          <w:b w:val="1"/>
          <w:bCs w:val="1"/>
          <w:color w:val="auto"/>
        </w:rPr>
        <w:t>Disclosure Regarding Forward-Looking Statements</w:t>
      </w:r>
    </w:p>
    <w:p>
      <w:pPr>
        <w:spacing w:after="0" w:line="1"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This report contains forward-looking statements within the meaning of the federal securities laws. Other than statements of historical facts, all statements which address activities, events, or developments that the Company anticipates will or may occur in the future, including, but not limited to, such things as future capital expenditures, expansion, strategic plans, financial objectives, dividend payments, stock repurchases, growth of the Company’s business and operations, including future cash flows, revenues, and earnings, and other such matters, are forward-looking statements. These forward-looking statements are based on many assumptions and factors which are detailed in the Company’s filings with the U.S. Securities and Exchange Commission.</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These forward-looking statements are based largely on our expectations and judgments and are subject to a number of risks and uncertainties, many of which are unforeseeable and beyond our control. For additional discussion on risks and uncertainties that may affect forward-looking statements, see “Risk Factors” disclosed in the 2016 Annual Report on Form 10-K. Any changes in such assumptions or factors could produce significantly different results. The Company undertakes no obligation to update forward-looking statements, whether as a result of new information, future events, or otherwise.</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Business Overview</w:t>
      </w:r>
    </w:p>
    <w:p>
      <w:pPr>
        <w:spacing w:after="0" w:line="186"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Foot Locker, Inc., through its subsidiaries, operates in two reportable segments – Athletic Stores and Direct-to-Customers. The Athletic Stores segment is one of the largest athletic footwear and apparel retailers in the world, with formats that include Foot Locker, Kids Foot Locker, Lady Foot Locker, Champs Sports, Footaction, Runners Point, Sidestep, and SIX:02. The Direct-to-Customers segment includes Footlocker.com, Inc. and other affiliates, including Eastbay, Inc., and our international ecommerce businesses, which sell to customers through their Internet and mobile sites and catalogs.</w:t>
      </w:r>
    </w:p>
    <w:p>
      <w:pPr>
        <w:spacing w:after="0" w:line="156" w:lineRule="exact"/>
        <w:rPr>
          <w:sz w:val="20"/>
          <w:szCs w:val="20"/>
          <w:color w:val="auto"/>
        </w:rPr>
      </w:pPr>
    </w:p>
    <w:p>
      <w:pPr>
        <w:jc w:val="both"/>
        <w:spacing w:after="0"/>
        <w:rPr>
          <w:sz w:val="20"/>
          <w:szCs w:val="20"/>
          <w:color w:val="auto"/>
        </w:rPr>
      </w:pPr>
      <w:r>
        <w:rPr>
          <w:rFonts w:ascii="Arial" w:cs="Arial" w:eastAsia="Arial" w:hAnsi="Arial"/>
          <w:sz w:val="15"/>
          <w:szCs w:val="15"/>
          <w:color w:val="auto"/>
        </w:rPr>
        <w:t xml:space="preserve">The Foot Locker brand is one of the most widely recognized names in the markets in which we operate, epitomizing premium quality for the active lifestyle customer. This brand equity has aided our ability to successfully develop and increase our portfolio of complementary retail store formats, such as Lady Foot Locker and Kids Foot Locker, as well as Footlocker.com, part of our direct-to-customer business. Through various marketing channels and experiences, including social, digital, broadcast, and print media, as well as various sports sponsorships and events, we reinforce our image with a consistent message </w:t>
      </w:r>
      <w:r>
        <w:rPr>
          <w:rFonts w:ascii="Arial" w:cs="Arial" w:eastAsia="Arial" w:hAnsi="Arial"/>
          <w:sz w:val="15"/>
          <w:szCs w:val="15"/>
          <w:i w:val="1"/>
          <w:iCs w:val="1"/>
          <w:color w:val="auto"/>
        </w:rPr>
        <w:t>—</w:t>
      </w:r>
      <w:r>
        <w:rPr>
          <w:rFonts w:ascii="Arial" w:cs="Arial" w:eastAsia="Arial" w:hAnsi="Arial"/>
          <w:sz w:val="15"/>
          <w:szCs w:val="15"/>
          <w:color w:val="auto"/>
        </w:rPr>
        <w:t xml:space="preserve"> namely, that we are the destination for premium athletically-inspired shoes and apparel with a wide selection of merchandise in a full-service environment.</w:t>
      </w:r>
    </w:p>
    <w:p>
      <w:pPr>
        <w:spacing w:after="0" w:line="14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Store Count</w:t>
      </w:r>
    </w:p>
    <w:p>
      <w:pPr>
        <w:spacing w:after="0" w:line="18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At October 28, 2017, we operated 3,349 stores as compared with 3,363 and 3,394 stores at January 28, 2017 and October 29, 2016, respectively.</w:t>
      </w:r>
    </w:p>
    <w:p>
      <w:pPr>
        <w:spacing w:after="0" w:line="14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During the first quarter of 2017, the Company entered into a franchise agreement with Fox-Wizel Ltd, for franchised stores operating in Israel. There are 13 franchised stores operating in Israel as of October 28, 2017. Also, during the second quarter of 2017, the Company terminated its franchise agreement with the third party that operated stores in the Republic of Korea.</w:t>
      </w:r>
    </w:p>
    <w:p>
      <w:pPr>
        <w:spacing w:after="0" w:line="15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 total of 97 franchised stores were operating at October 28, 2017, as compared with 74 and 71 stores at January 28, 2017 and October 29, 2016, respectively. Revenue from the franchised stores was not significant for any of the periods presented. These stores are not included in the operating store count above.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Reconciliation of Non-GAAP Measures</w:t>
      </w:r>
    </w:p>
    <w:p>
      <w:pPr>
        <w:spacing w:after="0" w:line="186"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Company presents certain non-GAAP measures, such as sales changes excluding foreign currency fluctuations, adjusted net income before income taxes, adjusted net income, and adjusted diluted earnings per share. Throughout the following discussions, where amounts are expressed as excluding the effects of foreign currency fluctuations, such changes are determined by translating all amounts in both years using the prior-year average foreign exchange rates.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190500</wp:posOffset>
            </wp:positionV>
            <wp:extent cx="5817870" cy="48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sectPr>
      </w:pPr>
    </w:p>
    <w:bookmarkStart w:id="19" w:name="page20"/>
    <w:bookmarkEnd w:id="19"/>
    <w:p>
      <w:pPr>
        <w:jc w:val="both"/>
        <w:spacing w:after="0" w:line="241" w:lineRule="auto"/>
        <w:rPr>
          <w:sz w:val="20"/>
          <w:szCs w:val="20"/>
          <w:color w:val="auto"/>
        </w:rPr>
      </w:pPr>
      <w:r>
        <w:rPr>
          <w:rFonts w:ascii="Arial" w:cs="Arial" w:eastAsia="Arial" w:hAnsi="Arial"/>
          <w:sz w:val="15"/>
          <w:szCs w:val="15"/>
          <w:color w:val="auto"/>
        </w:rPr>
        <w:t>We present these non-GAAP measures because we believe they assist investors in comparing our performance across reporting periods on a consistent basis by excluding items that are not indicative of our core business. Presenting amounts on a constant currency basis is useful to investors because it enables them to better understand the changes in our businesses that are not related to currency movements. In addition, these non-GAAP measures are useful in assessing the Company’s progress in achieving its long-term financial objectives.</w:t>
      </w:r>
    </w:p>
    <w:p>
      <w:pPr>
        <w:spacing w:after="0" w:line="10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non-GAAP financial information is provided in addition to, and not as an alternative to, the Company’s reported results prepared in accordance with GAAP. The Company estimates the tax effect of the non-GAAP adjustments by applying its marginal rate to each of the respective items.</w:t>
      </w:r>
    </w:p>
    <w:p>
      <w:pPr>
        <w:spacing w:after="0" w:line="104"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Presented below is a reconciliation of GAAP and non-GAAP results for the thirteen and thirty-nine weeks ended October 28, 2017 and October 29, 2016, respectively.</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80" w:type="dxa"/>
            <w:vAlign w:val="bottom"/>
            <w:gridSpan w:val="3"/>
          </w:tcPr>
          <w:p>
            <w:pPr>
              <w:jc w:val="right"/>
              <w:ind w:right="343"/>
              <w:spacing w:after="0"/>
              <w:rPr>
                <w:sz w:val="20"/>
                <w:szCs w:val="20"/>
                <w:color w:val="auto"/>
              </w:rPr>
            </w:pPr>
            <w:r>
              <w:rPr>
                <w:rFonts w:ascii="Arial" w:cs="Arial" w:eastAsia="Arial" w:hAnsi="Arial"/>
                <w:sz w:val="15"/>
                <w:szCs w:val="15"/>
                <w:b w:val="1"/>
                <w:bCs w:val="1"/>
                <w:color w:val="auto"/>
              </w:rPr>
              <w:t>Thirteen weeks ended</w:t>
            </w:r>
          </w:p>
        </w:tc>
        <w:tc>
          <w:tcPr>
            <w:tcW w:w="160" w:type="dxa"/>
            <w:vAlign w:val="bottom"/>
          </w:tcPr>
          <w:p>
            <w:pPr>
              <w:spacing w:after="0"/>
              <w:rPr>
                <w:sz w:val="16"/>
                <w:szCs w:val="16"/>
                <w:color w:val="auto"/>
              </w:rPr>
            </w:pPr>
          </w:p>
        </w:tc>
        <w:tc>
          <w:tcPr>
            <w:tcW w:w="2180" w:type="dxa"/>
            <w:vAlign w:val="bottom"/>
            <w:gridSpan w:val="4"/>
          </w:tcPr>
          <w:p>
            <w:pPr>
              <w:jc w:val="right"/>
              <w:ind w:right="240"/>
              <w:spacing w:after="0"/>
              <w:rPr>
                <w:sz w:val="20"/>
                <w:szCs w:val="20"/>
                <w:color w:val="auto"/>
              </w:rPr>
            </w:pPr>
            <w:r>
              <w:rPr>
                <w:rFonts w:ascii="Arial" w:cs="Arial" w:eastAsia="Arial" w:hAnsi="Arial"/>
                <w:sz w:val="15"/>
                <w:szCs w:val="15"/>
                <w:b w:val="1"/>
                <w:bCs w:val="1"/>
                <w:color w:val="auto"/>
              </w:rPr>
              <w:t>Thirty-nine weeks ended</w:t>
            </w:r>
          </w:p>
        </w:tc>
        <w:tc>
          <w:tcPr>
            <w:tcW w:w="0" w:type="dxa"/>
            <w:vAlign w:val="bottom"/>
          </w:tcPr>
          <w:p>
            <w:pPr>
              <w:spacing w:after="0"/>
              <w:rPr>
                <w:sz w:val="1"/>
                <w:szCs w:val="1"/>
                <w:color w:val="auto"/>
              </w:rPr>
            </w:pPr>
          </w:p>
        </w:tc>
      </w:tr>
      <w:tr>
        <w:trPr>
          <w:trHeight w:val="175"/>
        </w:trPr>
        <w:tc>
          <w:tcPr>
            <w:tcW w:w="4260" w:type="dxa"/>
            <w:vAlign w:val="bottom"/>
            <w:tcBorders>
              <w:top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October 28,</w:t>
            </w:r>
          </w:p>
        </w:tc>
        <w:tc>
          <w:tcPr>
            <w:tcW w:w="18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October 29,</w:t>
            </w:r>
          </w:p>
        </w:tc>
        <w:tc>
          <w:tcPr>
            <w:tcW w:w="16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October 28,</w:t>
            </w:r>
          </w:p>
        </w:tc>
        <w:tc>
          <w:tcPr>
            <w:tcW w:w="16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23"/>
              <w:spacing w:after="0"/>
              <w:rPr>
                <w:sz w:val="20"/>
                <w:szCs w:val="20"/>
                <w:color w:val="auto"/>
              </w:rPr>
            </w:pPr>
            <w:r>
              <w:rPr>
                <w:rFonts w:ascii="Arial" w:cs="Arial" w:eastAsia="Arial" w:hAnsi="Arial"/>
                <w:sz w:val="15"/>
                <w:szCs w:val="15"/>
                <w:b w:val="1"/>
                <w:bCs w:val="1"/>
                <w:color w:val="auto"/>
              </w:rPr>
              <w:t>October 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426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2016</w:t>
            </w: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43"/>
              <w:spacing w:after="0"/>
              <w:rPr>
                <w:sz w:val="20"/>
                <w:szCs w:val="20"/>
                <w:color w:val="auto"/>
              </w:rPr>
            </w:pPr>
            <w:r>
              <w:rPr>
                <w:rFonts w:ascii="Arial" w:cs="Arial" w:eastAsia="Arial" w:hAnsi="Arial"/>
                <w:sz w:val="15"/>
                <w:szCs w:val="15"/>
                <w:b w:val="1"/>
                <w:bCs w:val="1"/>
                <w:color w:val="auto"/>
              </w:rPr>
              <w:t>2017</w:t>
            </w: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6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40" w:type="dxa"/>
            <w:vAlign w:val="bottom"/>
            <w:gridSpan w:val="3"/>
          </w:tcPr>
          <w:p>
            <w:pPr>
              <w:jc w:val="right"/>
              <w:ind w:right="703"/>
              <w:spacing w:after="0"/>
              <w:rPr>
                <w:sz w:val="20"/>
                <w:szCs w:val="20"/>
                <w:color w:val="auto"/>
              </w:rPr>
            </w:pPr>
            <w:r>
              <w:rPr>
                <w:rFonts w:ascii="Arial" w:cs="Arial" w:eastAsia="Arial" w:hAnsi="Arial"/>
                <w:sz w:val="15"/>
                <w:szCs w:val="15"/>
                <w:color w:val="auto"/>
              </w:rPr>
              <w:t>($ in millions)</w:t>
            </w: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Pre-tax income:</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60" w:type="dxa"/>
            <w:vAlign w:val="bottom"/>
          </w:tcPr>
          <w:p>
            <w:pPr>
              <w:spacing w:after="0"/>
              <w:rPr>
                <w:sz w:val="20"/>
                <w:szCs w:val="20"/>
                <w:color w:val="auto"/>
              </w:rPr>
            </w:pPr>
            <w:r>
              <w:rPr>
                <w:rFonts w:ascii="Arial" w:cs="Arial" w:eastAsia="Arial" w:hAnsi="Arial"/>
                <w:sz w:val="15"/>
                <w:szCs w:val="15"/>
                <w:color w:val="auto"/>
              </w:rPr>
              <w:t>Income before income taxes</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b w:val="1"/>
                <w:bCs w:val="1"/>
                <w:color w:val="auto"/>
              </w:rPr>
              <w:t>156</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227</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43"/>
              <w:spacing w:after="0"/>
              <w:rPr>
                <w:sz w:val="20"/>
                <w:szCs w:val="20"/>
                <w:color w:val="auto"/>
              </w:rPr>
            </w:pPr>
            <w:r>
              <w:rPr>
                <w:rFonts w:ascii="Arial" w:cs="Arial" w:eastAsia="Arial" w:hAnsi="Arial"/>
                <w:sz w:val="15"/>
                <w:szCs w:val="15"/>
                <w:b w:val="1"/>
                <w:bCs w:val="1"/>
                <w:color w:val="auto"/>
              </w:rPr>
              <w:t>498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723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Pre-tax amounts excluded from GAAP:</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0"/>
              <w:spacing w:after="0"/>
              <w:rPr>
                <w:sz w:val="20"/>
                <w:szCs w:val="20"/>
                <w:color w:val="auto"/>
              </w:rPr>
            </w:pPr>
            <w:r>
              <w:rPr>
                <w:rFonts w:ascii="Arial" w:cs="Arial" w:eastAsia="Arial" w:hAnsi="Arial"/>
                <w:sz w:val="15"/>
                <w:szCs w:val="15"/>
                <w:color w:val="auto"/>
              </w:rPr>
              <w:t>Reorganization costs</w:t>
            </w:r>
          </w:p>
        </w:tc>
        <w:tc>
          <w:tcPr>
            <w:tcW w:w="240" w:type="dxa"/>
            <w:vAlign w:val="bottom"/>
          </w:tcPr>
          <w:p>
            <w:pPr>
              <w:spacing w:after="0"/>
              <w:rPr>
                <w:sz w:val="17"/>
                <w:szCs w:val="17"/>
                <w:color w:val="auto"/>
              </w:rPr>
            </w:pPr>
          </w:p>
        </w:tc>
        <w:tc>
          <w:tcPr>
            <w:tcW w:w="1060" w:type="dxa"/>
            <w:vAlign w:val="bottom"/>
          </w:tcPr>
          <w:p>
            <w:pPr>
              <w:jc w:val="right"/>
              <w:ind w:right="43"/>
              <w:spacing w:after="0"/>
              <w:rPr>
                <w:sz w:val="20"/>
                <w:szCs w:val="20"/>
                <w:color w:val="auto"/>
              </w:rPr>
            </w:pPr>
            <w:r>
              <w:rPr>
                <w:rFonts w:ascii="Arial" w:cs="Arial" w:eastAsia="Arial" w:hAnsi="Arial"/>
                <w:sz w:val="15"/>
                <w:szCs w:val="15"/>
                <w:b w:val="1"/>
                <w:bCs w:val="1"/>
                <w:color w:val="auto"/>
              </w:rPr>
              <w:t>13</w:t>
            </w:r>
          </w:p>
        </w:tc>
        <w:tc>
          <w:tcPr>
            <w:tcW w:w="18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b w:val="1"/>
                <w:bCs w:val="1"/>
                <w:color w:val="auto"/>
              </w:rPr>
              <w:t>13</w:t>
            </w:r>
          </w:p>
        </w:tc>
        <w:tc>
          <w:tcPr>
            <w:tcW w:w="1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Pension litigation charge</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50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60" w:type="dxa"/>
            <w:vAlign w:val="bottom"/>
            <w:tcBorders>
              <w:bottom w:val="single" w:sz="8" w:color="auto"/>
            </w:tcBorders>
          </w:tcPr>
          <w:p>
            <w:pPr>
              <w:ind w:left="200"/>
              <w:spacing w:after="0"/>
              <w:rPr>
                <w:sz w:val="20"/>
                <w:szCs w:val="20"/>
                <w:color w:val="auto"/>
              </w:rPr>
            </w:pPr>
            <w:r>
              <w:rPr>
                <w:rFonts w:ascii="Arial" w:cs="Arial" w:eastAsia="Arial" w:hAnsi="Arial"/>
                <w:sz w:val="15"/>
                <w:szCs w:val="15"/>
                <w:color w:val="auto"/>
              </w:rPr>
              <w:t>Impairment charge</w:t>
            </w:r>
          </w:p>
        </w:tc>
        <w:tc>
          <w:tcPr>
            <w:tcW w:w="2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6</w:t>
            </w:r>
          </w:p>
        </w:tc>
        <w:tc>
          <w:tcPr>
            <w:tcW w:w="1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2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Adjusted income before income taxes (non-GAAP)</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169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233</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561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5"/>
                <w:szCs w:val="15"/>
                <w:b w:val="1"/>
                <w:bCs w:val="1"/>
                <w:color w:val="auto"/>
              </w:rPr>
              <w:t>After-tax income:</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60" w:type="dxa"/>
            <w:vAlign w:val="bottom"/>
          </w:tcPr>
          <w:p>
            <w:pPr>
              <w:spacing w:after="0"/>
              <w:rPr>
                <w:sz w:val="20"/>
                <w:szCs w:val="20"/>
                <w:color w:val="auto"/>
              </w:rPr>
            </w:pPr>
            <w:r>
              <w:rPr>
                <w:rFonts w:ascii="Arial" w:cs="Arial" w:eastAsia="Arial" w:hAnsi="Arial"/>
                <w:sz w:val="15"/>
                <w:szCs w:val="15"/>
                <w:color w:val="auto"/>
              </w:rPr>
              <w:t>Net income</w:t>
            </w:r>
          </w:p>
        </w:tc>
        <w:tc>
          <w:tcPr>
            <w:tcW w:w="2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tcPr>
          <w:p>
            <w:pPr>
              <w:jc w:val="right"/>
              <w:ind w:right="43"/>
              <w:spacing w:after="0"/>
              <w:rPr>
                <w:sz w:val="20"/>
                <w:szCs w:val="20"/>
                <w:color w:val="auto"/>
              </w:rPr>
            </w:pPr>
            <w:r>
              <w:rPr>
                <w:rFonts w:ascii="Arial" w:cs="Arial" w:eastAsia="Arial" w:hAnsi="Arial"/>
                <w:sz w:val="15"/>
                <w:szCs w:val="15"/>
                <w:b w:val="1"/>
                <w:bCs w:val="1"/>
                <w:color w:val="auto"/>
              </w:rPr>
              <w:t>102</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040" w:type="dxa"/>
            <w:vAlign w:val="bottom"/>
          </w:tcPr>
          <w:p>
            <w:pPr>
              <w:jc w:val="right"/>
              <w:ind w:right="43"/>
              <w:spacing w:after="0"/>
              <w:rPr>
                <w:sz w:val="20"/>
                <w:szCs w:val="20"/>
                <w:color w:val="auto"/>
              </w:rPr>
            </w:pPr>
            <w:r>
              <w:rPr>
                <w:rFonts w:ascii="Arial" w:cs="Arial" w:eastAsia="Arial" w:hAnsi="Arial"/>
                <w:sz w:val="15"/>
                <w:szCs w:val="15"/>
                <w:color w:val="auto"/>
              </w:rPr>
              <w:t>157</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Pr>
          <w:p>
            <w:pPr>
              <w:jc w:val="right"/>
              <w:ind w:right="43"/>
              <w:spacing w:after="0"/>
              <w:rPr>
                <w:sz w:val="20"/>
                <w:szCs w:val="20"/>
                <w:color w:val="auto"/>
              </w:rPr>
            </w:pPr>
            <w:r>
              <w:rPr>
                <w:rFonts w:ascii="Arial" w:cs="Arial" w:eastAsia="Arial" w:hAnsi="Arial"/>
                <w:sz w:val="15"/>
                <w:szCs w:val="15"/>
                <w:b w:val="1"/>
                <w:bCs w:val="1"/>
                <w:color w:val="auto"/>
              </w:rPr>
              <w:t>333</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960" w:type="dxa"/>
            <w:vAlign w:val="bottom"/>
          </w:tcPr>
          <w:p>
            <w:pPr>
              <w:jc w:val="right"/>
              <w:spacing w:after="0"/>
              <w:rPr>
                <w:sz w:val="20"/>
                <w:szCs w:val="20"/>
                <w:color w:val="auto"/>
              </w:rPr>
            </w:pPr>
            <w:r>
              <w:rPr>
                <w:rFonts w:ascii="Arial" w:cs="Arial" w:eastAsia="Arial" w:hAnsi="Arial"/>
                <w:sz w:val="15"/>
                <w:szCs w:val="15"/>
                <w:color w:val="auto"/>
              </w:rPr>
              <w:t>475</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After-tax adjustments excluded from GAAP:</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60" w:type="dxa"/>
            <w:vAlign w:val="bottom"/>
          </w:tcPr>
          <w:p>
            <w:pPr>
              <w:ind w:left="200"/>
              <w:spacing w:after="0"/>
              <w:rPr>
                <w:sz w:val="20"/>
                <w:szCs w:val="20"/>
                <w:color w:val="auto"/>
              </w:rPr>
            </w:pPr>
            <w:r>
              <w:rPr>
                <w:rFonts w:ascii="Arial" w:cs="Arial" w:eastAsia="Arial" w:hAnsi="Arial"/>
                <w:sz w:val="15"/>
                <w:szCs w:val="15"/>
                <w:color w:val="auto"/>
              </w:rPr>
              <w:t>Reorganization costs, net of income tax benefit  of $5</w:t>
            </w:r>
          </w:p>
        </w:tc>
        <w:tc>
          <w:tcPr>
            <w:tcW w:w="2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60" w:type="dxa"/>
            <w:vAlign w:val="bottom"/>
          </w:tcPr>
          <w:p>
            <w:pPr>
              <w:ind w:left="300"/>
              <w:spacing w:after="0"/>
              <w:rPr>
                <w:sz w:val="20"/>
                <w:szCs w:val="20"/>
                <w:color w:val="auto"/>
              </w:rPr>
            </w:pPr>
            <w:r>
              <w:rPr>
                <w:rFonts w:ascii="Arial" w:cs="Arial" w:eastAsia="Arial" w:hAnsi="Arial"/>
                <w:sz w:val="15"/>
                <w:szCs w:val="15"/>
                <w:color w:val="auto"/>
              </w:rPr>
              <w:t>million</w:t>
            </w:r>
          </w:p>
        </w:tc>
        <w:tc>
          <w:tcPr>
            <w:tcW w:w="240" w:type="dxa"/>
            <w:vAlign w:val="bottom"/>
          </w:tcPr>
          <w:p>
            <w:pPr>
              <w:spacing w:after="0"/>
              <w:rPr>
                <w:sz w:val="17"/>
                <w:szCs w:val="17"/>
                <w:color w:val="auto"/>
              </w:rPr>
            </w:pPr>
          </w:p>
        </w:tc>
        <w:tc>
          <w:tcPr>
            <w:tcW w:w="1060" w:type="dxa"/>
            <w:vAlign w:val="bottom"/>
          </w:tcPr>
          <w:p>
            <w:pPr>
              <w:jc w:val="right"/>
              <w:ind w:right="43"/>
              <w:spacing w:after="0"/>
              <w:rPr>
                <w:sz w:val="20"/>
                <w:szCs w:val="20"/>
                <w:color w:val="auto"/>
              </w:rPr>
            </w:pPr>
            <w:r>
              <w:rPr>
                <w:rFonts w:ascii="Arial" w:cs="Arial" w:eastAsia="Arial" w:hAnsi="Arial"/>
                <w:sz w:val="15"/>
                <w:szCs w:val="15"/>
                <w:b w:val="1"/>
                <w:bCs w:val="1"/>
                <w:color w:val="auto"/>
              </w:rPr>
              <w:t>8</w:t>
            </w:r>
          </w:p>
        </w:tc>
        <w:tc>
          <w:tcPr>
            <w:tcW w:w="18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b w:val="1"/>
                <w:bCs w:val="1"/>
                <w:color w:val="auto"/>
              </w:rPr>
              <w:t>8</w:t>
            </w:r>
          </w:p>
        </w:tc>
        <w:tc>
          <w:tcPr>
            <w:tcW w:w="1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4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Pension litigation charge, net of income tax benefit of $20</w:t>
            </w: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4260" w:type="dxa"/>
            <w:vAlign w:val="bottom"/>
            <w:shd w:val="clear" w:color="auto" w:fill="CCEEFF"/>
          </w:tcPr>
          <w:p>
            <w:pPr>
              <w:ind w:left="300"/>
              <w:spacing w:after="0"/>
              <w:rPr>
                <w:sz w:val="20"/>
                <w:szCs w:val="20"/>
                <w:color w:val="auto"/>
              </w:rPr>
            </w:pPr>
            <w:r>
              <w:rPr>
                <w:rFonts w:ascii="Arial" w:cs="Arial" w:eastAsia="Arial" w:hAnsi="Arial"/>
                <w:sz w:val="15"/>
                <w:szCs w:val="15"/>
                <w:color w:val="auto"/>
              </w:rPr>
              <w:t>million</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30</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89"/>
        </w:trPr>
        <w:tc>
          <w:tcPr>
            <w:tcW w:w="4260" w:type="dxa"/>
            <w:vAlign w:val="bottom"/>
          </w:tcPr>
          <w:p>
            <w:pPr>
              <w:ind w:left="200"/>
              <w:spacing w:after="0"/>
              <w:rPr>
                <w:sz w:val="20"/>
                <w:szCs w:val="20"/>
                <w:color w:val="auto"/>
              </w:rPr>
            </w:pPr>
            <w:r>
              <w:rPr>
                <w:rFonts w:ascii="Arial" w:cs="Arial" w:eastAsia="Arial" w:hAnsi="Arial"/>
                <w:sz w:val="15"/>
                <w:szCs w:val="15"/>
                <w:color w:val="auto"/>
              </w:rPr>
              <w:t>Impairment charge, net of income tax benefit of $1 million</w:t>
            </w:r>
          </w:p>
        </w:tc>
        <w:tc>
          <w:tcPr>
            <w:tcW w:w="240" w:type="dxa"/>
            <w:vAlign w:val="bottom"/>
          </w:tcPr>
          <w:p>
            <w:pPr>
              <w:spacing w:after="0"/>
              <w:rPr>
                <w:sz w:val="24"/>
                <w:szCs w:val="24"/>
                <w:color w:val="auto"/>
              </w:rPr>
            </w:pPr>
          </w:p>
        </w:tc>
        <w:tc>
          <w:tcPr>
            <w:tcW w:w="106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24"/>
                <w:szCs w:val="24"/>
                <w:color w:val="auto"/>
              </w:rPr>
            </w:pPr>
          </w:p>
        </w:tc>
        <w:tc>
          <w:tcPr>
            <w:tcW w:w="1040" w:type="dxa"/>
            <w:vAlign w:val="bottom"/>
            <w:vMerge w:val="restart"/>
          </w:tcPr>
          <w:p>
            <w:pPr>
              <w:jc w:val="right"/>
              <w:ind w:right="43"/>
              <w:spacing w:after="0"/>
              <w:rPr>
                <w:sz w:val="20"/>
                <w:szCs w:val="20"/>
                <w:color w:val="auto"/>
              </w:rPr>
            </w:pPr>
            <w:r>
              <w:rPr>
                <w:rFonts w:ascii="Arial" w:cs="Arial" w:eastAsia="Arial" w:hAnsi="Arial"/>
                <w:sz w:val="15"/>
                <w:szCs w:val="15"/>
                <w:color w:val="auto"/>
              </w:rPr>
              <w:t>5</w:t>
            </w:r>
          </w:p>
        </w:tc>
        <w:tc>
          <w:tcPr>
            <w:tcW w:w="160" w:type="dxa"/>
            <w:vAlign w:val="bottom"/>
          </w:tcPr>
          <w:p>
            <w:pPr>
              <w:spacing w:after="0"/>
              <w:rPr>
                <w:sz w:val="24"/>
                <w:szCs w:val="24"/>
                <w:color w:val="auto"/>
              </w:rPr>
            </w:pPr>
          </w:p>
        </w:tc>
        <w:tc>
          <w:tcPr>
            <w:tcW w:w="104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24"/>
                <w:szCs w:val="24"/>
                <w:color w:val="auto"/>
              </w:rPr>
            </w:pPr>
          </w:p>
        </w:tc>
        <w:tc>
          <w:tcPr>
            <w:tcW w:w="960" w:type="dxa"/>
            <w:vAlign w:val="bottom"/>
            <w:vMerge w:val="restart"/>
          </w:tcPr>
          <w:p>
            <w:pPr>
              <w:jc w:val="right"/>
              <w:spacing w:after="0"/>
              <w:rPr>
                <w:sz w:val="20"/>
                <w:szCs w:val="20"/>
                <w:color w:val="auto"/>
              </w:rPr>
            </w:pPr>
            <w:r>
              <w:rPr>
                <w:rFonts w:ascii="Arial" w:cs="Arial" w:eastAsia="Arial" w:hAnsi="Arial"/>
                <w:sz w:val="15"/>
                <w:szCs w:val="15"/>
                <w:color w:val="auto"/>
              </w:rPr>
              <w:t>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0"/>
        </w:trPr>
        <w:tc>
          <w:tcPr>
            <w:tcW w:w="42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7"/>
        </w:trPr>
        <w:tc>
          <w:tcPr>
            <w:tcW w:w="4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Tax benefit related to intellectual property reassessment</w:t>
            </w:r>
          </w:p>
        </w:tc>
        <w:tc>
          <w:tcPr>
            <w:tcW w:w="240" w:type="dxa"/>
            <w:vAlign w:val="bottom"/>
            <w:shd w:val="clear" w:color="auto" w:fill="CCEEFF"/>
          </w:tcPr>
          <w:p>
            <w:pPr>
              <w:spacing w:after="0"/>
              <w:rPr>
                <w:sz w:val="24"/>
                <w:szCs w:val="2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24"/>
                <w:szCs w:val="24"/>
                <w:color w:val="auto"/>
              </w:rPr>
            </w:pPr>
          </w:p>
        </w:tc>
        <w:tc>
          <w:tcPr>
            <w:tcW w:w="1040" w:type="dxa"/>
            <w:vAlign w:val="bottom"/>
            <w:vMerge w:val="restart"/>
            <w:shd w:val="clear" w:color="auto" w:fill="CCEEFF"/>
          </w:tcPr>
          <w:p>
            <w:pPr>
              <w:jc w:val="right"/>
              <w:ind w:right="3"/>
              <w:spacing w:after="0"/>
              <w:rPr>
                <w:sz w:val="20"/>
                <w:szCs w:val="20"/>
                <w:color w:val="auto"/>
              </w:rPr>
            </w:pPr>
            <w:r>
              <w:rPr>
                <w:rFonts w:ascii="Arial" w:cs="Arial" w:eastAsia="Arial" w:hAnsi="Arial"/>
                <w:sz w:val="15"/>
                <w:szCs w:val="15"/>
                <w:color w:val="auto"/>
              </w:rPr>
              <w:t>(10)</w:t>
            </w:r>
          </w:p>
        </w:tc>
        <w:tc>
          <w:tcPr>
            <w:tcW w:w="160" w:type="dxa"/>
            <w:vAlign w:val="bottom"/>
            <w:shd w:val="clear" w:color="auto" w:fill="CCEEFF"/>
          </w:tcPr>
          <w:p>
            <w:pPr>
              <w:spacing w:after="0"/>
              <w:rPr>
                <w:sz w:val="24"/>
                <w:szCs w:val="2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24"/>
                <w:szCs w:val="24"/>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260" w:type="dxa"/>
            <w:vAlign w:val="bottom"/>
            <w:tcBorders>
              <w:bottom w:val="single" w:sz="8" w:color="auto"/>
            </w:tcBorders>
            <w:shd w:val="clear" w:color="auto" w:fill="CCEEFF"/>
          </w:tcPr>
          <w:p>
            <w:pPr>
              <w:spacing w:after="0"/>
              <w:rPr>
                <w:sz w:val="7"/>
                <w:szCs w:val="7"/>
                <w:color w:val="auto"/>
              </w:rPr>
            </w:pPr>
          </w:p>
        </w:tc>
        <w:tc>
          <w:tcPr>
            <w:tcW w:w="240" w:type="dxa"/>
            <w:vAlign w:val="bottom"/>
            <w:tcBorders>
              <w:bottom w:val="single" w:sz="8" w:color="auto"/>
            </w:tcBorders>
            <w:shd w:val="clear" w:color="auto" w:fill="CCEEFF"/>
          </w:tcPr>
          <w:p>
            <w:pPr>
              <w:spacing w:after="0"/>
              <w:rPr>
                <w:sz w:val="7"/>
                <w:szCs w:val="7"/>
                <w:color w:val="auto"/>
              </w:rPr>
            </w:pPr>
          </w:p>
        </w:tc>
        <w:tc>
          <w:tcPr>
            <w:tcW w:w="1060" w:type="dxa"/>
            <w:vAlign w:val="bottom"/>
            <w:tcBorders>
              <w:bottom w:val="single" w:sz="8" w:color="auto"/>
            </w:tcBorders>
            <w:vMerge w:val="continue"/>
            <w:shd w:val="clear" w:color="auto" w:fill="CCEEFF"/>
          </w:tcPr>
          <w:p>
            <w:pPr>
              <w:spacing w:after="0"/>
              <w:rPr>
                <w:sz w:val="7"/>
                <w:szCs w:val="7"/>
                <w:color w:val="auto"/>
              </w:rPr>
            </w:pPr>
          </w:p>
        </w:tc>
        <w:tc>
          <w:tcPr>
            <w:tcW w:w="18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vMerge w:val="continue"/>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1040" w:type="dxa"/>
            <w:vAlign w:val="bottom"/>
            <w:tcBorders>
              <w:bottom w:val="single" w:sz="8" w:color="auto"/>
            </w:tcBorders>
            <w:vMerge w:val="continue"/>
            <w:shd w:val="clear" w:color="auto" w:fill="CCEEFF"/>
          </w:tcPr>
          <w:p>
            <w:pPr>
              <w:spacing w:after="0"/>
              <w:rPr>
                <w:sz w:val="7"/>
                <w:szCs w:val="7"/>
                <w:color w:val="auto"/>
              </w:rPr>
            </w:pPr>
          </w:p>
        </w:tc>
        <w:tc>
          <w:tcPr>
            <w:tcW w:w="160" w:type="dxa"/>
            <w:vAlign w:val="bottom"/>
            <w:tcBorders>
              <w:bottom w:val="single" w:sz="8" w:color="auto"/>
            </w:tcBorders>
            <w:shd w:val="clear" w:color="auto" w:fill="CCEEFF"/>
          </w:tcPr>
          <w:p>
            <w:pPr>
              <w:spacing w:after="0"/>
              <w:rPr>
                <w:sz w:val="7"/>
                <w:szCs w:val="7"/>
                <w:color w:val="auto"/>
              </w:rPr>
            </w:pPr>
          </w:p>
        </w:tc>
        <w:tc>
          <w:tcPr>
            <w:tcW w:w="960" w:type="dxa"/>
            <w:vAlign w:val="bottom"/>
            <w:tcBorders>
              <w:bottom w:val="single" w:sz="8" w:color="auto"/>
            </w:tcBorders>
            <w:vMerge w:val="continue"/>
            <w:shd w:val="clear" w:color="auto" w:fill="CCEEFF"/>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42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Adjusted net income (non-GAAP)</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152</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371</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2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260" w:type="dxa"/>
            <w:vAlign w:val="bottom"/>
          </w:tcPr>
          <w:p>
            <w:pPr>
              <w:spacing w:after="0"/>
              <w:rPr>
                <w:sz w:val="20"/>
                <w:szCs w:val="20"/>
                <w:color w:val="auto"/>
              </w:rPr>
            </w:pPr>
            <w:r>
              <w:rPr>
                <w:rFonts w:ascii="Arial" w:cs="Arial" w:eastAsia="Arial" w:hAnsi="Arial"/>
                <w:sz w:val="15"/>
                <w:szCs w:val="15"/>
                <w:b w:val="1"/>
                <w:bCs w:val="1"/>
                <w:color w:val="auto"/>
              </w:rPr>
              <w:t>Earnings per share:</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4260" w:type="dxa"/>
            <w:vAlign w:val="bottom"/>
            <w:shd w:val="clear" w:color="auto" w:fill="CCEEFF"/>
          </w:tcPr>
          <w:p>
            <w:pPr>
              <w:spacing w:after="0"/>
              <w:rPr>
                <w:sz w:val="20"/>
                <w:szCs w:val="20"/>
                <w:color w:val="auto"/>
              </w:rPr>
            </w:pPr>
            <w:r>
              <w:rPr>
                <w:rFonts w:ascii="Arial" w:cs="Arial" w:eastAsia="Arial" w:hAnsi="Arial"/>
                <w:sz w:val="15"/>
                <w:szCs w:val="15"/>
                <w:color w:val="auto"/>
              </w:rPr>
              <w:t>Diluted EPS</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0.81</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1.17</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2.55</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4260" w:type="dxa"/>
            <w:vAlign w:val="bottom"/>
          </w:tcPr>
          <w:p>
            <w:pPr>
              <w:spacing w:after="0"/>
              <w:rPr>
                <w:sz w:val="20"/>
                <w:szCs w:val="20"/>
                <w:color w:val="auto"/>
              </w:rPr>
            </w:pPr>
            <w:r>
              <w:rPr>
                <w:rFonts w:ascii="Arial" w:cs="Arial" w:eastAsia="Arial" w:hAnsi="Arial"/>
                <w:sz w:val="15"/>
                <w:szCs w:val="15"/>
                <w:color w:val="auto"/>
              </w:rPr>
              <w:t>Diluted EPS amounts excluded from GAAP:</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4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Reorganization costs</w:t>
            </w:r>
          </w:p>
        </w:tc>
        <w:tc>
          <w:tcPr>
            <w:tcW w:w="24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0.06</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0.06</w:t>
            </w: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0"/>
              <w:spacing w:after="0"/>
              <w:rPr>
                <w:sz w:val="20"/>
                <w:szCs w:val="20"/>
                <w:color w:val="auto"/>
              </w:rPr>
            </w:pPr>
            <w:r>
              <w:rPr>
                <w:rFonts w:ascii="Arial" w:cs="Arial" w:eastAsia="Arial" w:hAnsi="Arial"/>
                <w:sz w:val="15"/>
                <w:szCs w:val="15"/>
                <w:color w:val="auto"/>
              </w:rPr>
              <w:t>Pension litigation charge</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7"/>
                <w:szCs w:val="17"/>
                <w:color w:val="auto"/>
              </w:rPr>
            </w:pPr>
          </w:p>
        </w:tc>
        <w:tc>
          <w:tcPr>
            <w:tcW w:w="1040" w:type="dxa"/>
            <w:vAlign w:val="bottom"/>
          </w:tcPr>
          <w:p>
            <w:pPr>
              <w:jc w:val="right"/>
              <w:ind w:right="43"/>
              <w:spacing w:after="0"/>
              <w:rPr>
                <w:sz w:val="20"/>
                <w:szCs w:val="20"/>
                <w:color w:val="auto"/>
              </w:rPr>
            </w:pPr>
            <w:r>
              <w:rPr>
                <w:rFonts w:ascii="Arial" w:cs="Arial" w:eastAsia="Arial" w:hAnsi="Arial"/>
                <w:sz w:val="15"/>
                <w:szCs w:val="15"/>
                <w:b w:val="1"/>
                <w:bCs w:val="1"/>
                <w:color w:val="auto"/>
              </w:rPr>
              <w:t>0.23</w:t>
            </w:r>
          </w:p>
        </w:tc>
        <w:tc>
          <w:tcPr>
            <w:tcW w:w="1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7"/>
        </w:trPr>
        <w:tc>
          <w:tcPr>
            <w:tcW w:w="42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Impairment charge</w:t>
            </w:r>
          </w:p>
        </w:tc>
        <w:tc>
          <w:tcPr>
            <w:tcW w:w="24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0.03</w:t>
            </w:r>
          </w:p>
        </w:tc>
        <w:tc>
          <w:tcPr>
            <w:tcW w:w="16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260" w:type="dxa"/>
            <w:vAlign w:val="bottom"/>
          </w:tcPr>
          <w:p>
            <w:pPr>
              <w:ind w:left="200"/>
              <w:spacing w:after="0"/>
              <w:rPr>
                <w:sz w:val="20"/>
                <w:szCs w:val="20"/>
                <w:color w:val="auto"/>
              </w:rPr>
            </w:pPr>
            <w:r>
              <w:rPr>
                <w:rFonts w:ascii="Arial" w:cs="Arial" w:eastAsia="Arial" w:hAnsi="Arial"/>
                <w:sz w:val="15"/>
                <w:szCs w:val="15"/>
                <w:color w:val="auto"/>
              </w:rPr>
              <w:t>Tax benefit related to intellectual property reassessment</w:t>
            </w:r>
          </w:p>
        </w:tc>
        <w:tc>
          <w:tcPr>
            <w:tcW w:w="24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80" w:type="dxa"/>
            <w:vAlign w:val="bottom"/>
          </w:tcPr>
          <w:p>
            <w:pPr>
              <w:spacing w:after="0"/>
              <w:rPr>
                <w:sz w:val="17"/>
                <w:szCs w:val="17"/>
                <w:color w:val="auto"/>
              </w:rPr>
            </w:pPr>
          </w:p>
        </w:tc>
        <w:tc>
          <w:tcPr>
            <w:tcW w:w="1040" w:type="dxa"/>
            <w:vAlign w:val="bottom"/>
          </w:tcPr>
          <w:p>
            <w:pPr>
              <w:jc w:val="right"/>
              <w:ind w:right="3"/>
              <w:spacing w:after="0"/>
              <w:rPr>
                <w:sz w:val="20"/>
                <w:szCs w:val="20"/>
                <w:color w:val="auto"/>
              </w:rPr>
            </w:pPr>
            <w:r>
              <w:rPr>
                <w:rFonts w:ascii="Arial" w:cs="Arial" w:eastAsia="Arial" w:hAnsi="Arial"/>
                <w:sz w:val="15"/>
                <w:szCs w:val="15"/>
                <w:color w:val="auto"/>
              </w:rPr>
              <w:t>(0.07)</w:t>
            </w:r>
          </w:p>
        </w:tc>
        <w:tc>
          <w:tcPr>
            <w:tcW w:w="16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60" w:type="dxa"/>
            <w:vAlign w:val="bottom"/>
          </w:tcPr>
          <w:p>
            <w:pPr>
              <w:spacing w:after="0"/>
              <w:rPr>
                <w:sz w:val="17"/>
                <w:szCs w:val="17"/>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5"/>
                <w:szCs w:val="15"/>
                <w:color w:val="auto"/>
              </w:rPr>
              <w:t>(0.07)</w:t>
            </w:r>
          </w:p>
        </w:tc>
        <w:tc>
          <w:tcPr>
            <w:tcW w:w="0" w:type="dxa"/>
            <w:vAlign w:val="bottom"/>
          </w:tcPr>
          <w:p>
            <w:pPr>
              <w:spacing w:after="0"/>
              <w:rPr>
                <w:sz w:val="1"/>
                <w:szCs w:val="1"/>
                <w:color w:val="auto"/>
              </w:rPr>
            </w:pPr>
          </w:p>
        </w:tc>
      </w:tr>
      <w:tr>
        <w:trPr>
          <w:trHeight w:val="179"/>
        </w:trPr>
        <w:tc>
          <w:tcPr>
            <w:tcW w:w="4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Adjusted diluted EPS (non-GAAP)</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6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0.87</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1.13</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040" w:type="dxa"/>
            <w:vAlign w:val="bottom"/>
            <w:tcBorders>
              <w:top w:val="single" w:sz="8" w:color="auto"/>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2.84</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During the third quarter ended October 28, 2017, the Company reduced and reorganized its division and corporate staff which resulted in a charge of $13 million, $8 million after-tax or $0.06 per share. The substantial majority of the charge is for severance and related costs.</w:t>
      </w:r>
    </w:p>
    <w:p>
      <w:pPr>
        <w:spacing w:after="0" w:line="326"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 xml:space="preserve">During the second quarter ended July 29, 2017, the Company recorded a charge of $50 million, $30 million after-tax or $0.23 per share, related to pension litigation. Please see Item 1. “Financial Statements,” Note 14,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for further information on this charge.</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0" w:name="page21"/>
    <w:bookmarkEnd w:id="20"/>
    <w:p>
      <w:pPr>
        <w:jc w:val="both"/>
        <w:ind w:right="20"/>
        <w:spacing w:after="0" w:line="242" w:lineRule="auto"/>
        <w:rPr>
          <w:sz w:val="20"/>
          <w:szCs w:val="20"/>
          <w:color w:val="auto"/>
        </w:rPr>
      </w:pPr>
      <w:r>
        <w:rPr>
          <w:rFonts w:ascii="Arial" w:cs="Arial" w:eastAsia="Arial" w:hAnsi="Arial"/>
          <w:sz w:val="15"/>
          <w:szCs w:val="15"/>
          <w:color w:val="auto"/>
        </w:rPr>
        <w:t>In the third quarter of 2016, the Company recorded a $6 million, $5 million after-tax or $0.03 per share, impairment charge associated with underperforming store assets of Runners Point and Sidestep. Also during the third quarter of 2016, the Company’s scheduled triennial reassessment of the value of intellectual property provided to our European business by Foot Locker in the U.S. resulted in a $10 million tax reduction.</w:t>
      </w:r>
    </w:p>
    <w:p>
      <w:pPr>
        <w:spacing w:after="0" w:line="5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Results of Operations</w:t>
      </w:r>
    </w:p>
    <w:p>
      <w:pPr>
        <w:spacing w:after="0" w:line="61"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Sales</w:t>
      </w:r>
    </w:p>
    <w:p>
      <w:pPr>
        <w:spacing w:after="0" w:line="99"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All references to comparable-store sales for a given period relate to sales of stores that were open at the period-end and had been open for more than one year. The computation of consolidated comparable-store sales also includes the sales of the Direct-to-Customers segment. Stores opened or closed during the period are not included in the comparable-store base; however, stores closed temporarily for relocation or remodeling are included. Computations exclude the effect of foreign currency fluctuations.</w:t>
      </w:r>
    </w:p>
    <w:p>
      <w:pPr>
        <w:spacing w:after="0" w:line="71"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Sales decreased by $16 million, or 0.8 percent, to $1,870 million for the thirteen weeks ended October 28, 2017, from $1,886 million for the thirteen weeks ended October 29, 2016. For the thirty-nine weeks ended October 28, 2017, sales decreased by 1.4 percent to $5,572 million from sales of $5,653 million in the corresponding prior-year period. Excluding the effect of foreign currency fluctuations, sales decreased by 2.3 and 1.5 percent for the thirteen and thirty-nine weeks ended October 28, 2017, respectively. Comparable-store sales decreased by 3.7 and 2.9 percent for the thirteen and thirty-nine weeks ended October 28, 2017, respectively. For both periods, this reflected a decline in our Athletic Stores segment, partially offset by an increase in our Direct-to-Customers segment.</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700" w:type="dxa"/>
            <w:vAlign w:val="bottom"/>
            <w:gridSpan w:val="2"/>
          </w:tcPr>
          <w:p>
            <w:pPr>
              <w:spacing w:after="0"/>
              <w:rPr>
                <w:sz w:val="20"/>
                <w:szCs w:val="20"/>
                <w:color w:val="auto"/>
              </w:rPr>
            </w:pPr>
            <w:r>
              <w:rPr>
                <w:rFonts w:ascii="Arial" w:cs="Arial" w:eastAsia="Arial" w:hAnsi="Arial"/>
                <w:sz w:val="15"/>
                <w:szCs w:val="15"/>
                <w:i w:val="1"/>
                <w:iCs w:val="1"/>
                <w:color w:val="auto"/>
              </w:rPr>
              <w:t>Gross Margin</w:t>
            </w:r>
          </w:p>
        </w:tc>
        <w:tc>
          <w:tcPr>
            <w:tcW w:w="15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1"/>
        </w:trPr>
        <w:tc>
          <w:tcPr>
            <w:tcW w:w="920" w:type="dxa"/>
            <w:vAlign w:val="bottom"/>
            <w:tcBorders>
              <w:top w:val="single" w:sz="8" w:color="auto"/>
              <w:bottom w:val="single" w:sz="8" w:color="auto"/>
            </w:tcBorders>
          </w:tcPr>
          <w:p>
            <w:pPr>
              <w:spacing w:after="0"/>
              <w:rPr>
                <w:sz w:val="18"/>
                <w:szCs w:val="18"/>
                <w:color w:val="auto"/>
              </w:rPr>
            </w:pPr>
          </w:p>
        </w:tc>
        <w:tc>
          <w:tcPr>
            <w:tcW w:w="278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2"/>
          </w:tcPr>
          <w:p>
            <w:pPr>
              <w:jc w:val="right"/>
              <w:ind w:right="483"/>
              <w:spacing w:after="0"/>
              <w:rPr>
                <w:sz w:val="20"/>
                <w:szCs w:val="20"/>
                <w:color w:val="auto"/>
              </w:rPr>
            </w:pPr>
            <w:r>
              <w:rPr>
                <w:rFonts w:ascii="Arial" w:cs="Arial" w:eastAsia="Arial" w:hAnsi="Arial"/>
                <w:sz w:val="15"/>
                <w:szCs w:val="15"/>
                <w:b w:val="1"/>
                <w:bCs w:val="1"/>
                <w:color w:val="auto"/>
              </w:rPr>
              <w:t>Thirteen weeks ended</w:t>
            </w:r>
          </w:p>
        </w:tc>
        <w:tc>
          <w:tcPr>
            <w:tcW w:w="2520" w:type="dxa"/>
            <w:vAlign w:val="bottom"/>
            <w:tcBorders>
              <w:bottom w:val="single" w:sz="8" w:color="auto"/>
            </w:tcBorders>
            <w:gridSpan w:val="2"/>
          </w:tcPr>
          <w:p>
            <w:pPr>
              <w:ind w:left="400"/>
              <w:spacing w:after="0"/>
              <w:rPr>
                <w:sz w:val="20"/>
                <w:szCs w:val="20"/>
                <w:color w:val="auto"/>
              </w:rPr>
            </w:pPr>
            <w:r>
              <w:rPr>
                <w:rFonts w:ascii="Arial" w:cs="Arial" w:eastAsia="Arial" w:hAnsi="Arial"/>
                <w:sz w:val="15"/>
                <w:szCs w:val="15"/>
                <w:b w:val="1"/>
                <w:bCs w:val="1"/>
                <w:color w:val="auto"/>
              </w:rPr>
              <w:t>Thirty-nine weeks ended</w:t>
            </w:r>
          </w:p>
        </w:tc>
        <w:tc>
          <w:tcPr>
            <w:tcW w:w="0" w:type="dxa"/>
            <w:vAlign w:val="bottom"/>
          </w:tcPr>
          <w:p>
            <w:pPr>
              <w:spacing w:after="0"/>
              <w:rPr>
                <w:sz w:val="1"/>
                <w:szCs w:val="1"/>
                <w:color w:val="auto"/>
              </w:rPr>
            </w:pPr>
          </w:p>
        </w:tc>
      </w:tr>
      <w:tr>
        <w:trPr>
          <w:trHeight w:val="151"/>
        </w:trPr>
        <w:tc>
          <w:tcPr>
            <w:tcW w:w="920" w:type="dxa"/>
            <w:vAlign w:val="bottom"/>
          </w:tcPr>
          <w:p>
            <w:pPr>
              <w:spacing w:after="0"/>
              <w:rPr>
                <w:sz w:val="13"/>
                <w:szCs w:val="13"/>
                <w:color w:val="auto"/>
              </w:rPr>
            </w:pPr>
          </w:p>
        </w:tc>
        <w:tc>
          <w:tcPr>
            <w:tcW w:w="2780" w:type="dxa"/>
            <w:vAlign w:val="bottom"/>
          </w:tcPr>
          <w:p>
            <w:pPr>
              <w:spacing w:after="0"/>
              <w:rPr>
                <w:sz w:val="13"/>
                <w:szCs w:val="13"/>
                <w:color w:val="auto"/>
              </w:rPr>
            </w:pPr>
          </w:p>
        </w:tc>
        <w:tc>
          <w:tcPr>
            <w:tcW w:w="1540" w:type="dxa"/>
            <w:vAlign w:val="bottom"/>
          </w:tcPr>
          <w:p>
            <w:pPr>
              <w:jc w:val="right"/>
              <w:ind w:right="183"/>
              <w:spacing w:after="0" w:line="151" w:lineRule="exact"/>
              <w:rPr>
                <w:sz w:val="20"/>
                <w:szCs w:val="20"/>
                <w:color w:val="auto"/>
              </w:rPr>
            </w:pPr>
            <w:r>
              <w:rPr>
                <w:rFonts w:ascii="Arial" w:cs="Arial" w:eastAsia="Arial" w:hAnsi="Arial"/>
                <w:sz w:val="15"/>
                <w:szCs w:val="15"/>
                <w:b w:val="1"/>
                <w:bCs w:val="1"/>
                <w:color w:val="auto"/>
              </w:rPr>
              <w:t>October 28,</w:t>
            </w:r>
          </w:p>
        </w:tc>
        <w:tc>
          <w:tcPr>
            <w:tcW w:w="1340" w:type="dxa"/>
            <w:vAlign w:val="bottom"/>
          </w:tcPr>
          <w:p>
            <w:pPr>
              <w:jc w:val="center"/>
              <w:spacing w:after="0" w:line="151" w:lineRule="exact"/>
              <w:rPr>
                <w:sz w:val="20"/>
                <w:szCs w:val="20"/>
                <w:color w:val="auto"/>
              </w:rPr>
            </w:pPr>
            <w:r>
              <w:rPr>
                <w:rFonts w:ascii="Arial" w:cs="Arial" w:eastAsia="Arial" w:hAnsi="Arial"/>
                <w:sz w:val="15"/>
                <w:szCs w:val="15"/>
                <w:b w:val="1"/>
                <w:bCs w:val="1"/>
                <w:color w:val="auto"/>
              </w:rPr>
              <w:t>October 29,</w:t>
            </w:r>
          </w:p>
        </w:tc>
        <w:tc>
          <w:tcPr>
            <w:tcW w:w="1320" w:type="dxa"/>
            <w:vAlign w:val="bottom"/>
          </w:tcPr>
          <w:p>
            <w:pPr>
              <w:ind w:left="200"/>
              <w:spacing w:after="0" w:line="151" w:lineRule="exact"/>
              <w:rPr>
                <w:sz w:val="20"/>
                <w:szCs w:val="20"/>
                <w:color w:val="auto"/>
              </w:rPr>
            </w:pPr>
            <w:r>
              <w:rPr>
                <w:rFonts w:ascii="Arial" w:cs="Arial" w:eastAsia="Arial" w:hAnsi="Arial"/>
                <w:sz w:val="15"/>
                <w:szCs w:val="15"/>
                <w:b w:val="1"/>
                <w:bCs w:val="1"/>
                <w:color w:val="auto"/>
              </w:rPr>
              <w:t>October 28,</w:t>
            </w:r>
          </w:p>
        </w:tc>
        <w:tc>
          <w:tcPr>
            <w:tcW w:w="1200" w:type="dxa"/>
            <w:vAlign w:val="bottom"/>
          </w:tcPr>
          <w:p>
            <w:pPr>
              <w:jc w:val="center"/>
              <w:ind w:left="3"/>
              <w:spacing w:after="0" w:line="151" w:lineRule="exact"/>
              <w:rPr>
                <w:sz w:val="20"/>
                <w:szCs w:val="20"/>
                <w:color w:val="auto"/>
              </w:rPr>
            </w:pPr>
            <w:r>
              <w:rPr>
                <w:rFonts w:ascii="Arial" w:cs="Arial" w:eastAsia="Arial" w:hAnsi="Arial"/>
                <w:sz w:val="15"/>
                <w:szCs w:val="15"/>
                <w:b w:val="1"/>
                <w:bCs w:val="1"/>
                <w:color w:val="auto"/>
              </w:rPr>
              <w:t>October 29,</w:t>
            </w:r>
          </w:p>
        </w:tc>
        <w:tc>
          <w:tcPr>
            <w:tcW w:w="0" w:type="dxa"/>
            <w:vAlign w:val="bottom"/>
          </w:tcPr>
          <w:p>
            <w:pPr>
              <w:spacing w:after="0"/>
              <w:rPr>
                <w:sz w:val="1"/>
                <w:szCs w:val="1"/>
                <w:color w:val="auto"/>
              </w:rPr>
            </w:pPr>
          </w:p>
        </w:tc>
      </w:tr>
      <w:tr>
        <w:trPr>
          <w:trHeight w:val="194"/>
        </w:trPr>
        <w:tc>
          <w:tcPr>
            <w:tcW w:w="9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2017</w:t>
            </w:r>
          </w:p>
        </w:tc>
        <w:tc>
          <w:tcPr>
            <w:tcW w:w="134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2016</w:t>
            </w:r>
          </w:p>
        </w:tc>
        <w:tc>
          <w:tcPr>
            <w:tcW w:w="1320" w:type="dxa"/>
            <w:vAlign w:val="bottom"/>
            <w:tcBorders>
              <w:bottom w:val="single" w:sz="8" w:color="auto"/>
            </w:tcBorders>
          </w:tcPr>
          <w:p>
            <w:pPr>
              <w:ind w:left="460"/>
              <w:spacing w:after="0"/>
              <w:rPr>
                <w:sz w:val="20"/>
                <w:szCs w:val="20"/>
                <w:color w:val="auto"/>
              </w:rPr>
            </w:pPr>
            <w:r>
              <w:rPr>
                <w:rFonts w:ascii="Arial" w:cs="Arial" w:eastAsia="Arial" w:hAnsi="Arial"/>
                <w:sz w:val="15"/>
                <w:szCs w:val="15"/>
                <w:b w:val="1"/>
                <w:bCs w:val="1"/>
                <w:color w:val="auto"/>
              </w:rPr>
              <w:t>2017</w:t>
            </w:r>
          </w:p>
        </w:tc>
        <w:tc>
          <w:tcPr>
            <w:tcW w:w="1200" w:type="dxa"/>
            <w:vAlign w:val="bottom"/>
            <w:tcBorders>
              <w:bottom w:val="single" w:sz="8" w:color="auto"/>
            </w:tcBorders>
          </w:tcPr>
          <w:p>
            <w:pPr>
              <w:jc w:val="right"/>
              <w:ind w:right="303"/>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87"/>
        </w:trPr>
        <w:tc>
          <w:tcPr>
            <w:tcW w:w="370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Gross margin rate</w:t>
            </w:r>
          </w:p>
        </w:tc>
        <w:tc>
          <w:tcPr>
            <w:tcW w:w="154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31.0 %</w:t>
            </w:r>
          </w:p>
        </w:tc>
        <w:tc>
          <w:tcPr>
            <w:tcW w:w="134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33.9 %</w:t>
            </w:r>
          </w:p>
        </w:tc>
        <w:tc>
          <w:tcPr>
            <w:tcW w:w="1320" w:type="dxa"/>
            <w:vAlign w:val="bottom"/>
            <w:shd w:val="clear" w:color="auto" w:fill="CCEEFF"/>
          </w:tcPr>
          <w:p>
            <w:pPr>
              <w:ind w:left="620"/>
              <w:spacing w:after="0"/>
              <w:rPr>
                <w:sz w:val="20"/>
                <w:szCs w:val="20"/>
                <w:color w:val="auto"/>
              </w:rPr>
            </w:pPr>
            <w:r>
              <w:rPr>
                <w:rFonts w:ascii="Arial" w:cs="Arial" w:eastAsia="Arial" w:hAnsi="Arial"/>
                <w:sz w:val="15"/>
                <w:szCs w:val="15"/>
                <w:b w:val="1"/>
                <w:bCs w:val="1"/>
                <w:color w:val="auto"/>
              </w:rPr>
              <w:t>31.6 %</w:t>
            </w:r>
          </w:p>
        </w:tc>
        <w:tc>
          <w:tcPr>
            <w:tcW w:w="120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rPr>
              <w:t>34.0 %</w:t>
            </w:r>
          </w:p>
        </w:tc>
        <w:tc>
          <w:tcPr>
            <w:tcW w:w="0" w:type="dxa"/>
            <w:vAlign w:val="bottom"/>
          </w:tcPr>
          <w:p>
            <w:pPr>
              <w:spacing w:after="0"/>
              <w:rPr>
                <w:sz w:val="1"/>
                <w:szCs w:val="1"/>
                <w:color w:val="auto"/>
              </w:rPr>
            </w:pPr>
          </w:p>
        </w:tc>
      </w:tr>
      <w:tr>
        <w:trPr>
          <w:trHeight w:val="207"/>
        </w:trPr>
        <w:tc>
          <w:tcPr>
            <w:tcW w:w="3700" w:type="dxa"/>
            <w:vAlign w:val="bottom"/>
            <w:gridSpan w:val="2"/>
          </w:tcPr>
          <w:p>
            <w:pPr>
              <w:spacing w:after="0"/>
              <w:rPr>
                <w:sz w:val="20"/>
                <w:szCs w:val="20"/>
                <w:color w:val="auto"/>
              </w:rPr>
            </w:pPr>
            <w:r>
              <w:rPr>
                <w:rFonts w:ascii="Arial" w:cs="Arial" w:eastAsia="Arial" w:hAnsi="Arial"/>
                <w:sz w:val="15"/>
                <w:szCs w:val="15"/>
                <w:color w:val="auto"/>
              </w:rPr>
              <w:t>Basis point change in the gross margin rate</w:t>
            </w:r>
          </w:p>
        </w:tc>
        <w:tc>
          <w:tcPr>
            <w:tcW w:w="1540" w:type="dxa"/>
            <w:vAlign w:val="bottom"/>
          </w:tcPr>
          <w:p>
            <w:pPr>
              <w:jc w:val="right"/>
              <w:ind w:right="263"/>
              <w:spacing w:after="0"/>
              <w:rPr>
                <w:sz w:val="20"/>
                <w:szCs w:val="20"/>
                <w:color w:val="auto"/>
              </w:rPr>
            </w:pPr>
            <w:r>
              <w:rPr>
                <w:rFonts w:ascii="Arial" w:cs="Arial" w:eastAsia="Arial" w:hAnsi="Arial"/>
                <w:sz w:val="15"/>
                <w:szCs w:val="15"/>
                <w:b w:val="1"/>
                <w:bCs w:val="1"/>
                <w:color w:val="auto"/>
              </w:rPr>
              <w:t>(290)</w:t>
            </w:r>
          </w:p>
        </w:tc>
        <w:tc>
          <w:tcPr>
            <w:tcW w:w="1340" w:type="dxa"/>
            <w:vAlign w:val="bottom"/>
          </w:tcPr>
          <w:p>
            <w:pPr>
              <w:spacing w:after="0"/>
              <w:rPr>
                <w:sz w:val="17"/>
                <w:szCs w:val="17"/>
                <w:color w:val="auto"/>
              </w:rPr>
            </w:pPr>
          </w:p>
        </w:tc>
        <w:tc>
          <w:tcPr>
            <w:tcW w:w="1320" w:type="dxa"/>
            <w:vAlign w:val="bottom"/>
          </w:tcPr>
          <w:p>
            <w:pPr>
              <w:ind w:left="600"/>
              <w:spacing w:after="0"/>
              <w:rPr>
                <w:sz w:val="20"/>
                <w:szCs w:val="20"/>
                <w:color w:val="auto"/>
              </w:rPr>
            </w:pPr>
            <w:r>
              <w:rPr>
                <w:rFonts w:ascii="Arial" w:cs="Arial" w:eastAsia="Arial" w:hAnsi="Arial"/>
                <w:sz w:val="15"/>
                <w:szCs w:val="15"/>
                <w:b w:val="1"/>
                <w:bCs w:val="1"/>
                <w:color w:val="auto"/>
              </w:rPr>
              <w:t>(240)</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Components of the change-</w:t>
            </w:r>
          </w:p>
        </w:tc>
        <w:tc>
          <w:tcPr>
            <w:tcW w:w="15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3700" w:type="dxa"/>
            <w:vAlign w:val="bottom"/>
            <w:gridSpan w:val="2"/>
          </w:tcPr>
          <w:p>
            <w:pPr>
              <w:ind w:left="200"/>
              <w:spacing w:after="0"/>
              <w:rPr>
                <w:sz w:val="20"/>
                <w:szCs w:val="20"/>
                <w:color w:val="auto"/>
              </w:rPr>
            </w:pPr>
            <w:r>
              <w:rPr>
                <w:rFonts w:ascii="Arial" w:cs="Arial" w:eastAsia="Arial" w:hAnsi="Arial"/>
                <w:sz w:val="15"/>
                <w:szCs w:val="15"/>
                <w:color w:val="auto"/>
              </w:rPr>
              <w:t>Decline in the merchandise margin rate</w:t>
            </w:r>
          </w:p>
        </w:tc>
        <w:tc>
          <w:tcPr>
            <w:tcW w:w="1540" w:type="dxa"/>
            <w:vAlign w:val="bottom"/>
          </w:tcPr>
          <w:p>
            <w:pPr>
              <w:jc w:val="right"/>
              <w:ind w:right="263"/>
              <w:spacing w:after="0"/>
              <w:rPr>
                <w:sz w:val="20"/>
                <w:szCs w:val="20"/>
                <w:color w:val="auto"/>
              </w:rPr>
            </w:pPr>
            <w:r>
              <w:rPr>
                <w:rFonts w:ascii="Arial" w:cs="Arial" w:eastAsia="Arial" w:hAnsi="Arial"/>
                <w:sz w:val="15"/>
                <w:szCs w:val="15"/>
                <w:b w:val="1"/>
                <w:bCs w:val="1"/>
                <w:color w:val="auto"/>
              </w:rPr>
              <w:t>(200)</w:t>
            </w:r>
          </w:p>
        </w:tc>
        <w:tc>
          <w:tcPr>
            <w:tcW w:w="1340" w:type="dxa"/>
            <w:vAlign w:val="bottom"/>
          </w:tcPr>
          <w:p>
            <w:pPr>
              <w:spacing w:after="0"/>
              <w:rPr>
                <w:sz w:val="17"/>
                <w:szCs w:val="17"/>
                <w:color w:val="auto"/>
              </w:rPr>
            </w:pPr>
          </w:p>
        </w:tc>
        <w:tc>
          <w:tcPr>
            <w:tcW w:w="1320" w:type="dxa"/>
            <w:vAlign w:val="bottom"/>
          </w:tcPr>
          <w:p>
            <w:pPr>
              <w:ind w:left="600"/>
              <w:spacing w:after="0"/>
              <w:rPr>
                <w:sz w:val="20"/>
                <w:szCs w:val="20"/>
                <w:color w:val="auto"/>
              </w:rPr>
            </w:pPr>
            <w:r>
              <w:rPr>
                <w:rFonts w:ascii="Arial" w:cs="Arial" w:eastAsia="Arial" w:hAnsi="Arial"/>
                <w:sz w:val="15"/>
                <w:szCs w:val="15"/>
                <w:b w:val="1"/>
                <w:bCs w:val="1"/>
                <w:color w:val="auto"/>
              </w:rPr>
              <w:t>(140)</w:t>
            </w: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37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Higher occupancy and buyers' compensation</w:t>
            </w:r>
          </w:p>
        </w:tc>
        <w:tc>
          <w:tcPr>
            <w:tcW w:w="1540" w:type="dxa"/>
            <w:vAlign w:val="bottom"/>
            <w:vMerge w:val="restart"/>
            <w:shd w:val="clear" w:color="auto" w:fill="CCEEFF"/>
          </w:tcPr>
          <w:p>
            <w:pPr>
              <w:jc w:val="right"/>
              <w:ind w:right="263"/>
              <w:spacing w:after="0"/>
              <w:rPr>
                <w:sz w:val="20"/>
                <w:szCs w:val="20"/>
                <w:color w:val="auto"/>
              </w:rPr>
            </w:pPr>
            <w:r>
              <w:rPr>
                <w:rFonts w:ascii="Arial" w:cs="Arial" w:eastAsia="Arial" w:hAnsi="Arial"/>
                <w:sz w:val="15"/>
                <w:szCs w:val="15"/>
                <w:b w:val="1"/>
                <w:bCs w:val="1"/>
                <w:color w:val="auto"/>
              </w:rPr>
              <w:t>(90)</w:t>
            </w:r>
          </w:p>
        </w:tc>
        <w:tc>
          <w:tcPr>
            <w:tcW w:w="1340" w:type="dxa"/>
            <w:vAlign w:val="bottom"/>
            <w:shd w:val="clear" w:color="auto" w:fill="CCEEFF"/>
          </w:tcPr>
          <w:p>
            <w:pPr>
              <w:spacing w:after="0"/>
              <w:rPr>
                <w:sz w:val="17"/>
                <w:szCs w:val="17"/>
                <w:color w:val="auto"/>
              </w:rPr>
            </w:pPr>
          </w:p>
        </w:tc>
        <w:tc>
          <w:tcPr>
            <w:tcW w:w="1320" w:type="dxa"/>
            <w:vAlign w:val="bottom"/>
            <w:vMerge w:val="restart"/>
            <w:shd w:val="clear" w:color="auto" w:fill="CCEEFF"/>
          </w:tcPr>
          <w:p>
            <w:pPr>
              <w:ind w:left="600"/>
              <w:spacing w:after="0"/>
              <w:rPr>
                <w:sz w:val="20"/>
                <w:szCs w:val="20"/>
                <w:color w:val="auto"/>
              </w:rPr>
            </w:pPr>
            <w:r>
              <w:rPr>
                <w:rFonts w:ascii="Arial" w:cs="Arial" w:eastAsia="Arial" w:hAnsi="Arial"/>
                <w:sz w:val="15"/>
                <w:szCs w:val="15"/>
                <w:b w:val="1"/>
                <w:bCs w:val="1"/>
                <w:color w:val="auto"/>
              </w:rPr>
              <w:t>(100)</w:t>
            </w: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700" w:type="dxa"/>
            <w:vAlign w:val="bottom"/>
            <w:tcBorders>
              <w:bottom w:val="single" w:sz="8" w:color="auto"/>
            </w:tcBorders>
            <w:gridSpan w:val="2"/>
            <w:shd w:val="clear" w:color="auto" w:fill="CCEEFF"/>
          </w:tcPr>
          <w:p>
            <w:pPr>
              <w:ind w:left="300"/>
              <w:spacing w:after="0"/>
              <w:rPr>
                <w:sz w:val="20"/>
                <w:szCs w:val="20"/>
                <w:color w:val="auto"/>
              </w:rPr>
            </w:pPr>
            <w:r>
              <w:rPr>
                <w:rFonts w:ascii="Arial" w:cs="Arial" w:eastAsia="Arial" w:hAnsi="Arial"/>
                <w:sz w:val="15"/>
                <w:szCs w:val="15"/>
                <w:color w:val="auto"/>
              </w:rPr>
              <w:t>expense rate</w:t>
            </w:r>
          </w:p>
        </w:tc>
        <w:tc>
          <w:tcPr>
            <w:tcW w:w="1540" w:type="dxa"/>
            <w:vAlign w:val="bottom"/>
            <w:tcBorders>
              <w:bottom w:val="single" w:sz="8" w:color="auto"/>
            </w:tcBorders>
            <w:vMerge w:val="continue"/>
            <w:shd w:val="clear" w:color="auto" w:fill="CCEEFF"/>
          </w:tcPr>
          <w:p>
            <w:pPr>
              <w:spacing w:after="0"/>
              <w:rPr>
                <w:sz w:val="15"/>
                <w:szCs w:val="15"/>
                <w:color w:val="auto"/>
              </w:rPr>
            </w:pPr>
          </w:p>
        </w:tc>
        <w:tc>
          <w:tcPr>
            <w:tcW w:w="1340" w:type="dxa"/>
            <w:vAlign w:val="bottom"/>
            <w:tcBorders>
              <w:bottom w:val="single" w:sz="8" w:color="auto"/>
            </w:tcBorders>
            <w:shd w:val="clear" w:color="auto" w:fill="CCEEFF"/>
          </w:tcPr>
          <w:p>
            <w:pPr>
              <w:spacing w:after="0"/>
              <w:rPr>
                <w:sz w:val="15"/>
                <w:szCs w:val="15"/>
                <w:color w:val="auto"/>
              </w:rPr>
            </w:pPr>
          </w:p>
        </w:tc>
        <w:tc>
          <w:tcPr>
            <w:tcW w:w="1320" w:type="dxa"/>
            <w:vAlign w:val="bottom"/>
            <w:tcBorders>
              <w:bottom w:val="single" w:sz="8" w:color="auto"/>
            </w:tcBorders>
            <w:vMerge w:val="continue"/>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Gross margin is calculated as sales minus cost of sales. Cost of sales includes: the cost of merchandise, freight, distribution costs including related depreciation expense, shipping and handling, occupancy and buyers’ compensation. Occupancy costs include rent, common area maintenance charges, real estate taxes, general maintenance, and utilities. The gross margin rate decreased by 290 and 240 basis points for the thirteen and thirty-nine weeks ended October 28, 2017, respectively.</w:t>
      </w:r>
    </w:p>
    <w:p>
      <w:pPr>
        <w:spacing w:after="0" w:line="95"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The merchandise margin rate decline for both the quarter and year-to-date periods primarily reflected a higher markdown rate in both our Athletic Stores and Direct-to-Customers segments as the Company was more promotional. Additionally, our Direct-to-Customers segment was also somewhat affected by higher shipping and handling expense. The increased promotional activity was necessary to stimulate sales and ensure that inventory levels remained current and in line with the pace of sales.</w:t>
      </w:r>
    </w:p>
    <w:p>
      <w:pPr>
        <w:spacing w:after="0" w:line="95"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The higher occupancy and buyers’ compensation expense rate for both the quarter and year-to-date periods reflected higher rent-related costs coupled with a decrease in sales. Higher occupancy costs are primarily attributed to several high-profile location leases entered into recently, partially offset by rent reductions in certain other stores.</w:t>
      </w:r>
    </w:p>
    <w:p>
      <w:pPr>
        <w:spacing w:after="0" w:line="2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Selling, General and Administrative Expenses (SG&amp;A)</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8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4"/>
          </w:tcPr>
          <w:p>
            <w:pPr>
              <w:jc w:val="right"/>
              <w:ind w:right="623"/>
              <w:spacing w:after="0"/>
              <w:rPr>
                <w:sz w:val="20"/>
                <w:szCs w:val="20"/>
                <w:color w:val="auto"/>
              </w:rPr>
            </w:pPr>
            <w:r>
              <w:rPr>
                <w:rFonts w:ascii="Arial" w:cs="Arial" w:eastAsia="Arial" w:hAnsi="Arial"/>
                <w:sz w:val="15"/>
                <w:szCs w:val="15"/>
                <w:b w:val="1"/>
                <w:bCs w:val="1"/>
                <w:color w:val="auto"/>
              </w:rPr>
              <w:t>Thirteen weeks ended</w:t>
            </w:r>
          </w:p>
        </w:tc>
        <w:tc>
          <w:tcPr>
            <w:tcW w:w="1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Thirty-nine weeks ended</w:t>
            </w:r>
          </w:p>
        </w:tc>
        <w:tc>
          <w:tcPr>
            <w:tcW w:w="20" w:type="dxa"/>
            <w:vAlign w:val="bottom"/>
          </w:tcPr>
          <w:p>
            <w:pPr>
              <w:spacing w:after="0"/>
              <w:rPr>
                <w:sz w:val="16"/>
                <w:szCs w:val="16"/>
                <w:color w:val="auto"/>
              </w:rPr>
            </w:pPr>
          </w:p>
        </w:tc>
      </w:tr>
      <w:tr>
        <w:trPr>
          <w:trHeight w:val="151"/>
        </w:trPr>
        <w:tc>
          <w:tcPr>
            <w:tcW w:w="2780" w:type="dxa"/>
            <w:vAlign w:val="bottom"/>
          </w:tcPr>
          <w:p>
            <w:pPr>
              <w:spacing w:after="0"/>
              <w:rPr>
                <w:sz w:val="13"/>
                <w:szCs w:val="13"/>
                <w:color w:val="auto"/>
              </w:rPr>
            </w:pPr>
          </w:p>
        </w:tc>
        <w:tc>
          <w:tcPr>
            <w:tcW w:w="2040" w:type="dxa"/>
            <w:vAlign w:val="bottom"/>
            <w:gridSpan w:val="2"/>
          </w:tcPr>
          <w:p>
            <w:pPr>
              <w:jc w:val="right"/>
              <w:ind w:right="303"/>
              <w:spacing w:after="0" w:line="151" w:lineRule="exact"/>
              <w:rPr>
                <w:sz w:val="20"/>
                <w:szCs w:val="20"/>
                <w:color w:val="auto"/>
              </w:rPr>
            </w:pPr>
            <w:r>
              <w:rPr>
                <w:rFonts w:ascii="Arial" w:cs="Arial" w:eastAsia="Arial" w:hAnsi="Arial"/>
                <w:sz w:val="15"/>
                <w:szCs w:val="15"/>
                <w:b w:val="1"/>
                <w:bCs w:val="1"/>
                <w:color w:val="auto"/>
              </w:rPr>
              <w:t>October 28,</w:t>
            </w:r>
          </w:p>
        </w:tc>
        <w:tc>
          <w:tcPr>
            <w:tcW w:w="180" w:type="dxa"/>
            <w:vAlign w:val="bottom"/>
          </w:tcPr>
          <w:p>
            <w:pPr>
              <w:spacing w:after="0"/>
              <w:rPr>
                <w:sz w:val="13"/>
                <w:szCs w:val="13"/>
                <w:color w:val="auto"/>
              </w:rPr>
            </w:pPr>
          </w:p>
        </w:tc>
        <w:tc>
          <w:tcPr>
            <w:tcW w:w="1260" w:type="dxa"/>
            <w:vAlign w:val="bottom"/>
          </w:tcPr>
          <w:p>
            <w:pPr>
              <w:jc w:val="right"/>
              <w:ind w:right="283"/>
              <w:spacing w:after="0" w:line="151" w:lineRule="exact"/>
              <w:rPr>
                <w:sz w:val="20"/>
                <w:szCs w:val="20"/>
                <w:color w:val="auto"/>
              </w:rPr>
            </w:pPr>
            <w:r>
              <w:rPr>
                <w:rFonts w:ascii="Arial" w:cs="Arial" w:eastAsia="Arial" w:hAnsi="Arial"/>
                <w:sz w:val="15"/>
                <w:szCs w:val="15"/>
                <w:b w:val="1"/>
                <w:bCs w:val="1"/>
                <w:color w:val="auto"/>
              </w:rPr>
              <w:t>October 29,</w:t>
            </w:r>
          </w:p>
        </w:tc>
        <w:tc>
          <w:tcPr>
            <w:tcW w:w="160" w:type="dxa"/>
            <w:vAlign w:val="bottom"/>
          </w:tcPr>
          <w:p>
            <w:pPr>
              <w:spacing w:after="0"/>
              <w:rPr>
                <w:sz w:val="13"/>
                <w:szCs w:val="13"/>
                <w:color w:val="auto"/>
              </w:rPr>
            </w:pPr>
          </w:p>
        </w:tc>
        <w:tc>
          <w:tcPr>
            <w:tcW w:w="1240" w:type="dxa"/>
            <w:vAlign w:val="bottom"/>
          </w:tcPr>
          <w:p>
            <w:pPr>
              <w:jc w:val="right"/>
              <w:ind w:right="263"/>
              <w:spacing w:after="0" w:line="151" w:lineRule="exact"/>
              <w:rPr>
                <w:sz w:val="20"/>
                <w:szCs w:val="20"/>
                <w:color w:val="auto"/>
              </w:rPr>
            </w:pPr>
            <w:r>
              <w:rPr>
                <w:rFonts w:ascii="Arial" w:cs="Arial" w:eastAsia="Arial" w:hAnsi="Arial"/>
                <w:sz w:val="15"/>
                <w:szCs w:val="15"/>
                <w:b w:val="1"/>
                <w:bCs w:val="1"/>
                <w:color w:val="auto"/>
              </w:rPr>
              <w:t>October 28,</w:t>
            </w:r>
          </w:p>
        </w:tc>
        <w:tc>
          <w:tcPr>
            <w:tcW w:w="180" w:type="dxa"/>
            <w:vAlign w:val="bottom"/>
          </w:tcPr>
          <w:p>
            <w:pPr>
              <w:spacing w:after="0"/>
              <w:rPr>
                <w:sz w:val="13"/>
                <w:szCs w:val="13"/>
                <w:color w:val="auto"/>
              </w:rPr>
            </w:pPr>
          </w:p>
        </w:tc>
        <w:tc>
          <w:tcPr>
            <w:tcW w:w="1260" w:type="dxa"/>
            <w:vAlign w:val="bottom"/>
          </w:tcPr>
          <w:p>
            <w:pPr>
              <w:jc w:val="right"/>
              <w:ind w:right="283"/>
              <w:spacing w:after="0" w:line="151" w:lineRule="exact"/>
              <w:rPr>
                <w:sz w:val="20"/>
                <w:szCs w:val="20"/>
                <w:color w:val="auto"/>
              </w:rPr>
            </w:pPr>
            <w:r>
              <w:rPr>
                <w:rFonts w:ascii="Arial" w:cs="Arial" w:eastAsia="Arial" w:hAnsi="Arial"/>
                <w:sz w:val="15"/>
                <w:szCs w:val="15"/>
                <w:b w:val="1"/>
                <w:bCs w:val="1"/>
                <w:color w:val="auto"/>
              </w:rPr>
              <w:t>October 29,</w:t>
            </w:r>
          </w:p>
        </w:tc>
        <w:tc>
          <w:tcPr>
            <w:tcW w:w="20" w:type="dxa"/>
            <w:vAlign w:val="bottom"/>
          </w:tcPr>
          <w:p>
            <w:pPr>
              <w:spacing w:after="0"/>
              <w:rPr>
                <w:sz w:val="13"/>
                <w:szCs w:val="13"/>
                <w:color w:val="auto"/>
              </w:rPr>
            </w:pPr>
          </w:p>
        </w:tc>
      </w:tr>
      <w:tr>
        <w:trPr>
          <w:trHeight w:val="194"/>
        </w:trPr>
        <w:tc>
          <w:tcPr>
            <w:tcW w:w="27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2016</w:t>
            </w: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r>
      <w:tr>
        <w:trPr>
          <w:trHeight w:val="187"/>
        </w:trPr>
        <w:tc>
          <w:tcPr>
            <w:tcW w:w="27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3"/>
          </w:tcPr>
          <w:p>
            <w:pPr>
              <w:jc w:val="right"/>
              <w:ind w:right="963"/>
              <w:spacing w:after="0"/>
              <w:rPr>
                <w:sz w:val="20"/>
                <w:szCs w:val="20"/>
                <w:color w:val="auto"/>
              </w:rPr>
            </w:pPr>
            <w:r>
              <w:rPr>
                <w:rFonts w:ascii="Arial" w:cs="Arial" w:eastAsia="Arial" w:hAnsi="Arial"/>
                <w:sz w:val="15"/>
                <w:szCs w:val="15"/>
                <w:color w:val="auto"/>
              </w:rPr>
              <w:t>($ 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SG&amp;A</w:t>
            </w:r>
          </w:p>
        </w:tc>
        <w:tc>
          <w:tcPr>
            <w:tcW w:w="1480" w:type="dxa"/>
            <w:vAlign w:val="bottom"/>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368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366</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1,078</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1,077</w:t>
            </w:r>
          </w:p>
        </w:tc>
        <w:tc>
          <w:tcPr>
            <w:tcW w:w="20" w:type="dxa"/>
            <w:vAlign w:val="bottom"/>
          </w:tcPr>
          <w:p>
            <w:pPr>
              <w:spacing w:after="0"/>
              <w:rPr>
                <w:sz w:val="17"/>
                <w:szCs w:val="17"/>
                <w:color w:val="auto"/>
              </w:rPr>
            </w:pPr>
          </w:p>
        </w:tc>
      </w:tr>
      <w:tr>
        <w:trPr>
          <w:trHeight w:val="207"/>
        </w:trPr>
        <w:tc>
          <w:tcPr>
            <w:tcW w:w="2780" w:type="dxa"/>
            <w:vAlign w:val="bottom"/>
          </w:tcPr>
          <w:p>
            <w:pPr>
              <w:spacing w:after="0"/>
              <w:rPr>
                <w:sz w:val="20"/>
                <w:szCs w:val="20"/>
                <w:color w:val="auto"/>
              </w:rPr>
            </w:pPr>
            <w:r>
              <w:rPr>
                <w:rFonts w:ascii="Arial" w:cs="Arial" w:eastAsia="Arial" w:hAnsi="Arial"/>
                <w:sz w:val="15"/>
                <w:szCs w:val="15"/>
                <w:color w:val="auto"/>
              </w:rPr>
              <w:t>$ Change</w:t>
            </w:r>
          </w:p>
        </w:tc>
        <w:tc>
          <w:tcPr>
            <w:tcW w:w="1480" w:type="dxa"/>
            <w:vAlign w:val="bottom"/>
          </w:tcPr>
          <w:p>
            <w:pPr>
              <w:jc w:val="right"/>
              <w:ind w:right="703"/>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jc w:val="right"/>
              <w:ind w:right="143"/>
              <w:spacing w:after="0"/>
              <w:rPr>
                <w:sz w:val="20"/>
                <w:szCs w:val="20"/>
                <w:color w:val="auto"/>
              </w:rPr>
            </w:pPr>
            <w:r>
              <w:rPr>
                <w:rFonts w:ascii="Arial" w:cs="Arial" w:eastAsia="Arial" w:hAnsi="Arial"/>
                <w:sz w:val="15"/>
                <w:szCs w:val="15"/>
                <w:b w:val="1"/>
                <w:bCs w:val="1"/>
                <w:color w:val="auto"/>
              </w:rPr>
              <w:t>2</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w w:val="95"/>
              </w:rPr>
              <w:t>$</w:t>
            </w:r>
          </w:p>
        </w:tc>
        <w:tc>
          <w:tcPr>
            <w:tcW w:w="1240" w:type="dxa"/>
            <w:vAlign w:val="bottom"/>
          </w:tcPr>
          <w:p>
            <w:pPr>
              <w:jc w:val="right"/>
              <w:ind w:right="123"/>
              <w:spacing w:after="0"/>
              <w:rPr>
                <w:sz w:val="20"/>
                <w:szCs w:val="20"/>
                <w:color w:val="auto"/>
              </w:rPr>
            </w:pPr>
            <w:r>
              <w:rPr>
                <w:rFonts w:ascii="Arial" w:cs="Arial" w:eastAsia="Arial" w:hAnsi="Arial"/>
                <w:sz w:val="15"/>
                <w:szCs w:val="15"/>
                <w:b w:val="1"/>
                <w:bCs w:val="1"/>
                <w:color w:val="auto"/>
              </w:rPr>
              <w:t>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12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780" w:type="dxa"/>
            <w:vAlign w:val="bottom"/>
            <w:shd w:val="clear" w:color="auto" w:fill="CCEEFF"/>
          </w:tcPr>
          <w:p>
            <w:pPr>
              <w:spacing w:after="0"/>
              <w:rPr>
                <w:sz w:val="20"/>
                <w:szCs w:val="20"/>
                <w:color w:val="auto"/>
              </w:rPr>
            </w:pPr>
            <w:r>
              <w:rPr>
                <w:rFonts w:ascii="Arial" w:cs="Arial" w:eastAsia="Arial" w:hAnsi="Arial"/>
                <w:sz w:val="15"/>
                <w:szCs w:val="15"/>
                <w:color w:val="auto"/>
              </w:rPr>
              <w:t>% Change</w:t>
            </w:r>
          </w:p>
        </w:tc>
        <w:tc>
          <w:tcPr>
            <w:tcW w:w="148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0.5 %</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0.1 %</w:t>
            </w: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207"/>
        </w:trPr>
        <w:tc>
          <w:tcPr>
            <w:tcW w:w="27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SG&amp;A as a percentage of sales</w:t>
            </w:r>
          </w:p>
        </w:tc>
        <w:tc>
          <w:tcPr>
            <w:tcW w:w="148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19.7 %</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19.4 %</w:t>
            </w: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19.3 %</w:t>
            </w:r>
          </w:p>
        </w:tc>
        <w:tc>
          <w:tcPr>
            <w:tcW w:w="1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19.1 %</w:t>
            </w:r>
          </w:p>
        </w:tc>
        <w:tc>
          <w:tcPr>
            <w:tcW w:w="20" w:type="dxa"/>
            <w:vAlign w:val="bottom"/>
          </w:tcPr>
          <w:p>
            <w:pPr>
              <w:spacing w:after="0"/>
              <w:rPr>
                <w:sz w:val="17"/>
                <w:szCs w:val="17"/>
                <w:color w:val="auto"/>
              </w:rPr>
            </w:pPr>
          </w:p>
        </w:tc>
      </w:tr>
      <w:tr>
        <w:trPr>
          <w:trHeight w:val="440"/>
        </w:trPr>
        <w:tc>
          <w:tcPr>
            <w:tcW w:w="27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560" w:type="dxa"/>
            <w:vAlign w:val="bottom"/>
          </w:tcPr>
          <w:p>
            <w:pPr>
              <w:jc w:val="right"/>
              <w:ind w:right="103"/>
              <w:spacing w:after="0"/>
              <w:rPr>
                <w:sz w:val="20"/>
                <w:szCs w:val="20"/>
                <w:color w:val="auto"/>
              </w:rPr>
            </w:pPr>
            <w:r>
              <w:rPr>
                <w:rFonts w:ascii="Arial" w:cs="Arial" w:eastAsia="Arial" w:hAnsi="Arial"/>
                <w:sz w:val="15"/>
                <w:szCs w:val="15"/>
                <w:color w:val="auto"/>
              </w:rPr>
              <w:t>19</w:t>
            </w: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2780" w:type="dxa"/>
            <w:vAlign w:val="bottom"/>
            <w:tcBorders>
              <w:bottom w:val="single" w:sz="8" w:color="9A9A9A"/>
            </w:tcBorders>
          </w:tcPr>
          <w:p>
            <w:pPr>
              <w:spacing w:after="0"/>
              <w:rPr>
                <w:sz w:val="7"/>
                <w:szCs w:val="7"/>
                <w:color w:val="auto"/>
              </w:rPr>
            </w:pPr>
          </w:p>
        </w:tc>
        <w:tc>
          <w:tcPr>
            <w:tcW w:w="148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24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2780" w:type="dxa"/>
            <w:vAlign w:val="bottom"/>
            <w:tcBorders>
              <w:bottom w:val="single" w:sz="8" w:color="EEEEEE"/>
            </w:tcBorders>
          </w:tcPr>
          <w:p>
            <w:pPr>
              <w:spacing w:after="0" w:line="20" w:lineRule="exact"/>
              <w:rPr>
                <w:sz w:val="1"/>
                <w:szCs w:val="1"/>
                <w:color w:val="auto"/>
              </w:rPr>
            </w:pPr>
          </w:p>
        </w:tc>
        <w:tc>
          <w:tcPr>
            <w:tcW w:w="1480" w:type="dxa"/>
            <w:vAlign w:val="bottom"/>
            <w:tcBorders>
              <w:bottom w:val="single" w:sz="8" w:color="EEEEEE"/>
            </w:tcBorders>
          </w:tcPr>
          <w:p>
            <w:pPr>
              <w:spacing w:after="0" w:line="20" w:lineRule="exact"/>
              <w:rPr>
                <w:sz w:val="1"/>
                <w:szCs w:val="1"/>
                <w:color w:val="auto"/>
              </w:rPr>
            </w:pPr>
          </w:p>
        </w:tc>
        <w:tc>
          <w:tcPr>
            <w:tcW w:w="5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60" w:type="dxa"/>
            <w:vAlign w:val="bottom"/>
            <w:tcBorders>
              <w:bottom w:val="single" w:sz="8" w:color="EEEEEE"/>
            </w:tcBorders>
          </w:tcPr>
          <w:p>
            <w:pPr>
              <w:spacing w:after="0" w:line="20" w:lineRule="exact"/>
              <w:rPr>
                <w:sz w:val="1"/>
                <w:szCs w:val="1"/>
                <w:color w:val="auto"/>
              </w:rPr>
            </w:pPr>
          </w:p>
        </w:tc>
        <w:tc>
          <w:tcPr>
            <w:tcW w:w="124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329" w:right="1379" w:bottom="1440" w:gutter="0" w:footer="0" w:header="0"/>
        </w:sectPr>
      </w:pPr>
    </w:p>
    <w:bookmarkStart w:id="21" w:name="page22"/>
    <w:bookmarkEnd w:id="21"/>
    <w:p>
      <w:pPr>
        <w:jc w:val="both"/>
        <w:spacing w:after="0" w:line="242" w:lineRule="auto"/>
        <w:rPr>
          <w:sz w:val="20"/>
          <w:szCs w:val="20"/>
          <w:color w:val="auto"/>
        </w:rPr>
      </w:pPr>
      <w:r>
        <w:rPr>
          <w:rFonts w:ascii="Arial" w:cs="Arial" w:eastAsia="Arial" w:hAnsi="Arial"/>
          <w:sz w:val="15"/>
          <w:szCs w:val="15"/>
          <w:color w:val="auto"/>
        </w:rPr>
        <w:t>For the thirteen weeks ended October 28, 2017, excluding the effect of foreign currency fluctuations, SG&amp;A expense decreased by $4 million as compared with the corresponding prior-year period. The effect of foreign currency fluctuations for the thirty-nine weeks ended October 28, 2017 was not significant. Comparing the SG&amp;A expense rate with the prior-year periods, the rate increased by 30 and 20 basis points for the thirteen and thirty-nine weeks ended October 28, 2017, respectively.</w:t>
      </w:r>
    </w:p>
    <w:p>
      <w:pPr>
        <w:spacing w:after="0" w:line="180" w:lineRule="exact"/>
        <w:rPr>
          <w:sz w:val="20"/>
          <w:szCs w:val="20"/>
          <w:color w:val="auto"/>
        </w:rPr>
      </w:pPr>
    </w:p>
    <w:p>
      <w:pPr>
        <w:jc w:val="both"/>
        <w:spacing w:after="0"/>
        <w:rPr>
          <w:sz w:val="20"/>
          <w:szCs w:val="20"/>
          <w:color w:val="auto"/>
        </w:rPr>
      </w:pPr>
      <w:r>
        <w:rPr>
          <w:rFonts w:ascii="Arial" w:cs="Arial" w:eastAsia="Arial" w:hAnsi="Arial"/>
          <w:sz w:val="15"/>
          <w:szCs w:val="15"/>
          <w:color w:val="auto"/>
        </w:rPr>
        <w:t>The higher SG&amp;A expense rate for both the quarter and year-to-date periods, as compared with the corresponding prior-year periods, was driven by the Athletic Stores segment and was primarily related to higher store-related compensation costs and hurricane-related expenses. Wages were higher primarily due to minimum wage increases, as well as related payroll taxes and benefits. As a percentage of sales, store wages and associated costs increased due to the decline in sales as we were not able to reduce staffing levels commensurate with the rate of decline in sales. In addition, included in SG&amp;A was $7 million of hurricane-related expenses, including lost inventory, damage to fixed assets, and repair and maintenance expenses. These hurricane-related expenses negatively affected the SG&amp;A expense rate for the quarter by 40 basis points. Our Direct-to-Customers segment’s SG&amp;A expense rate declined for both the quarter and year-to-date periods reflecting decreased publicity and incentive compensation expenses. Additionally, corporate expense significantly declined during the third quarter and year-to-date periods reflecting primarily reduced incentive compensation expense.</w:t>
      </w:r>
    </w:p>
    <w:p>
      <w:pPr>
        <w:spacing w:after="0" w:line="31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Depreciation and Amortization</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720" w:type="dxa"/>
            <w:vAlign w:val="bottom"/>
            <w:tcBorders>
              <w:bottom w:val="single" w:sz="8" w:color="auto"/>
            </w:tcBorders>
          </w:tcPr>
          <w:p>
            <w:pPr>
              <w:spacing w:after="0"/>
              <w:rPr>
                <w:sz w:val="16"/>
                <w:szCs w:val="16"/>
                <w:color w:val="auto"/>
              </w:rPr>
            </w:pPr>
          </w:p>
        </w:tc>
        <w:tc>
          <w:tcPr>
            <w:tcW w:w="3440" w:type="dxa"/>
            <w:vAlign w:val="bottom"/>
            <w:tcBorders>
              <w:bottom w:val="single" w:sz="8" w:color="auto"/>
            </w:tcBorders>
            <w:gridSpan w:val="4"/>
          </w:tcPr>
          <w:p>
            <w:pPr>
              <w:jc w:val="right"/>
              <w:ind w:right="523"/>
              <w:spacing w:after="0"/>
              <w:rPr>
                <w:sz w:val="20"/>
                <w:szCs w:val="20"/>
                <w:color w:val="auto"/>
              </w:rPr>
            </w:pPr>
            <w:r>
              <w:rPr>
                <w:rFonts w:ascii="Arial" w:cs="Arial" w:eastAsia="Arial" w:hAnsi="Arial"/>
                <w:sz w:val="15"/>
                <w:szCs w:val="15"/>
                <w:b w:val="1"/>
                <w:bCs w:val="1"/>
                <w:color w:val="auto"/>
              </w:rPr>
              <w:t>Thirteen weeks ended</w:t>
            </w: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Thirty-nine weeks ended</w:t>
            </w:r>
          </w:p>
        </w:tc>
      </w:tr>
      <w:tr>
        <w:trPr>
          <w:trHeight w:val="151"/>
        </w:trPr>
        <w:tc>
          <w:tcPr>
            <w:tcW w:w="2720" w:type="dxa"/>
            <w:vAlign w:val="bottom"/>
          </w:tcPr>
          <w:p>
            <w:pPr>
              <w:spacing w:after="0"/>
              <w:rPr>
                <w:sz w:val="13"/>
                <w:szCs w:val="13"/>
                <w:color w:val="auto"/>
              </w:rPr>
            </w:pPr>
          </w:p>
        </w:tc>
        <w:tc>
          <w:tcPr>
            <w:tcW w:w="2100" w:type="dxa"/>
            <w:vAlign w:val="bottom"/>
            <w:gridSpan w:val="2"/>
          </w:tcPr>
          <w:p>
            <w:pPr>
              <w:jc w:val="right"/>
              <w:ind w:right="303"/>
              <w:spacing w:after="0" w:line="151" w:lineRule="exact"/>
              <w:rPr>
                <w:sz w:val="20"/>
                <w:szCs w:val="20"/>
                <w:color w:val="auto"/>
              </w:rPr>
            </w:pPr>
            <w:r>
              <w:rPr>
                <w:rFonts w:ascii="Arial" w:cs="Arial" w:eastAsia="Arial" w:hAnsi="Arial"/>
                <w:sz w:val="15"/>
                <w:szCs w:val="15"/>
                <w:b w:val="1"/>
                <w:bCs w:val="1"/>
                <w:color w:val="auto"/>
              </w:rPr>
              <w:t>October 28,</w:t>
            </w:r>
          </w:p>
        </w:tc>
        <w:tc>
          <w:tcPr>
            <w:tcW w:w="180" w:type="dxa"/>
            <w:vAlign w:val="bottom"/>
          </w:tcPr>
          <w:p>
            <w:pPr>
              <w:spacing w:after="0"/>
              <w:rPr>
                <w:sz w:val="13"/>
                <w:szCs w:val="13"/>
                <w:color w:val="auto"/>
              </w:rPr>
            </w:pPr>
          </w:p>
        </w:tc>
        <w:tc>
          <w:tcPr>
            <w:tcW w:w="1160" w:type="dxa"/>
            <w:vAlign w:val="bottom"/>
          </w:tcPr>
          <w:p>
            <w:pPr>
              <w:jc w:val="center"/>
              <w:ind w:right="143"/>
              <w:spacing w:after="0" w:line="151" w:lineRule="exact"/>
              <w:rPr>
                <w:sz w:val="20"/>
                <w:szCs w:val="20"/>
                <w:color w:val="auto"/>
              </w:rPr>
            </w:pPr>
            <w:r>
              <w:rPr>
                <w:rFonts w:ascii="Arial" w:cs="Arial" w:eastAsia="Arial" w:hAnsi="Arial"/>
                <w:sz w:val="15"/>
                <w:szCs w:val="15"/>
                <w:b w:val="1"/>
                <w:bCs w:val="1"/>
                <w:color w:val="auto"/>
              </w:rPr>
              <w:t>October 29,</w:t>
            </w:r>
          </w:p>
        </w:tc>
        <w:tc>
          <w:tcPr>
            <w:tcW w:w="260" w:type="dxa"/>
            <w:vAlign w:val="bottom"/>
          </w:tcPr>
          <w:p>
            <w:pPr>
              <w:spacing w:after="0"/>
              <w:rPr>
                <w:sz w:val="13"/>
                <w:szCs w:val="13"/>
                <w:color w:val="auto"/>
              </w:rPr>
            </w:pPr>
          </w:p>
        </w:tc>
        <w:tc>
          <w:tcPr>
            <w:tcW w:w="1240" w:type="dxa"/>
            <w:vAlign w:val="bottom"/>
          </w:tcPr>
          <w:p>
            <w:pPr>
              <w:jc w:val="right"/>
              <w:ind w:right="263"/>
              <w:spacing w:after="0" w:line="151" w:lineRule="exact"/>
              <w:rPr>
                <w:sz w:val="20"/>
                <w:szCs w:val="20"/>
                <w:color w:val="auto"/>
              </w:rPr>
            </w:pPr>
            <w:r>
              <w:rPr>
                <w:rFonts w:ascii="Arial" w:cs="Arial" w:eastAsia="Arial" w:hAnsi="Arial"/>
                <w:sz w:val="15"/>
                <w:szCs w:val="15"/>
                <w:b w:val="1"/>
                <w:bCs w:val="1"/>
                <w:color w:val="auto"/>
              </w:rPr>
              <w:t>October 28,</w:t>
            </w:r>
          </w:p>
        </w:tc>
        <w:tc>
          <w:tcPr>
            <w:tcW w:w="180" w:type="dxa"/>
            <w:vAlign w:val="bottom"/>
          </w:tcPr>
          <w:p>
            <w:pPr>
              <w:spacing w:after="0"/>
              <w:rPr>
                <w:sz w:val="13"/>
                <w:szCs w:val="13"/>
                <w:color w:val="auto"/>
              </w:rPr>
            </w:pPr>
          </w:p>
        </w:tc>
        <w:tc>
          <w:tcPr>
            <w:tcW w:w="1260" w:type="dxa"/>
            <w:vAlign w:val="bottom"/>
          </w:tcPr>
          <w:p>
            <w:pPr>
              <w:jc w:val="center"/>
              <w:ind w:right="243"/>
              <w:spacing w:after="0" w:line="151" w:lineRule="exact"/>
              <w:rPr>
                <w:sz w:val="20"/>
                <w:szCs w:val="20"/>
                <w:color w:val="auto"/>
              </w:rPr>
            </w:pPr>
            <w:r>
              <w:rPr>
                <w:rFonts w:ascii="Arial" w:cs="Arial" w:eastAsia="Arial" w:hAnsi="Arial"/>
                <w:sz w:val="15"/>
                <w:szCs w:val="15"/>
                <w:b w:val="1"/>
                <w:bCs w:val="1"/>
                <w:color w:val="auto"/>
              </w:rPr>
              <w:t>October 29,</w:t>
            </w:r>
          </w:p>
        </w:tc>
      </w:tr>
      <w:tr>
        <w:trPr>
          <w:trHeight w:val="194"/>
        </w:trPr>
        <w:tc>
          <w:tcPr>
            <w:tcW w:w="27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5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2016</w:t>
            </w:r>
          </w:p>
        </w:tc>
      </w:tr>
      <w:tr>
        <w:trPr>
          <w:trHeight w:val="187"/>
        </w:trPr>
        <w:tc>
          <w:tcPr>
            <w:tcW w:w="27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60" w:type="dxa"/>
            <w:vAlign w:val="bottom"/>
            <w:gridSpan w:val="3"/>
          </w:tcPr>
          <w:p>
            <w:pPr>
              <w:jc w:val="right"/>
              <w:ind w:right="963"/>
              <w:spacing w:after="0"/>
              <w:rPr>
                <w:sz w:val="20"/>
                <w:szCs w:val="20"/>
                <w:color w:val="auto"/>
              </w:rPr>
            </w:pPr>
            <w:r>
              <w:rPr>
                <w:rFonts w:ascii="Arial" w:cs="Arial" w:eastAsia="Arial" w:hAnsi="Arial"/>
                <w:sz w:val="15"/>
                <w:szCs w:val="15"/>
                <w:color w:val="auto"/>
              </w:rPr>
              <w:t>($ in millions)</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7"/>
        </w:trPr>
        <w:tc>
          <w:tcPr>
            <w:tcW w:w="2720" w:type="dxa"/>
            <w:vAlign w:val="bottom"/>
            <w:shd w:val="clear" w:color="auto" w:fill="CCEEFF"/>
          </w:tcPr>
          <w:p>
            <w:pPr>
              <w:spacing w:after="0"/>
              <w:rPr>
                <w:sz w:val="20"/>
                <w:szCs w:val="20"/>
                <w:color w:val="auto"/>
              </w:rPr>
            </w:pPr>
            <w:r>
              <w:rPr>
                <w:rFonts w:ascii="Arial" w:cs="Arial" w:eastAsia="Arial" w:hAnsi="Arial"/>
                <w:sz w:val="15"/>
                <w:szCs w:val="15"/>
                <w:color w:val="auto"/>
              </w:rPr>
              <w:t>Depreciation and amortization</w:t>
            </w:r>
          </w:p>
        </w:tc>
        <w:tc>
          <w:tcPr>
            <w:tcW w:w="1540" w:type="dxa"/>
            <w:vAlign w:val="bottom"/>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44</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40</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shd w:val="clear" w:color="auto" w:fill="CCEEFF"/>
          </w:tcPr>
          <w:p>
            <w:pPr>
              <w:jc w:val="right"/>
              <w:ind w:right="123"/>
              <w:spacing w:after="0"/>
              <w:rPr>
                <w:sz w:val="20"/>
                <w:szCs w:val="20"/>
                <w:color w:val="auto"/>
              </w:rPr>
            </w:pPr>
            <w:r>
              <w:rPr>
                <w:rFonts w:ascii="Arial" w:cs="Arial" w:eastAsia="Arial" w:hAnsi="Arial"/>
                <w:sz w:val="15"/>
                <w:szCs w:val="15"/>
                <w:b w:val="1"/>
                <w:bCs w:val="1"/>
                <w:color w:val="auto"/>
              </w:rPr>
              <w:t>127</w:t>
            </w:r>
          </w:p>
        </w:tc>
        <w:tc>
          <w:tcPr>
            <w:tcW w:w="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6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118</w:t>
            </w:r>
          </w:p>
        </w:tc>
      </w:tr>
      <w:tr>
        <w:trPr>
          <w:trHeight w:val="207"/>
        </w:trPr>
        <w:tc>
          <w:tcPr>
            <w:tcW w:w="2720" w:type="dxa"/>
            <w:vAlign w:val="bottom"/>
          </w:tcPr>
          <w:p>
            <w:pPr>
              <w:spacing w:after="0"/>
              <w:rPr>
                <w:sz w:val="20"/>
                <w:szCs w:val="20"/>
                <w:color w:val="auto"/>
              </w:rPr>
            </w:pPr>
            <w:r>
              <w:rPr>
                <w:rFonts w:ascii="Arial" w:cs="Arial" w:eastAsia="Arial" w:hAnsi="Arial"/>
                <w:sz w:val="15"/>
                <w:szCs w:val="15"/>
                <w:color w:val="auto"/>
              </w:rPr>
              <w:t>$ Change</w:t>
            </w:r>
          </w:p>
        </w:tc>
        <w:tc>
          <w:tcPr>
            <w:tcW w:w="1540" w:type="dxa"/>
            <w:vAlign w:val="bottom"/>
          </w:tcPr>
          <w:p>
            <w:pPr>
              <w:jc w:val="right"/>
              <w:ind w:right="703"/>
              <w:spacing w:after="0"/>
              <w:rPr>
                <w:sz w:val="20"/>
                <w:szCs w:val="20"/>
                <w:color w:val="auto"/>
              </w:rPr>
            </w:pPr>
            <w:r>
              <w:rPr>
                <w:rFonts w:ascii="Arial" w:cs="Arial" w:eastAsia="Arial" w:hAnsi="Arial"/>
                <w:sz w:val="15"/>
                <w:szCs w:val="15"/>
                <w:b w:val="1"/>
                <w:bCs w:val="1"/>
                <w:color w:val="auto"/>
              </w:rPr>
              <w:t>$</w:t>
            </w:r>
          </w:p>
        </w:tc>
        <w:tc>
          <w:tcPr>
            <w:tcW w:w="560" w:type="dxa"/>
            <w:vAlign w:val="bottom"/>
          </w:tcPr>
          <w:p>
            <w:pPr>
              <w:jc w:val="right"/>
              <w:ind w:right="143"/>
              <w:spacing w:after="0"/>
              <w:rPr>
                <w:sz w:val="20"/>
                <w:szCs w:val="20"/>
                <w:color w:val="auto"/>
              </w:rPr>
            </w:pPr>
            <w:r>
              <w:rPr>
                <w:rFonts w:ascii="Arial" w:cs="Arial" w:eastAsia="Arial" w:hAnsi="Arial"/>
                <w:sz w:val="15"/>
                <w:szCs w:val="15"/>
                <w:b w:val="1"/>
                <w:bCs w:val="1"/>
                <w:color w:val="auto"/>
              </w:rPr>
              <w:t>4</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40" w:type="dxa"/>
            <w:vAlign w:val="bottom"/>
          </w:tcPr>
          <w:p>
            <w:pPr>
              <w:jc w:val="right"/>
              <w:ind w:right="123"/>
              <w:spacing w:after="0"/>
              <w:rPr>
                <w:sz w:val="20"/>
                <w:szCs w:val="20"/>
                <w:color w:val="auto"/>
              </w:rPr>
            </w:pPr>
            <w:r>
              <w:rPr>
                <w:rFonts w:ascii="Arial" w:cs="Arial" w:eastAsia="Arial" w:hAnsi="Arial"/>
                <w:sz w:val="15"/>
                <w:szCs w:val="15"/>
                <w:b w:val="1"/>
                <w:bCs w:val="1"/>
                <w:color w:val="auto"/>
              </w:rPr>
              <w:t>9</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7"/>
        </w:trPr>
        <w:tc>
          <w:tcPr>
            <w:tcW w:w="27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Change</w:t>
            </w:r>
          </w:p>
        </w:tc>
        <w:tc>
          <w:tcPr>
            <w:tcW w:w="154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10.0 %</w:t>
            </w:r>
          </w:p>
        </w:tc>
        <w:tc>
          <w:tcPr>
            <w:tcW w:w="1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7.6 %</w:t>
            </w:r>
          </w:p>
        </w:tc>
        <w:tc>
          <w:tcPr>
            <w:tcW w:w="180" w:type="dxa"/>
            <w:vAlign w:val="bottom"/>
            <w:tcBorders>
              <w:bottom w:val="single" w:sz="8" w:color="auto"/>
            </w:tcBorders>
            <w:shd w:val="clear" w:color="auto" w:fill="CCEEFF"/>
          </w:tcPr>
          <w:p>
            <w:pPr>
              <w:spacing w:after="0"/>
              <w:rPr>
                <w:sz w:val="17"/>
                <w:szCs w:val="17"/>
                <w:color w:val="auto"/>
              </w:rPr>
            </w:pPr>
          </w:p>
        </w:tc>
        <w:tc>
          <w:tcPr>
            <w:tcW w:w="1260" w:type="dxa"/>
            <w:vAlign w:val="bottom"/>
            <w:tcBorders>
              <w:bottom w:val="single" w:sz="8" w:color="auto"/>
            </w:tcBorders>
            <w:shd w:val="clear" w:color="auto" w:fill="CCEEFF"/>
          </w:tcPr>
          <w:p>
            <w:pPr>
              <w:spacing w:after="0"/>
              <w:rPr>
                <w:sz w:val="17"/>
                <w:szCs w:val="17"/>
                <w:color w:val="auto"/>
              </w:rPr>
            </w:pPr>
          </w:p>
        </w:tc>
      </w:tr>
    </w:tbl>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Depreciation and amortization increased by $4 million and $9 million for the thirteen and thirty-nine weeks ended October 28, 2017, respectively, as compared with the corresponding prior-year periods. The increase in depreciation and amortization reflected ongoing capital spending on store projects, enhancing our digital capabilities, and various other technologies and infrastructure.</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Interest Expense, Net</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820" w:type="dxa"/>
            <w:vAlign w:val="bottom"/>
          </w:tcPr>
          <w:p>
            <w:pPr>
              <w:spacing w:after="0"/>
              <w:rPr>
                <w:sz w:val="16"/>
                <w:szCs w:val="16"/>
                <w:color w:val="auto"/>
              </w:rPr>
            </w:pPr>
          </w:p>
        </w:tc>
        <w:tc>
          <w:tcPr>
            <w:tcW w:w="3200" w:type="dxa"/>
            <w:vAlign w:val="bottom"/>
            <w:gridSpan w:val="3"/>
          </w:tcPr>
          <w:p>
            <w:pPr>
              <w:jc w:val="right"/>
              <w:ind w:right="283"/>
              <w:spacing w:after="0"/>
              <w:rPr>
                <w:sz w:val="20"/>
                <w:szCs w:val="20"/>
                <w:color w:val="auto"/>
              </w:rPr>
            </w:pPr>
            <w:r>
              <w:rPr>
                <w:rFonts w:ascii="Arial" w:cs="Arial" w:eastAsia="Arial" w:hAnsi="Arial"/>
                <w:sz w:val="15"/>
                <w:szCs w:val="15"/>
                <w:b w:val="1"/>
                <w:bCs w:val="1"/>
                <w:color w:val="auto"/>
              </w:rPr>
              <w:t>Thirteen weeks ended</w:t>
            </w:r>
          </w:p>
        </w:tc>
        <w:tc>
          <w:tcPr>
            <w:tcW w:w="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60" w:type="dxa"/>
            <w:vAlign w:val="bottom"/>
            <w:gridSpan w:val="4"/>
          </w:tcPr>
          <w:p>
            <w:pPr>
              <w:ind w:left="300"/>
              <w:spacing w:after="0"/>
              <w:rPr>
                <w:sz w:val="20"/>
                <w:szCs w:val="20"/>
                <w:color w:val="auto"/>
              </w:rPr>
            </w:pPr>
            <w:r>
              <w:rPr>
                <w:rFonts w:ascii="Arial" w:cs="Arial" w:eastAsia="Arial" w:hAnsi="Arial"/>
                <w:sz w:val="15"/>
                <w:szCs w:val="15"/>
                <w:b w:val="1"/>
                <w:bCs w:val="1"/>
                <w:color w:val="auto"/>
              </w:rPr>
              <w:t>Thirty-nine weeks ended</w:t>
            </w:r>
          </w:p>
        </w:tc>
      </w:tr>
      <w:tr>
        <w:trPr>
          <w:trHeight w:val="151"/>
        </w:trPr>
        <w:tc>
          <w:tcPr>
            <w:tcW w:w="2820" w:type="dxa"/>
            <w:vAlign w:val="bottom"/>
            <w:tcBorders>
              <w:top w:val="single" w:sz="8" w:color="auto"/>
            </w:tcBorders>
          </w:tcPr>
          <w:p>
            <w:pPr>
              <w:spacing w:after="0"/>
              <w:rPr>
                <w:sz w:val="13"/>
                <w:szCs w:val="13"/>
                <w:color w:val="auto"/>
              </w:rPr>
            </w:pPr>
          </w:p>
        </w:tc>
        <w:tc>
          <w:tcPr>
            <w:tcW w:w="172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October 28,</w:t>
            </w:r>
          </w:p>
        </w:tc>
        <w:tc>
          <w:tcPr>
            <w:tcW w:w="30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spacing w:after="0" w:line="151" w:lineRule="exact"/>
              <w:rPr>
                <w:sz w:val="20"/>
                <w:szCs w:val="20"/>
                <w:color w:val="auto"/>
              </w:rPr>
            </w:pPr>
            <w:r>
              <w:rPr>
                <w:rFonts w:ascii="Arial" w:cs="Arial" w:eastAsia="Arial" w:hAnsi="Arial"/>
                <w:sz w:val="15"/>
                <w:szCs w:val="15"/>
                <w:b w:val="1"/>
                <w:bCs w:val="1"/>
                <w:color w:val="auto"/>
              </w:rPr>
              <w:t>October 29,</w:t>
            </w:r>
          </w:p>
        </w:tc>
        <w:tc>
          <w:tcPr>
            <w:tcW w:w="3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223"/>
              <w:spacing w:after="0" w:line="151" w:lineRule="exact"/>
              <w:rPr>
                <w:sz w:val="20"/>
                <w:szCs w:val="20"/>
                <w:color w:val="auto"/>
              </w:rPr>
            </w:pPr>
            <w:r>
              <w:rPr>
                <w:rFonts w:ascii="Arial" w:cs="Arial" w:eastAsia="Arial" w:hAnsi="Arial"/>
                <w:sz w:val="15"/>
                <w:szCs w:val="15"/>
                <w:b w:val="1"/>
                <w:bCs w:val="1"/>
                <w:color w:val="auto"/>
              </w:rPr>
              <w:t>October 28,</w:t>
            </w: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center"/>
              <w:ind w:right="63"/>
              <w:spacing w:after="0" w:line="151" w:lineRule="exact"/>
              <w:rPr>
                <w:sz w:val="20"/>
                <w:szCs w:val="20"/>
                <w:color w:val="auto"/>
              </w:rPr>
            </w:pPr>
            <w:r>
              <w:rPr>
                <w:rFonts w:ascii="Arial" w:cs="Arial" w:eastAsia="Arial" w:hAnsi="Arial"/>
                <w:sz w:val="15"/>
                <w:szCs w:val="15"/>
                <w:b w:val="1"/>
                <w:bCs w:val="1"/>
                <w:color w:val="auto"/>
              </w:rPr>
              <w:t>October 29,</w:t>
            </w:r>
          </w:p>
        </w:tc>
        <w:tc>
          <w:tcPr>
            <w:tcW w:w="20" w:type="dxa"/>
            <w:vAlign w:val="bottom"/>
          </w:tcPr>
          <w:p>
            <w:pPr>
              <w:spacing w:after="0"/>
              <w:rPr>
                <w:sz w:val="13"/>
                <w:szCs w:val="13"/>
                <w:color w:val="auto"/>
              </w:rPr>
            </w:pPr>
          </w:p>
        </w:tc>
      </w:tr>
      <w:tr>
        <w:trPr>
          <w:trHeight w:val="194"/>
        </w:trPr>
        <w:tc>
          <w:tcPr>
            <w:tcW w:w="28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2017</w:t>
            </w: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83"/>
              <w:spacing w:after="0"/>
              <w:rPr>
                <w:sz w:val="20"/>
                <w:szCs w:val="20"/>
                <w:color w:val="auto"/>
              </w:rPr>
            </w:pPr>
            <w:r>
              <w:rPr>
                <w:rFonts w:ascii="Arial" w:cs="Arial" w:eastAsia="Arial" w:hAnsi="Arial"/>
                <w:sz w:val="15"/>
                <w:szCs w:val="15"/>
                <w:b w:val="1"/>
                <w:bCs w:val="1"/>
                <w:color w:val="auto"/>
              </w:rPr>
              <w:t>2016</w:t>
            </w: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r>
      <w:tr>
        <w:trPr>
          <w:trHeight w:val="187"/>
        </w:trPr>
        <w:tc>
          <w:tcPr>
            <w:tcW w:w="282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20" w:type="dxa"/>
            <w:vAlign w:val="bottom"/>
            <w:gridSpan w:val="4"/>
          </w:tcPr>
          <w:p>
            <w:pPr>
              <w:jc w:val="right"/>
              <w:ind w:right="943"/>
              <w:spacing w:after="0"/>
              <w:rPr>
                <w:sz w:val="20"/>
                <w:szCs w:val="20"/>
                <w:color w:val="auto"/>
              </w:rPr>
            </w:pPr>
            <w:r>
              <w:rPr>
                <w:rFonts w:ascii="Arial" w:cs="Arial" w:eastAsia="Arial" w:hAnsi="Arial"/>
                <w:sz w:val="15"/>
                <w:szCs w:val="15"/>
                <w:color w:val="auto"/>
              </w:rPr>
              <w:t>($ in millions)</w:t>
            </w:r>
          </w:p>
        </w:tc>
        <w:tc>
          <w:tcPr>
            <w:tcW w:w="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2820" w:type="dxa"/>
            <w:vAlign w:val="bottom"/>
            <w:shd w:val="clear" w:color="auto" w:fill="CCEEFF"/>
          </w:tcPr>
          <w:p>
            <w:pPr>
              <w:spacing w:after="0"/>
              <w:rPr>
                <w:sz w:val="20"/>
                <w:szCs w:val="20"/>
                <w:color w:val="auto"/>
              </w:rPr>
            </w:pPr>
            <w:r>
              <w:rPr>
                <w:rFonts w:ascii="Arial" w:cs="Arial" w:eastAsia="Arial" w:hAnsi="Arial"/>
                <w:sz w:val="15"/>
                <w:szCs w:val="15"/>
                <w:color w:val="auto"/>
              </w:rPr>
              <w:t>Interest expense</w:t>
            </w:r>
          </w:p>
        </w:tc>
        <w:tc>
          <w:tcPr>
            <w:tcW w:w="1720" w:type="dxa"/>
            <w:vAlign w:val="bottom"/>
            <w:shd w:val="clear" w:color="auto" w:fill="CCEEFF"/>
          </w:tcPr>
          <w:p>
            <w:pPr>
              <w:jc w:val="right"/>
              <w:ind w:right="903"/>
              <w:spacing w:after="0"/>
              <w:rPr>
                <w:sz w:val="20"/>
                <w:szCs w:val="20"/>
                <w:color w:val="auto"/>
              </w:rPr>
            </w:pPr>
            <w:r>
              <w:rPr>
                <w:rFonts w:ascii="Arial" w:cs="Arial" w:eastAsia="Arial" w:hAnsi="Arial"/>
                <w:sz w:val="15"/>
                <w:szCs w:val="15"/>
                <w:b w:val="1"/>
                <w:bCs w:val="1"/>
                <w:color w:val="auto"/>
              </w:rPr>
              <w:t>$</w:t>
            </w:r>
          </w:p>
        </w:tc>
        <w:tc>
          <w:tcPr>
            <w:tcW w:w="3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3</w:t>
            </w:r>
          </w:p>
        </w:tc>
        <w:tc>
          <w:tcPr>
            <w:tcW w:w="1180" w:type="dxa"/>
            <w:vAlign w:val="bottom"/>
            <w:shd w:val="clear" w:color="auto" w:fill="CCEEFF"/>
          </w:tcPr>
          <w:p>
            <w:pPr>
              <w:jc w:val="right"/>
              <w:ind w:right="923"/>
              <w:spacing w:after="0"/>
              <w:rPr>
                <w:sz w:val="20"/>
                <w:szCs w:val="20"/>
                <w:color w:val="auto"/>
              </w:rPr>
            </w:pPr>
            <w:r>
              <w:rPr>
                <w:rFonts w:ascii="Arial" w:cs="Arial" w:eastAsia="Arial" w:hAnsi="Arial"/>
                <w:sz w:val="15"/>
                <w:szCs w:val="15"/>
                <w:color w:val="auto"/>
              </w:rPr>
              <w:t>$</w:t>
            </w:r>
          </w:p>
        </w:tc>
        <w:tc>
          <w:tcPr>
            <w:tcW w:w="3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center"/>
              <w:ind w:left="863"/>
              <w:spacing w:after="0"/>
              <w:rPr>
                <w:sz w:val="20"/>
                <w:szCs w:val="20"/>
                <w:color w:val="auto"/>
              </w:rPr>
            </w:pPr>
            <w:r>
              <w:rPr>
                <w:rFonts w:ascii="Arial" w:cs="Arial" w:eastAsia="Arial" w:hAnsi="Arial"/>
                <w:sz w:val="15"/>
                <w:szCs w:val="15"/>
                <w:color w:val="auto"/>
                <w:w w:val="95"/>
              </w:rPr>
              <w:t>9</w:t>
            </w:r>
          </w:p>
        </w:tc>
        <w:tc>
          <w:tcPr>
            <w:tcW w:w="20" w:type="dxa"/>
            <w:vAlign w:val="bottom"/>
          </w:tcPr>
          <w:p>
            <w:pPr>
              <w:spacing w:after="0"/>
              <w:rPr>
                <w:sz w:val="17"/>
                <w:szCs w:val="17"/>
                <w:color w:val="auto"/>
              </w:rPr>
            </w:pPr>
          </w:p>
        </w:tc>
      </w:tr>
      <w:tr>
        <w:trPr>
          <w:trHeight w:val="207"/>
        </w:trPr>
        <w:tc>
          <w:tcPr>
            <w:tcW w:w="2820" w:type="dxa"/>
            <w:vAlign w:val="bottom"/>
          </w:tcPr>
          <w:p>
            <w:pPr>
              <w:spacing w:after="0"/>
              <w:rPr>
                <w:sz w:val="20"/>
                <w:szCs w:val="20"/>
                <w:color w:val="auto"/>
              </w:rPr>
            </w:pPr>
            <w:r>
              <w:rPr>
                <w:rFonts w:ascii="Arial" w:cs="Arial" w:eastAsia="Arial" w:hAnsi="Arial"/>
                <w:sz w:val="15"/>
                <w:szCs w:val="15"/>
                <w:color w:val="auto"/>
              </w:rPr>
              <w:t>Interest income</w:t>
            </w:r>
          </w:p>
        </w:tc>
        <w:tc>
          <w:tcPr>
            <w:tcW w:w="1720" w:type="dxa"/>
            <w:vAlign w:val="bottom"/>
          </w:tcPr>
          <w:p>
            <w:pPr>
              <w:spacing w:after="0"/>
              <w:rPr>
                <w:sz w:val="17"/>
                <w:szCs w:val="17"/>
                <w:color w:val="auto"/>
              </w:rPr>
            </w:pPr>
          </w:p>
        </w:tc>
        <w:tc>
          <w:tcPr>
            <w:tcW w:w="300" w:type="dxa"/>
            <w:vAlign w:val="bottom"/>
          </w:tcPr>
          <w:p>
            <w:pPr>
              <w:jc w:val="right"/>
              <w:ind w:right="23"/>
              <w:spacing w:after="0"/>
              <w:rPr>
                <w:sz w:val="20"/>
                <w:szCs w:val="20"/>
                <w:color w:val="auto"/>
              </w:rPr>
            </w:pPr>
            <w:r>
              <w:rPr>
                <w:rFonts w:ascii="Arial" w:cs="Arial" w:eastAsia="Arial" w:hAnsi="Arial"/>
                <w:sz w:val="15"/>
                <w:szCs w:val="15"/>
                <w:b w:val="1"/>
                <w:bCs w:val="1"/>
                <w:color w:val="auto"/>
                <w:w w:val="97"/>
              </w:rPr>
              <w:t>(3)</w:t>
            </w:r>
          </w:p>
        </w:tc>
        <w:tc>
          <w:tcPr>
            <w:tcW w:w="1180" w:type="dxa"/>
            <w:vAlign w:val="bottom"/>
          </w:tcPr>
          <w:p>
            <w:pPr>
              <w:spacing w:after="0"/>
              <w:rPr>
                <w:sz w:val="17"/>
                <w:szCs w:val="17"/>
                <w:color w:val="auto"/>
              </w:rPr>
            </w:pPr>
          </w:p>
        </w:tc>
        <w:tc>
          <w:tcPr>
            <w:tcW w:w="300" w:type="dxa"/>
            <w:vAlign w:val="bottom"/>
          </w:tcPr>
          <w:p>
            <w:pPr>
              <w:jc w:val="center"/>
              <w:ind w:right="3"/>
              <w:spacing w:after="0"/>
              <w:rPr>
                <w:sz w:val="20"/>
                <w:szCs w:val="20"/>
                <w:color w:val="auto"/>
              </w:rPr>
            </w:pPr>
            <w:r>
              <w:rPr>
                <w:rFonts w:ascii="Arial" w:cs="Arial" w:eastAsia="Arial" w:hAnsi="Arial"/>
                <w:sz w:val="15"/>
                <w:szCs w:val="15"/>
                <w:color w:val="auto"/>
                <w:w w:val="97"/>
              </w:rPr>
              <w:t>(2)</w:t>
            </w:r>
          </w:p>
        </w:tc>
        <w:tc>
          <w:tcPr>
            <w:tcW w:w="240" w:type="dxa"/>
            <w:vAlign w:val="bottom"/>
          </w:tcPr>
          <w:p>
            <w:pPr>
              <w:spacing w:after="0"/>
              <w:rPr>
                <w:sz w:val="17"/>
                <w:szCs w:val="17"/>
                <w:color w:val="auto"/>
              </w:rPr>
            </w:pPr>
          </w:p>
        </w:tc>
        <w:tc>
          <w:tcPr>
            <w:tcW w:w="1200" w:type="dxa"/>
            <w:vAlign w:val="bottom"/>
          </w:tcPr>
          <w:p>
            <w:pPr>
              <w:jc w:val="right"/>
              <w:ind w:right="23"/>
              <w:spacing w:after="0"/>
              <w:rPr>
                <w:sz w:val="20"/>
                <w:szCs w:val="20"/>
                <w:color w:val="auto"/>
              </w:rPr>
            </w:pPr>
            <w:r>
              <w:rPr>
                <w:rFonts w:ascii="Arial" w:cs="Arial" w:eastAsia="Arial" w:hAnsi="Arial"/>
                <w:sz w:val="15"/>
                <w:szCs w:val="15"/>
                <w:b w:val="1"/>
                <w:bCs w:val="1"/>
                <w:color w:val="auto"/>
              </w:rPr>
              <w:t>(10)</w:t>
            </w:r>
          </w:p>
        </w:tc>
        <w:tc>
          <w:tcPr>
            <w:tcW w:w="240" w:type="dxa"/>
            <w:vAlign w:val="bottom"/>
          </w:tcPr>
          <w:p>
            <w:pPr>
              <w:spacing w:after="0"/>
              <w:rPr>
                <w:sz w:val="17"/>
                <w:szCs w:val="17"/>
                <w:color w:val="auto"/>
              </w:rPr>
            </w:pPr>
          </w:p>
        </w:tc>
        <w:tc>
          <w:tcPr>
            <w:tcW w:w="1120" w:type="dxa"/>
            <w:vAlign w:val="bottom"/>
            <w:gridSpan w:val="2"/>
          </w:tcPr>
          <w:p>
            <w:pPr>
              <w:jc w:val="center"/>
              <w:ind w:left="823"/>
              <w:spacing w:after="0"/>
              <w:rPr>
                <w:sz w:val="20"/>
                <w:szCs w:val="20"/>
                <w:color w:val="auto"/>
              </w:rPr>
            </w:pPr>
            <w:r>
              <w:rPr>
                <w:rFonts w:ascii="Arial" w:cs="Arial" w:eastAsia="Arial" w:hAnsi="Arial"/>
                <w:sz w:val="15"/>
                <w:szCs w:val="15"/>
                <w:color w:val="auto"/>
                <w:w w:val="97"/>
              </w:rPr>
              <w:t>(7)</w:t>
            </w:r>
          </w:p>
        </w:tc>
      </w:tr>
      <w:tr>
        <w:trPr>
          <w:trHeight w:val="179"/>
        </w:trPr>
        <w:tc>
          <w:tcPr>
            <w:tcW w:w="28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Interest (income) / expense, net</w:t>
            </w:r>
          </w:p>
        </w:tc>
        <w:tc>
          <w:tcPr>
            <w:tcW w:w="1720" w:type="dxa"/>
            <w:vAlign w:val="bottom"/>
            <w:tcBorders>
              <w:top w:val="single" w:sz="8" w:color="auto"/>
              <w:bottom w:val="single" w:sz="8" w:color="auto"/>
            </w:tcBorders>
            <w:shd w:val="clear" w:color="auto" w:fill="CCEEFF"/>
          </w:tcPr>
          <w:p>
            <w:pPr>
              <w:jc w:val="right"/>
              <w:ind w:right="903"/>
              <w:spacing w:after="0"/>
              <w:rPr>
                <w:sz w:val="20"/>
                <w:szCs w:val="20"/>
                <w:color w:val="auto"/>
              </w:rPr>
            </w:pPr>
            <w:r>
              <w:rPr>
                <w:rFonts w:ascii="Arial" w:cs="Arial" w:eastAsia="Arial" w:hAnsi="Arial"/>
                <w:sz w:val="15"/>
                <w:szCs w:val="15"/>
                <w:b w:val="1"/>
                <w:bCs w:val="1"/>
                <w:color w:val="auto"/>
              </w:rPr>
              <w:t>$</w:t>
            </w:r>
          </w:p>
        </w:tc>
        <w:tc>
          <w:tcPr>
            <w:tcW w:w="3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w:t>
            </w:r>
          </w:p>
        </w:tc>
        <w:tc>
          <w:tcPr>
            <w:tcW w:w="1180" w:type="dxa"/>
            <w:vAlign w:val="bottom"/>
            <w:tcBorders>
              <w:top w:val="single" w:sz="8" w:color="auto"/>
              <w:bottom w:val="single" w:sz="8" w:color="auto"/>
            </w:tcBorders>
            <w:shd w:val="clear" w:color="auto" w:fill="CCEEFF"/>
          </w:tcPr>
          <w:p>
            <w:pPr>
              <w:jc w:val="right"/>
              <w:ind w:right="923"/>
              <w:spacing w:after="0"/>
              <w:rPr>
                <w:sz w:val="20"/>
                <w:szCs w:val="20"/>
                <w:color w:val="auto"/>
              </w:rPr>
            </w:pPr>
            <w:r>
              <w:rPr>
                <w:rFonts w:ascii="Arial" w:cs="Arial" w:eastAsia="Arial" w:hAnsi="Arial"/>
                <w:sz w:val="15"/>
                <w:szCs w:val="15"/>
                <w:color w:val="auto"/>
              </w:rPr>
              <w:t>$</w:t>
            </w:r>
          </w:p>
        </w:tc>
        <w:tc>
          <w:tcPr>
            <w:tcW w:w="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1</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tcBorders>
              <w:top w:val="single" w:sz="8" w:color="auto"/>
              <w:bottom w:val="single" w:sz="8" w:color="auto"/>
            </w:tcBorders>
            <w:shd w:val="clear" w:color="auto" w:fill="CCEEFF"/>
          </w:tcPr>
          <w:p>
            <w:pPr>
              <w:jc w:val="right"/>
              <w:ind w:right="23"/>
              <w:spacing w:after="0"/>
              <w:rPr>
                <w:sz w:val="20"/>
                <w:szCs w:val="20"/>
                <w:color w:val="auto"/>
              </w:rPr>
            </w:pPr>
            <w:r>
              <w:rPr>
                <w:rFonts w:ascii="Arial" w:cs="Arial" w:eastAsia="Arial" w:hAnsi="Arial"/>
                <w:sz w:val="15"/>
                <w:szCs w:val="15"/>
                <w:b w:val="1"/>
                <w:bCs w:val="1"/>
                <w:color w:val="auto"/>
              </w:rPr>
              <w:t>(1)</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00" w:type="dxa"/>
            <w:vAlign w:val="bottom"/>
            <w:tcBorders>
              <w:top w:val="single" w:sz="8" w:color="auto"/>
              <w:bottom w:val="single" w:sz="8" w:color="auto"/>
            </w:tcBorders>
            <w:shd w:val="clear" w:color="auto" w:fill="CCEEFF"/>
          </w:tcPr>
          <w:p>
            <w:pPr>
              <w:jc w:val="center"/>
              <w:ind w:left="863"/>
              <w:spacing w:after="0"/>
              <w:rPr>
                <w:sz w:val="20"/>
                <w:szCs w:val="20"/>
                <w:color w:val="auto"/>
              </w:rPr>
            </w:pPr>
            <w:r>
              <w:rPr>
                <w:rFonts w:ascii="Arial" w:cs="Arial" w:eastAsia="Arial" w:hAnsi="Arial"/>
                <w:sz w:val="15"/>
                <w:szCs w:val="15"/>
                <w:color w:val="auto"/>
                <w:w w:val="95"/>
              </w:rPr>
              <w:t>2</w:t>
            </w:r>
          </w:p>
        </w:tc>
        <w:tc>
          <w:tcPr>
            <w:tcW w:w="20" w:type="dxa"/>
            <w:vAlign w:val="bottom"/>
          </w:tcPr>
          <w:p>
            <w:pPr>
              <w:spacing w:after="0"/>
              <w:rPr>
                <w:sz w:val="15"/>
                <w:szCs w:val="15"/>
                <w:color w:val="auto"/>
              </w:rPr>
            </w:pPr>
          </w:p>
        </w:tc>
      </w:tr>
    </w:tbl>
    <w:p>
      <w:pPr>
        <w:spacing w:after="0" w:line="17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Interest income increased by $1 million and $3 million for the thirteen and thirty-nine weeks ended October 28, 2017, respectively, as compared with the corresponding prior-year periods, while interest expense was unchanged. The increase in interest income was due to higher average interest rates earned on our cash investments.</w:t>
      </w:r>
    </w:p>
    <w:p>
      <w:pPr>
        <w:spacing w:after="0" w:line="137"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Income Taxes</w:t>
      </w:r>
    </w:p>
    <w:p>
      <w:pPr>
        <w:spacing w:after="0" w:line="184"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Company recorded income tax provisions of $54 million and $165 million for the thirteen and thirty-nine weeks ended October 28, 2017, respectively, which represented effective tax rates of 34.7 percent and 33.2 percent. For the thirteen and thirty-nine weeks ended October 29, 2016, the Company recorded income tax provisions of $70 million and $248 million, which represented effective tax rates of 30.9 percent and 34.4 percent, respectively.</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2" w:name="page23"/>
    <w:bookmarkEnd w:id="22"/>
    <w:p>
      <w:pPr>
        <w:jc w:val="both"/>
        <w:ind w:right="20"/>
        <w:spacing w:after="0"/>
        <w:rPr>
          <w:sz w:val="20"/>
          <w:szCs w:val="20"/>
          <w:color w:val="auto"/>
        </w:rPr>
      </w:pPr>
      <w:r>
        <w:rPr>
          <w:rFonts w:ascii="Arial" w:cs="Arial" w:eastAsia="Arial" w:hAnsi="Arial"/>
          <w:sz w:val="15"/>
          <w:szCs w:val="15"/>
          <w:color w:val="auto"/>
        </w:rPr>
        <w:t>The Company’s interim provision for income taxes is measured using an annual effective tax rate adjusted for discrete items that occur within the periods presented. The Company regularly assesses the adequacy of its provisions for income tax contingencies in accordance with the applicable authoritative guidance on accounting for income taxes. As a result, the Company may adjust the reserves for unrecognized tax benefits considering new facts and developments, such as changes to interpretations of relevant tax law, assessments from taxing authorities, settlements with taxing authorities, and lapses of statutes of limitation. The changes in the tax reserves were not significant for any of the periods presented.</w:t>
      </w:r>
    </w:p>
    <w:p>
      <w:pPr>
        <w:spacing w:after="0" w:line="157" w:lineRule="exact"/>
        <w:rPr>
          <w:sz w:val="20"/>
          <w:szCs w:val="20"/>
          <w:color w:val="auto"/>
        </w:rPr>
      </w:pPr>
    </w:p>
    <w:p>
      <w:pPr>
        <w:jc w:val="both"/>
        <w:ind w:right="20"/>
        <w:spacing w:after="0"/>
        <w:rPr>
          <w:sz w:val="20"/>
          <w:szCs w:val="20"/>
          <w:color w:val="auto"/>
        </w:rPr>
      </w:pPr>
      <w:r>
        <w:rPr>
          <w:rFonts w:ascii="Arial" w:cs="Arial" w:eastAsia="Arial" w:hAnsi="Arial"/>
          <w:sz w:val="15"/>
          <w:szCs w:val="15"/>
          <w:color w:val="auto"/>
        </w:rPr>
        <w:t>For the thirteen weeks ended October 28, 2017, the Company recorded excess tax benefits of $2 million from stock-based compensation reflecting the change required by ASC 718 as well as a tax benefit of $5 million related to a staff reduction and reorganization charge of $13 million. Additionally, for the thirty-nine weeks ended October 28, 2017, the Company recorded a pension-related litigation charge of $50 million with a related tax benefit of $20 million. The litigation charge and the reorganization costs reduced the overall effective rate because they reduced the proportion of the Company’s worldwide income taxed in jurisdictions where the tax rates are higher.</w:t>
      </w:r>
    </w:p>
    <w:p>
      <w:pPr>
        <w:spacing w:after="0" w:line="330"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For the thirteen and thirty-nine weeks ended October 29, 2016, due to a scheduled reassessment the Company increased the value of the intellectual property provided to its European business by Foot Locker in the U.S. The higher valuation resulted in catch-up deductions that reduced 2016’s tax expense by $10 million.</w:t>
      </w:r>
    </w:p>
    <w:p>
      <w:pPr>
        <w:spacing w:after="0" w:line="153"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Excluding the effects of the excess tax benefits, the litigation charge, the reorganization costs, and the change in the value of the intellectual property, there was no significant change in the effective tax rate for the thirteen and thirty-nine weeks ended October 28, 2017 as compared with the corresponding prior-year periods.</w:t>
      </w:r>
    </w:p>
    <w:p>
      <w:pPr>
        <w:spacing w:after="0" w:line="153"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The Company currently expects its full-year tax rate to approximate 34 percent excluding the effect of any nonrecurring items that may occur and the effects of potential tax reform. The actual tax rate will vary depending on the level of stock option exercise activity and the stock price at exercise. Additionally, the actual tax rate will also vary depending on the level and mix of income earned in the United States, as compared with our international operations.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Net Income</w:t>
      </w:r>
    </w:p>
    <w:p>
      <w:pPr>
        <w:spacing w:after="0" w:line="184"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For the thirteen weeks ended October 28, 2017, net income decreased by $55 million, or 35 percent, and diluted earnings per share decreased by 31 percent to $0.81 per share, as compared with the corresponding prior-year period. For the thirty-nine weeks ended October 28, 2017, net income decreased by $142 million, or 30 percent, and diluted earnings per share decreased by 27 percent to $2.55 per share, as compared with the corresponding prior-year period.</w:t>
      </w:r>
    </w:p>
    <w:p>
      <w:pPr>
        <w:spacing w:after="0" w:line="13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Information</w:t>
      </w:r>
    </w:p>
    <w:p>
      <w:pPr>
        <w:spacing w:after="0" w:line="186" w:lineRule="exact"/>
        <w:rPr>
          <w:sz w:val="20"/>
          <w:szCs w:val="20"/>
          <w:color w:val="auto"/>
        </w:rPr>
      </w:pPr>
    </w:p>
    <w:p>
      <w:pPr>
        <w:jc w:val="both"/>
        <w:ind w:right="20"/>
        <w:spacing w:after="0" w:line="242" w:lineRule="auto"/>
        <w:rPr>
          <w:sz w:val="20"/>
          <w:szCs w:val="20"/>
          <w:color w:val="auto"/>
        </w:rPr>
      </w:pPr>
      <w:r>
        <w:rPr>
          <w:rFonts w:ascii="Arial" w:cs="Arial" w:eastAsia="Arial" w:hAnsi="Arial"/>
          <w:sz w:val="15"/>
          <w:szCs w:val="15"/>
          <w:color w:val="auto"/>
        </w:rPr>
        <w:t>We have two reportable segments, Athletic Stores and Direct-to-Customers, which are based on our method of internal reporting. We evaluate performance based on several factors, the primary financial measure of which is division results. Division profit reflects income before income taxes, pension litigation charge, reorganization charge, corporate expense, non-operating income, and net interest (income) / expense. The following table summarizes results by segment:</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58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Thirteen weeks ended</w:t>
            </w:r>
          </w:p>
        </w:tc>
        <w:tc>
          <w:tcPr>
            <w:tcW w:w="26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5"/>
                <w:szCs w:val="15"/>
                <w:b w:val="1"/>
                <w:bCs w:val="1"/>
                <w:color w:val="auto"/>
              </w:rPr>
              <w:t>Thirty-nine weeks ended</w:t>
            </w:r>
          </w:p>
        </w:tc>
        <w:tc>
          <w:tcPr>
            <w:tcW w:w="20" w:type="dxa"/>
            <w:vAlign w:val="bottom"/>
          </w:tcPr>
          <w:p>
            <w:pPr>
              <w:spacing w:after="0"/>
              <w:rPr>
                <w:sz w:val="16"/>
                <w:szCs w:val="16"/>
                <w:color w:val="auto"/>
              </w:rPr>
            </w:pPr>
          </w:p>
        </w:tc>
      </w:tr>
      <w:tr>
        <w:trPr>
          <w:trHeight w:val="175"/>
        </w:trPr>
        <w:tc>
          <w:tcPr>
            <w:tcW w:w="25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0" w:type="dxa"/>
            <w:vAlign w:val="bottom"/>
          </w:tcPr>
          <w:p>
            <w:pPr>
              <w:jc w:val="right"/>
              <w:ind w:right="223"/>
              <w:spacing w:after="0"/>
              <w:rPr>
                <w:sz w:val="20"/>
                <w:szCs w:val="20"/>
                <w:color w:val="auto"/>
              </w:rPr>
            </w:pPr>
            <w:r>
              <w:rPr>
                <w:rFonts w:ascii="Arial" w:cs="Arial" w:eastAsia="Arial" w:hAnsi="Arial"/>
                <w:sz w:val="15"/>
                <w:szCs w:val="15"/>
                <w:b w:val="1"/>
                <w:bCs w:val="1"/>
                <w:color w:val="auto"/>
              </w:rPr>
              <w:t>October 28,</w:t>
            </w:r>
          </w:p>
        </w:tc>
        <w:tc>
          <w:tcPr>
            <w:tcW w:w="260" w:type="dxa"/>
            <w:vAlign w:val="bottom"/>
          </w:tcPr>
          <w:p>
            <w:pPr>
              <w:spacing w:after="0"/>
              <w:rPr>
                <w:sz w:val="15"/>
                <w:szCs w:val="15"/>
                <w:color w:val="auto"/>
              </w:rPr>
            </w:pPr>
          </w:p>
        </w:tc>
        <w:tc>
          <w:tcPr>
            <w:tcW w:w="1120" w:type="dxa"/>
            <w:vAlign w:val="bottom"/>
          </w:tcPr>
          <w:p>
            <w:pPr>
              <w:jc w:val="right"/>
              <w:ind w:right="183"/>
              <w:spacing w:after="0"/>
              <w:rPr>
                <w:sz w:val="20"/>
                <w:szCs w:val="20"/>
                <w:color w:val="auto"/>
              </w:rPr>
            </w:pPr>
            <w:r>
              <w:rPr>
                <w:rFonts w:ascii="Arial" w:cs="Arial" w:eastAsia="Arial" w:hAnsi="Arial"/>
                <w:sz w:val="15"/>
                <w:szCs w:val="15"/>
                <w:b w:val="1"/>
                <w:bCs w:val="1"/>
                <w:color w:val="auto"/>
              </w:rPr>
              <w:t>October 29,</w:t>
            </w:r>
          </w:p>
        </w:tc>
        <w:tc>
          <w:tcPr>
            <w:tcW w:w="260" w:type="dxa"/>
            <w:vAlign w:val="bottom"/>
          </w:tcPr>
          <w:p>
            <w:pPr>
              <w:spacing w:after="0"/>
              <w:rPr>
                <w:sz w:val="15"/>
                <w:szCs w:val="15"/>
                <w:color w:val="auto"/>
              </w:rPr>
            </w:pPr>
          </w:p>
        </w:tc>
        <w:tc>
          <w:tcPr>
            <w:tcW w:w="1200" w:type="dxa"/>
            <w:vAlign w:val="bottom"/>
          </w:tcPr>
          <w:p>
            <w:pPr>
              <w:jc w:val="right"/>
              <w:ind w:right="223"/>
              <w:spacing w:after="0"/>
              <w:rPr>
                <w:sz w:val="20"/>
                <w:szCs w:val="20"/>
                <w:color w:val="auto"/>
              </w:rPr>
            </w:pPr>
            <w:r>
              <w:rPr>
                <w:rFonts w:ascii="Arial" w:cs="Arial" w:eastAsia="Arial" w:hAnsi="Arial"/>
                <w:sz w:val="15"/>
                <w:szCs w:val="15"/>
                <w:b w:val="1"/>
                <w:bCs w:val="1"/>
                <w:color w:val="auto"/>
              </w:rPr>
              <w:t>October 28,</w:t>
            </w:r>
          </w:p>
        </w:tc>
        <w:tc>
          <w:tcPr>
            <w:tcW w:w="240" w:type="dxa"/>
            <w:vAlign w:val="bottom"/>
          </w:tcPr>
          <w:p>
            <w:pPr>
              <w:spacing w:after="0"/>
              <w:rPr>
                <w:sz w:val="15"/>
                <w:szCs w:val="15"/>
                <w:color w:val="auto"/>
              </w:rPr>
            </w:pPr>
          </w:p>
        </w:tc>
        <w:tc>
          <w:tcPr>
            <w:tcW w:w="1040" w:type="dxa"/>
            <w:vAlign w:val="bottom"/>
          </w:tcPr>
          <w:p>
            <w:pPr>
              <w:jc w:val="right"/>
              <w:ind w:right="103"/>
              <w:spacing w:after="0"/>
              <w:rPr>
                <w:sz w:val="20"/>
                <w:szCs w:val="20"/>
                <w:color w:val="auto"/>
              </w:rPr>
            </w:pPr>
            <w:r>
              <w:rPr>
                <w:rFonts w:ascii="Arial" w:cs="Arial" w:eastAsia="Arial" w:hAnsi="Arial"/>
                <w:sz w:val="15"/>
                <w:szCs w:val="15"/>
                <w:b w:val="1"/>
                <w:bCs w:val="1"/>
                <w:color w:val="auto"/>
              </w:rPr>
              <w:t>October 29,</w:t>
            </w:r>
          </w:p>
        </w:tc>
        <w:tc>
          <w:tcPr>
            <w:tcW w:w="20" w:type="dxa"/>
            <w:vAlign w:val="bottom"/>
          </w:tcPr>
          <w:p>
            <w:pPr>
              <w:spacing w:after="0"/>
              <w:rPr>
                <w:sz w:val="15"/>
                <w:szCs w:val="15"/>
                <w:color w:val="auto"/>
              </w:rPr>
            </w:pPr>
          </w:p>
        </w:tc>
      </w:tr>
      <w:tr>
        <w:trPr>
          <w:trHeight w:val="194"/>
        </w:trPr>
        <w:tc>
          <w:tcPr>
            <w:tcW w:w="25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2017</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43"/>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2017</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r>
      <w:tr>
        <w:trPr>
          <w:trHeight w:val="175"/>
        </w:trPr>
        <w:tc>
          <w:tcPr>
            <w:tcW w:w="2500" w:type="dxa"/>
            <w:vAlign w:val="bottom"/>
          </w:tcPr>
          <w:p>
            <w:pPr>
              <w:spacing w:after="0"/>
              <w:rPr>
                <w:sz w:val="20"/>
                <w:szCs w:val="20"/>
                <w:color w:val="auto"/>
              </w:rPr>
            </w:pPr>
            <w:r>
              <w:rPr>
                <w:rFonts w:ascii="Arial" w:cs="Arial" w:eastAsia="Arial" w:hAnsi="Arial"/>
                <w:sz w:val="15"/>
                <w:szCs w:val="15"/>
                <w:b w:val="1"/>
                <w:bCs w:val="1"/>
                <w:color w:val="auto"/>
              </w:rPr>
              <w:t>Sales</w:t>
            </w:r>
          </w:p>
        </w:tc>
        <w:tc>
          <w:tcPr>
            <w:tcW w:w="12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580" w:type="dxa"/>
            <w:vAlign w:val="bottom"/>
            <w:gridSpan w:val="3"/>
          </w:tcPr>
          <w:p>
            <w:pPr>
              <w:jc w:val="right"/>
              <w:ind w:right="923"/>
              <w:spacing w:after="0"/>
              <w:rPr>
                <w:sz w:val="20"/>
                <w:szCs w:val="20"/>
                <w:color w:val="auto"/>
              </w:rPr>
            </w:pPr>
            <w:r>
              <w:rPr>
                <w:rFonts w:ascii="Arial" w:cs="Arial" w:eastAsia="Arial" w:hAnsi="Arial"/>
                <w:sz w:val="15"/>
                <w:szCs w:val="15"/>
                <w:color w:val="auto"/>
              </w:rPr>
              <w:t>($ in millions)</w:t>
            </w: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95"/>
        </w:trPr>
        <w:tc>
          <w:tcPr>
            <w:tcW w:w="2500" w:type="dxa"/>
            <w:vAlign w:val="bottom"/>
            <w:shd w:val="clear" w:color="auto" w:fill="CCEEFF"/>
          </w:tcPr>
          <w:p>
            <w:pPr>
              <w:spacing w:after="0"/>
              <w:rPr>
                <w:sz w:val="20"/>
                <w:szCs w:val="20"/>
                <w:color w:val="auto"/>
              </w:rPr>
            </w:pPr>
            <w:r>
              <w:rPr>
                <w:rFonts w:ascii="Arial" w:cs="Arial" w:eastAsia="Arial" w:hAnsi="Arial"/>
                <w:sz w:val="15"/>
                <w:szCs w:val="15"/>
                <w:color w:val="auto"/>
              </w:rPr>
              <w:t>Athletic Stores</w:t>
            </w:r>
          </w:p>
        </w:tc>
        <w:tc>
          <w:tcPr>
            <w:tcW w:w="12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1,612</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1,644</w:t>
            </w:r>
          </w:p>
        </w:tc>
        <w:tc>
          <w:tcPr>
            <w:tcW w:w="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0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rPr>
              <w:t>4,819</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4,955</w:t>
            </w:r>
          </w:p>
        </w:tc>
        <w:tc>
          <w:tcPr>
            <w:tcW w:w="20" w:type="dxa"/>
            <w:vAlign w:val="bottom"/>
          </w:tcPr>
          <w:p>
            <w:pPr>
              <w:spacing w:after="0"/>
              <w:rPr>
                <w:sz w:val="16"/>
                <w:szCs w:val="16"/>
                <w:color w:val="auto"/>
              </w:rPr>
            </w:pPr>
          </w:p>
        </w:tc>
      </w:tr>
      <w:tr>
        <w:trPr>
          <w:trHeight w:val="195"/>
        </w:trPr>
        <w:tc>
          <w:tcPr>
            <w:tcW w:w="250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Direct-to-Customers</w:t>
            </w:r>
          </w:p>
        </w:tc>
        <w:tc>
          <w:tcPr>
            <w:tcW w:w="12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258</w:t>
            </w: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3"/>
              <w:spacing w:after="0"/>
              <w:rPr>
                <w:sz w:val="20"/>
                <w:szCs w:val="20"/>
                <w:color w:val="auto"/>
              </w:rPr>
            </w:pPr>
            <w:r>
              <w:rPr>
                <w:rFonts w:ascii="Arial" w:cs="Arial" w:eastAsia="Arial" w:hAnsi="Arial"/>
                <w:sz w:val="15"/>
                <w:szCs w:val="15"/>
                <w:color w:val="auto"/>
              </w:rPr>
              <w:t>242</w:t>
            </w: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b w:val="1"/>
                <w:bCs w:val="1"/>
                <w:color w:val="auto"/>
              </w:rPr>
              <w:t>753</w:t>
            </w: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698</w:t>
            </w:r>
          </w:p>
        </w:tc>
        <w:tc>
          <w:tcPr>
            <w:tcW w:w="20" w:type="dxa"/>
            <w:vAlign w:val="bottom"/>
          </w:tcPr>
          <w:p>
            <w:pPr>
              <w:spacing w:after="0"/>
              <w:rPr>
                <w:sz w:val="16"/>
                <w:szCs w:val="16"/>
                <w:color w:val="auto"/>
              </w:rPr>
            </w:pPr>
          </w:p>
        </w:tc>
      </w:tr>
      <w:tr>
        <w:trPr>
          <w:trHeight w:val="167"/>
        </w:trPr>
        <w:tc>
          <w:tcPr>
            <w:tcW w:w="2500" w:type="dxa"/>
            <w:vAlign w:val="bottom"/>
            <w:tcBorders>
              <w:bottom w:val="single" w:sz="8" w:color="auto"/>
            </w:tcBorders>
            <w:shd w:val="clear" w:color="auto" w:fill="CCEEFF"/>
          </w:tcPr>
          <w:p>
            <w:pPr>
              <w:spacing w:after="0" w:line="163" w:lineRule="exact"/>
              <w:rPr>
                <w:sz w:val="20"/>
                <w:szCs w:val="20"/>
                <w:color w:val="auto"/>
              </w:rPr>
            </w:pPr>
            <w:r>
              <w:rPr>
                <w:rFonts w:ascii="Arial" w:cs="Arial" w:eastAsia="Arial" w:hAnsi="Arial"/>
                <w:sz w:val="15"/>
                <w:szCs w:val="15"/>
                <w:color w:val="auto"/>
              </w:rPr>
              <w:t>Total sales</w:t>
            </w:r>
          </w:p>
        </w:tc>
        <w:tc>
          <w:tcPr>
            <w:tcW w:w="128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shd w:val="clear" w:color="auto" w:fill="CCEEFF"/>
          </w:tcPr>
          <w:p>
            <w:pPr>
              <w:jc w:val="right"/>
              <w:ind w:right="83"/>
              <w:spacing w:after="0" w:line="163" w:lineRule="exact"/>
              <w:rPr>
                <w:sz w:val="20"/>
                <w:szCs w:val="20"/>
                <w:color w:val="auto"/>
              </w:rPr>
            </w:pPr>
            <w:r>
              <w:rPr>
                <w:rFonts w:ascii="Arial" w:cs="Arial" w:eastAsia="Arial" w:hAnsi="Arial"/>
                <w:sz w:val="15"/>
                <w:szCs w:val="15"/>
                <w:b w:val="1"/>
                <w:bCs w:val="1"/>
                <w:color w:val="auto"/>
              </w:rPr>
              <w:t>1,870</w:t>
            </w:r>
          </w:p>
        </w:tc>
        <w:tc>
          <w:tcPr>
            <w:tcW w:w="2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120" w:type="dxa"/>
            <w:vAlign w:val="bottom"/>
            <w:tcBorders>
              <w:bottom w:val="single" w:sz="8" w:color="auto"/>
            </w:tcBorders>
            <w:shd w:val="clear" w:color="auto" w:fill="CCEEFF"/>
          </w:tcPr>
          <w:p>
            <w:pPr>
              <w:jc w:val="right"/>
              <w:ind w:right="23"/>
              <w:spacing w:after="0" w:line="163" w:lineRule="exact"/>
              <w:rPr>
                <w:sz w:val="20"/>
                <w:szCs w:val="20"/>
                <w:color w:val="auto"/>
              </w:rPr>
            </w:pPr>
            <w:r>
              <w:rPr>
                <w:rFonts w:ascii="Arial" w:cs="Arial" w:eastAsia="Arial" w:hAnsi="Arial"/>
                <w:sz w:val="15"/>
                <w:szCs w:val="15"/>
                <w:color w:val="auto"/>
              </w:rPr>
              <w:t>1,886</w:t>
            </w:r>
          </w:p>
        </w:tc>
        <w:tc>
          <w:tcPr>
            <w:tcW w:w="26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1200" w:type="dxa"/>
            <w:vAlign w:val="bottom"/>
            <w:tcBorders>
              <w:bottom w:val="single" w:sz="8" w:color="auto"/>
            </w:tcBorders>
            <w:shd w:val="clear" w:color="auto" w:fill="CCEEFF"/>
          </w:tcPr>
          <w:p>
            <w:pPr>
              <w:jc w:val="right"/>
              <w:ind w:right="63"/>
              <w:spacing w:after="0" w:line="163" w:lineRule="exact"/>
              <w:rPr>
                <w:sz w:val="20"/>
                <w:szCs w:val="20"/>
                <w:color w:val="auto"/>
              </w:rPr>
            </w:pPr>
            <w:r>
              <w:rPr>
                <w:rFonts w:ascii="Arial" w:cs="Arial" w:eastAsia="Arial" w:hAnsi="Arial"/>
                <w:sz w:val="15"/>
                <w:szCs w:val="15"/>
                <w:b w:val="1"/>
                <w:bCs w:val="1"/>
                <w:color w:val="auto"/>
              </w:rPr>
              <w:t>5,572</w:t>
            </w:r>
          </w:p>
        </w:tc>
        <w:tc>
          <w:tcPr>
            <w:tcW w:w="2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shd w:val="clear" w:color="auto" w:fill="CCEEFF"/>
          </w:tcPr>
          <w:p>
            <w:pPr>
              <w:jc w:val="right"/>
              <w:spacing w:after="0" w:line="163" w:lineRule="exact"/>
              <w:rPr>
                <w:sz w:val="20"/>
                <w:szCs w:val="20"/>
                <w:color w:val="auto"/>
              </w:rPr>
            </w:pPr>
            <w:r>
              <w:rPr>
                <w:rFonts w:ascii="Arial" w:cs="Arial" w:eastAsia="Arial" w:hAnsi="Arial"/>
                <w:sz w:val="15"/>
                <w:szCs w:val="15"/>
                <w:color w:val="auto"/>
              </w:rPr>
              <w:t>5,653</w:t>
            </w:r>
          </w:p>
        </w:tc>
        <w:tc>
          <w:tcPr>
            <w:tcW w:w="20" w:type="dxa"/>
            <w:vAlign w:val="bottom"/>
          </w:tcPr>
          <w:p>
            <w:pPr>
              <w:spacing w:after="0"/>
              <w:rPr>
                <w:sz w:val="14"/>
                <w:szCs w:val="14"/>
                <w:color w:val="auto"/>
              </w:rPr>
            </w:pPr>
          </w:p>
        </w:tc>
      </w:tr>
      <w:tr>
        <w:trPr>
          <w:trHeight w:val="545"/>
        </w:trPr>
        <w:tc>
          <w:tcPr>
            <w:tcW w:w="25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0" w:type="dxa"/>
            <w:vAlign w:val="bottom"/>
          </w:tcPr>
          <w:p>
            <w:pPr>
              <w:jc w:val="right"/>
              <w:ind w:right="263"/>
              <w:spacing w:after="0"/>
              <w:rPr>
                <w:sz w:val="20"/>
                <w:szCs w:val="20"/>
                <w:color w:val="auto"/>
              </w:rPr>
            </w:pPr>
            <w:r>
              <w:rPr>
                <w:rFonts w:ascii="Arial" w:cs="Arial" w:eastAsia="Arial" w:hAnsi="Arial"/>
                <w:sz w:val="15"/>
                <w:szCs w:val="15"/>
                <w:color w:val="auto"/>
              </w:rPr>
              <w:t>21</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250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120" w:type="dxa"/>
            <w:vAlign w:val="bottom"/>
            <w:tcBorders>
              <w:bottom w:val="single" w:sz="8" w:color="9A9A9A"/>
            </w:tcBorders>
          </w:tcPr>
          <w:p>
            <w:pPr>
              <w:spacing w:after="0"/>
              <w:rPr>
                <w:sz w:val="7"/>
                <w:szCs w:val="7"/>
                <w:color w:val="auto"/>
              </w:rPr>
            </w:pPr>
          </w:p>
        </w:tc>
        <w:tc>
          <w:tcPr>
            <w:tcW w:w="26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0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2500" w:type="dxa"/>
            <w:vAlign w:val="bottom"/>
            <w:tcBorders>
              <w:bottom w:val="single" w:sz="8" w:color="EEEEEE"/>
            </w:tcBorders>
          </w:tcPr>
          <w:p>
            <w:pPr>
              <w:spacing w:after="0" w:line="20" w:lineRule="exact"/>
              <w:rPr>
                <w:sz w:val="1"/>
                <w:szCs w:val="1"/>
                <w:color w:val="auto"/>
              </w:rPr>
            </w:pPr>
          </w:p>
        </w:tc>
        <w:tc>
          <w:tcPr>
            <w:tcW w:w="128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12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120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04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329" w:right="137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4"/>
        </w:trPr>
        <w:tc>
          <w:tcPr>
            <w:tcW w:w="33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43"/>
              <w:spacing w:after="0"/>
              <w:rPr>
                <w:sz w:val="20"/>
                <w:szCs w:val="20"/>
                <w:color w:val="auto"/>
              </w:rPr>
            </w:pPr>
            <w:r>
              <w:rPr>
                <w:rFonts w:ascii="Arial" w:cs="Arial" w:eastAsia="Arial" w:hAnsi="Arial"/>
                <w:sz w:val="15"/>
                <w:szCs w:val="15"/>
                <w:b w:val="1"/>
                <w:bCs w:val="1"/>
                <w:color w:val="auto"/>
              </w:rPr>
              <w:t>Thirteen weeks ended</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343"/>
              <w:spacing w:after="0"/>
              <w:rPr>
                <w:sz w:val="20"/>
                <w:szCs w:val="20"/>
                <w:color w:val="auto"/>
              </w:rPr>
            </w:pPr>
            <w:r>
              <w:rPr>
                <w:rFonts w:ascii="Arial" w:cs="Arial" w:eastAsia="Arial" w:hAnsi="Arial"/>
                <w:sz w:val="15"/>
                <w:szCs w:val="15"/>
                <w:b w:val="1"/>
                <w:bCs w:val="1"/>
                <w:color w:val="auto"/>
              </w:rPr>
              <w:t>Thirty-nine weeks ended</w:t>
            </w:r>
          </w:p>
        </w:tc>
        <w:tc>
          <w:tcPr>
            <w:tcW w:w="0" w:type="dxa"/>
            <w:vAlign w:val="bottom"/>
          </w:tcPr>
          <w:p>
            <w:pPr>
              <w:spacing w:after="0"/>
              <w:rPr>
                <w:sz w:val="1"/>
                <w:szCs w:val="1"/>
                <w:color w:val="auto"/>
              </w:rPr>
            </w:pPr>
          </w:p>
        </w:tc>
      </w:tr>
      <w:tr>
        <w:trPr>
          <w:trHeight w:val="151"/>
        </w:trPr>
        <w:tc>
          <w:tcPr>
            <w:tcW w:w="3360" w:type="dxa"/>
            <w:vAlign w:val="bottom"/>
          </w:tcPr>
          <w:p>
            <w:pPr>
              <w:spacing w:after="0"/>
              <w:rPr>
                <w:sz w:val="13"/>
                <w:szCs w:val="13"/>
                <w:color w:val="auto"/>
              </w:rPr>
            </w:pPr>
          </w:p>
        </w:tc>
        <w:tc>
          <w:tcPr>
            <w:tcW w:w="1640" w:type="dxa"/>
            <w:vAlign w:val="bottom"/>
            <w:gridSpan w:val="2"/>
          </w:tcPr>
          <w:p>
            <w:pPr>
              <w:jc w:val="right"/>
              <w:ind w:right="243"/>
              <w:spacing w:after="0" w:line="151" w:lineRule="exact"/>
              <w:rPr>
                <w:sz w:val="20"/>
                <w:szCs w:val="20"/>
                <w:color w:val="auto"/>
              </w:rPr>
            </w:pPr>
            <w:r>
              <w:rPr>
                <w:rFonts w:ascii="Arial" w:cs="Arial" w:eastAsia="Arial" w:hAnsi="Arial"/>
                <w:sz w:val="15"/>
                <w:szCs w:val="15"/>
                <w:b w:val="1"/>
                <w:bCs w:val="1"/>
                <w:color w:val="auto"/>
              </w:rPr>
              <w:t>October 28,</w:t>
            </w:r>
          </w:p>
        </w:tc>
        <w:tc>
          <w:tcPr>
            <w:tcW w:w="1380" w:type="dxa"/>
            <w:vAlign w:val="bottom"/>
            <w:gridSpan w:val="2"/>
          </w:tcPr>
          <w:p>
            <w:pPr>
              <w:jc w:val="right"/>
              <w:ind w:right="203"/>
              <w:spacing w:after="0" w:line="151" w:lineRule="exact"/>
              <w:rPr>
                <w:sz w:val="20"/>
                <w:szCs w:val="20"/>
                <w:color w:val="auto"/>
              </w:rPr>
            </w:pPr>
            <w:r>
              <w:rPr>
                <w:rFonts w:ascii="Arial" w:cs="Arial" w:eastAsia="Arial" w:hAnsi="Arial"/>
                <w:sz w:val="15"/>
                <w:szCs w:val="15"/>
                <w:b w:val="1"/>
                <w:bCs w:val="1"/>
                <w:color w:val="auto"/>
              </w:rPr>
              <w:t>October 29,</w:t>
            </w:r>
          </w:p>
        </w:tc>
        <w:tc>
          <w:tcPr>
            <w:tcW w:w="240" w:type="dxa"/>
            <w:vAlign w:val="bottom"/>
          </w:tcPr>
          <w:p>
            <w:pPr>
              <w:spacing w:after="0"/>
              <w:rPr>
                <w:sz w:val="13"/>
                <w:szCs w:val="13"/>
                <w:color w:val="auto"/>
              </w:rPr>
            </w:pPr>
          </w:p>
        </w:tc>
        <w:tc>
          <w:tcPr>
            <w:tcW w:w="1220" w:type="dxa"/>
            <w:vAlign w:val="bottom"/>
          </w:tcPr>
          <w:p>
            <w:pPr>
              <w:jc w:val="right"/>
              <w:ind w:right="243"/>
              <w:spacing w:after="0" w:line="151" w:lineRule="exact"/>
              <w:rPr>
                <w:sz w:val="20"/>
                <w:szCs w:val="20"/>
                <w:color w:val="auto"/>
              </w:rPr>
            </w:pPr>
            <w:r>
              <w:rPr>
                <w:rFonts w:ascii="Arial" w:cs="Arial" w:eastAsia="Arial" w:hAnsi="Arial"/>
                <w:sz w:val="15"/>
                <w:szCs w:val="15"/>
                <w:b w:val="1"/>
                <w:bCs w:val="1"/>
                <w:color w:val="auto"/>
              </w:rPr>
              <w:t>October 28,</w:t>
            </w:r>
          </w:p>
        </w:tc>
        <w:tc>
          <w:tcPr>
            <w:tcW w:w="220" w:type="dxa"/>
            <w:vAlign w:val="bottom"/>
          </w:tcPr>
          <w:p>
            <w:pPr>
              <w:spacing w:after="0"/>
              <w:rPr>
                <w:sz w:val="13"/>
                <w:szCs w:val="13"/>
                <w:color w:val="auto"/>
              </w:rPr>
            </w:pPr>
          </w:p>
        </w:tc>
        <w:tc>
          <w:tcPr>
            <w:tcW w:w="1040" w:type="dxa"/>
            <w:vAlign w:val="bottom"/>
          </w:tcPr>
          <w:p>
            <w:pPr>
              <w:jc w:val="right"/>
              <w:ind w:right="103"/>
              <w:spacing w:after="0" w:line="151" w:lineRule="exact"/>
              <w:rPr>
                <w:sz w:val="20"/>
                <w:szCs w:val="20"/>
                <w:color w:val="auto"/>
              </w:rPr>
            </w:pPr>
            <w:r>
              <w:rPr>
                <w:rFonts w:ascii="Arial" w:cs="Arial" w:eastAsia="Arial" w:hAnsi="Arial"/>
                <w:sz w:val="15"/>
                <w:szCs w:val="15"/>
                <w:b w:val="1"/>
                <w:bCs w:val="1"/>
                <w:color w:val="auto"/>
              </w:rPr>
              <w:t>October 29,</w:t>
            </w:r>
          </w:p>
        </w:tc>
        <w:tc>
          <w:tcPr>
            <w:tcW w:w="0" w:type="dxa"/>
            <w:vAlign w:val="bottom"/>
          </w:tcPr>
          <w:p>
            <w:pPr>
              <w:spacing w:after="0"/>
              <w:rPr>
                <w:sz w:val="1"/>
                <w:szCs w:val="1"/>
                <w:color w:val="auto"/>
              </w:rPr>
            </w:pPr>
          </w:p>
        </w:tc>
      </w:tr>
      <w:tr>
        <w:trPr>
          <w:trHeight w:val="194"/>
        </w:trPr>
        <w:tc>
          <w:tcPr>
            <w:tcW w:w="3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2017</w:t>
            </w:r>
          </w:p>
        </w:tc>
        <w:tc>
          <w:tcPr>
            <w:tcW w:w="5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2016</w:t>
            </w:r>
          </w:p>
        </w:tc>
        <w:tc>
          <w:tcPr>
            <w:tcW w:w="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03"/>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3"/>
              <w:spacing w:after="0"/>
              <w:rPr>
                <w:sz w:val="20"/>
                <w:szCs w:val="20"/>
                <w:color w:val="auto"/>
              </w:rPr>
            </w:pPr>
            <w:r>
              <w:rPr>
                <w:rFonts w:ascii="Arial" w:cs="Arial" w:eastAsia="Arial" w:hAnsi="Arial"/>
                <w:sz w:val="15"/>
                <w:szCs w:val="15"/>
                <w:b w:val="1"/>
                <w:bCs w:val="1"/>
                <w:color w:val="auto"/>
              </w:rPr>
              <w:t>2016</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20"/>
                <w:szCs w:val="20"/>
                <w:color w:val="auto"/>
              </w:rPr>
            </w:pPr>
            <w:r>
              <w:rPr>
                <w:rFonts w:ascii="Arial" w:cs="Arial" w:eastAsia="Arial" w:hAnsi="Arial"/>
                <w:sz w:val="15"/>
                <w:szCs w:val="15"/>
                <w:b w:val="1"/>
                <w:bCs w:val="1"/>
                <w:color w:val="auto"/>
              </w:rPr>
              <w:t>Operating Results</w:t>
            </w:r>
          </w:p>
        </w:tc>
        <w:tc>
          <w:tcPr>
            <w:tcW w:w="1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960" w:type="dxa"/>
            <w:vAlign w:val="bottom"/>
            <w:gridSpan w:val="3"/>
          </w:tcPr>
          <w:p>
            <w:pPr>
              <w:jc w:val="right"/>
              <w:ind w:right="943"/>
              <w:spacing w:after="0"/>
              <w:rPr>
                <w:sz w:val="20"/>
                <w:szCs w:val="20"/>
                <w:color w:val="auto"/>
              </w:rPr>
            </w:pPr>
            <w:r>
              <w:rPr>
                <w:rFonts w:ascii="Arial" w:cs="Arial" w:eastAsia="Arial" w:hAnsi="Arial"/>
                <w:sz w:val="15"/>
                <w:szCs w:val="15"/>
                <w:color w:val="auto"/>
              </w:rPr>
              <w:t>($ in millions)</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 xml:space="preserve">Athletic Stores </w:t>
            </w:r>
            <w:r>
              <w:rPr>
                <w:rFonts w:ascii="Arial" w:cs="Arial" w:eastAsia="Arial" w:hAnsi="Arial"/>
                <w:sz w:val="8"/>
                <w:szCs w:val="8"/>
                <w:color w:val="auto"/>
              </w:rPr>
              <w:t>(1)</w:t>
            </w:r>
          </w:p>
        </w:tc>
        <w:tc>
          <w:tcPr>
            <w:tcW w:w="1140" w:type="dxa"/>
            <w:vAlign w:val="bottom"/>
            <w:shd w:val="clear" w:color="auto" w:fill="CCEEFF"/>
          </w:tcPr>
          <w:p>
            <w:pPr>
              <w:jc w:val="right"/>
              <w:ind w:right="703"/>
              <w:spacing w:after="0"/>
              <w:rPr>
                <w:sz w:val="20"/>
                <w:szCs w:val="20"/>
                <w:color w:val="auto"/>
              </w:rPr>
            </w:pPr>
            <w:r>
              <w:rPr>
                <w:rFonts w:ascii="Arial" w:cs="Arial" w:eastAsia="Arial" w:hAnsi="Arial"/>
                <w:sz w:val="15"/>
                <w:szCs w:val="15"/>
                <w:b w:val="1"/>
                <w:bCs w:val="1"/>
                <w:color w:val="auto"/>
              </w:rPr>
              <w:t>$</w:t>
            </w:r>
          </w:p>
        </w:tc>
        <w:tc>
          <w:tcPr>
            <w:tcW w:w="50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154</w:t>
            </w:r>
          </w:p>
        </w:tc>
        <w:tc>
          <w:tcPr>
            <w:tcW w:w="880" w:type="dxa"/>
            <w:vAlign w:val="bottom"/>
            <w:shd w:val="clear" w:color="auto" w:fill="CCEEFF"/>
          </w:tcPr>
          <w:p>
            <w:pPr>
              <w:jc w:val="right"/>
              <w:ind w:right="563"/>
              <w:spacing w:after="0"/>
              <w:rPr>
                <w:sz w:val="20"/>
                <w:szCs w:val="20"/>
                <w:color w:val="auto"/>
              </w:rPr>
            </w:pPr>
            <w:r>
              <w:rPr>
                <w:rFonts w:ascii="Arial" w:cs="Arial" w:eastAsia="Arial" w:hAnsi="Arial"/>
                <w:sz w:val="15"/>
                <w:szCs w:val="15"/>
                <w:color w:val="auto"/>
              </w:rPr>
              <w:t>$</w:t>
            </w:r>
          </w:p>
        </w:tc>
        <w:tc>
          <w:tcPr>
            <w:tcW w:w="5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213</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504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683</w:t>
            </w:r>
          </w:p>
        </w:tc>
        <w:tc>
          <w:tcPr>
            <w:tcW w:w="0" w:type="dxa"/>
            <w:vAlign w:val="bottom"/>
          </w:tcPr>
          <w:p>
            <w:pPr>
              <w:spacing w:after="0"/>
              <w:rPr>
                <w:sz w:val="1"/>
                <w:szCs w:val="1"/>
                <w:color w:val="auto"/>
              </w:rPr>
            </w:pPr>
          </w:p>
        </w:tc>
      </w:tr>
      <w:tr>
        <w:trPr>
          <w:trHeight w:val="195"/>
        </w:trPr>
        <w:tc>
          <w:tcPr>
            <w:tcW w:w="3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Direct-to-Customers</w:t>
            </w:r>
          </w:p>
        </w:tc>
        <w:tc>
          <w:tcPr>
            <w:tcW w:w="11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26</w:t>
            </w:r>
          </w:p>
        </w:tc>
        <w:tc>
          <w:tcPr>
            <w:tcW w:w="88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color w:val="auto"/>
              </w:rPr>
              <w:t>32</w:t>
            </w:r>
          </w:p>
        </w:tc>
        <w:tc>
          <w:tcPr>
            <w:tcW w:w="2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88</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w:t>
            </w:r>
          </w:p>
        </w:tc>
        <w:tc>
          <w:tcPr>
            <w:tcW w:w="0" w:type="dxa"/>
            <w:vAlign w:val="bottom"/>
          </w:tcPr>
          <w:p>
            <w:pPr>
              <w:spacing w:after="0"/>
              <w:rPr>
                <w:sz w:val="1"/>
                <w:szCs w:val="1"/>
                <w:color w:val="auto"/>
              </w:rPr>
            </w:pPr>
          </w:p>
        </w:tc>
      </w:tr>
      <w:tr>
        <w:trPr>
          <w:trHeight w:val="175"/>
        </w:trPr>
        <w:tc>
          <w:tcPr>
            <w:tcW w:w="3360" w:type="dxa"/>
            <w:vAlign w:val="bottom"/>
            <w:shd w:val="clear" w:color="auto" w:fill="CCEEFF"/>
          </w:tcPr>
          <w:p>
            <w:pPr>
              <w:spacing w:after="0"/>
              <w:rPr>
                <w:sz w:val="20"/>
                <w:szCs w:val="20"/>
                <w:color w:val="auto"/>
              </w:rPr>
            </w:pPr>
            <w:r>
              <w:rPr>
                <w:rFonts w:ascii="Arial" w:cs="Arial" w:eastAsia="Arial" w:hAnsi="Arial"/>
                <w:sz w:val="15"/>
                <w:szCs w:val="15"/>
                <w:color w:val="auto"/>
              </w:rPr>
              <w:t>Division profit</w:t>
            </w:r>
          </w:p>
        </w:tc>
        <w:tc>
          <w:tcPr>
            <w:tcW w:w="114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180</w:t>
            </w:r>
          </w:p>
        </w:tc>
        <w:tc>
          <w:tcPr>
            <w:tcW w:w="880" w:type="dxa"/>
            <w:vAlign w:val="bottom"/>
            <w:shd w:val="clear" w:color="auto" w:fill="CCEEFF"/>
          </w:tcPr>
          <w:p>
            <w:pPr>
              <w:spacing w:after="0"/>
              <w:rPr>
                <w:sz w:val="15"/>
                <w:szCs w:val="15"/>
                <w:color w:val="auto"/>
              </w:rPr>
            </w:pPr>
          </w:p>
        </w:tc>
        <w:tc>
          <w:tcPr>
            <w:tcW w:w="5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rPr>
              <w:t>245</w:t>
            </w:r>
          </w:p>
        </w:tc>
        <w:tc>
          <w:tcPr>
            <w:tcW w:w="240" w:type="dxa"/>
            <w:vAlign w:val="bottom"/>
            <w:shd w:val="clear" w:color="auto" w:fill="CCEEFF"/>
          </w:tcPr>
          <w:p>
            <w:pPr>
              <w:spacing w:after="0"/>
              <w:rPr>
                <w:sz w:val="15"/>
                <w:szCs w:val="15"/>
                <w:color w:val="auto"/>
              </w:rPr>
            </w:pPr>
          </w:p>
        </w:tc>
        <w:tc>
          <w:tcPr>
            <w:tcW w:w="122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592</w:t>
            </w:r>
          </w:p>
        </w:tc>
        <w:tc>
          <w:tcPr>
            <w:tcW w:w="22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775</w:t>
            </w:r>
          </w:p>
        </w:tc>
        <w:tc>
          <w:tcPr>
            <w:tcW w:w="0" w:type="dxa"/>
            <w:vAlign w:val="bottom"/>
          </w:tcPr>
          <w:p>
            <w:pPr>
              <w:spacing w:after="0"/>
              <w:rPr>
                <w:sz w:val="1"/>
                <w:szCs w:val="1"/>
                <w:color w:val="auto"/>
              </w:rPr>
            </w:pPr>
          </w:p>
        </w:tc>
      </w:tr>
      <w:tr>
        <w:trPr>
          <w:trHeight w:val="177"/>
        </w:trPr>
        <w:tc>
          <w:tcPr>
            <w:tcW w:w="3360" w:type="dxa"/>
            <w:vAlign w:val="bottom"/>
          </w:tcPr>
          <w:p>
            <w:pPr>
              <w:spacing w:after="0"/>
              <w:rPr>
                <w:sz w:val="20"/>
                <w:szCs w:val="20"/>
                <w:color w:val="auto"/>
              </w:rPr>
            </w:pPr>
            <w:r>
              <w:rPr>
                <w:rFonts w:ascii="Arial" w:cs="Arial" w:eastAsia="Arial" w:hAnsi="Arial"/>
                <w:sz w:val="15"/>
                <w:szCs w:val="15"/>
                <w:color w:val="auto"/>
              </w:rPr>
              <w:t>Less: Pension litigation and reorganization</w:t>
            </w:r>
          </w:p>
        </w:tc>
        <w:tc>
          <w:tcPr>
            <w:tcW w:w="1140" w:type="dxa"/>
            <w:vAlign w:val="bottom"/>
          </w:tcPr>
          <w:p>
            <w:pPr>
              <w:spacing w:after="0"/>
              <w:rPr>
                <w:sz w:val="15"/>
                <w:szCs w:val="15"/>
                <w:color w:val="auto"/>
              </w:rPr>
            </w:pPr>
          </w:p>
        </w:tc>
        <w:tc>
          <w:tcPr>
            <w:tcW w:w="5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13</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63</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160"/>
              <w:spacing w:after="0"/>
              <w:rPr>
                <w:sz w:val="20"/>
                <w:szCs w:val="20"/>
                <w:color w:val="auto"/>
              </w:rPr>
            </w:pPr>
            <w:r>
              <w:rPr>
                <w:rFonts w:ascii="Arial" w:cs="Arial" w:eastAsia="Arial" w:hAnsi="Arial"/>
                <w:sz w:val="15"/>
                <w:szCs w:val="15"/>
                <w:color w:val="auto"/>
              </w:rPr>
              <w:t xml:space="preserve">charges </w:t>
            </w:r>
            <w:r>
              <w:rPr>
                <w:rFonts w:ascii="Arial" w:cs="Arial" w:eastAsia="Arial" w:hAnsi="Arial"/>
                <w:sz w:val="8"/>
                <w:szCs w:val="8"/>
                <w:color w:val="auto"/>
              </w:rPr>
              <w:t>(2) (3)</w:t>
            </w:r>
          </w:p>
        </w:tc>
        <w:tc>
          <w:tcPr>
            <w:tcW w:w="11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ind w:right="3"/>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5"/>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Less: Corporate expense</w:t>
            </w:r>
          </w:p>
        </w:tc>
        <w:tc>
          <w:tcPr>
            <w:tcW w:w="1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12</w:t>
            </w: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17</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34</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w:t>
            </w:r>
          </w:p>
        </w:tc>
        <w:tc>
          <w:tcPr>
            <w:tcW w:w="0" w:type="dxa"/>
            <w:vAlign w:val="bottom"/>
          </w:tcPr>
          <w:p>
            <w:pPr>
              <w:spacing w:after="0"/>
              <w:rPr>
                <w:sz w:val="1"/>
                <w:szCs w:val="1"/>
                <w:color w:val="auto"/>
              </w:rPr>
            </w:pPr>
          </w:p>
        </w:tc>
      </w:tr>
      <w:tr>
        <w:trPr>
          <w:trHeight w:val="175"/>
        </w:trPr>
        <w:tc>
          <w:tcPr>
            <w:tcW w:w="3360" w:type="dxa"/>
            <w:vAlign w:val="bottom"/>
          </w:tcPr>
          <w:p>
            <w:pPr>
              <w:spacing w:after="0"/>
              <w:rPr>
                <w:sz w:val="20"/>
                <w:szCs w:val="20"/>
                <w:color w:val="auto"/>
              </w:rPr>
            </w:pPr>
            <w:r>
              <w:rPr>
                <w:rFonts w:ascii="Arial" w:cs="Arial" w:eastAsia="Arial" w:hAnsi="Arial"/>
                <w:sz w:val="15"/>
                <w:szCs w:val="15"/>
                <w:color w:val="auto"/>
              </w:rPr>
              <w:t>Operating profit</w:t>
            </w:r>
          </w:p>
        </w:tc>
        <w:tc>
          <w:tcPr>
            <w:tcW w:w="1140" w:type="dxa"/>
            <w:vAlign w:val="bottom"/>
          </w:tcPr>
          <w:p>
            <w:pPr>
              <w:spacing w:after="0"/>
              <w:rPr>
                <w:sz w:val="15"/>
                <w:szCs w:val="15"/>
                <w:color w:val="auto"/>
              </w:rPr>
            </w:pPr>
          </w:p>
        </w:tc>
        <w:tc>
          <w:tcPr>
            <w:tcW w:w="500" w:type="dxa"/>
            <w:vAlign w:val="bottom"/>
          </w:tcPr>
          <w:p>
            <w:pPr>
              <w:jc w:val="right"/>
              <w:ind w:right="103"/>
              <w:spacing w:after="0"/>
              <w:rPr>
                <w:sz w:val="20"/>
                <w:szCs w:val="20"/>
                <w:color w:val="auto"/>
              </w:rPr>
            </w:pPr>
            <w:r>
              <w:rPr>
                <w:rFonts w:ascii="Arial" w:cs="Arial" w:eastAsia="Arial" w:hAnsi="Arial"/>
                <w:sz w:val="15"/>
                <w:szCs w:val="15"/>
                <w:b w:val="1"/>
                <w:bCs w:val="1"/>
                <w:color w:val="auto"/>
              </w:rPr>
              <w:t>155</w:t>
            </w:r>
          </w:p>
        </w:tc>
        <w:tc>
          <w:tcPr>
            <w:tcW w:w="880" w:type="dxa"/>
            <w:vAlign w:val="bottom"/>
          </w:tcPr>
          <w:p>
            <w:pPr>
              <w:spacing w:after="0"/>
              <w:rPr>
                <w:sz w:val="15"/>
                <w:szCs w:val="15"/>
                <w:color w:val="auto"/>
              </w:rPr>
            </w:pPr>
          </w:p>
        </w:tc>
        <w:tc>
          <w:tcPr>
            <w:tcW w:w="500" w:type="dxa"/>
            <w:vAlign w:val="bottom"/>
          </w:tcPr>
          <w:p>
            <w:pPr>
              <w:jc w:val="right"/>
              <w:ind w:right="43"/>
              <w:spacing w:after="0"/>
              <w:rPr>
                <w:sz w:val="20"/>
                <w:szCs w:val="20"/>
                <w:color w:val="auto"/>
              </w:rPr>
            </w:pPr>
            <w:r>
              <w:rPr>
                <w:rFonts w:ascii="Arial" w:cs="Arial" w:eastAsia="Arial" w:hAnsi="Arial"/>
                <w:sz w:val="15"/>
                <w:szCs w:val="15"/>
                <w:color w:val="auto"/>
              </w:rPr>
              <w:t>228</w:t>
            </w:r>
          </w:p>
        </w:tc>
        <w:tc>
          <w:tcPr>
            <w:tcW w:w="240" w:type="dxa"/>
            <w:vAlign w:val="bottom"/>
          </w:tcPr>
          <w:p>
            <w:pPr>
              <w:spacing w:after="0"/>
              <w:rPr>
                <w:sz w:val="15"/>
                <w:szCs w:val="15"/>
                <w:color w:val="auto"/>
              </w:rPr>
            </w:pPr>
          </w:p>
        </w:tc>
        <w:tc>
          <w:tcPr>
            <w:tcW w:w="1220" w:type="dxa"/>
            <w:vAlign w:val="bottom"/>
          </w:tcPr>
          <w:p>
            <w:pPr>
              <w:jc w:val="right"/>
              <w:ind w:right="83"/>
              <w:spacing w:after="0"/>
              <w:rPr>
                <w:sz w:val="20"/>
                <w:szCs w:val="20"/>
                <w:color w:val="auto"/>
              </w:rPr>
            </w:pPr>
            <w:r>
              <w:rPr>
                <w:rFonts w:ascii="Arial" w:cs="Arial" w:eastAsia="Arial" w:hAnsi="Arial"/>
                <w:sz w:val="15"/>
                <w:szCs w:val="15"/>
                <w:b w:val="1"/>
                <w:bCs w:val="1"/>
                <w:color w:val="auto"/>
              </w:rPr>
              <w:t>495</w:t>
            </w: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722</w:t>
            </w:r>
          </w:p>
        </w:tc>
        <w:tc>
          <w:tcPr>
            <w:tcW w:w="0" w:type="dxa"/>
            <w:vAlign w:val="bottom"/>
          </w:tcPr>
          <w:p>
            <w:pPr>
              <w:spacing w:after="0"/>
              <w:rPr>
                <w:sz w:val="1"/>
                <w:szCs w:val="1"/>
                <w:color w:val="auto"/>
              </w:rPr>
            </w:pPr>
          </w:p>
        </w:tc>
      </w:tr>
      <w:tr>
        <w:trPr>
          <w:trHeight w:val="195"/>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 xml:space="preserve">Other income </w:t>
            </w:r>
            <w:r>
              <w:rPr>
                <w:rFonts w:ascii="Arial" w:cs="Arial" w:eastAsia="Arial" w:hAnsi="Arial"/>
                <w:sz w:val="8"/>
                <w:szCs w:val="8"/>
                <w:color w:val="auto"/>
              </w:rPr>
              <w:t>(4)</w:t>
            </w:r>
          </w:p>
        </w:tc>
        <w:tc>
          <w:tcPr>
            <w:tcW w:w="1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b w:val="1"/>
                <w:bCs w:val="1"/>
                <w:color w:val="auto"/>
              </w:rPr>
              <w:t>1</w:t>
            </w: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5"/>
                <w:szCs w:val="15"/>
                <w:color w:val="auto"/>
              </w:rPr>
              <w:t>—</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2</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w:t>
            </w:r>
          </w:p>
        </w:tc>
        <w:tc>
          <w:tcPr>
            <w:tcW w:w="0" w:type="dxa"/>
            <w:vAlign w:val="bottom"/>
          </w:tcPr>
          <w:p>
            <w:pPr>
              <w:spacing w:after="0"/>
              <w:rPr>
                <w:sz w:val="1"/>
                <w:szCs w:val="1"/>
                <w:color w:val="auto"/>
              </w:rPr>
            </w:pPr>
          </w:p>
        </w:tc>
      </w:tr>
      <w:tr>
        <w:trPr>
          <w:trHeight w:val="181"/>
        </w:trPr>
        <w:tc>
          <w:tcPr>
            <w:tcW w:w="3360" w:type="dxa"/>
            <w:vAlign w:val="bottom"/>
          </w:tcPr>
          <w:p>
            <w:pPr>
              <w:spacing w:after="0"/>
              <w:rPr>
                <w:sz w:val="20"/>
                <w:szCs w:val="20"/>
                <w:color w:val="auto"/>
              </w:rPr>
            </w:pPr>
            <w:r>
              <w:rPr>
                <w:rFonts w:ascii="Arial" w:cs="Arial" w:eastAsia="Arial" w:hAnsi="Arial"/>
                <w:sz w:val="15"/>
                <w:szCs w:val="15"/>
                <w:color w:val="auto"/>
              </w:rPr>
              <w:t>Earnings before interest expense and income</w:t>
            </w:r>
          </w:p>
        </w:tc>
        <w:tc>
          <w:tcPr>
            <w:tcW w:w="1140" w:type="dxa"/>
            <w:vAlign w:val="bottom"/>
          </w:tcPr>
          <w:p>
            <w:pPr>
              <w:spacing w:after="0"/>
              <w:rPr>
                <w:sz w:val="15"/>
                <w:szCs w:val="15"/>
                <w:color w:val="auto"/>
              </w:rPr>
            </w:pPr>
          </w:p>
        </w:tc>
        <w:tc>
          <w:tcPr>
            <w:tcW w:w="500" w:type="dxa"/>
            <w:vAlign w:val="bottom"/>
            <w:vMerge w:val="restart"/>
          </w:tcPr>
          <w:p>
            <w:pPr>
              <w:jc w:val="right"/>
              <w:ind w:right="103"/>
              <w:spacing w:after="0"/>
              <w:rPr>
                <w:sz w:val="20"/>
                <w:szCs w:val="20"/>
                <w:color w:val="auto"/>
              </w:rPr>
            </w:pPr>
            <w:r>
              <w:rPr>
                <w:rFonts w:ascii="Arial" w:cs="Arial" w:eastAsia="Arial" w:hAnsi="Arial"/>
                <w:sz w:val="15"/>
                <w:szCs w:val="15"/>
                <w:b w:val="1"/>
                <w:bCs w:val="1"/>
                <w:color w:val="auto"/>
              </w:rPr>
              <w:t>156</w:t>
            </w:r>
          </w:p>
        </w:tc>
        <w:tc>
          <w:tcPr>
            <w:tcW w:w="8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vMerge w:val="restart"/>
          </w:tcPr>
          <w:p>
            <w:pPr>
              <w:jc w:val="right"/>
              <w:ind w:right="83"/>
              <w:spacing w:after="0"/>
              <w:rPr>
                <w:sz w:val="20"/>
                <w:szCs w:val="20"/>
                <w:color w:val="auto"/>
              </w:rPr>
            </w:pPr>
            <w:r>
              <w:rPr>
                <w:rFonts w:ascii="Arial" w:cs="Arial" w:eastAsia="Arial" w:hAnsi="Arial"/>
                <w:sz w:val="15"/>
                <w:szCs w:val="15"/>
                <w:b w:val="1"/>
                <w:bCs w:val="1"/>
                <w:color w:val="auto"/>
              </w:rPr>
              <w:t>497</w:t>
            </w: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360" w:type="dxa"/>
            <w:vAlign w:val="bottom"/>
          </w:tcPr>
          <w:p>
            <w:pPr>
              <w:ind w:left="160"/>
              <w:spacing w:after="0"/>
              <w:rPr>
                <w:sz w:val="20"/>
                <w:szCs w:val="20"/>
                <w:color w:val="auto"/>
              </w:rPr>
            </w:pPr>
            <w:r>
              <w:rPr>
                <w:rFonts w:ascii="Arial" w:cs="Arial" w:eastAsia="Arial" w:hAnsi="Arial"/>
                <w:sz w:val="15"/>
                <w:szCs w:val="15"/>
                <w:color w:val="auto"/>
              </w:rPr>
              <w:t>taxes</w:t>
            </w:r>
          </w:p>
        </w:tc>
        <w:tc>
          <w:tcPr>
            <w:tcW w:w="114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880" w:type="dxa"/>
            <w:vAlign w:val="bottom"/>
          </w:tcPr>
          <w:p>
            <w:pPr>
              <w:spacing w:after="0"/>
              <w:rPr>
                <w:sz w:val="15"/>
                <w:szCs w:val="15"/>
                <w:color w:val="auto"/>
              </w:rPr>
            </w:pPr>
          </w:p>
        </w:tc>
        <w:tc>
          <w:tcPr>
            <w:tcW w:w="500" w:type="dxa"/>
            <w:vAlign w:val="bottom"/>
          </w:tcPr>
          <w:p>
            <w:pPr>
              <w:jc w:val="right"/>
              <w:ind w:right="43"/>
              <w:spacing w:after="0"/>
              <w:rPr>
                <w:sz w:val="20"/>
                <w:szCs w:val="20"/>
                <w:color w:val="auto"/>
              </w:rPr>
            </w:pPr>
            <w:r>
              <w:rPr>
                <w:rFonts w:ascii="Arial" w:cs="Arial" w:eastAsia="Arial" w:hAnsi="Arial"/>
                <w:sz w:val="15"/>
                <w:szCs w:val="15"/>
                <w:color w:val="auto"/>
              </w:rPr>
              <w:t>228</w:t>
            </w:r>
          </w:p>
        </w:tc>
        <w:tc>
          <w:tcPr>
            <w:tcW w:w="240" w:type="dxa"/>
            <w:vAlign w:val="bottom"/>
          </w:tcPr>
          <w:p>
            <w:pPr>
              <w:spacing w:after="0"/>
              <w:rPr>
                <w:sz w:val="15"/>
                <w:szCs w:val="15"/>
                <w:color w:val="auto"/>
              </w:rPr>
            </w:pPr>
          </w:p>
        </w:tc>
        <w:tc>
          <w:tcPr>
            <w:tcW w:w="122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725</w:t>
            </w:r>
          </w:p>
        </w:tc>
        <w:tc>
          <w:tcPr>
            <w:tcW w:w="0" w:type="dxa"/>
            <w:vAlign w:val="bottom"/>
          </w:tcPr>
          <w:p>
            <w:pPr>
              <w:spacing w:after="0"/>
              <w:rPr>
                <w:sz w:val="1"/>
                <w:szCs w:val="1"/>
                <w:color w:val="auto"/>
              </w:rPr>
            </w:pPr>
          </w:p>
        </w:tc>
      </w:tr>
      <w:tr>
        <w:trPr>
          <w:trHeight w:val="195"/>
        </w:trPr>
        <w:tc>
          <w:tcPr>
            <w:tcW w:w="3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Interest (income) / expense, net</w:t>
            </w:r>
          </w:p>
        </w:tc>
        <w:tc>
          <w:tcPr>
            <w:tcW w:w="114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w:t>
            </w:r>
          </w:p>
        </w:tc>
        <w:tc>
          <w:tcPr>
            <w:tcW w:w="8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color w:val="auto"/>
              </w:rPr>
              <w:t>1</w:t>
            </w:r>
          </w:p>
        </w:tc>
        <w:tc>
          <w:tcPr>
            <w:tcW w:w="24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5"/>
                <w:szCs w:val="15"/>
                <w:b w:val="1"/>
                <w:bCs w:val="1"/>
                <w:color w:val="auto"/>
              </w:rPr>
              <w:t>(1)</w:t>
            </w:r>
          </w:p>
        </w:tc>
        <w:tc>
          <w:tcPr>
            <w:tcW w:w="2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w:t>
            </w:r>
          </w:p>
        </w:tc>
        <w:tc>
          <w:tcPr>
            <w:tcW w:w="0" w:type="dxa"/>
            <w:vAlign w:val="bottom"/>
          </w:tcPr>
          <w:p>
            <w:pPr>
              <w:spacing w:after="0"/>
              <w:rPr>
                <w:sz w:val="1"/>
                <w:szCs w:val="1"/>
                <w:color w:val="auto"/>
              </w:rPr>
            </w:pPr>
          </w:p>
        </w:tc>
      </w:tr>
      <w:tr>
        <w:trPr>
          <w:trHeight w:val="167"/>
        </w:trPr>
        <w:tc>
          <w:tcPr>
            <w:tcW w:w="3360" w:type="dxa"/>
            <w:vAlign w:val="bottom"/>
            <w:tcBorders>
              <w:bottom w:val="single" w:sz="8" w:color="auto"/>
            </w:tcBorders>
          </w:tcPr>
          <w:p>
            <w:pPr>
              <w:spacing w:after="0" w:line="163" w:lineRule="exact"/>
              <w:rPr>
                <w:sz w:val="20"/>
                <w:szCs w:val="20"/>
                <w:color w:val="auto"/>
              </w:rPr>
            </w:pPr>
            <w:r>
              <w:rPr>
                <w:rFonts w:ascii="Arial" w:cs="Arial" w:eastAsia="Arial" w:hAnsi="Arial"/>
                <w:sz w:val="15"/>
                <w:szCs w:val="15"/>
                <w:color w:val="auto"/>
              </w:rPr>
              <w:t>Income before income taxes</w:t>
            </w:r>
          </w:p>
        </w:tc>
        <w:tc>
          <w:tcPr>
            <w:tcW w:w="1140" w:type="dxa"/>
            <w:vAlign w:val="bottom"/>
            <w:tcBorders>
              <w:bottom w:val="single" w:sz="8" w:color="auto"/>
            </w:tcBorders>
          </w:tcPr>
          <w:p>
            <w:pPr>
              <w:jc w:val="right"/>
              <w:ind w:right="703"/>
              <w:spacing w:after="0" w:line="163" w:lineRule="exact"/>
              <w:rPr>
                <w:sz w:val="20"/>
                <w:szCs w:val="20"/>
                <w:color w:val="auto"/>
              </w:rPr>
            </w:pPr>
            <w:r>
              <w:rPr>
                <w:rFonts w:ascii="Arial" w:cs="Arial" w:eastAsia="Arial" w:hAnsi="Arial"/>
                <w:sz w:val="15"/>
                <w:szCs w:val="15"/>
                <w:b w:val="1"/>
                <w:bCs w:val="1"/>
                <w:color w:val="auto"/>
              </w:rPr>
              <w:t>$</w:t>
            </w:r>
          </w:p>
        </w:tc>
        <w:tc>
          <w:tcPr>
            <w:tcW w:w="500" w:type="dxa"/>
            <w:vAlign w:val="bottom"/>
            <w:tcBorders>
              <w:bottom w:val="single" w:sz="8" w:color="auto"/>
            </w:tcBorders>
          </w:tcPr>
          <w:p>
            <w:pPr>
              <w:jc w:val="right"/>
              <w:ind w:right="103"/>
              <w:spacing w:after="0" w:line="163" w:lineRule="exact"/>
              <w:rPr>
                <w:sz w:val="20"/>
                <w:szCs w:val="20"/>
                <w:color w:val="auto"/>
              </w:rPr>
            </w:pPr>
            <w:r>
              <w:rPr>
                <w:rFonts w:ascii="Arial" w:cs="Arial" w:eastAsia="Arial" w:hAnsi="Arial"/>
                <w:sz w:val="15"/>
                <w:szCs w:val="15"/>
                <w:b w:val="1"/>
                <w:bCs w:val="1"/>
                <w:color w:val="auto"/>
              </w:rPr>
              <w:t>156</w:t>
            </w:r>
          </w:p>
        </w:tc>
        <w:tc>
          <w:tcPr>
            <w:tcW w:w="880" w:type="dxa"/>
            <w:vAlign w:val="bottom"/>
            <w:tcBorders>
              <w:bottom w:val="single" w:sz="8" w:color="auto"/>
            </w:tcBorders>
          </w:tcPr>
          <w:p>
            <w:pPr>
              <w:jc w:val="right"/>
              <w:ind w:right="563"/>
              <w:spacing w:after="0" w:line="163" w:lineRule="exact"/>
              <w:rPr>
                <w:sz w:val="20"/>
                <w:szCs w:val="20"/>
                <w:color w:val="auto"/>
              </w:rPr>
            </w:pPr>
            <w:r>
              <w:rPr>
                <w:rFonts w:ascii="Arial" w:cs="Arial" w:eastAsia="Arial" w:hAnsi="Arial"/>
                <w:sz w:val="15"/>
                <w:szCs w:val="15"/>
                <w:color w:val="auto"/>
              </w:rPr>
              <w:t>$</w:t>
            </w:r>
          </w:p>
        </w:tc>
        <w:tc>
          <w:tcPr>
            <w:tcW w:w="500" w:type="dxa"/>
            <w:vAlign w:val="bottom"/>
            <w:tcBorders>
              <w:bottom w:val="single" w:sz="8" w:color="auto"/>
            </w:tcBorders>
          </w:tcPr>
          <w:p>
            <w:pPr>
              <w:jc w:val="right"/>
              <w:ind w:right="43"/>
              <w:spacing w:after="0" w:line="163" w:lineRule="exact"/>
              <w:rPr>
                <w:sz w:val="20"/>
                <w:szCs w:val="20"/>
                <w:color w:val="auto"/>
              </w:rPr>
            </w:pPr>
            <w:r>
              <w:rPr>
                <w:rFonts w:ascii="Arial" w:cs="Arial" w:eastAsia="Arial" w:hAnsi="Arial"/>
                <w:sz w:val="15"/>
                <w:szCs w:val="15"/>
                <w:color w:val="auto"/>
              </w:rPr>
              <w:t>227</w:t>
            </w:r>
          </w:p>
        </w:tc>
        <w:tc>
          <w:tcPr>
            <w:tcW w:w="2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b w:val="1"/>
                <w:bCs w:val="1"/>
                <w:color w:val="auto"/>
              </w:rPr>
              <w:t>$</w:t>
            </w:r>
          </w:p>
        </w:tc>
        <w:tc>
          <w:tcPr>
            <w:tcW w:w="1220" w:type="dxa"/>
            <w:vAlign w:val="bottom"/>
            <w:tcBorders>
              <w:bottom w:val="single" w:sz="8" w:color="auto"/>
            </w:tcBorders>
          </w:tcPr>
          <w:p>
            <w:pPr>
              <w:jc w:val="right"/>
              <w:ind w:right="83"/>
              <w:spacing w:after="0" w:line="163" w:lineRule="exact"/>
              <w:rPr>
                <w:sz w:val="20"/>
                <w:szCs w:val="20"/>
                <w:color w:val="auto"/>
              </w:rPr>
            </w:pPr>
            <w:r>
              <w:rPr>
                <w:rFonts w:ascii="Arial" w:cs="Arial" w:eastAsia="Arial" w:hAnsi="Arial"/>
                <w:sz w:val="15"/>
                <w:szCs w:val="15"/>
                <w:b w:val="1"/>
                <w:bCs w:val="1"/>
                <w:color w:val="auto"/>
              </w:rPr>
              <w:t>498</w:t>
            </w:r>
          </w:p>
        </w:tc>
        <w:tc>
          <w:tcPr>
            <w:tcW w:w="2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w:t>
            </w:r>
          </w:p>
        </w:tc>
        <w:tc>
          <w:tcPr>
            <w:tcW w:w="10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5"/>
                <w:szCs w:val="15"/>
                <w:color w:val="auto"/>
              </w:rPr>
              <w:t>723</w:t>
            </w:r>
          </w:p>
        </w:tc>
        <w:tc>
          <w:tcPr>
            <w:tcW w:w="0" w:type="dxa"/>
            <w:vAlign w:val="bottom"/>
          </w:tcPr>
          <w:p>
            <w:pPr>
              <w:spacing w:after="0"/>
              <w:rPr>
                <w:sz w:val="1"/>
                <w:szCs w:val="1"/>
                <w:color w:val="auto"/>
              </w:rPr>
            </w:pPr>
          </w:p>
        </w:tc>
      </w:tr>
    </w:tbl>
    <w:p>
      <w:pPr>
        <w:spacing w:after="0" w:line="48" w:lineRule="exact"/>
        <w:rPr>
          <w:sz w:val="20"/>
          <w:szCs w:val="20"/>
          <w:color w:val="auto"/>
        </w:rPr>
      </w:pPr>
    </w:p>
    <w:p>
      <w:pPr>
        <w:ind w:left="280" w:hanging="275"/>
        <w:spacing w:after="0" w:line="246" w:lineRule="auto"/>
        <w:tabs>
          <w:tab w:leader="none" w:pos="280" w:val="left"/>
        </w:tabs>
        <w:numPr>
          <w:ilvl w:val="0"/>
          <w:numId w:val="8"/>
        </w:numPr>
        <w:rPr>
          <w:rFonts w:ascii="Arial" w:cs="Arial" w:eastAsia="Arial" w:hAnsi="Arial"/>
          <w:sz w:val="11"/>
          <w:szCs w:val="11"/>
          <w:color w:val="auto"/>
        </w:rPr>
      </w:pPr>
      <w:r>
        <w:rPr>
          <w:rFonts w:ascii="Arial" w:cs="Arial" w:eastAsia="Arial" w:hAnsi="Arial"/>
          <w:sz w:val="12"/>
          <w:szCs w:val="12"/>
          <w:color w:val="auto"/>
        </w:rPr>
        <w:t>Included in the thirteen and thirty-nine weeks ended October 29, 2016 is a $6 million pre-tax non-cash impairment charge to write-down long-lived store assets of Runners Point and Sidestep.</w:t>
      </w:r>
    </w:p>
    <w:p>
      <w:pPr>
        <w:spacing w:after="0" w:line="57" w:lineRule="exact"/>
        <w:rPr>
          <w:rFonts w:ascii="Arial" w:cs="Arial" w:eastAsia="Arial" w:hAnsi="Arial"/>
          <w:sz w:val="11"/>
          <w:szCs w:val="11"/>
          <w:color w:val="auto"/>
        </w:rPr>
      </w:pPr>
    </w:p>
    <w:p>
      <w:pPr>
        <w:ind w:left="280" w:hanging="275"/>
        <w:spacing w:after="0" w:line="246" w:lineRule="auto"/>
        <w:tabs>
          <w:tab w:leader="none" w:pos="280" w:val="left"/>
        </w:tabs>
        <w:numPr>
          <w:ilvl w:val="0"/>
          <w:numId w:val="8"/>
        </w:numPr>
        <w:rPr>
          <w:rFonts w:ascii="Arial" w:cs="Arial" w:eastAsia="Arial" w:hAnsi="Arial"/>
          <w:sz w:val="11"/>
          <w:szCs w:val="11"/>
          <w:color w:val="auto"/>
        </w:rPr>
      </w:pPr>
      <w:r>
        <w:rPr>
          <w:rFonts w:ascii="Arial" w:cs="Arial" w:eastAsia="Arial" w:hAnsi="Arial"/>
          <w:sz w:val="12"/>
          <w:szCs w:val="12"/>
          <w:color w:val="auto"/>
        </w:rPr>
        <w:t xml:space="preserve">Included in the thirteen and thirty-nine weeks ended October 28, 2017 is a charge of $50 million relating to a pension litigation matter described further in Note 14, </w:t>
      </w:r>
      <w:r>
        <w:rPr>
          <w:rFonts w:ascii="Arial" w:cs="Arial" w:eastAsia="Arial" w:hAnsi="Arial"/>
          <w:sz w:val="12"/>
          <w:szCs w:val="12"/>
          <w:i w:val="1"/>
          <w:iCs w:val="1"/>
          <w:color w:val="auto"/>
        </w:rPr>
        <w:t>Legal Proceedings</w:t>
      </w:r>
      <w:r>
        <w:rPr>
          <w:rFonts w:ascii="Arial" w:cs="Arial" w:eastAsia="Arial" w:hAnsi="Arial"/>
          <w:sz w:val="12"/>
          <w:szCs w:val="12"/>
          <w:color w:val="auto"/>
        </w:rPr>
        <w:t>.</w:t>
      </w:r>
    </w:p>
    <w:p>
      <w:pPr>
        <w:spacing w:after="0" w:line="33" w:lineRule="exact"/>
        <w:rPr>
          <w:rFonts w:ascii="Arial" w:cs="Arial" w:eastAsia="Arial" w:hAnsi="Arial"/>
          <w:sz w:val="11"/>
          <w:szCs w:val="11"/>
          <w:color w:val="auto"/>
        </w:rPr>
      </w:pPr>
    </w:p>
    <w:p>
      <w:pPr>
        <w:ind w:left="280" w:hanging="275"/>
        <w:spacing w:after="0" w:line="246" w:lineRule="auto"/>
        <w:tabs>
          <w:tab w:leader="none" w:pos="280" w:val="left"/>
        </w:tabs>
        <w:numPr>
          <w:ilvl w:val="0"/>
          <w:numId w:val="8"/>
        </w:numPr>
        <w:rPr>
          <w:rFonts w:ascii="Arial" w:cs="Arial" w:eastAsia="Arial" w:hAnsi="Arial"/>
          <w:sz w:val="11"/>
          <w:szCs w:val="11"/>
          <w:color w:val="auto"/>
        </w:rPr>
      </w:pPr>
      <w:r>
        <w:rPr>
          <w:rFonts w:ascii="Arial" w:cs="Arial" w:eastAsia="Arial" w:hAnsi="Arial"/>
          <w:sz w:val="12"/>
          <w:szCs w:val="12"/>
          <w:color w:val="auto"/>
        </w:rPr>
        <w:t>Included in the thirteen and thirty-nine weeks ended October 28, 2017 is a $13 million pre-tax charge related to the reduction and reorganization of division and corporate staff that occurred in the third quarter of 2017. The substantial majority of the charge is for severance and related costs.</w:t>
      </w:r>
    </w:p>
    <w:p>
      <w:pPr>
        <w:spacing w:after="0" w:line="154" w:lineRule="exact"/>
        <w:rPr>
          <w:rFonts w:ascii="Arial" w:cs="Arial" w:eastAsia="Arial" w:hAnsi="Arial"/>
          <w:sz w:val="11"/>
          <w:szCs w:val="11"/>
          <w:color w:val="auto"/>
        </w:rPr>
      </w:pPr>
    </w:p>
    <w:p>
      <w:pPr>
        <w:ind w:left="280" w:hanging="275"/>
        <w:spacing w:after="0" w:line="246" w:lineRule="auto"/>
        <w:tabs>
          <w:tab w:leader="none" w:pos="280" w:val="left"/>
        </w:tabs>
        <w:numPr>
          <w:ilvl w:val="0"/>
          <w:numId w:val="8"/>
        </w:numPr>
        <w:rPr>
          <w:rFonts w:ascii="Arial" w:cs="Arial" w:eastAsia="Arial" w:hAnsi="Arial"/>
          <w:sz w:val="11"/>
          <w:szCs w:val="11"/>
          <w:color w:val="auto"/>
        </w:rPr>
      </w:pPr>
      <w:r>
        <w:rPr>
          <w:rFonts w:ascii="Arial" w:cs="Arial" w:eastAsia="Arial" w:hAnsi="Arial"/>
          <w:sz w:val="12"/>
          <w:szCs w:val="12"/>
          <w:color w:val="auto"/>
        </w:rPr>
        <w:t>Other income includes non-operating items, such as lease termination gains, royalty income, insurance recoveries and the changes in fair value, premiums paid, and realized gains and losses associated with foreign currency option contracts.</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gridSpan w:val="2"/>
          </w:tcPr>
          <w:p>
            <w:pPr>
              <w:spacing w:after="0"/>
              <w:rPr>
                <w:sz w:val="20"/>
                <w:szCs w:val="20"/>
                <w:color w:val="auto"/>
              </w:rPr>
            </w:pPr>
            <w:r>
              <w:rPr>
                <w:rFonts w:ascii="Arial" w:cs="Arial" w:eastAsia="Arial" w:hAnsi="Arial"/>
                <w:sz w:val="15"/>
                <w:szCs w:val="15"/>
                <w:i w:val="1"/>
                <w:iCs w:val="1"/>
                <w:color w:val="auto"/>
              </w:rPr>
              <w:t>Athletic Stores</w:t>
            </w:r>
          </w:p>
        </w:tc>
        <w:tc>
          <w:tcPr>
            <w:tcW w:w="18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45"/>
        </w:trPr>
        <w:tc>
          <w:tcPr>
            <w:tcW w:w="1000" w:type="dxa"/>
            <w:vAlign w:val="bottom"/>
            <w:tcBorders>
              <w:top w:val="single" w:sz="8" w:color="auto"/>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4"/>
          </w:tcPr>
          <w:p>
            <w:pPr>
              <w:jc w:val="right"/>
              <w:ind w:right="603"/>
              <w:spacing w:after="0"/>
              <w:rPr>
                <w:sz w:val="20"/>
                <w:szCs w:val="20"/>
                <w:color w:val="auto"/>
              </w:rPr>
            </w:pPr>
            <w:r>
              <w:rPr>
                <w:rFonts w:ascii="Arial" w:cs="Arial" w:eastAsia="Arial" w:hAnsi="Arial"/>
                <w:sz w:val="15"/>
                <w:szCs w:val="15"/>
                <w:b w:val="1"/>
                <w:bCs w:val="1"/>
                <w:color w:val="auto"/>
              </w:rPr>
              <w:t>Thirteen weeks ended</w:t>
            </w: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5"/>
                <w:szCs w:val="15"/>
                <w:b w:val="1"/>
                <w:bCs w:val="1"/>
                <w:color w:val="auto"/>
              </w:rPr>
              <w:t>Thirty-nine weeks ended</w:t>
            </w:r>
          </w:p>
        </w:tc>
      </w:tr>
      <w:tr>
        <w:trPr>
          <w:trHeight w:val="151"/>
        </w:trPr>
        <w:tc>
          <w:tcPr>
            <w:tcW w:w="100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2420" w:type="dxa"/>
            <w:vAlign w:val="bottom"/>
            <w:gridSpan w:val="2"/>
          </w:tcPr>
          <w:p>
            <w:pPr>
              <w:jc w:val="right"/>
              <w:ind w:right="303"/>
              <w:spacing w:after="0" w:line="151" w:lineRule="exact"/>
              <w:rPr>
                <w:sz w:val="20"/>
                <w:szCs w:val="20"/>
                <w:color w:val="auto"/>
              </w:rPr>
            </w:pPr>
            <w:r>
              <w:rPr>
                <w:rFonts w:ascii="Arial" w:cs="Arial" w:eastAsia="Arial" w:hAnsi="Arial"/>
                <w:sz w:val="15"/>
                <w:szCs w:val="15"/>
                <w:b w:val="1"/>
                <w:bCs w:val="1"/>
                <w:color w:val="auto"/>
              </w:rPr>
              <w:t>October 28,</w:t>
            </w:r>
          </w:p>
        </w:tc>
        <w:tc>
          <w:tcPr>
            <w:tcW w:w="140" w:type="dxa"/>
            <w:vAlign w:val="bottom"/>
          </w:tcPr>
          <w:p>
            <w:pPr>
              <w:spacing w:after="0"/>
              <w:rPr>
                <w:sz w:val="13"/>
                <w:szCs w:val="13"/>
                <w:color w:val="auto"/>
              </w:rPr>
            </w:pPr>
          </w:p>
        </w:tc>
        <w:tc>
          <w:tcPr>
            <w:tcW w:w="1240" w:type="dxa"/>
            <w:vAlign w:val="bottom"/>
          </w:tcPr>
          <w:p>
            <w:pPr>
              <w:jc w:val="right"/>
              <w:ind w:right="303"/>
              <w:spacing w:after="0" w:line="151" w:lineRule="exact"/>
              <w:rPr>
                <w:sz w:val="20"/>
                <w:szCs w:val="20"/>
                <w:color w:val="auto"/>
              </w:rPr>
            </w:pPr>
            <w:r>
              <w:rPr>
                <w:rFonts w:ascii="Arial" w:cs="Arial" w:eastAsia="Arial" w:hAnsi="Arial"/>
                <w:sz w:val="15"/>
                <w:szCs w:val="15"/>
                <w:b w:val="1"/>
                <w:bCs w:val="1"/>
                <w:color w:val="auto"/>
              </w:rPr>
              <w:t>October 29,</w:t>
            </w:r>
          </w:p>
        </w:tc>
        <w:tc>
          <w:tcPr>
            <w:tcW w:w="160" w:type="dxa"/>
            <w:vAlign w:val="bottom"/>
          </w:tcPr>
          <w:p>
            <w:pPr>
              <w:spacing w:after="0"/>
              <w:rPr>
                <w:sz w:val="13"/>
                <w:szCs w:val="13"/>
                <w:color w:val="auto"/>
              </w:rPr>
            </w:pPr>
          </w:p>
        </w:tc>
        <w:tc>
          <w:tcPr>
            <w:tcW w:w="1220" w:type="dxa"/>
            <w:vAlign w:val="bottom"/>
          </w:tcPr>
          <w:p>
            <w:pPr>
              <w:jc w:val="right"/>
              <w:ind w:right="303"/>
              <w:spacing w:after="0" w:line="151" w:lineRule="exact"/>
              <w:rPr>
                <w:sz w:val="20"/>
                <w:szCs w:val="20"/>
                <w:color w:val="auto"/>
              </w:rPr>
            </w:pPr>
            <w:r>
              <w:rPr>
                <w:rFonts w:ascii="Arial" w:cs="Arial" w:eastAsia="Arial" w:hAnsi="Arial"/>
                <w:sz w:val="15"/>
                <w:szCs w:val="15"/>
                <w:b w:val="1"/>
                <w:bCs w:val="1"/>
                <w:color w:val="auto"/>
                <w:w w:val="99"/>
              </w:rPr>
              <w:t>October 28,</w:t>
            </w:r>
          </w:p>
        </w:tc>
        <w:tc>
          <w:tcPr>
            <w:tcW w:w="160" w:type="dxa"/>
            <w:vAlign w:val="bottom"/>
          </w:tcPr>
          <w:p>
            <w:pPr>
              <w:spacing w:after="0"/>
              <w:rPr>
                <w:sz w:val="13"/>
                <w:szCs w:val="13"/>
                <w:color w:val="auto"/>
              </w:rPr>
            </w:pPr>
          </w:p>
        </w:tc>
        <w:tc>
          <w:tcPr>
            <w:tcW w:w="1220" w:type="dxa"/>
            <w:vAlign w:val="bottom"/>
          </w:tcPr>
          <w:p>
            <w:pPr>
              <w:jc w:val="right"/>
              <w:ind w:right="283"/>
              <w:spacing w:after="0" w:line="151" w:lineRule="exact"/>
              <w:rPr>
                <w:sz w:val="20"/>
                <w:szCs w:val="20"/>
                <w:color w:val="auto"/>
              </w:rPr>
            </w:pPr>
            <w:r>
              <w:rPr>
                <w:rFonts w:ascii="Arial" w:cs="Arial" w:eastAsia="Arial" w:hAnsi="Arial"/>
                <w:sz w:val="15"/>
                <w:szCs w:val="15"/>
                <w:b w:val="1"/>
                <w:bCs w:val="1"/>
                <w:color w:val="auto"/>
              </w:rPr>
              <w:t>October 29,</w:t>
            </w:r>
          </w:p>
        </w:tc>
      </w:tr>
      <w:tr>
        <w:trPr>
          <w:trHeight w:val="194"/>
        </w:trPr>
        <w:tc>
          <w:tcPr>
            <w:tcW w:w="10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2017</w:t>
            </w:r>
          </w:p>
        </w:tc>
        <w:tc>
          <w:tcPr>
            <w:tcW w:w="6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2016</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2016</w:t>
            </w:r>
          </w:p>
        </w:tc>
      </w:tr>
      <w:tr>
        <w:trPr>
          <w:trHeight w:val="187"/>
        </w:trPr>
        <w:tc>
          <w:tcPr>
            <w:tcW w:w="10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3"/>
          </w:tcPr>
          <w:p>
            <w:pPr>
              <w:jc w:val="right"/>
              <w:ind w:right="943"/>
              <w:spacing w:after="0"/>
              <w:rPr>
                <w:sz w:val="20"/>
                <w:szCs w:val="20"/>
                <w:color w:val="auto"/>
              </w:rPr>
            </w:pPr>
            <w:r>
              <w:rPr>
                <w:rFonts w:ascii="Arial" w:cs="Arial" w:eastAsia="Arial" w:hAnsi="Arial"/>
                <w:sz w:val="15"/>
                <w:szCs w:val="15"/>
                <w:color w:val="auto"/>
              </w:rPr>
              <w:t>($ in millions)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7"/>
        </w:trPr>
        <w:tc>
          <w:tcPr>
            <w:tcW w:w="2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Sales</w:t>
            </w:r>
          </w:p>
        </w:tc>
        <w:tc>
          <w:tcPr>
            <w:tcW w:w="1800" w:type="dxa"/>
            <w:vAlign w:val="bottom"/>
            <w:shd w:val="clear" w:color="auto" w:fill="CCEEFF"/>
          </w:tcPr>
          <w:p>
            <w:pPr>
              <w:jc w:val="right"/>
              <w:ind w:right="543"/>
              <w:spacing w:after="0"/>
              <w:rPr>
                <w:sz w:val="20"/>
                <w:szCs w:val="20"/>
                <w:color w:val="auto"/>
              </w:rPr>
            </w:pPr>
            <w:r>
              <w:rPr>
                <w:rFonts w:ascii="Arial" w:cs="Arial" w:eastAsia="Arial" w:hAnsi="Arial"/>
                <w:sz w:val="15"/>
                <w:szCs w:val="15"/>
                <w:b w:val="1"/>
                <w:bCs w:val="1"/>
                <w:color w:val="auto"/>
              </w:rPr>
              <w:t>$</w:t>
            </w:r>
          </w:p>
        </w:tc>
        <w:tc>
          <w:tcPr>
            <w:tcW w:w="62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w w:val="95"/>
              </w:rPr>
              <w:t>1,612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1,644</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4,819</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4,955</w:t>
            </w:r>
          </w:p>
        </w:tc>
      </w:tr>
      <w:tr>
        <w:trPr>
          <w:trHeight w:val="207"/>
        </w:trPr>
        <w:tc>
          <w:tcPr>
            <w:tcW w:w="2540" w:type="dxa"/>
            <w:vAlign w:val="bottom"/>
            <w:gridSpan w:val="2"/>
          </w:tcPr>
          <w:p>
            <w:pPr>
              <w:spacing w:after="0"/>
              <w:rPr>
                <w:sz w:val="20"/>
                <w:szCs w:val="20"/>
                <w:color w:val="auto"/>
              </w:rPr>
            </w:pPr>
            <w:r>
              <w:rPr>
                <w:rFonts w:ascii="Arial" w:cs="Arial" w:eastAsia="Arial" w:hAnsi="Arial"/>
                <w:sz w:val="15"/>
                <w:szCs w:val="15"/>
                <w:color w:val="auto"/>
              </w:rPr>
              <w:t>$ Change</w:t>
            </w:r>
          </w:p>
        </w:tc>
        <w:tc>
          <w:tcPr>
            <w:tcW w:w="1800" w:type="dxa"/>
            <w:vAlign w:val="bottom"/>
          </w:tcPr>
          <w:p>
            <w:pPr>
              <w:jc w:val="right"/>
              <w:ind w:right="543"/>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ind w:right="123"/>
              <w:spacing w:after="0"/>
              <w:rPr>
                <w:sz w:val="20"/>
                <w:szCs w:val="20"/>
                <w:color w:val="auto"/>
              </w:rPr>
            </w:pPr>
            <w:r>
              <w:rPr>
                <w:rFonts w:ascii="Arial" w:cs="Arial" w:eastAsia="Arial" w:hAnsi="Arial"/>
                <w:sz w:val="15"/>
                <w:szCs w:val="15"/>
                <w:b w:val="1"/>
                <w:bCs w:val="1"/>
                <w:color w:val="auto"/>
              </w:rPr>
              <w:t>(32)</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103"/>
              <w:spacing w:after="0"/>
              <w:rPr>
                <w:sz w:val="20"/>
                <w:szCs w:val="20"/>
                <w:color w:val="auto"/>
              </w:rPr>
            </w:pPr>
            <w:r>
              <w:rPr>
                <w:rFonts w:ascii="Arial" w:cs="Arial" w:eastAsia="Arial" w:hAnsi="Arial"/>
                <w:sz w:val="15"/>
                <w:szCs w:val="15"/>
                <w:b w:val="1"/>
                <w:bCs w:val="1"/>
                <w:color w:val="auto"/>
              </w:rPr>
              <w:t>(136)</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spacing w:after="0"/>
              <w:rPr>
                <w:sz w:val="17"/>
                <w:szCs w:val="17"/>
                <w:color w:val="auto"/>
              </w:rPr>
            </w:pPr>
          </w:p>
        </w:tc>
      </w:tr>
      <w:tr>
        <w:trPr>
          <w:trHeight w:val="207"/>
        </w:trPr>
        <w:tc>
          <w:tcPr>
            <w:tcW w:w="2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Change</w:t>
            </w:r>
          </w:p>
        </w:tc>
        <w:tc>
          <w:tcPr>
            <w:tcW w:w="18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(1.9)%</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(2.7)%</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7"/>
        </w:trPr>
        <w:tc>
          <w:tcPr>
            <w:tcW w:w="2540" w:type="dxa"/>
            <w:vAlign w:val="bottom"/>
            <w:gridSpan w:val="2"/>
          </w:tcPr>
          <w:p>
            <w:pPr>
              <w:spacing w:after="0"/>
              <w:rPr>
                <w:sz w:val="20"/>
                <w:szCs w:val="20"/>
                <w:color w:val="auto"/>
              </w:rPr>
            </w:pPr>
            <w:r>
              <w:rPr>
                <w:rFonts w:ascii="Arial" w:cs="Arial" w:eastAsia="Arial" w:hAnsi="Arial"/>
                <w:sz w:val="15"/>
                <w:szCs w:val="15"/>
                <w:color w:val="auto"/>
              </w:rPr>
              <w:t>Division profit</w:t>
            </w:r>
          </w:p>
        </w:tc>
        <w:tc>
          <w:tcPr>
            <w:tcW w:w="1800" w:type="dxa"/>
            <w:vAlign w:val="bottom"/>
          </w:tcPr>
          <w:p>
            <w:pPr>
              <w:jc w:val="right"/>
              <w:ind w:right="543"/>
              <w:spacing w:after="0"/>
              <w:rPr>
                <w:sz w:val="20"/>
                <w:szCs w:val="20"/>
                <w:color w:val="auto"/>
              </w:rPr>
            </w:pPr>
            <w:r>
              <w:rPr>
                <w:rFonts w:ascii="Arial" w:cs="Arial" w:eastAsia="Arial" w:hAnsi="Arial"/>
                <w:sz w:val="15"/>
                <w:szCs w:val="15"/>
                <w:b w:val="1"/>
                <w:bCs w:val="1"/>
                <w:color w:val="auto"/>
              </w:rPr>
              <w:t>$</w:t>
            </w:r>
          </w:p>
        </w:tc>
        <w:tc>
          <w:tcPr>
            <w:tcW w:w="620" w:type="dxa"/>
            <w:vAlign w:val="bottom"/>
          </w:tcPr>
          <w:p>
            <w:pPr>
              <w:jc w:val="right"/>
              <w:ind w:right="163"/>
              <w:spacing w:after="0"/>
              <w:rPr>
                <w:sz w:val="20"/>
                <w:szCs w:val="20"/>
                <w:color w:val="auto"/>
              </w:rPr>
            </w:pPr>
            <w:r>
              <w:rPr>
                <w:rFonts w:ascii="Arial" w:cs="Arial" w:eastAsia="Arial" w:hAnsi="Arial"/>
                <w:sz w:val="15"/>
                <w:szCs w:val="15"/>
                <w:b w:val="1"/>
                <w:bCs w:val="1"/>
                <w:color w:val="auto"/>
              </w:rPr>
              <w:t>154</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3"/>
              <w:spacing w:after="0"/>
              <w:rPr>
                <w:sz w:val="20"/>
                <w:szCs w:val="20"/>
                <w:color w:val="auto"/>
              </w:rPr>
            </w:pPr>
            <w:r>
              <w:rPr>
                <w:rFonts w:ascii="Arial" w:cs="Arial" w:eastAsia="Arial" w:hAnsi="Arial"/>
                <w:sz w:val="15"/>
                <w:szCs w:val="15"/>
                <w:color w:val="auto"/>
              </w:rPr>
              <w:t>213</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143"/>
              <w:spacing w:after="0"/>
              <w:rPr>
                <w:sz w:val="20"/>
                <w:szCs w:val="20"/>
                <w:color w:val="auto"/>
              </w:rPr>
            </w:pPr>
            <w:r>
              <w:rPr>
                <w:rFonts w:ascii="Arial" w:cs="Arial" w:eastAsia="Arial" w:hAnsi="Arial"/>
                <w:sz w:val="15"/>
                <w:szCs w:val="15"/>
                <w:b w:val="1"/>
                <w:bCs w:val="1"/>
                <w:color w:val="auto"/>
              </w:rPr>
              <w:t>504</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43"/>
              <w:spacing w:after="0"/>
              <w:rPr>
                <w:sz w:val="20"/>
                <w:szCs w:val="20"/>
                <w:color w:val="auto"/>
              </w:rPr>
            </w:pPr>
            <w:r>
              <w:rPr>
                <w:rFonts w:ascii="Arial" w:cs="Arial" w:eastAsia="Arial" w:hAnsi="Arial"/>
                <w:sz w:val="15"/>
                <w:szCs w:val="15"/>
                <w:color w:val="auto"/>
              </w:rPr>
              <w:t>683</w:t>
            </w:r>
          </w:p>
        </w:tc>
      </w:tr>
      <w:tr>
        <w:trPr>
          <w:trHeight w:val="207"/>
        </w:trPr>
        <w:tc>
          <w:tcPr>
            <w:tcW w:w="2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Division profit margin</w:t>
            </w:r>
          </w:p>
        </w:tc>
        <w:tc>
          <w:tcPr>
            <w:tcW w:w="180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9.6 %</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13.0 %</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10.5 %</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13.8 %</w:t>
            </w:r>
          </w:p>
        </w:tc>
      </w:tr>
    </w:tbl>
    <w:p>
      <w:pPr>
        <w:spacing w:after="0" w:line="67"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Excluding the effect of foreign currency fluctuations, Athletic Stores segment sales decreased by 3.6 percent and 2.8 percent for the thirteen and thirty-nine weeks ended October 28, 2017, respectively, as compared with the corresponding prior-year periods. The sales decline for the current quarter and year-to-date periods, excluding the effect of foreign currency fluctuations, was across almost all store banners, with the exception of Footaction and Foot Locker Canada, which increased sales.</w:t>
      </w:r>
    </w:p>
    <w:p>
      <w:pPr>
        <w:spacing w:after="0" w:line="95"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Comparable-store sales decreased by 5.1 percent and 4.5 percent for the thirteen and thirty-nine weeks ended October 28, 2017, respectively. Foot Locker Canada generated positive comparable-store sales for the quarter and year-to-date periods, while Footaction was positive for the third quarter but not the year-to-date period. All other store banners generated negative comparable-store sales for both periods. The overall decline in comparable-store sales was due to a decrease in footwear sales for both the quarter and year-to-date periods. The footwear sales decline in the quarter was across men’s, women’s, and children’s, whereas the year-to-date decline was related primarily to declines in children’ and men’s footwear. A comparable-sales increase in men’s lifestyle running footwear for both the quarter and year-to-date periods for the majority of our store banners was not enough to compensate for the comparable-store declines in basketball and court lifestyle footwear. The decline in most other footwear categories for both the quarter and year-to-date periods was the result of insufficient product availability of certain styles and the lack of product innovation in select categories to suit our customers’ quickly-changing style preferences. Women’s court styles mainly contributed to the comparable-store sales decline in women’s footwear both domestically and internationally for the quarter. The decline in women’s footwear was most significant in Foot Locker, Lady Foot Locker, and Foot Locker Europe. Sales of children’s footwear declined for the year-to-date period due primarily by declines in the basketball category.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84" w:right="1399" w:bottom="1440" w:gutter="0" w:footer="0" w:header="0"/>
        </w:sectPr>
      </w:pPr>
    </w:p>
    <w:bookmarkStart w:id="24" w:name="page25"/>
    <w:bookmarkEnd w:id="24"/>
    <w:p>
      <w:pPr>
        <w:jc w:val="both"/>
        <w:ind w:right="20"/>
        <w:spacing w:after="0"/>
        <w:rPr>
          <w:sz w:val="20"/>
          <w:szCs w:val="20"/>
          <w:color w:val="auto"/>
        </w:rPr>
      </w:pPr>
      <w:r>
        <w:rPr>
          <w:rFonts w:ascii="Arial" w:cs="Arial" w:eastAsia="Arial" w:hAnsi="Arial"/>
          <w:sz w:val="15"/>
          <w:szCs w:val="15"/>
          <w:color w:val="auto"/>
        </w:rPr>
        <w:t>The decline in footwear sales was partially offset by gains in apparel sales, as the majority of our store banners experienced apparel sales gains for both the thirteen and thirty-nine weeks ended October 28, 2017. Most of our banners benefited from gains in men’s branded apparel and outerwear, which was partially offset by declines in private label and licensed apparel for both the quarter and year-to-date periods. Additionally, women’s apparel performed well for our SIX:02 banner for both the quarter and year-to-date periods, although this was largely driven by increased markdowns. For the quarter and year-to-date periods, children’s apparel experienced both total and comparable-store sales increases as compared to the corresponding prior-year periods.</w:t>
      </w:r>
    </w:p>
    <w:p>
      <w:pPr>
        <w:spacing w:after="0" w:line="157" w:lineRule="exact"/>
        <w:rPr>
          <w:sz w:val="20"/>
          <w:szCs w:val="20"/>
          <w:color w:val="auto"/>
        </w:rPr>
      </w:pPr>
    </w:p>
    <w:p>
      <w:pPr>
        <w:jc w:val="both"/>
        <w:ind w:right="20"/>
        <w:spacing w:after="0" w:line="245" w:lineRule="auto"/>
        <w:rPr>
          <w:sz w:val="20"/>
          <w:szCs w:val="20"/>
          <w:color w:val="auto"/>
        </w:rPr>
      </w:pPr>
      <w:r>
        <w:rPr>
          <w:rFonts w:ascii="Arial" w:cs="Arial" w:eastAsia="Arial" w:hAnsi="Arial"/>
          <w:sz w:val="15"/>
          <w:szCs w:val="15"/>
          <w:color w:val="auto"/>
        </w:rPr>
        <w:t>Athletic Stores division profit decreased by 27.7 percent and 26.2 percent for the thirteen and thirty-nine weeks ended October 28, 2017, respectively, as compared with the corresponding prior-year periods. The decline in division profit margin for both the quarter and year-to-date periods was attributable primarily to a lower gross margin rate, coupled with a higher SG&amp;A expense rate.</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gridSpan w:val="2"/>
          </w:tcPr>
          <w:p>
            <w:pPr>
              <w:spacing w:after="0"/>
              <w:rPr>
                <w:sz w:val="20"/>
                <w:szCs w:val="20"/>
                <w:color w:val="auto"/>
              </w:rPr>
            </w:pPr>
            <w:r>
              <w:rPr>
                <w:rFonts w:ascii="Arial" w:cs="Arial" w:eastAsia="Arial" w:hAnsi="Arial"/>
                <w:sz w:val="15"/>
                <w:szCs w:val="15"/>
                <w:i w:val="1"/>
                <w:iCs w:val="1"/>
                <w:color w:val="auto"/>
              </w:rPr>
              <w:t>Direct-to-Customers</w:t>
            </w:r>
          </w:p>
        </w:tc>
        <w:tc>
          <w:tcPr>
            <w:tcW w:w="1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333"/>
        </w:trPr>
        <w:tc>
          <w:tcPr>
            <w:tcW w:w="1380" w:type="dxa"/>
            <w:vAlign w:val="bottom"/>
            <w:tcBorders>
              <w:top w:val="single" w:sz="8" w:color="auto"/>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ind w:right="603"/>
              <w:spacing w:after="0"/>
              <w:rPr>
                <w:sz w:val="20"/>
                <w:szCs w:val="20"/>
                <w:color w:val="auto"/>
              </w:rPr>
            </w:pPr>
            <w:r>
              <w:rPr>
                <w:rFonts w:ascii="Arial" w:cs="Arial" w:eastAsia="Arial" w:hAnsi="Arial"/>
                <w:sz w:val="15"/>
                <w:szCs w:val="15"/>
                <w:b w:val="1"/>
                <w:bCs w:val="1"/>
                <w:color w:val="auto"/>
              </w:rPr>
              <w:t>Thirteen weeks ended</w:t>
            </w: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5"/>
                <w:szCs w:val="15"/>
                <w:b w:val="1"/>
                <w:bCs w:val="1"/>
                <w:color w:val="auto"/>
              </w:rPr>
              <w:t>Thirty-nine weeks ended</w:t>
            </w:r>
          </w:p>
        </w:tc>
      </w:tr>
      <w:tr>
        <w:trPr>
          <w:trHeight w:val="151"/>
        </w:trPr>
        <w:tc>
          <w:tcPr>
            <w:tcW w:w="13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20" w:type="dxa"/>
            <w:vAlign w:val="bottom"/>
          </w:tcPr>
          <w:p>
            <w:pPr>
              <w:jc w:val="right"/>
              <w:ind w:right="303"/>
              <w:spacing w:after="0" w:line="151" w:lineRule="exact"/>
              <w:rPr>
                <w:sz w:val="20"/>
                <w:szCs w:val="20"/>
                <w:color w:val="auto"/>
              </w:rPr>
            </w:pPr>
            <w:r>
              <w:rPr>
                <w:rFonts w:ascii="Arial" w:cs="Arial" w:eastAsia="Arial" w:hAnsi="Arial"/>
                <w:sz w:val="15"/>
                <w:szCs w:val="15"/>
                <w:b w:val="1"/>
                <w:bCs w:val="1"/>
                <w:color w:val="auto"/>
                <w:w w:val="99"/>
              </w:rPr>
              <w:t>October 28,</w:t>
            </w:r>
          </w:p>
        </w:tc>
        <w:tc>
          <w:tcPr>
            <w:tcW w:w="140" w:type="dxa"/>
            <w:vAlign w:val="bottom"/>
          </w:tcPr>
          <w:p>
            <w:pPr>
              <w:spacing w:after="0"/>
              <w:rPr>
                <w:sz w:val="13"/>
                <w:szCs w:val="13"/>
                <w:color w:val="auto"/>
              </w:rPr>
            </w:pPr>
          </w:p>
        </w:tc>
        <w:tc>
          <w:tcPr>
            <w:tcW w:w="1240" w:type="dxa"/>
            <w:vAlign w:val="bottom"/>
          </w:tcPr>
          <w:p>
            <w:pPr>
              <w:jc w:val="right"/>
              <w:ind w:right="303"/>
              <w:spacing w:after="0" w:line="151" w:lineRule="exact"/>
              <w:rPr>
                <w:sz w:val="20"/>
                <w:szCs w:val="20"/>
                <w:color w:val="auto"/>
              </w:rPr>
            </w:pPr>
            <w:r>
              <w:rPr>
                <w:rFonts w:ascii="Arial" w:cs="Arial" w:eastAsia="Arial" w:hAnsi="Arial"/>
                <w:sz w:val="15"/>
                <w:szCs w:val="15"/>
                <w:b w:val="1"/>
                <w:bCs w:val="1"/>
                <w:color w:val="auto"/>
              </w:rPr>
              <w:t>October 29,</w:t>
            </w:r>
          </w:p>
        </w:tc>
        <w:tc>
          <w:tcPr>
            <w:tcW w:w="160" w:type="dxa"/>
            <w:vAlign w:val="bottom"/>
          </w:tcPr>
          <w:p>
            <w:pPr>
              <w:spacing w:after="0"/>
              <w:rPr>
                <w:sz w:val="13"/>
                <w:szCs w:val="13"/>
                <w:color w:val="auto"/>
              </w:rPr>
            </w:pPr>
          </w:p>
        </w:tc>
        <w:tc>
          <w:tcPr>
            <w:tcW w:w="1220" w:type="dxa"/>
            <w:vAlign w:val="bottom"/>
          </w:tcPr>
          <w:p>
            <w:pPr>
              <w:jc w:val="right"/>
              <w:ind w:right="303"/>
              <w:spacing w:after="0" w:line="151" w:lineRule="exact"/>
              <w:rPr>
                <w:sz w:val="20"/>
                <w:szCs w:val="20"/>
                <w:color w:val="auto"/>
              </w:rPr>
            </w:pPr>
            <w:r>
              <w:rPr>
                <w:rFonts w:ascii="Arial" w:cs="Arial" w:eastAsia="Arial" w:hAnsi="Arial"/>
                <w:sz w:val="15"/>
                <w:szCs w:val="15"/>
                <w:b w:val="1"/>
                <w:bCs w:val="1"/>
                <w:color w:val="auto"/>
                <w:w w:val="99"/>
              </w:rPr>
              <w:t>October 28,</w:t>
            </w:r>
          </w:p>
        </w:tc>
        <w:tc>
          <w:tcPr>
            <w:tcW w:w="160" w:type="dxa"/>
            <w:vAlign w:val="bottom"/>
          </w:tcPr>
          <w:p>
            <w:pPr>
              <w:spacing w:after="0"/>
              <w:rPr>
                <w:sz w:val="13"/>
                <w:szCs w:val="13"/>
                <w:color w:val="auto"/>
              </w:rPr>
            </w:pPr>
          </w:p>
        </w:tc>
        <w:tc>
          <w:tcPr>
            <w:tcW w:w="1220" w:type="dxa"/>
            <w:vAlign w:val="bottom"/>
          </w:tcPr>
          <w:p>
            <w:pPr>
              <w:jc w:val="right"/>
              <w:ind w:right="283"/>
              <w:spacing w:after="0" w:line="151" w:lineRule="exact"/>
              <w:rPr>
                <w:sz w:val="20"/>
                <w:szCs w:val="20"/>
                <w:color w:val="auto"/>
              </w:rPr>
            </w:pPr>
            <w:r>
              <w:rPr>
                <w:rFonts w:ascii="Arial" w:cs="Arial" w:eastAsia="Arial" w:hAnsi="Arial"/>
                <w:sz w:val="15"/>
                <w:szCs w:val="15"/>
                <w:b w:val="1"/>
                <w:bCs w:val="1"/>
                <w:color w:val="auto"/>
              </w:rPr>
              <w:t>October 29,</w:t>
            </w:r>
          </w:p>
        </w:tc>
      </w:tr>
      <w:tr>
        <w:trPr>
          <w:trHeight w:val="194"/>
        </w:trPr>
        <w:tc>
          <w:tcPr>
            <w:tcW w:w="138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2016</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2017</w:t>
            </w:r>
          </w:p>
        </w:tc>
        <w:tc>
          <w:tcPr>
            <w:tcW w:w="1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2016</w:t>
            </w:r>
          </w:p>
        </w:tc>
      </w:tr>
      <w:tr>
        <w:trPr>
          <w:trHeight w:val="187"/>
        </w:trPr>
        <w:tc>
          <w:tcPr>
            <w:tcW w:w="13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620" w:type="dxa"/>
            <w:vAlign w:val="bottom"/>
            <w:gridSpan w:val="3"/>
          </w:tcPr>
          <w:p>
            <w:pPr>
              <w:jc w:val="right"/>
              <w:ind w:right="943"/>
              <w:spacing w:after="0"/>
              <w:rPr>
                <w:sz w:val="20"/>
                <w:szCs w:val="20"/>
                <w:color w:val="auto"/>
              </w:rPr>
            </w:pPr>
            <w:r>
              <w:rPr>
                <w:rFonts w:ascii="Arial" w:cs="Arial" w:eastAsia="Arial" w:hAnsi="Arial"/>
                <w:sz w:val="15"/>
                <w:szCs w:val="15"/>
                <w:color w:val="auto"/>
              </w:rPr>
              <w:t>($ in millions)</w:t>
            </w:r>
          </w:p>
        </w:tc>
        <w:tc>
          <w:tcPr>
            <w:tcW w:w="1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7"/>
        </w:trPr>
        <w:tc>
          <w:tcPr>
            <w:tcW w:w="2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Sales</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CCEEFF"/>
          </w:tcPr>
          <w:p>
            <w:pPr>
              <w:jc w:val="right"/>
              <w:ind w:right="163"/>
              <w:spacing w:after="0"/>
              <w:rPr>
                <w:sz w:val="20"/>
                <w:szCs w:val="20"/>
                <w:color w:val="auto"/>
              </w:rPr>
            </w:pPr>
            <w:r>
              <w:rPr>
                <w:rFonts w:ascii="Arial" w:cs="Arial" w:eastAsia="Arial" w:hAnsi="Arial"/>
                <w:sz w:val="15"/>
                <w:szCs w:val="15"/>
                <w:b w:val="1"/>
                <w:bCs w:val="1"/>
                <w:color w:val="auto"/>
              </w:rPr>
              <w:t>258</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ind w:right="163"/>
              <w:spacing w:after="0"/>
              <w:rPr>
                <w:sz w:val="20"/>
                <w:szCs w:val="20"/>
                <w:color w:val="auto"/>
              </w:rPr>
            </w:pPr>
            <w:r>
              <w:rPr>
                <w:rFonts w:ascii="Arial" w:cs="Arial" w:eastAsia="Arial" w:hAnsi="Arial"/>
                <w:sz w:val="15"/>
                <w:szCs w:val="15"/>
                <w:color w:val="auto"/>
              </w:rPr>
              <w:t>242</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shd w:val="clear" w:color="auto" w:fill="CCEEFF"/>
          </w:tcPr>
          <w:p>
            <w:pPr>
              <w:jc w:val="right"/>
              <w:ind w:right="143"/>
              <w:spacing w:after="0"/>
              <w:rPr>
                <w:sz w:val="20"/>
                <w:szCs w:val="20"/>
                <w:color w:val="auto"/>
              </w:rPr>
            </w:pPr>
            <w:r>
              <w:rPr>
                <w:rFonts w:ascii="Arial" w:cs="Arial" w:eastAsia="Arial" w:hAnsi="Arial"/>
                <w:sz w:val="15"/>
                <w:szCs w:val="15"/>
                <w:b w:val="1"/>
                <w:bCs w:val="1"/>
                <w:color w:val="auto"/>
              </w:rPr>
              <w:t>753</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698</w:t>
            </w:r>
          </w:p>
        </w:tc>
      </w:tr>
      <w:tr>
        <w:trPr>
          <w:trHeight w:val="207"/>
        </w:trPr>
        <w:tc>
          <w:tcPr>
            <w:tcW w:w="2540" w:type="dxa"/>
            <w:vAlign w:val="bottom"/>
            <w:gridSpan w:val="2"/>
          </w:tcPr>
          <w:p>
            <w:pPr>
              <w:spacing w:after="0"/>
              <w:rPr>
                <w:sz w:val="20"/>
                <w:szCs w:val="20"/>
                <w:color w:val="auto"/>
              </w:rPr>
            </w:pPr>
            <w:r>
              <w:rPr>
                <w:rFonts w:ascii="Arial" w:cs="Arial" w:eastAsia="Arial" w:hAnsi="Arial"/>
                <w:sz w:val="15"/>
                <w:szCs w:val="15"/>
                <w:color w:val="auto"/>
              </w:rPr>
              <w:t>$ Change</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163"/>
              <w:spacing w:after="0"/>
              <w:rPr>
                <w:sz w:val="20"/>
                <w:szCs w:val="20"/>
                <w:color w:val="auto"/>
              </w:rPr>
            </w:pPr>
            <w:r>
              <w:rPr>
                <w:rFonts w:ascii="Arial" w:cs="Arial" w:eastAsia="Arial" w:hAnsi="Arial"/>
                <w:sz w:val="15"/>
                <w:szCs w:val="15"/>
                <w:b w:val="1"/>
                <w:bCs w:val="1"/>
                <w:color w:val="auto"/>
              </w:rPr>
              <w:t>16</w:t>
            </w:r>
          </w:p>
        </w:tc>
        <w:tc>
          <w:tcPr>
            <w:tcW w:w="1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143"/>
              <w:spacing w:after="0"/>
              <w:rPr>
                <w:sz w:val="20"/>
                <w:szCs w:val="20"/>
                <w:color w:val="auto"/>
              </w:rPr>
            </w:pPr>
            <w:r>
              <w:rPr>
                <w:rFonts w:ascii="Arial" w:cs="Arial" w:eastAsia="Arial" w:hAnsi="Arial"/>
                <w:sz w:val="15"/>
                <w:szCs w:val="15"/>
                <w:b w:val="1"/>
                <w:bCs w:val="1"/>
                <w:color w:val="auto"/>
              </w:rPr>
              <w:t>55</w:t>
            </w: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07"/>
        </w:trPr>
        <w:tc>
          <w:tcPr>
            <w:tcW w:w="2540" w:type="dxa"/>
            <w:vAlign w:val="bottom"/>
            <w:gridSpan w:val="2"/>
            <w:shd w:val="clear" w:color="auto" w:fill="CCEEFF"/>
          </w:tcPr>
          <w:p>
            <w:pPr>
              <w:spacing w:after="0"/>
              <w:rPr>
                <w:sz w:val="20"/>
                <w:szCs w:val="20"/>
                <w:color w:val="auto"/>
              </w:rPr>
            </w:pPr>
            <w:r>
              <w:rPr>
                <w:rFonts w:ascii="Arial" w:cs="Arial" w:eastAsia="Arial" w:hAnsi="Arial"/>
                <w:sz w:val="15"/>
                <w:szCs w:val="15"/>
                <w:color w:val="auto"/>
              </w:rPr>
              <w:t>% Change</w:t>
            </w:r>
          </w:p>
        </w:tc>
        <w:tc>
          <w:tcPr>
            <w:tcW w:w="120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6.6 %</w:t>
            </w: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7.9 %</w:t>
            </w:r>
          </w:p>
        </w:tc>
        <w:tc>
          <w:tcPr>
            <w:tcW w:w="1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r>
      <w:tr>
        <w:trPr>
          <w:trHeight w:val="207"/>
        </w:trPr>
        <w:tc>
          <w:tcPr>
            <w:tcW w:w="2540" w:type="dxa"/>
            <w:vAlign w:val="bottom"/>
            <w:gridSpan w:val="2"/>
          </w:tcPr>
          <w:p>
            <w:pPr>
              <w:spacing w:after="0"/>
              <w:rPr>
                <w:sz w:val="20"/>
                <w:szCs w:val="20"/>
                <w:color w:val="auto"/>
              </w:rPr>
            </w:pPr>
            <w:r>
              <w:rPr>
                <w:rFonts w:ascii="Arial" w:cs="Arial" w:eastAsia="Arial" w:hAnsi="Arial"/>
                <w:sz w:val="15"/>
                <w:szCs w:val="15"/>
                <w:color w:val="auto"/>
              </w:rPr>
              <w:t>Division profit</w:t>
            </w:r>
          </w:p>
        </w:tc>
        <w:tc>
          <w:tcPr>
            <w:tcW w:w="120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163"/>
              <w:spacing w:after="0"/>
              <w:rPr>
                <w:sz w:val="20"/>
                <w:szCs w:val="20"/>
                <w:color w:val="auto"/>
              </w:rPr>
            </w:pPr>
            <w:r>
              <w:rPr>
                <w:rFonts w:ascii="Arial" w:cs="Arial" w:eastAsia="Arial" w:hAnsi="Arial"/>
                <w:sz w:val="15"/>
                <w:szCs w:val="15"/>
                <w:b w:val="1"/>
                <w:bCs w:val="1"/>
                <w:color w:val="auto"/>
              </w:rPr>
              <w:t>26</w:t>
            </w:r>
          </w:p>
        </w:tc>
        <w:tc>
          <w:tcPr>
            <w:tcW w:w="140" w:type="dxa"/>
            <w:vAlign w:val="bottom"/>
          </w:tcPr>
          <w:p>
            <w:pPr>
              <w:jc w:val="right"/>
              <w:spacing w:after="0"/>
              <w:rPr>
                <w:sz w:val="20"/>
                <w:szCs w:val="20"/>
                <w:color w:val="auto"/>
              </w:rPr>
            </w:pPr>
            <w:r>
              <w:rPr>
                <w:rFonts w:ascii="Arial" w:cs="Arial" w:eastAsia="Arial" w:hAnsi="Arial"/>
                <w:sz w:val="15"/>
                <w:szCs w:val="15"/>
                <w:color w:val="auto"/>
              </w:rPr>
              <w:t>$</w:t>
            </w:r>
          </w:p>
        </w:tc>
        <w:tc>
          <w:tcPr>
            <w:tcW w:w="1240" w:type="dxa"/>
            <w:vAlign w:val="bottom"/>
          </w:tcPr>
          <w:p>
            <w:pPr>
              <w:jc w:val="right"/>
              <w:ind w:right="163"/>
              <w:spacing w:after="0"/>
              <w:rPr>
                <w:sz w:val="20"/>
                <w:szCs w:val="20"/>
                <w:color w:val="auto"/>
              </w:rPr>
            </w:pPr>
            <w:r>
              <w:rPr>
                <w:rFonts w:ascii="Arial" w:cs="Arial" w:eastAsia="Arial" w:hAnsi="Arial"/>
                <w:sz w:val="15"/>
                <w:szCs w:val="15"/>
                <w:color w:val="auto"/>
              </w:rPr>
              <w:t>32</w:t>
            </w:r>
          </w:p>
        </w:tc>
        <w:tc>
          <w:tcPr>
            <w:tcW w:w="1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1220" w:type="dxa"/>
            <w:vAlign w:val="bottom"/>
          </w:tcPr>
          <w:p>
            <w:pPr>
              <w:jc w:val="right"/>
              <w:ind w:right="143"/>
              <w:spacing w:after="0"/>
              <w:rPr>
                <w:sz w:val="20"/>
                <w:szCs w:val="20"/>
                <w:color w:val="auto"/>
              </w:rPr>
            </w:pPr>
            <w:r>
              <w:rPr>
                <w:rFonts w:ascii="Arial" w:cs="Arial" w:eastAsia="Arial" w:hAnsi="Arial"/>
                <w:sz w:val="15"/>
                <w:szCs w:val="15"/>
                <w:b w:val="1"/>
                <w:bCs w:val="1"/>
                <w:color w:val="auto"/>
              </w:rPr>
              <w:t>88</w:t>
            </w:r>
          </w:p>
        </w:tc>
        <w:tc>
          <w:tcPr>
            <w:tcW w:w="160" w:type="dxa"/>
            <w:vAlign w:val="bottom"/>
          </w:tcPr>
          <w:p>
            <w:pPr>
              <w:jc w:val="right"/>
              <w:spacing w:after="0"/>
              <w:rPr>
                <w:sz w:val="20"/>
                <w:szCs w:val="20"/>
                <w:color w:val="auto"/>
              </w:rPr>
            </w:pPr>
            <w:r>
              <w:rPr>
                <w:rFonts w:ascii="Arial" w:cs="Arial" w:eastAsia="Arial" w:hAnsi="Arial"/>
                <w:sz w:val="15"/>
                <w:szCs w:val="15"/>
                <w:color w:val="auto"/>
              </w:rPr>
              <w:t>$</w:t>
            </w:r>
          </w:p>
        </w:tc>
        <w:tc>
          <w:tcPr>
            <w:tcW w:w="1220" w:type="dxa"/>
            <w:vAlign w:val="bottom"/>
          </w:tcPr>
          <w:p>
            <w:pPr>
              <w:jc w:val="right"/>
              <w:ind w:right="143"/>
              <w:spacing w:after="0"/>
              <w:rPr>
                <w:sz w:val="20"/>
                <w:szCs w:val="20"/>
                <w:color w:val="auto"/>
              </w:rPr>
            </w:pPr>
            <w:r>
              <w:rPr>
                <w:rFonts w:ascii="Arial" w:cs="Arial" w:eastAsia="Arial" w:hAnsi="Arial"/>
                <w:sz w:val="15"/>
                <w:szCs w:val="15"/>
                <w:color w:val="auto"/>
              </w:rPr>
              <w:t>92</w:t>
            </w:r>
          </w:p>
        </w:tc>
      </w:tr>
      <w:tr>
        <w:trPr>
          <w:trHeight w:val="207"/>
        </w:trPr>
        <w:tc>
          <w:tcPr>
            <w:tcW w:w="2540" w:type="dxa"/>
            <w:vAlign w:val="bottom"/>
            <w:tcBorders>
              <w:bottom w:val="single" w:sz="8" w:color="auto"/>
            </w:tcBorders>
            <w:gridSpan w:val="2"/>
            <w:shd w:val="clear" w:color="auto" w:fill="CCEEFF"/>
          </w:tcPr>
          <w:p>
            <w:pPr>
              <w:spacing w:after="0"/>
              <w:rPr>
                <w:sz w:val="20"/>
                <w:szCs w:val="20"/>
                <w:color w:val="auto"/>
              </w:rPr>
            </w:pPr>
            <w:r>
              <w:rPr>
                <w:rFonts w:ascii="Arial" w:cs="Arial" w:eastAsia="Arial" w:hAnsi="Arial"/>
                <w:sz w:val="15"/>
                <w:szCs w:val="15"/>
                <w:color w:val="auto"/>
              </w:rPr>
              <w:t>Division profit margin</w:t>
            </w:r>
          </w:p>
        </w:tc>
        <w:tc>
          <w:tcPr>
            <w:tcW w:w="120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10.1 %</w:t>
            </w: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13.2 %</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rPr>
              <w:t>11.7 %</w:t>
            </w:r>
          </w:p>
        </w:tc>
        <w:tc>
          <w:tcPr>
            <w:tcW w:w="1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13.2 %</w:t>
            </w:r>
          </w:p>
        </w:tc>
      </w:tr>
    </w:tbl>
    <w:p>
      <w:pPr>
        <w:spacing w:after="0" w:line="177"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Comparable-sales for the Direct-to-Customers segment increased by 6.1 percent and 8.1 percent for the thirteen and thirty-nine weeks ended October 28, 2017, respectively, as compared with the corresponding prior-year periods. The increase in the quarter was driven primarily by Eastbay and the continued growth of ecommerce sales associated with our store-banner websites, both domestically and internationally. The increase for the year-to-date period was primarily related to the growth of our store-banner websites.</w:t>
      </w:r>
    </w:p>
    <w:p>
      <w:pPr>
        <w:spacing w:after="0" w:line="329" w:lineRule="exact"/>
        <w:rPr>
          <w:sz w:val="20"/>
          <w:szCs w:val="20"/>
          <w:color w:val="auto"/>
        </w:rPr>
      </w:pPr>
    </w:p>
    <w:p>
      <w:pPr>
        <w:jc w:val="both"/>
        <w:ind w:right="20"/>
        <w:spacing w:after="0" w:line="241" w:lineRule="auto"/>
        <w:rPr>
          <w:sz w:val="20"/>
          <w:szCs w:val="20"/>
          <w:color w:val="auto"/>
        </w:rPr>
      </w:pPr>
      <w:r>
        <w:rPr>
          <w:rFonts w:ascii="Arial" w:cs="Arial" w:eastAsia="Arial" w:hAnsi="Arial"/>
          <w:sz w:val="15"/>
          <w:szCs w:val="15"/>
          <w:color w:val="auto"/>
        </w:rPr>
        <w:t>The footwear category continued to deliver the strongest gains during the current quarter and year-to-date periods. The footwear gains related to our domestic store-banner websites and Eastbay for both the quarter and year-to-date periods were driven by strong results in the children’s and men’s footwear categories. For the quarter, the women’s business softened primarily in the running category. Our international store-banner websites for both the quarter and year-to-date periods were primarily driven by sales from men’s and women’s lifestyle running styles.</w:t>
      </w:r>
    </w:p>
    <w:p>
      <w:pPr>
        <w:spacing w:after="0" w:line="156" w:lineRule="exact"/>
        <w:rPr>
          <w:sz w:val="20"/>
          <w:szCs w:val="20"/>
          <w:color w:val="auto"/>
        </w:rPr>
      </w:pPr>
    </w:p>
    <w:p>
      <w:pPr>
        <w:jc w:val="both"/>
        <w:ind w:right="20"/>
        <w:spacing w:after="0" w:line="239" w:lineRule="auto"/>
        <w:rPr>
          <w:sz w:val="20"/>
          <w:szCs w:val="20"/>
          <w:color w:val="auto"/>
        </w:rPr>
      </w:pPr>
      <w:r>
        <w:rPr>
          <w:rFonts w:ascii="Arial" w:cs="Arial" w:eastAsia="Arial" w:hAnsi="Arial"/>
          <w:sz w:val="15"/>
          <w:szCs w:val="15"/>
          <w:color w:val="auto"/>
        </w:rPr>
        <w:t>Direct-to-Customers division profit for the thirteen and thirty-nine weeks ended October 28, 2017 decreased by $6 million and $4 million, respectively, as compared with the corresponding prior-year periods. Division profit, as a percentage of sales, declined by 310 basis points and 150 basis points for the thirteen and thirty-nine weeks ended October 28, 2017, respectively, as compared with the corresponding prior-year periods. While sales increased, the gross margin rate declined due to increased markdowns in response to promotional activity in the market and, to a lesser degree, higher shipping and handling expense. Partially offsetting the gross margin decline was an expense rate improvement primarily related to lower publicity costs and incentive compensation expense in light of current performance as compared with our plan.</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Corporate Expense</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3"/>
          </w:tcPr>
          <w:p>
            <w:pPr>
              <w:jc w:val="right"/>
              <w:ind w:right="523"/>
              <w:spacing w:after="0"/>
              <w:rPr>
                <w:sz w:val="20"/>
                <w:szCs w:val="20"/>
                <w:color w:val="auto"/>
              </w:rPr>
            </w:pPr>
            <w:r>
              <w:rPr>
                <w:rFonts w:ascii="Arial" w:cs="Arial" w:eastAsia="Arial" w:hAnsi="Arial"/>
                <w:sz w:val="15"/>
                <w:szCs w:val="15"/>
                <w:b w:val="1"/>
                <w:bCs w:val="1"/>
                <w:color w:val="auto"/>
              </w:rPr>
              <w:t>Thirteen weeks ended</w:t>
            </w:r>
          </w:p>
        </w:tc>
        <w:tc>
          <w:tcPr>
            <w:tcW w:w="24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3"/>
          </w:tcPr>
          <w:p>
            <w:pPr>
              <w:jc w:val="right"/>
              <w:ind w:right="503"/>
              <w:spacing w:after="0"/>
              <w:rPr>
                <w:sz w:val="20"/>
                <w:szCs w:val="20"/>
                <w:color w:val="auto"/>
              </w:rPr>
            </w:pPr>
            <w:r>
              <w:rPr>
                <w:rFonts w:ascii="Arial" w:cs="Arial" w:eastAsia="Arial" w:hAnsi="Arial"/>
                <w:sz w:val="15"/>
                <w:szCs w:val="15"/>
                <w:b w:val="1"/>
                <w:bCs w:val="1"/>
                <w:color w:val="auto"/>
              </w:rPr>
              <w:t>Thirty-nine weeks ended</w:t>
            </w:r>
          </w:p>
        </w:tc>
        <w:tc>
          <w:tcPr>
            <w:tcW w:w="20" w:type="dxa"/>
            <w:vAlign w:val="bottom"/>
          </w:tcPr>
          <w:p>
            <w:pPr>
              <w:spacing w:after="0"/>
              <w:rPr>
                <w:sz w:val="16"/>
                <w:szCs w:val="16"/>
                <w:color w:val="auto"/>
              </w:rPr>
            </w:pPr>
          </w:p>
        </w:tc>
      </w:tr>
      <w:tr>
        <w:trPr>
          <w:trHeight w:val="151"/>
        </w:trPr>
        <w:tc>
          <w:tcPr>
            <w:tcW w:w="24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140" w:type="dxa"/>
            <w:vAlign w:val="bottom"/>
          </w:tcPr>
          <w:p>
            <w:pPr>
              <w:jc w:val="center"/>
              <w:ind w:right="223"/>
              <w:spacing w:after="0" w:line="151" w:lineRule="exact"/>
              <w:rPr>
                <w:sz w:val="20"/>
                <w:szCs w:val="20"/>
                <w:color w:val="auto"/>
              </w:rPr>
            </w:pPr>
            <w:r>
              <w:rPr>
                <w:rFonts w:ascii="Arial" w:cs="Arial" w:eastAsia="Arial" w:hAnsi="Arial"/>
                <w:sz w:val="15"/>
                <w:szCs w:val="15"/>
                <w:b w:val="1"/>
                <w:bCs w:val="1"/>
                <w:color w:val="auto"/>
              </w:rPr>
              <w:t>October 28,</w:t>
            </w:r>
          </w:p>
        </w:tc>
        <w:tc>
          <w:tcPr>
            <w:tcW w:w="220" w:type="dxa"/>
            <w:vAlign w:val="bottom"/>
          </w:tcPr>
          <w:p>
            <w:pPr>
              <w:spacing w:after="0"/>
              <w:rPr>
                <w:sz w:val="13"/>
                <w:szCs w:val="13"/>
                <w:color w:val="auto"/>
              </w:rPr>
            </w:pPr>
          </w:p>
        </w:tc>
        <w:tc>
          <w:tcPr>
            <w:tcW w:w="1160" w:type="dxa"/>
            <w:vAlign w:val="bottom"/>
          </w:tcPr>
          <w:p>
            <w:pPr>
              <w:jc w:val="center"/>
              <w:ind w:right="203"/>
              <w:spacing w:after="0" w:line="151" w:lineRule="exact"/>
              <w:rPr>
                <w:sz w:val="20"/>
                <w:szCs w:val="20"/>
                <w:color w:val="auto"/>
              </w:rPr>
            </w:pPr>
            <w:r>
              <w:rPr>
                <w:rFonts w:ascii="Arial" w:cs="Arial" w:eastAsia="Arial" w:hAnsi="Arial"/>
                <w:sz w:val="15"/>
                <w:szCs w:val="15"/>
                <w:b w:val="1"/>
                <w:bCs w:val="1"/>
                <w:color w:val="auto"/>
              </w:rPr>
              <w:t>October 29,</w:t>
            </w:r>
          </w:p>
        </w:tc>
        <w:tc>
          <w:tcPr>
            <w:tcW w:w="240" w:type="dxa"/>
            <w:vAlign w:val="bottom"/>
          </w:tcPr>
          <w:p>
            <w:pPr>
              <w:spacing w:after="0"/>
              <w:rPr>
                <w:sz w:val="13"/>
                <w:szCs w:val="13"/>
                <w:color w:val="auto"/>
              </w:rPr>
            </w:pPr>
          </w:p>
        </w:tc>
        <w:tc>
          <w:tcPr>
            <w:tcW w:w="1160" w:type="dxa"/>
            <w:vAlign w:val="bottom"/>
          </w:tcPr>
          <w:p>
            <w:pPr>
              <w:jc w:val="center"/>
              <w:ind w:right="243"/>
              <w:spacing w:after="0" w:line="151" w:lineRule="exact"/>
              <w:rPr>
                <w:sz w:val="20"/>
                <w:szCs w:val="20"/>
                <w:color w:val="auto"/>
              </w:rPr>
            </w:pPr>
            <w:r>
              <w:rPr>
                <w:rFonts w:ascii="Arial" w:cs="Arial" w:eastAsia="Arial" w:hAnsi="Arial"/>
                <w:sz w:val="15"/>
                <w:szCs w:val="15"/>
                <w:b w:val="1"/>
                <w:bCs w:val="1"/>
                <w:color w:val="auto"/>
              </w:rPr>
              <w:t>October 28,</w:t>
            </w:r>
          </w:p>
        </w:tc>
        <w:tc>
          <w:tcPr>
            <w:tcW w:w="220" w:type="dxa"/>
            <w:vAlign w:val="bottom"/>
          </w:tcPr>
          <w:p>
            <w:pPr>
              <w:spacing w:after="0"/>
              <w:rPr>
                <w:sz w:val="13"/>
                <w:szCs w:val="13"/>
                <w:color w:val="auto"/>
              </w:rPr>
            </w:pPr>
          </w:p>
        </w:tc>
        <w:tc>
          <w:tcPr>
            <w:tcW w:w="1220" w:type="dxa"/>
            <w:vAlign w:val="bottom"/>
          </w:tcPr>
          <w:p>
            <w:pPr>
              <w:jc w:val="center"/>
              <w:ind w:right="283"/>
              <w:spacing w:after="0" w:line="151" w:lineRule="exact"/>
              <w:rPr>
                <w:sz w:val="20"/>
                <w:szCs w:val="20"/>
                <w:color w:val="auto"/>
              </w:rPr>
            </w:pPr>
            <w:r>
              <w:rPr>
                <w:rFonts w:ascii="Arial" w:cs="Arial" w:eastAsia="Arial" w:hAnsi="Arial"/>
                <w:sz w:val="15"/>
                <w:szCs w:val="15"/>
                <w:b w:val="1"/>
                <w:bCs w:val="1"/>
                <w:color w:val="auto"/>
              </w:rPr>
              <w:t>October 29,</w:t>
            </w:r>
          </w:p>
        </w:tc>
        <w:tc>
          <w:tcPr>
            <w:tcW w:w="20" w:type="dxa"/>
            <w:vAlign w:val="bottom"/>
          </w:tcPr>
          <w:p>
            <w:pPr>
              <w:spacing w:after="0"/>
              <w:rPr>
                <w:sz w:val="13"/>
                <w:szCs w:val="13"/>
                <w:color w:val="auto"/>
              </w:rPr>
            </w:pPr>
          </w:p>
        </w:tc>
      </w:tr>
      <w:tr>
        <w:trPr>
          <w:trHeight w:val="194"/>
        </w:trPr>
        <w:tc>
          <w:tcPr>
            <w:tcW w:w="24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63"/>
              <w:spacing w:after="0"/>
              <w:rPr>
                <w:sz w:val="20"/>
                <w:szCs w:val="20"/>
                <w:color w:val="auto"/>
              </w:rPr>
            </w:pPr>
            <w:r>
              <w:rPr>
                <w:rFonts w:ascii="Arial" w:cs="Arial" w:eastAsia="Arial" w:hAnsi="Arial"/>
                <w:sz w:val="15"/>
                <w:szCs w:val="15"/>
                <w:b w:val="1"/>
                <w:bCs w:val="1"/>
                <w:color w:val="auto"/>
              </w:rPr>
              <w:t>2016</w:t>
            </w:r>
          </w:p>
        </w:tc>
        <w:tc>
          <w:tcPr>
            <w:tcW w:w="2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83"/>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43"/>
              <w:spacing w:after="0"/>
              <w:rPr>
                <w:sz w:val="20"/>
                <w:szCs w:val="20"/>
                <w:color w:val="auto"/>
              </w:rPr>
            </w:pPr>
            <w:r>
              <w:rPr>
                <w:rFonts w:ascii="Arial" w:cs="Arial" w:eastAsia="Arial" w:hAnsi="Arial"/>
                <w:sz w:val="15"/>
                <w:szCs w:val="15"/>
                <w:b w:val="1"/>
                <w:bCs w:val="1"/>
                <w:color w:val="auto"/>
              </w:rPr>
              <w:t>2016</w:t>
            </w:r>
          </w:p>
        </w:tc>
        <w:tc>
          <w:tcPr>
            <w:tcW w:w="20" w:type="dxa"/>
            <w:vAlign w:val="bottom"/>
          </w:tcPr>
          <w:p>
            <w:pPr>
              <w:spacing w:after="0"/>
              <w:rPr>
                <w:sz w:val="16"/>
                <w:szCs w:val="16"/>
                <w:color w:val="auto"/>
              </w:rPr>
            </w:pPr>
          </w:p>
        </w:tc>
      </w:tr>
      <w:tr>
        <w:trPr>
          <w:trHeight w:val="187"/>
        </w:trPr>
        <w:tc>
          <w:tcPr>
            <w:tcW w:w="24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560" w:type="dxa"/>
            <w:vAlign w:val="bottom"/>
            <w:gridSpan w:val="3"/>
          </w:tcPr>
          <w:p>
            <w:pPr>
              <w:ind w:left="680"/>
              <w:spacing w:after="0"/>
              <w:rPr>
                <w:sz w:val="20"/>
                <w:szCs w:val="20"/>
                <w:color w:val="auto"/>
              </w:rPr>
            </w:pPr>
            <w:r>
              <w:rPr>
                <w:rFonts w:ascii="Arial" w:cs="Arial" w:eastAsia="Arial" w:hAnsi="Arial"/>
                <w:sz w:val="15"/>
                <w:szCs w:val="15"/>
                <w:color w:val="auto"/>
              </w:rPr>
              <w:t>($ in millions)</w:t>
            </w: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7"/>
        </w:trPr>
        <w:tc>
          <w:tcPr>
            <w:tcW w:w="2480" w:type="dxa"/>
            <w:vAlign w:val="bottom"/>
            <w:shd w:val="clear" w:color="auto" w:fill="CCEEFF"/>
          </w:tcPr>
          <w:p>
            <w:pPr>
              <w:spacing w:after="0"/>
              <w:rPr>
                <w:sz w:val="20"/>
                <w:szCs w:val="20"/>
                <w:color w:val="auto"/>
              </w:rPr>
            </w:pPr>
            <w:r>
              <w:rPr>
                <w:rFonts w:ascii="Arial" w:cs="Arial" w:eastAsia="Arial" w:hAnsi="Arial"/>
                <w:sz w:val="15"/>
                <w:szCs w:val="15"/>
                <w:color w:val="auto"/>
              </w:rPr>
              <w:t>Corporate expense</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12</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color w:val="auto"/>
              </w:rPr>
              <w:t>17</w:t>
            </w:r>
          </w:p>
        </w:tc>
        <w:tc>
          <w:tcPr>
            <w:tcW w:w="2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34</w:t>
            </w:r>
          </w:p>
        </w:tc>
        <w:tc>
          <w:tcPr>
            <w:tcW w:w="2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22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rPr>
              <w:t>53</w:t>
            </w:r>
          </w:p>
        </w:tc>
        <w:tc>
          <w:tcPr>
            <w:tcW w:w="20" w:type="dxa"/>
            <w:vAlign w:val="bottom"/>
          </w:tcPr>
          <w:p>
            <w:pPr>
              <w:spacing w:after="0"/>
              <w:rPr>
                <w:sz w:val="17"/>
                <w:szCs w:val="17"/>
                <w:color w:val="auto"/>
              </w:rPr>
            </w:pPr>
          </w:p>
        </w:tc>
      </w:tr>
      <w:tr>
        <w:trPr>
          <w:trHeight w:val="207"/>
        </w:trPr>
        <w:tc>
          <w:tcPr>
            <w:tcW w:w="248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(5)</w:t>
            </w: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1160" w:type="dxa"/>
            <w:vAlign w:val="bottom"/>
            <w:tcBorders>
              <w:bottom w:val="single" w:sz="8" w:color="auto"/>
            </w:tcBorders>
          </w:tcPr>
          <w:p>
            <w:pPr>
              <w:jc w:val="right"/>
              <w:ind w:right="43"/>
              <w:spacing w:after="0"/>
              <w:rPr>
                <w:sz w:val="20"/>
                <w:szCs w:val="20"/>
                <w:color w:val="auto"/>
              </w:rPr>
            </w:pPr>
            <w:r>
              <w:rPr>
                <w:rFonts w:ascii="Arial" w:cs="Arial" w:eastAsia="Arial" w:hAnsi="Arial"/>
                <w:sz w:val="15"/>
                <w:szCs w:val="15"/>
                <w:b w:val="1"/>
                <w:bCs w:val="1"/>
                <w:color w:val="auto"/>
              </w:rPr>
              <w:t>(19)</w:t>
            </w:r>
          </w:p>
        </w:tc>
        <w:tc>
          <w:tcPr>
            <w:tcW w:w="22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549"/>
        </w:trPr>
        <w:tc>
          <w:tcPr>
            <w:tcW w:w="2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40" w:type="dxa"/>
            <w:vAlign w:val="bottom"/>
          </w:tcPr>
          <w:p>
            <w:pPr>
              <w:jc w:val="right"/>
              <w:ind w:right="163"/>
              <w:spacing w:after="0"/>
              <w:rPr>
                <w:sz w:val="20"/>
                <w:szCs w:val="20"/>
                <w:color w:val="auto"/>
              </w:rPr>
            </w:pPr>
            <w:r>
              <w:rPr>
                <w:rFonts w:ascii="Arial" w:cs="Arial" w:eastAsia="Arial" w:hAnsi="Arial"/>
                <w:sz w:val="15"/>
                <w:szCs w:val="15"/>
                <w:color w:val="auto"/>
              </w:rPr>
              <w:t>23</w:t>
            </w: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88"/>
        </w:trPr>
        <w:tc>
          <w:tcPr>
            <w:tcW w:w="2480" w:type="dxa"/>
            <w:vAlign w:val="bottom"/>
            <w:tcBorders>
              <w:bottom w:val="single" w:sz="8" w:color="9A9A9A"/>
            </w:tcBorders>
          </w:tcPr>
          <w:p>
            <w:pPr>
              <w:spacing w:after="0"/>
              <w:rPr>
                <w:sz w:val="7"/>
                <w:szCs w:val="7"/>
                <w:color w:val="auto"/>
              </w:rPr>
            </w:pPr>
          </w:p>
        </w:tc>
        <w:tc>
          <w:tcPr>
            <w:tcW w:w="126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1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22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r>
        <w:trPr>
          <w:trHeight w:val="20"/>
        </w:trPr>
        <w:tc>
          <w:tcPr>
            <w:tcW w:w="2480" w:type="dxa"/>
            <w:vAlign w:val="bottom"/>
            <w:tcBorders>
              <w:bottom w:val="single" w:sz="8" w:color="EEEEEE"/>
            </w:tcBorders>
          </w:tcPr>
          <w:p>
            <w:pPr>
              <w:spacing w:after="0" w:line="20" w:lineRule="exact"/>
              <w:rPr>
                <w:sz w:val="1"/>
                <w:szCs w:val="1"/>
                <w:color w:val="auto"/>
              </w:rPr>
            </w:pPr>
          </w:p>
        </w:tc>
        <w:tc>
          <w:tcPr>
            <w:tcW w:w="1260" w:type="dxa"/>
            <w:vAlign w:val="bottom"/>
            <w:tcBorders>
              <w:bottom w:val="single" w:sz="8" w:color="EEEEEE"/>
            </w:tcBorders>
          </w:tcPr>
          <w:p>
            <w:pPr>
              <w:spacing w:after="0" w:line="20" w:lineRule="exact"/>
              <w:rPr>
                <w:sz w:val="1"/>
                <w:szCs w:val="1"/>
                <w:color w:val="auto"/>
              </w:rPr>
            </w:pPr>
          </w:p>
        </w:tc>
        <w:tc>
          <w:tcPr>
            <w:tcW w:w="114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40" w:type="dxa"/>
            <w:vAlign w:val="bottom"/>
            <w:tcBorders>
              <w:bottom w:val="single" w:sz="8" w:color="EEEEEE"/>
            </w:tcBorders>
          </w:tcPr>
          <w:p>
            <w:pPr>
              <w:spacing w:after="0" w:line="20" w:lineRule="exact"/>
              <w:rPr>
                <w:sz w:val="1"/>
                <w:szCs w:val="1"/>
                <w:color w:val="auto"/>
              </w:rPr>
            </w:pPr>
          </w:p>
        </w:tc>
        <w:tc>
          <w:tcPr>
            <w:tcW w:w="116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12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329" w:right="1379" w:bottom="1440" w:gutter="0" w:footer="0" w:header="0"/>
        </w:sectPr>
      </w:pPr>
    </w:p>
    <w:bookmarkStart w:id="25" w:name="page26"/>
    <w:bookmarkEnd w:id="25"/>
    <w:p>
      <w:pPr>
        <w:jc w:val="both"/>
        <w:spacing w:after="0" w:line="242" w:lineRule="auto"/>
        <w:rPr>
          <w:sz w:val="20"/>
          <w:szCs w:val="20"/>
          <w:color w:val="auto"/>
        </w:rPr>
      </w:pPr>
      <w:r>
        <w:rPr>
          <w:rFonts w:ascii="Arial" w:cs="Arial" w:eastAsia="Arial" w:hAnsi="Arial"/>
          <w:sz w:val="15"/>
          <w:szCs w:val="15"/>
          <w:color w:val="auto"/>
        </w:rPr>
        <w:t>Corporate expense consists of unallocated SG&amp;A, as well as depreciation and amortization related to the Company’s corporate headquarters, centrally managed departments, unallocated insurance and benefit programs, certain foreign exchange transaction gains and losses, and other items. Depreciation and amortization included in corporate expense was $4 million and $11 million for both the thirteen and thirty-nine weeks ended October 28, 2017 and October 29, 2016, respectively.</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allocation of corporate expense to the operating divisions is adjusted annually based upon an internal study; accordingly, the allocation increased by $1 million and $4 million for the thirteen and thirty-nine weeks ended October 28, 2017, thus reducing corporate expense. Excluding the corporate allocation change, corporate expense decreased by $4 million and $15 million for the thirteen and thirty-nine weeks ended October 28, 2017, respectively.</w:t>
      </w:r>
    </w:p>
    <w:p>
      <w:pPr>
        <w:spacing w:after="0" w:line="15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Incentive compensation declined by $4 million and $11 million for the thirteen weeks and thirty-nine weeks ended October 28, 2017, respectively, reflecting the Company’s underperformance compared to its plan. Share-based compensation declined by $3 million and $6 million for the thirteen weeks and thirty-nine weeks ended October 28, 2017, respectively, which primarily represented the portion of share-based compensation that is tied to Company performance. Additionally, the decline for the thirty-nine weeks ended October 28, 2017 was due to the prior-year corporate headquarters relocation costs of $4 million. These decreases were partially offset by a $2 million litigation settlement charge recorded during the third quarter of 2017 and increased corporate support costs such as information technology and real estate management.</w:t>
      </w:r>
    </w:p>
    <w:p>
      <w:pPr>
        <w:spacing w:after="0" w:line="14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Liquidity and Capital Resources</w:t>
      </w:r>
    </w:p>
    <w:p>
      <w:pPr>
        <w:spacing w:after="0" w:line="17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Liquidity</w:t>
      </w:r>
    </w:p>
    <w:p>
      <w:pPr>
        <w:spacing w:after="0" w:line="184" w:lineRule="exact"/>
        <w:rPr>
          <w:sz w:val="20"/>
          <w:szCs w:val="20"/>
          <w:color w:val="auto"/>
        </w:rPr>
      </w:pPr>
    </w:p>
    <w:p>
      <w:pPr>
        <w:jc w:val="both"/>
        <w:spacing w:after="0"/>
        <w:rPr>
          <w:sz w:val="20"/>
          <w:szCs w:val="20"/>
          <w:color w:val="auto"/>
        </w:rPr>
      </w:pPr>
      <w:r>
        <w:rPr>
          <w:rFonts w:ascii="Arial" w:cs="Arial" w:eastAsia="Arial" w:hAnsi="Arial"/>
          <w:sz w:val="15"/>
          <w:szCs w:val="15"/>
          <w:color w:val="auto"/>
        </w:rPr>
        <w:t>Our primary source of liquidity has been cash flow from earnings, while the principal uses of cash have been: to fund inventory and other working capital requirements; to finance capital expenditures related to store openings, store remodelings, Internet and mobile sites, information systems, and other support facilities; to make retirement plan contributions, quarterly dividend payments, and interest payments; and to fund other cash requirements to support the development of our short-term and long-term operating strategies. We generally finance real estate with operating leases. We believe our cash, cash equivalents, and future cash flow from operations will be adequate to fund these requirements.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The Company may also from time to time repurchase its common stock or seek to retire or purchase outstanding debt through open market purchases, privately negotiated transactions, or otherwise. Share repurchases and retirement of debt, if any, will depend on prevailing market conditions, liquidity requirements, contractual restrictions, and other factors. The amounts involved may be material. As of October 28, 2017, approximately $863 million remained available under the Company’s current $1.2 billion share repurchase program.</w:t>
      </w:r>
    </w:p>
    <w:p>
      <w:pPr>
        <w:spacing w:after="0" w:line="313"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 xml:space="preserve">As discussed further in the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note under “Item 1. Financial Statements,” during the second quarter of 2017, in connection with our pension litigation, we recorded a pre-tax charge of $50 million ($30 million after-tax or $0.23 per diluted share). The Company previously recorded a pre-tax charge of $100 million during 2015. The second quarter 2017 charge reflects the Company’s revised estimate of its exposure for the matter, bringing the total pre-tax amount accrued to $150 million. In light of the uncertainties involved in this matter, there is no assurance that the ultimate resolution will not differ from the amount currently accrued by us. The total accrual of $150 million has been classified as a long-term liability due to the uncertainty involved with the resolution of this litigation, as the appeal process may be lengthy. The pension plan is currently sufficiently funded to initially absorb a $150 million liability and, accordingly, we currently do not anticipate the need to make any pension contributions in the near term in connection with this matter. The timing and the amount of contributions to the pension plan are dependent on the funded status of the plan and various other factors, such as interest rates and the performance of the plan’s assets.</w:t>
      </w:r>
    </w:p>
    <w:p>
      <w:pPr>
        <w:spacing w:after="0" w:line="15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Any material adverse change in customer demand, fashion trends, competitive market forces, or customer acceptance of our merchandise mix and retail locations, uncertainties related to the effect of competitive products and pricing, our reliance on a few key vendors for a significant portion of our merchandise purchases and risks associated with global product sourcing, economic conditions worldwide, the effects of currency fluctuations, as well as other factors listed under the heading “Disclosure Regarding Forward-Looking Statements,” could affect our ability to continue to fund our needs from business operations.</w:t>
      </w: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29" w:right="1399" w:bottom="1440" w:gutter="0" w:footer="0" w:header="0"/>
        </w:sectPr>
      </w:pPr>
    </w:p>
    <w:bookmarkStart w:id="26" w:name="page27"/>
    <w:bookmarkEnd w:id="26"/>
    <w:p>
      <w:pPr>
        <w:spacing w:after="0"/>
        <w:rPr>
          <w:sz w:val="20"/>
          <w:szCs w:val="20"/>
          <w:color w:val="auto"/>
        </w:rPr>
      </w:pPr>
      <w:r>
        <w:rPr>
          <w:rFonts w:ascii="Arial" w:cs="Arial" w:eastAsia="Arial" w:hAnsi="Arial"/>
          <w:sz w:val="15"/>
          <w:szCs w:val="15"/>
          <w:i w:val="1"/>
          <w:iCs w:val="1"/>
          <w:u w:val="single" w:color="auto"/>
          <w:color w:val="auto"/>
        </w:rPr>
        <w:t>Operating Activities</w:t>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Thirty-nine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520" w:type="dxa"/>
            <w:vAlign w:val="bottom"/>
            <w:tcBorders>
              <w:top w:val="single" w:sz="8" w:color="auto"/>
            </w:tcBorders>
          </w:tcPr>
          <w:p>
            <w:pPr>
              <w:spacing w:after="0"/>
              <w:rPr>
                <w:sz w:val="12"/>
                <w:szCs w:val="12"/>
                <w:color w:val="auto"/>
              </w:rPr>
            </w:pPr>
          </w:p>
        </w:tc>
        <w:tc>
          <w:tcPr>
            <w:tcW w:w="3080" w:type="dxa"/>
            <w:vAlign w:val="bottom"/>
            <w:tcBorders>
              <w:top w:val="single" w:sz="8" w:color="auto"/>
            </w:tcBorders>
            <w:gridSpan w:val="2"/>
          </w:tcPr>
          <w:p>
            <w:pPr>
              <w:jc w:val="right"/>
              <w:ind w:right="323"/>
              <w:spacing w:after="0" w:line="139" w:lineRule="exact"/>
              <w:rPr>
                <w:sz w:val="20"/>
                <w:szCs w:val="20"/>
                <w:color w:val="auto"/>
              </w:rPr>
            </w:pPr>
            <w:r>
              <w:rPr>
                <w:rFonts w:ascii="Arial" w:cs="Arial" w:eastAsia="Arial" w:hAnsi="Arial"/>
                <w:sz w:val="15"/>
                <w:szCs w:val="15"/>
                <w:b w:val="1"/>
                <w:bCs w:val="1"/>
                <w:color w:val="auto"/>
              </w:rPr>
              <w:t>October 28,</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03"/>
              <w:spacing w:after="0" w:line="139" w:lineRule="exact"/>
              <w:rPr>
                <w:sz w:val="20"/>
                <w:szCs w:val="20"/>
                <w:color w:val="auto"/>
              </w:rPr>
            </w:pPr>
            <w:r>
              <w:rPr>
                <w:rFonts w:ascii="Arial" w:cs="Arial" w:eastAsia="Arial" w:hAnsi="Arial"/>
                <w:sz w:val="15"/>
                <w:szCs w:val="15"/>
                <w:b w:val="1"/>
                <w:bCs w:val="1"/>
                <w:color w:val="auto"/>
              </w:rPr>
              <w:t>October 29,</w:t>
            </w:r>
          </w:p>
        </w:tc>
      </w:tr>
      <w:tr>
        <w:trPr>
          <w:trHeight w:val="194"/>
        </w:trPr>
        <w:tc>
          <w:tcPr>
            <w:tcW w:w="452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2017</w:t>
            </w:r>
          </w:p>
        </w:tc>
        <w:tc>
          <w:tcPr>
            <w:tcW w:w="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2016</w:t>
            </w:r>
          </w:p>
        </w:tc>
      </w:tr>
      <w:tr>
        <w:trPr>
          <w:trHeight w:val="187"/>
        </w:trPr>
        <w:tc>
          <w:tcPr>
            <w:tcW w:w="45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060" w:type="dxa"/>
            <w:vAlign w:val="bottom"/>
            <w:gridSpan w:val="3"/>
          </w:tcPr>
          <w:p>
            <w:pPr>
              <w:jc w:val="right"/>
              <w:ind w:right="983"/>
              <w:spacing w:after="0"/>
              <w:rPr>
                <w:sz w:val="20"/>
                <w:szCs w:val="20"/>
                <w:color w:val="auto"/>
              </w:rPr>
            </w:pPr>
            <w:r>
              <w:rPr>
                <w:rFonts w:ascii="Arial" w:cs="Arial" w:eastAsia="Arial" w:hAnsi="Arial"/>
                <w:sz w:val="15"/>
                <w:szCs w:val="15"/>
                <w:color w:val="auto"/>
              </w:rPr>
              <w:t>($ in millions)</w:t>
            </w:r>
          </w:p>
        </w:tc>
      </w:tr>
      <w:tr>
        <w:trPr>
          <w:trHeight w:val="182"/>
        </w:trPr>
        <w:tc>
          <w:tcPr>
            <w:tcW w:w="4520" w:type="dxa"/>
            <w:vAlign w:val="bottom"/>
            <w:shd w:val="clear" w:color="auto" w:fill="CCEEFF"/>
          </w:tcPr>
          <w:p>
            <w:pPr>
              <w:spacing w:after="0"/>
              <w:rPr>
                <w:sz w:val="20"/>
                <w:szCs w:val="20"/>
                <w:color w:val="auto"/>
              </w:rPr>
            </w:pPr>
            <w:r>
              <w:rPr>
                <w:rFonts w:ascii="Arial" w:cs="Arial" w:eastAsia="Arial" w:hAnsi="Arial"/>
                <w:sz w:val="15"/>
                <w:szCs w:val="15"/>
                <w:color w:val="auto"/>
              </w:rPr>
              <w:t>Net cash provided by operating activities</w:t>
            </w:r>
          </w:p>
        </w:tc>
        <w:tc>
          <w:tcPr>
            <w:tcW w:w="2520" w:type="dxa"/>
            <w:vAlign w:val="bottom"/>
            <w:shd w:val="clear" w:color="auto" w:fill="CCEEFF"/>
          </w:tcPr>
          <w:p>
            <w:pPr>
              <w:jc w:val="right"/>
              <w:ind w:right="603"/>
              <w:spacing w:after="0"/>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496</w:t>
            </w:r>
          </w:p>
        </w:tc>
        <w:tc>
          <w:tcPr>
            <w:tcW w:w="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477</w:t>
            </w:r>
          </w:p>
        </w:tc>
      </w:tr>
      <w:tr>
        <w:trPr>
          <w:trHeight w:val="182"/>
        </w:trPr>
        <w:tc>
          <w:tcPr>
            <w:tcW w:w="452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52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19</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bl>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15"/>
          <w:szCs w:val="15"/>
          <w:color w:val="auto"/>
        </w:rPr>
        <w:t>The amount provided by operating activities reflects net income adjusted for non-cash items and working capital changes. Adjustments to net income for non-cash items include depreciation and amortization, and share-based compensation expense. The increase from the prior year primarily reflects working capital changes, partially offset by the decline in net income as compared with the prior year.</w:t>
      </w:r>
    </w:p>
    <w:p>
      <w:pPr>
        <w:spacing w:after="0" w:line="312"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Investing Activities</w:t>
      </w:r>
    </w:p>
    <w:p>
      <w:pPr>
        <w:spacing w:after="0" w:line="44"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Thirty-nine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360" w:type="dxa"/>
            <w:vAlign w:val="bottom"/>
            <w:tcBorders>
              <w:top w:val="single" w:sz="8" w:color="auto"/>
            </w:tcBorders>
          </w:tcPr>
          <w:p>
            <w:pPr>
              <w:spacing w:after="0"/>
              <w:rPr>
                <w:sz w:val="12"/>
                <w:szCs w:val="12"/>
                <w:color w:val="auto"/>
              </w:rPr>
            </w:pPr>
          </w:p>
        </w:tc>
        <w:tc>
          <w:tcPr>
            <w:tcW w:w="3240" w:type="dxa"/>
            <w:vAlign w:val="bottom"/>
            <w:tcBorders>
              <w:top w:val="single" w:sz="8" w:color="auto"/>
            </w:tcBorders>
            <w:gridSpan w:val="2"/>
          </w:tcPr>
          <w:p>
            <w:pPr>
              <w:jc w:val="right"/>
              <w:ind w:right="323"/>
              <w:spacing w:after="0" w:line="139" w:lineRule="exact"/>
              <w:rPr>
                <w:sz w:val="20"/>
                <w:szCs w:val="20"/>
                <w:color w:val="auto"/>
              </w:rPr>
            </w:pPr>
            <w:r>
              <w:rPr>
                <w:rFonts w:ascii="Arial" w:cs="Arial" w:eastAsia="Arial" w:hAnsi="Arial"/>
                <w:sz w:val="15"/>
                <w:szCs w:val="15"/>
                <w:b w:val="1"/>
                <w:bCs w:val="1"/>
                <w:color w:val="auto"/>
              </w:rPr>
              <w:t>October 28,</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03"/>
              <w:spacing w:after="0" w:line="139" w:lineRule="exact"/>
              <w:rPr>
                <w:sz w:val="20"/>
                <w:szCs w:val="20"/>
                <w:color w:val="auto"/>
              </w:rPr>
            </w:pPr>
            <w:r>
              <w:rPr>
                <w:rFonts w:ascii="Arial" w:cs="Arial" w:eastAsia="Arial" w:hAnsi="Arial"/>
                <w:sz w:val="15"/>
                <w:szCs w:val="15"/>
                <w:b w:val="1"/>
                <w:bCs w:val="1"/>
                <w:color w:val="auto"/>
              </w:rPr>
              <w:t>October 29,</w:t>
            </w:r>
          </w:p>
        </w:tc>
      </w:tr>
      <w:tr>
        <w:trPr>
          <w:trHeight w:val="194"/>
        </w:trPr>
        <w:tc>
          <w:tcPr>
            <w:tcW w:w="4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2017</w:t>
            </w:r>
          </w:p>
        </w:tc>
        <w:tc>
          <w:tcPr>
            <w:tcW w:w="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2016</w:t>
            </w:r>
          </w:p>
        </w:tc>
      </w:tr>
      <w:tr>
        <w:trPr>
          <w:trHeight w:val="187"/>
        </w:trPr>
        <w:tc>
          <w:tcPr>
            <w:tcW w:w="43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60" w:type="dxa"/>
            <w:vAlign w:val="bottom"/>
            <w:gridSpan w:val="3"/>
          </w:tcPr>
          <w:p>
            <w:pPr>
              <w:jc w:val="right"/>
              <w:ind w:right="983"/>
              <w:spacing w:after="0"/>
              <w:rPr>
                <w:sz w:val="20"/>
                <w:szCs w:val="20"/>
                <w:color w:val="auto"/>
              </w:rPr>
            </w:pPr>
            <w:r>
              <w:rPr>
                <w:rFonts w:ascii="Arial" w:cs="Arial" w:eastAsia="Arial" w:hAnsi="Arial"/>
                <w:sz w:val="15"/>
                <w:szCs w:val="15"/>
                <w:color w:val="auto"/>
              </w:rPr>
              <w:t>($ in millions)</w:t>
            </w:r>
          </w:p>
        </w:tc>
      </w:tr>
      <w:tr>
        <w:trPr>
          <w:trHeight w:val="182"/>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investing activities</w:t>
            </w:r>
          </w:p>
        </w:tc>
        <w:tc>
          <w:tcPr>
            <w:tcW w:w="2680" w:type="dxa"/>
            <w:vAlign w:val="bottom"/>
            <w:shd w:val="clear" w:color="auto" w:fill="CCEEFF"/>
          </w:tcPr>
          <w:p>
            <w:pPr>
              <w:jc w:val="right"/>
              <w:ind w:right="603"/>
              <w:spacing w:after="0"/>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204</w:t>
            </w:r>
          </w:p>
        </w:tc>
        <w:tc>
          <w:tcPr>
            <w:tcW w:w="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w:t>
            </w:r>
          </w:p>
        </w:tc>
      </w:tr>
      <w:tr>
        <w:trPr>
          <w:trHeight w:val="182"/>
        </w:trPr>
        <w:tc>
          <w:tcPr>
            <w:tcW w:w="4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68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11</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bl>
    <w:p>
      <w:pPr>
        <w:spacing w:after="0" w:line="177"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Capital expenditures were $11 million higher than the prior year. The increase was due to increased spending on technology projects and cash payments related to the 2016 capital program. The Company’s full-year capital spending is expected to be approximately $269 million, which includes $198 million related to the remodeling or relocation of approximately 180 existing stores and the opening of approximately 90 new stores, as well as $71 million for the development of information systems, websites, and infrastructure, including supply chain initiatives.</w:t>
      </w:r>
    </w:p>
    <w:p>
      <w:pPr>
        <w:spacing w:after="0" w:line="140" w:lineRule="exact"/>
        <w:rPr>
          <w:sz w:val="20"/>
          <w:szCs w:val="20"/>
          <w:color w:val="auto"/>
        </w:rPr>
      </w:pPr>
    </w:p>
    <w:p>
      <w:pPr>
        <w:spacing w:after="0"/>
        <w:rPr>
          <w:sz w:val="20"/>
          <w:szCs w:val="20"/>
          <w:color w:val="auto"/>
        </w:rPr>
      </w:pPr>
      <w:r>
        <w:rPr>
          <w:rFonts w:ascii="Arial" w:cs="Arial" w:eastAsia="Arial" w:hAnsi="Arial"/>
          <w:sz w:val="15"/>
          <w:szCs w:val="15"/>
          <w:i w:val="1"/>
          <w:iCs w:val="1"/>
          <w:u w:val="single" w:color="auto"/>
          <w:color w:val="auto"/>
        </w:rPr>
        <w:t>Financing Activities</w:t>
      </w:r>
    </w:p>
    <w:p>
      <w:pPr>
        <w:spacing w:after="0" w:line="44" w:lineRule="exact"/>
        <w:rPr>
          <w:sz w:val="20"/>
          <w:szCs w:val="20"/>
          <w:color w:val="auto"/>
        </w:rPr>
      </w:pPr>
    </w:p>
    <w:p>
      <w:pPr>
        <w:ind w:left="6700"/>
        <w:spacing w:after="0"/>
        <w:rPr>
          <w:sz w:val="20"/>
          <w:szCs w:val="20"/>
          <w:color w:val="auto"/>
        </w:rPr>
      </w:pPr>
      <w:r>
        <w:rPr>
          <w:rFonts w:ascii="Arial" w:cs="Arial" w:eastAsia="Arial" w:hAnsi="Arial"/>
          <w:sz w:val="15"/>
          <w:szCs w:val="15"/>
          <w:b w:val="1"/>
          <w:bCs w:val="1"/>
          <w:color w:val="auto"/>
        </w:rPr>
        <w:t>Thirty-nine weeks ended</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4360" w:type="dxa"/>
            <w:vAlign w:val="bottom"/>
            <w:tcBorders>
              <w:top w:val="single" w:sz="8" w:color="auto"/>
            </w:tcBorders>
          </w:tcPr>
          <w:p>
            <w:pPr>
              <w:spacing w:after="0"/>
              <w:rPr>
                <w:sz w:val="12"/>
                <w:szCs w:val="12"/>
                <w:color w:val="auto"/>
              </w:rPr>
            </w:pPr>
          </w:p>
        </w:tc>
        <w:tc>
          <w:tcPr>
            <w:tcW w:w="3240" w:type="dxa"/>
            <w:vAlign w:val="bottom"/>
            <w:tcBorders>
              <w:top w:val="single" w:sz="8" w:color="auto"/>
            </w:tcBorders>
            <w:gridSpan w:val="2"/>
          </w:tcPr>
          <w:p>
            <w:pPr>
              <w:jc w:val="right"/>
              <w:ind w:right="323"/>
              <w:spacing w:after="0" w:line="139" w:lineRule="exact"/>
              <w:rPr>
                <w:sz w:val="20"/>
                <w:szCs w:val="20"/>
                <w:color w:val="auto"/>
              </w:rPr>
            </w:pPr>
            <w:r>
              <w:rPr>
                <w:rFonts w:ascii="Arial" w:cs="Arial" w:eastAsia="Arial" w:hAnsi="Arial"/>
                <w:sz w:val="15"/>
                <w:szCs w:val="15"/>
                <w:b w:val="1"/>
                <w:bCs w:val="1"/>
                <w:color w:val="auto"/>
              </w:rPr>
              <w:t>October 28,</w:t>
            </w:r>
          </w:p>
        </w:tc>
        <w:tc>
          <w:tcPr>
            <w:tcW w:w="3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103"/>
              <w:spacing w:after="0" w:line="139" w:lineRule="exact"/>
              <w:rPr>
                <w:sz w:val="20"/>
                <w:szCs w:val="20"/>
                <w:color w:val="auto"/>
              </w:rPr>
            </w:pPr>
            <w:r>
              <w:rPr>
                <w:rFonts w:ascii="Arial" w:cs="Arial" w:eastAsia="Arial" w:hAnsi="Arial"/>
                <w:sz w:val="15"/>
                <w:szCs w:val="15"/>
                <w:b w:val="1"/>
                <w:bCs w:val="1"/>
                <w:color w:val="auto"/>
              </w:rPr>
              <w:t>October 29,</w:t>
            </w:r>
          </w:p>
        </w:tc>
      </w:tr>
      <w:tr>
        <w:trPr>
          <w:trHeight w:val="194"/>
        </w:trPr>
        <w:tc>
          <w:tcPr>
            <w:tcW w:w="43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b w:val="1"/>
                <w:bCs w:val="1"/>
                <w:color w:val="auto"/>
              </w:rPr>
              <w:t>2017</w:t>
            </w:r>
          </w:p>
        </w:tc>
        <w:tc>
          <w:tcPr>
            <w:tcW w:w="5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423"/>
              <w:spacing w:after="0"/>
              <w:rPr>
                <w:sz w:val="20"/>
                <w:szCs w:val="20"/>
                <w:color w:val="auto"/>
              </w:rPr>
            </w:pPr>
            <w:r>
              <w:rPr>
                <w:rFonts w:ascii="Arial" w:cs="Arial" w:eastAsia="Arial" w:hAnsi="Arial"/>
                <w:sz w:val="15"/>
                <w:szCs w:val="15"/>
                <w:b w:val="1"/>
                <w:bCs w:val="1"/>
                <w:color w:val="auto"/>
              </w:rPr>
              <w:t>2016</w:t>
            </w:r>
          </w:p>
        </w:tc>
      </w:tr>
      <w:tr>
        <w:trPr>
          <w:trHeight w:val="187"/>
        </w:trPr>
        <w:tc>
          <w:tcPr>
            <w:tcW w:w="436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60" w:type="dxa"/>
            <w:vAlign w:val="bottom"/>
            <w:gridSpan w:val="3"/>
          </w:tcPr>
          <w:p>
            <w:pPr>
              <w:jc w:val="right"/>
              <w:ind w:right="983"/>
              <w:spacing w:after="0"/>
              <w:rPr>
                <w:sz w:val="20"/>
                <w:szCs w:val="20"/>
                <w:color w:val="auto"/>
              </w:rPr>
            </w:pPr>
            <w:r>
              <w:rPr>
                <w:rFonts w:ascii="Arial" w:cs="Arial" w:eastAsia="Arial" w:hAnsi="Arial"/>
                <w:sz w:val="15"/>
                <w:szCs w:val="15"/>
                <w:color w:val="auto"/>
              </w:rPr>
              <w:t>($ in millions)</w:t>
            </w:r>
          </w:p>
        </w:tc>
      </w:tr>
      <w:tr>
        <w:trPr>
          <w:trHeight w:val="182"/>
        </w:trPr>
        <w:tc>
          <w:tcPr>
            <w:tcW w:w="4360" w:type="dxa"/>
            <w:vAlign w:val="bottom"/>
            <w:shd w:val="clear" w:color="auto" w:fill="CCEEFF"/>
          </w:tcPr>
          <w:p>
            <w:pPr>
              <w:spacing w:after="0"/>
              <w:rPr>
                <w:sz w:val="20"/>
                <w:szCs w:val="20"/>
                <w:color w:val="auto"/>
              </w:rPr>
            </w:pPr>
            <w:r>
              <w:rPr>
                <w:rFonts w:ascii="Arial" w:cs="Arial" w:eastAsia="Arial" w:hAnsi="Arial"/>
                <w:sz w:val="15"/>
                <w:szCs w:val="15"/>
                <w:color w:val="auto"/>
              </w:rPr>
              <w:t>Net cash used in financing activities</w:t>
            </w:r>
          </w:p>
        </w:tc>
        <w:tc>
          <w:tcPr>
            <w:tcW w:w="2680" w:type="dxa"/>
            <w:vAlign w:val="bottom"/>
            <w:shd w:val="clear" w:color="auto" w:fill="CCEEFF"/>
          </w:tcPr>
          <w:p>
            <w:pPr>
              <w:jc w:val="right"/>
              <w:ind w:right="603"/>
              <w:spacing w:after="0"/>
              <w:rPr>
                <w:sz w:val="20"/>
                <w:szCs w:val="20"/>
                <w:color w:val="auto"/>
              </w:rPr>
            </w:pPr>
            <w:r>
              <w:rPr>
                <w:rFonts w:ascii="Arial" w:cs="Arial" w:eastAsia="Arial" w:hAnsi="Arial"/>
                <w:sz w:val="15"/>
                <w:szCs w:val="15"/>
                <w:b w:val="1"/>
                <w:bCs w:val="1"/>
                <w:color w:val="auto"/>
              </w:rPr>
              <w:t>$</w:t>
            </w:r>
          </w:p>
        </w:tc>
        <w:tc>
          <w:tcPr>
            <w:tcW w:w="56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rPr>
              <w:t>475</w:t>
            </w:r>
          </w:p>
        </w:tc>
        <w:tc>
          <w:tcPr>
            <w:tcW w:w="32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443</w:t>
            </w:r>
          </w:p>
        </w:tc>
      </w:tr>
      <w:tr>
        <w:trPr>
          <w:trHeight w:val="182"/>
        </w:trPr>
        <w:tc>
          <w:tcPr>
            <w:tcW w:w="4360" w:type="dxa"/>
            <w:vAlign w:val="bottom"/>
            <w:tcBorders>
              <w:bottom w:val="single" w:sz="8" w:color="auto"/>
            </w:tcBorders>
          </w:tcPr>
          <w:p>
            <w:pPr>
              <w:spacing w:after="0"/>
              <w:rPr>
                <w:sz w:val="20"/>
                <w:szCs w:val="20"/>
                <w:color w:val="auto"/>
              </w:rPr>
            </w:pPr>
            <w:r>
              <w:rPr>
                <w:rFonts w:ascii="Arial" w:cs="Arial" w:eastAsia="Arial" w:hAnsi="Arial"/>
                <w:sz w:val="15"/>
                <w:szCs w:val="15"/>
                <w:color w:val="auto"/>
              </w:rPr>
              <w:t>$ Change</w:t>
            </w:r>
          </w:p>
        </w:tc>
        <w:tc>
          <w:tcPr>
            <w:tcW w:w="2680" w:type="dxa"/>
            <w:vAlign w:val="bottom"/>
            <w:tcBorders>
              <w:bottom w:val="single" w:sz="8" w:color="auto"/>
            </w:tcBorders>
          </w:tcPr>
          <w:p>
            <w:pPr>
              <w:jc w:val="right"/>
              <w:ind w:right="603"/>
              <w:spacing w:after="0"/>
              <w:rPr>
                <w:sz w:val="20"/>
                <w:szCs w:val="20"/>
                <w:color w:val="auto"/>
              </w:rPr>
            </w:pPr>
            <w:r>
              <w:rPr>
                <w:rFonts w:ascii="Arial" w:cs="Arial" w:eastAsia="Arial" w:hAnsi="Arial"/>
                <w:sz w:val="15"/>
                <w:szCs w:val="15"/>
                <w:b w:val="1"/>
                <w:bCs w:val="1"/>
                <w:color w:val="auto"/>
              </w:rPr>
              <w:t>$</w:t>
            </w:r>
          </w:p>
        </w:tc>
        <w:tc>
          <w:tcPr>
            <w:tcW w:w="56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32</w:t>
            </w:r>
          </w:p>
        </w:tc>
        <w:tc>
          <w:tcPr>
            <w:tcW w:w="3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r>
    </w:tbl>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During the thirty-nine weeks ended October 28, 2017, we repurchased 9,589,660 shares of our common stock for $362 million, as compared with 5,874,643 shares repurchased for $352 million in the corresponding prior-year period.</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Company also declared and paid dividends during the first three quarters of 2017 and 2016 of $120 million and $111 million, respectively. This represented quarterly rates of $0.31 and $0.275 per share for 2017 and 2016, respectively.</w:t>
      </w:r>
    </w:p>
    <w:p>
      <w:pPr>
        <w:spacing w:after="0" w:line="14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Additionally, we received proceeds from the issuance of common stock in connection with employee stock programs of $17 million and $28 million for the thirty-nine weeks ended October 28, 2017 and October 29, 2016, respectively. Also, during the thirty-nine weeks ended October 28, 2017 and October 29, 2016, the Company paid $10 million and $6 million, respectively, to satisfy tax withholding obligations relating to the vesting of share-based equity awards.</w:t>
      </w:r>
    </w:p>
    <w:p>
      <w:pPr>
        <w:spacing w:after="0" w:line="146" w:lineRule="exact"/>
        <w:rPr>
          <w:sz w:val="20"/>
          <w:szCs w:val="20"/>
          <w:color w:val="auto"/>
        </w:rPr>
      </w:pPr>
    </w:p>
    <w:p>
      <w:pPr>
        <w:ind w:right="880"/>
        <w:spacing w:after="0" w:line="473" w:lineRule="auto"/>
        <w:rPr>
          <w:sz w:val="20"/>
          <w:szCs w:val="20"/>
          <w:color w:val="auto"/>
        </w:rPr>
      </w:pPr>
      <w:r>
        <w:rPr>
          <w:rFonts w:ascii="Arial" w:cs="Arial" w:eastAsia="Arial" w:hAnsi="Arial"/>
          <w:sz w:val="15"/>
          <w:szCs w:val="15"/>
          <w:color w:val="auto"/>
        </w:rPr>
        <w:t xml:space="preserve">Included in the prior year’s financing activities were fees of $2 million paid in connection with the 2016 Credit Agreement. </w:t>
      </w:r>
      <w:r>
        <w:rPr>
          <w:rFonts w:ascii="Arial" w:cs="Arial" w:eastAsia="Arial" w:hAnsi="Arial"/>
          <w:sz w:val="15"/>
          <w:szCs w:val="15"/>
          <w:b w:val="1"/>
          <w:bCs w:val="1"/>
          <w:color w:val="auto"/>
        </w:rPr>
        <w:t>Critical Accounting Policies and Estimates</w:t>
      </w:r>
    </w:p>
    <w:p>
      <w:pPr>
        <w:spacing w:after="0" w:line="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There have been no significant changes to our critical accounting policies and estimates from the information provided in Item 7, “Management’s Discussion and Analysis of Financial Condition and Results of Operations,” included in the Annual Report on Form 10-K for the fiscal year ended January 28, 2017.</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3" w:right="1399" w:bottom="1440" w:gutter="0" w:footer="0" w:header="0"/>
        </w:sectPr>
      </w:pPr>
    </w:p>
    <w:bookmarkStart w:id="27" w:name="page28"/>
    <w:bookmarkEnd w:id="27"/>
    <w:p>
      <w:pPr>
        <w:spacing w:after="0"/>
        <w:rPr>
          <w:sz w:val="20"/>
          <w:szCs w:val="20"/>
          <w:color w:val="auto"/>
        </w:rPr>
      </w:pPr>
      <w:r>
        <w:rPr>
          <w:rFonts w:ascii="Arial" w:cs="Arial" w:eastAsia="Arial" w:hAnsi="Arial"/>
          <w:sz w:val="15"/>
          <w:szCs w:val="15"/>
          <w:b w:val="1"/>
          <w:bCs w:val="1"/>
          <w:color w:val="auto"/>
        </w:rPr>
        <w:t>Recent Accounting Pronouncements</w:t>
      </w:r>
    </w:p>
    <w:p>
      <w:pPr>
        <w:spacing w:after="0" w:line="186"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 xml:space="preserve">Descriptions of the recently issued and adopted accounting principles are included Item 1. “Financial Statements” in Note 1, </w:t>
      </w:r>
      <w:r>
        <w:rPr>
          <w:rFonts w:ascii="Arial" w:cs="Arial" w:eastAsia="Arial" w:hAnsi="Arial"/>
          <w:sz w:val="15"/>
          <w:szCs w:val="15"/>
          <w:i w:val="1"/>
          <w:iCs w:val="1"/>
          <w:color w:val="auto"/>
        </w:rPr>
        <w:t>Summary of Significant Accounting Policies</w:t>
      </w:r>
      <w:r>
        <w:rPr>
          <w:rFonts w:ascii="Arial" w:cs="Arial" w:eastAsia="Arial" w:hAnsi="Arial"/>
          <w:sz w:val="15"/>
          <w:szCs w:val="15"/>
          <w:color w:val="auto"/>
        </w:rPr>
        <w:t>, to the Condensed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4. Controls and Procedures</w:t>
      </w:r>
    </w:p>
    <w:p>
      <w:pPr>
        <w:spacing w:after="0" w:line="186"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During the quarter, the Company’s management performed an evaluation, under the supervision and with the participation of the Company’s Chief Executive Officer (“CEO”) and Chief Financial Officer (“CFO”), of the effectiveness of the design and operation of the Company’s disclosure controls and procedures (as that term is defined in Rules 13a-15(e) and 15d-15(e) under the Securities Exchange Act of 1934, as amended (the “Exchange Act”)). Based on that evaluation, the Company’s CEO and CFO concluded that the Company’s disclosure controls and procedures were effective to ensure that information relating to the Company that is required to be disclosed in the reports that we file or submit under the Exchange Act is recorded, processed, summarized and reported, within the time periods specified in the SEC rules and forms, and is accumulated and communicated to management, including the CEO and CFO, as appropriate to allow timely decisions regarding required disclosure.</w:t>
      </w:r>
    </w:p>
    <w:p>
      <w:pPr>
        <w:spacing w:after="0" w:line="15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During the quarter ended October 28, 2017, there were no changes in the Company’s internal control over financial reporting (as defined in Rules 13a-15(f) of the Exchange Act) that materially affected or are reasonably likely to affect the Company’s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PART II - OTHER INFORMATION</w:t>
      </w:r>
    </w:p>
    <w:p>
      <w:pPr>
        <w:spacing w:after="0" w:line="16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 Legal Proceedings</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5"/>
          <w:szCs w:val="15"/>
          <w:color w:val="auto"/>
        </w:rPr>
        <w:t xml:space="preserve">Information regarding the Company’s legal proceedings is contained in the </w:t>
      </w:r>
      <w:r>
        <w:rPr>
          <w:rFonts w:ascii="Arial" w:cs="Arial" w:eastAsia="Arial" w:hAnsi="Arial"/>
          <w:sz w:val="15"/>
          <w:szCs w:val="15"/>
          <w:i w:val="1"/>
          <w:iCs w:val="1"/>
          <w:color w:val="auto"/>
        </w:rPr>
        <w:t>Legal Proceedings</w:t>
      </w:r>
      <w:r>
        <w:rPr>
          <w:rFonts w:ascii="Arial" w:cs="Arial" w:eastAsia="Arial" w:hAnsi="Arial"/>
          <w:sz w:val="15"/>
          <w:szCs w:val="15"/>
          <w:color w:val="auto"/>
        </w:rPr>
        <w:t xml:space="preserve"> note under Item 1. “Financial Statements.”</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1A. Risk Factors</w:t>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auto"/>
        </w:rPr>
        <w:t>There were no material changes to the risk factors disclosed in the 2016 Annual Report on Form 10-K.</w:t>
      </w:r>
    </w:p>
    <w:p>
      <w:pPr>
        <w:spacing w:after="0" w:line="1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2. Unregistered Sales of Equity Securities and Use of Proceeds</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The following table provides information with respect to shares of the Company’s common stock that the Company repurchased during the thirteen weeks ended October 28, 2017:</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center"/>
              <w:ind w:right="143"/>
              <w:spacing w:after="0"/>
              <w:rPr>
                <w:sz w:val="20"/>
                <w:szCs w:val="20"/>
                <w:color w:val="auto"/>
              </w:rPr>
            </w:pPr>
            <w:r>
              <w:rPr>
                <w:rFonts w:ascii="Arial" w:cs="Arial" w:eastAsia="Arial" w:hAnsi="Arial"/>
                <w:sz w:val="15"/>
                <w:szCs w:val="15"/>
                <w:b w:val="1"/>
                <w:bCs w:val="1"/>
                <w:color w:val="auto"/>
              </w:rPr>
              <w:t>Approximate</w:t>
            </w:r>
          </w:p>
        </w:tc>
      </w:tr>
      <w:tr>
        <w:trPr>
          <w:trHeight w:val="182"/>
        </w:trPr>
        <w:tc>
          <w:tcPr>
            <w:tcW w:w="22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060" w:type="dxa"/>
            <w:vAlign w:val="bottom"/>
          </w:tcPr>
          <w:p>
            <w:pPr>
              <w:jc w:val="center"/>
              <w:ind w:right="3"/>
              <w:spacing w:after="0"/>
              <w:rPr>
                <w:sz w:val="20"/>
                <w:szCs w:val="20"/>
                <w:color w:val="auto"/>
              </w:rPr>
            </w:pPr>
            <w:r>
              <w:rPr>
                <w:rFonts w:ascii="Arial" w:cs="Arial" w:eastAsia="Arial" w:hAnsi="Arial"/>
                <w:sz w:val="15"/>
                <w:szCs w:val="15"/>
                <w:b w:val="1"/>
                <w:bCs w:val="1"/>
                <w:color w:val="auto"/>
              </w:rPr>
              <w:t>Total Number of</w:t>
            </w:r>
          </w:p>
        </w:tc>
        <w:tc>
          <w:tcPr>
            <w:tcW w:w="280" w:type="dxa"/>
            <w:vAlign w:val="bottom"/>
          </w:tcPr>
          <w:p>
            <w:pPr>
              <w:spacing w:after="0"/>
              <w:rPr>
                <w:sz w:val="15"/>
                <w:szCs w:val="15"/>
                <w:color w:val="auto"/>
              </w:rPr>
            </w:pPr>
          </w:p>
        </w:tc>
        <w:tc>
          <w:tcPr>
            <w:tcW w:w="1320" w:type="dxa"/>
            <w:vAlign w:val="bottom"/>
          </w:tcPr>
          <w:p>
            <w:pPr>
              <w:jc w:val="center"/>
              <w:ind w:right="123"/>
              <w:spacing w:after="0"/>
              <w:rPr>
                <w:sz w:val="20"/>
                <w:szCs w:val="20"/>
                <w:color w:val="auto"/>
              </w:rPr>
            </w:pPr>
            <w:r>
              <w:rPr>
                <w:rFonts w:ascii="Arial" w:cs="Arial" w:eastAsia="Arial" w:hAnsi="Arial"/>
                <w:sz w:val="15"/>
                <w:szCs w:val="15"/>
                <w:b w:val="1"/>
                <w:bCs w:val="1"/>
                <w:color w:val="auto"/>
              </w:rPr>
              <w:t>Dollar Value of</w:t>
            </w:r>
          </w:p>
        </w:tc>
      </w:tr>
      <w:tr>
        <w:trPr>
          <w:trHeight w:val="182"/>
        </w:trPr>
        <w:tc>
          <w:tcPr>
            <w:tcW w:w="2220" w:type="dxa"/>
            <w:vAlign w:val="bottom"/>
          </w:tcPr>
          <w:p>
            <w:pPr>
              <w:spacing w:after="0"/>
              <w:rPr>
                <w:sz w:val="15"/>
                <w:szCs w:val="15"/>
                <w:color w:val="auto"/>
              </w:rPr>
            </w:pPr>
          </w:p>
        </w:tc>
        <w:tc>
          <w:tcPr>
            <w:tcW w:w="1740" w:type="dxa"/>
            <w:vAlign w:val="bottom"/>
          </w:tcPr>
          <w:p>
            <w:pPr>
              <w:jc w:val="center"/>
              <w:ind w:left="223"/>
              <w:spacing w:after="0"/>
              <w:rPr>
                <w:sz w:val="20"/>
                <w:szCs w:val="20"/>
                <w:color w:val="auto"/>
              </w:rPr>
            </w:pPr>
            <w:r>
              <w:rPr>
                <w:rFonts w:ascii="Arial" w:cs="Arial" w:eastAsia="Arial" w:hAnsi="Arial"/>
                <w:sz w:val="15"/>
                <w:szCs w:val="15"/>
                <w:b w:val="1"/>
                <w:bCs w:val="1"/>
                <w:color w:val="auto"/>
              </w:rPr>
              <w:t>Total</w:t>
            </w:r>
          </w:p>
        </w:tc>
        <w:tc>
          <w:tcPr>
            <w:tcW w:w="340" w:type="dxa"/>
            <w:vAlign w:val="bottom"/>
          </w:tcPr>
          <w:p>
            <w:pPr>
              <w:spacing w:after="0"/>
              <w:rPr>
                <w:sz w:val="15"/>
                <w:szCs w:val="15"/>
                <w:color w:val="auto"/>
              </w:rPr>
            </w:pPr>
          </w:p>
        </w:tc>
        <w:tc>
          <w:tcPr>
            <w:tcW w:w="1140" w:type="dxa"/>
            <w:vAlign w:val="bottom"/>
          </w:tcPr>
          <w:p>
            <w:pPr>
              <w:jc w:val="center"/>
              <w:ind w:right="343"/>
              <w:spacing w:after="0"/>
              <w:rPr>
                <w:sz w:val="20"/>
                <w:szCs w:val="20"/>
                <w:color w:val="auto"/>
              </w:rPr>
            </w:pPr>
            <w:r>
              <w:rPr>
                <w:rFonts w:ascii="Arial" w:cs="Arial" w:eastAsia="Arial" w:hAnsi="Arial"/>
                <w:sz w:val="15"/>
                <w:szCs w:val="15"/>
                <w:b w:val="1"/>
                <w:bCs w:val="1"/>
                <w:color w:val="auto"/>
              </w:rPr>
              <w:t>Average</w:t>
            </w:r>
          </w:p>
        </w:tc>
        <w:tc>
          <w:tcPr>
            <w:tcW w:w="2060" w:type="dxa"/>
            <w:vAlign w:val="bottom"/>
          </w:tcPr>
          <w:p>
            <w:pPr>
              <w:jc w:val="center"/>
              <w:ind w:right="23"/>
              <w:spacing w:after="0"/>
              <w:rPr>
                <w:sz w:val="20"/>
                <w:szCs w:val="20"/>
                <w:color w:val="auto"/>
              </w:rPr>
            </w:pPr>
            <w:r>
              <w:rPr>
                <w:rFonts w:ascii="Arial" w:cs="Arial" w:eastAsia="Arial" w:hAnsi="Arial"/>
                <w:sz w:val="15"/>
                <w:szCs w:val="15"/>
                <w:b w:val="1"/>
                <w:bCs w:val="1"/>
                <w:color w:val="auto"/>
              </w:rPr>
              <w:t>Shares Purchased as</w:t>
            </w:r>
          </w:p>
        </w:tc>
        <w:tc>
          <w:tcPr>
            <w:tcW w:w="1600" w:type="dxa"/>
            <w:vAlign w:val="bottom"/>
            <w:gridSpan w:val="2"/>
          </w:tcPr>
          <w:p>
            <w:pPr>
              <w:jc w:val="center"/>
              <w:ind w:left="3"/>
              <w:spacing w:after="0"/>
              <w:rPr>
                <w:sz w:val="20"/>
                <w:szCs w:val="20"/>
                <w:color w:val="auto"/>
              </w:rPr>
            </w:pPr>
            <w:r>
              <w:rPr>
                <w:rFonts w:ascii="Arial" w:cs="Arial" w:eastAsia="Arial" w:hAnsi="Arial"/>
                <w:sz w:val="15"/>
                <w:szCs w:val="15"/>
                <w:b w:val="1"/>
                <w:bCs w:val="1"/>
                <w:color w:val="auto"/>
              </w:rPr>
              <w:t>Shares that may</w:t>
            </w:r>
          </w:p>
        </w:tc>
      </w:tr>
      <w:tr>
        <w:trPr>
          <w:trHeight w:val="182"/>
        </w:trPr>
        <w:tc>
          <w:tcPr>
            <w:tcW w:w="2220" w:type="dxa"/>
            <w:vAlign w:val="bottom"/>
          </w:tcPr>
          <w:p>
            <w:pPr>
              <w:spacing w:after="0"/>
              <w:rPr>
                <w:sz w:val="15"/>
                <w:szCs w:val="15"/>
                <w:color w:val="auto"/>
              </w:rPr>
            </w:pPr>
          </w:p>
        </w:tc>
        <w:tc>
          <w:tcPr>
            <w:tcW w:w="1740" w:type="dxa"/>
            <w:vAlign w:val="bottom"/>
          </w:tcPr>
          <w:p>
            <w:pPr>
              <w:jc w:val="center"/>
              <w:ind w:left="203"/>
              <w:spacing w:after="0"/>
              <w:rPr>
                <w:sz w:val="20"/>
                <w:szCs w:val="20"/>
                <w:color w:val="auto"/>
              </w:rPr>
            </w:pPr>
            <w:r>
              <w:rPr>
                <w:rFonts w:ascii="Arial" w:cs="Arial" w:eastAsia="Arial" w:hAnsi="Arial"/>
                <w:sz w:val="15"/>
                <w:szCs w:val="15"/>
                <w:b w:val="1"/>
                <w:bCs w:val="1"/>
                <w:color w:val="auto"/>
              </w:rPr>
              <w:t>Number</w:t>
            </w:r>
          </w:p>
        </w:tc>
        <w:tc>
          <w:tcPr>
            <w:tcW w:w="340" w:type="dxa"/>
            <w:vAlign w:val="bottom"/>
          </w:tcPr>
          <w:p>
            <w:pPr>
              <w:spacing w:after="0"/>
              <w:rPr>
                <w:sz w:val="15"/>
                <w:szCs w:val="15"/>
                <w:color w:val="auto"/>
              </w:rPr>
            </w:pPr>
          </w:p>
        </w:tc>
        <w:tc>
          <w:tcPr>
            <w:tcW w:w="1140" w:type="dxa"/>
            <w:vAlign w:val="bottom"/>
          </w:tcPr>
          <w:p>
            <w:pPr>
              <w:jc w:val="center"/>
              <w:ind w:right="363"/>
              <w:spacing w:after="0"/>
              <w:rPr>
                <w:sz w:val="20"/>
                <w:szCs w:val="20"/>
                <w:color w:val="auto"/>
              </w:rPr>
            </w:pPr>
            <w:r>
              <w:rPr>
                <w:rFonts w:ascii="Arial" w:cs="Arial" w:eastAsia="Arial" w:hAnsi="Arial"/>
                <w:sz w:val="15"/>
                <w:szCs w:val="15"/>
                <w:b w:val="1"/>
                <w:bCs w:val="1"/>
                <w:color w:val="auto"/>
              </w:rPr>
              <w:t>Price</w:t>
            </w:r>
          </w:p>
        </w:tc>
        <w:tc>
          <w:tcPr>
            <w:tcW w:w="2060" w:type="dxa"/>
            <w:vAlign w:val="bottom"/>
          </w:tcPr>
          <w:p>
            <w:pPr>
              <w:jc w:val="center"/>
              <w:ind w:right="23"/>
              <w:spacing w:after="0"/>
              <w:rPr>
                <w:sz w:val="20"/>
                <w:szCs w:val="20"/>
                <w:color w:val="auto"/>
              </w:rPr>
            </w:pPr>
            <w:r>
              <w:rPr>
                <w:rFonts w:ascii="Arial" w:cs="Arial" w:eastAsia="Arial" w:hAnsi="Arial"/>
                <w:sz w:val="15"/>
                <w:szCs w:val="15"/>
                <w:b w:val="1"/>
                <w:bCs w:val="1"/>
                <w:color w:val="auto"/>
              </w:rPr>
              <w:t>Part of Publicly</w:t>
            </w:r>
          </w:p>
        </w:tc>
        <w:tc>
          <w:tcPr>
            <w:tcW w:w="1600" w:type="dxa"/>
            <w:vAlign w:val="bottom"/>
            <w:gridSpan w:val="2"/>
          </w:tcPr>
          <w:p>
            <w:pPr>
              <w:jc w:val="center"/>
              <w:ind w:left="3"/>
              <w:spacing w:after="0"/>
              <w:rPr>
                <w:sz w:val="20"/>
                <w:szCs w:val="20"/>
                <w:color w:val="auto"/>
              </w:rPr>
            </w:pPr>
            <w:r>
              <w:rPr>
                <w:rFonts w:ascii="Arial" w:cs="Arial" w:eastAsia="Arial" w:hAnsi="Arial"/>
                <w:sz w:val="15"/>
                <w:szCs w:val="15"/>
                <w:b w:val="1"/>
                <w:bCs w:val="1"/>
                <w:color w:val="auto"/>
              </w:rPr>
              <w:t>yet be Purchased</w:t>
            </w:r>
          </w:p>
        </w:tc>
      </w:tr>
      <w:tr>
        <w:trPr>
          <w:trHeight w:val="195"/>
        </w:trPr>
        <w:tc>
          <w:tcPr>
            <w:tcW w:w="2220" w:type="dxa"/>
            <w:vAlign w:val="bottom"/>
          </w:tcPr>
          <w:p>
            <w:pPr>
              <w:spacing w:after="0"/>
              <w:rPr>
                <w:sz w:val="16"/>
                <w:szCs w:val="16"/>
                <w:color w:val="auto"/>
              </w:rPr>
            </w:pPr>
          </w:p>
        </w:tc>
        <w:tc>
          <w:tcPr>
            <w:tcW w:w="1740" w:type="dxa"/>
            <w:vAlign w:val="bottom"/>
          </w:tcPr>
          <w:p>
            <w:pPr>
              <w:jc w:val="center"/>
              <w:ind w:left="203"/>
              <w:spacing w:after="0"/>
              <w:rPr>
                <w:sz w:val="20"/>
                <w:szCs w:val="20"/>
                <w:color w:val="auto"/>
              </w:rPr>
            </w:pPr>
            <w:r>
              <w:rPr>
                <w:rFonts w:ascii="Arial" w:cs="Arial" w:eastAsia="Arial" w:hAnsi="Arial"/>
                <w:sz w:val="15"/>
                <w:szCs w:val="15"/>
                <w:b w:val="1"/>
                <w:bCs w:val="1"/>
                <w:color w:val="auto"/>
              </w:rPr>
              <w:t>of Shares</w:t>
            </w:r>
          </w:p>
        </w:tc>
        <w:tc>
          <w:tcPr>
            <w:tcW w:w="340" w:type="dxa"/>
            <w:vAlign w:val="bottom"/>
          </w:tcPr>
          <w:p>
            <w:pPr>
              <w:spacing w:after="0"/>
              <w:rPr>
                <w:sz w:val="16"/>
                <w:szCs w:val="16"/>
                <w:color w:val="auto"/>
              </w:rPr>
            </w:pPr>
          </w:p>
        </w:tc>
        <w:tc>
          <w:tcPr>
            <w:tcW w:w="1140" w:type="dxa"/>
            <w:vAlign w:val="bottom"/>
          </w:tcPr>
          <w:p>
            <w:pPr>
              <w:jc w:val="center"/>
              <w:ind w:right="363"/>
              <w:spacing w:after="0"/>
              <w:rPr>
                <w:sz w:val="20"/>
                <w:szCs w:val="20"/>
                <w:color w:val="auto"/>
              </w:rPr>
            </w:pPr>
            <w:r>
              <w:rPr>
                <w:rFonts w:ascii="Arial" w:cs="Arial" w:eastAsia="Arial" w:hAnsi="Arial"/>
                <w:sz w:val="15"/>
                <w:szCs w:val="15"/>
                <w:b w:val="1"/>
                <w:bCs w:val="1"/>
                <w:color w:val="auto"/>
              </w:rPr>
              <w:t>Paid Per</w:t>
            </w:r>
          </w:p>
        </w:tc>
        <w:tc>
          <w:tcPr>
            <w:tcW w:w="2060" w:type="dxa"/>
            <w:vAlign w:val="bottom"/>
          </w:tcPr>
          <w:p>
            <w:pPr>
              <w:jc w:val="center"/>
              <w:ind w:right="3"/>
              <w:spacing w:after="0"/>
              <w:rPr>
                <w:sz w:val="20"/>
                <w:szCs w:val="20"/>
                <w:color w:val="auto"/>
              </w:rPr>
            </w:pPr>
            <w:r>
              <w:rPr>
                <w:rFonts w:ascii="Arial" w:cs="Arial" w:eastAsia="Arial" w:hAnsi="Arial"/>
                <w:sz w:val="15"/>
                <w:szCs w:val="15"/>
                <w:b w:val="1"/>
                <w:bCs w:val="1"/>
                <w:color w:val="auto"/>
              </w:rPr>
              <w:t>Announced</w:t>
            </w:r>
          </w:p>
        </w:tc>
        <w:tc>
          <w:tcPr>
            <w:tcW w:w="280" w:type="dxa"/>
            <w:vAlign w:val="bottom"/>
          </w:tcPr>
          <w:p>
            <w:pPr>
              <w:spacing w:after="0"/>
              <w:rPr>
                <w:sz w:val="16"/>
                <w:szCs w:val="16"/>
                <w:color w:val="auto"/>
              </w:rPr>
            </w:pPr>
          </w:p>
        </w:tc>
        <w:tc>
          <w:tcPr>
            <w:tcW w:w="1320" w:type="dxa"/>
            <w:vAlign w:val="bottom"/>
          </w:tcPr>
          <w:p>
            <w:pPr>
              <w:jc w:val="center"/>
              <w:ind w:right="123"/>
              <w:spacing w:after="0"/>
              <w:rPr>
                <w:sz w:val="20"/>
                <w:szCs w:val="20"/>
                <w:color w:val="auto"/>
              </w:rPr>
            </w:pPr>
            <w:r>
              <w:rPr>
                <w:rFonts w:ascii="Arial" w:cs="Arial" w:eastAsia="Arial" w:hAnsi="Arial"/>
                <w:sz w:val="15"/>
                <w:szCs w:val="15"/>
                <w:b w:val="1"/>
                <w:bCs w:val="1"/>
                <w:color w:val="auto"/>
              </w:rPr>
              <w:t>Under the</w:t>
            </w:r>
          </w:p>
        </w:tc>
      </w:tr>
      <w:tr>
        <w:trPr>
          <w:trHeight w:val="194"/>
        </w:trPr>
        <w:tc>
          <w:tcPr>
            <w:tcW w:w="2220" w:type="dxa"/>
            <w:vAlign w:val="bottom"/>
            <w:tcBorders>
              <w:bottom w:val="single" w:sz="8" w:color="auto"/>
            </w:tcBorders>
          </w:tcPr>
          <w:p>
            <w:pPr>
              <w:spacing w:after="0"/>
              <w:rPr>
                <w:sz w:val="20"/>
                <w:szCs w:val="20"/>
                <w:color w:val="auto"/>
              </w:rPr>
            </w:pPr>
            <w:r>
              <w:rPr>
                <w:rFonts w:ascii="Arial" w:cs="Arial" w:eastAsia="Arial" w:hAnsi="Arial"/>
                <w:sz w:val="15"/>
                <w:szCs w:val="15"/>
                <w:b w:val="1"/>
                <w:bCs w:val="1"/>
                <w:color w:val="auto"/>
              </w:rPr>
              <w:t>Date Purchased</w:t>
            </w:r>
          </w:p>
        </w:tc>
        <w:tc>
          <w:tcPr>
            <w:tcW w:w="1740" w:type="dxa"/>
            <w:vAlign w:val="bottom"/>
            <w:tcBorders>
              <w:bottom w:val="single" w:sz="8" w:color="auto"/>
            </w:tcBorders>
          </w:tcPr>
          <w:p>
            <w:pPr>
              <w:jc w:val="center"/>
              <w:ind w:left="223"/>
              <w:spacing w:after="0"/>
              <w:rPr>
                <w:sz w:val="20"/>
                <w:szCs w:val="20"/>
                <w:color w:val="auto"/>
              </w:rPr>
            </w:pPr>
            <w:r>
              <w:rPr>
                <w:rFonts w:ascii="Arial" w:cs="Arial" w:eastAsia="Arial" w:hAnsi="Arial"/>
                <w:sz w:val="15"/>
                <w:szCs w:val="15"/>
                <w:b w:val="1"/>
                <w:bCs w:val="1"/>
                <w:color w:val="auto"/>
              </w:rPr>
              <w:t xml:space="preserve">Purchased </w:t>
            </w:r>
            <w:r>
              <w:rPr>
                <w:rFonts w:ascii="Arial" w:cs="Arial" w:eastAsia="Arial" w:hAnsi="Arial"/>
                <w:sz w:val="8"/>
                <w:szCs w:val="8"/>
                <w:color w:val="auto"/>
              </w:rPr>
              <w:t>(1)</w:t>
            </w:r>
          </w:p>
        </w:tc>
        <w:tc>
          <w:tcPr>
            <w:tcW w:w="3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83"/>
              <w:spacing w:after="0"/>
              <w:rPr>
                <w:sz w:val="20"/>
                <w:szCs w:val="20"/>
                <w:color w:val="auto"/>
              </w:rPr>
            </w:pPr>
            <w:r>
              <w:rPr>
                <w:rFonts w:ascii="Arial" w:cs="Arial" w:eastAsia="Arial" w:hAnsi="Arial"/>
                <w:sz w:val="15"/>
                <w:szCs w:val="15"/>
                <w:b w:val="1"/>
                <w:bCs w:val="1"/>
                <w:color w:val="auto"/>
              </w:rPr>
              <w:t xml:space="preserve">Share </w:t>
            </w:r>
            <w:r>
              <w:rPr>
                <w:rFonts w:ascii="Arial" w:cs="Arial" w:eastAsia="Arial" w:hAnsi="Arial"/>
                <w:sz w:val="8"/>
                <w:szCs w:val="8"/>
                <w:color w:val="auto"/>
              </w:rPr>
              <w:t>(1)</w:t>
            </w:r>
          </w:p>
        </w:tc>
        <w:tc>
          <w:tcPr>
            <w:tcW w:w="2060" w:type="dxa"/>
            <w:vAlign w:val="bottom"/>
            <w:tcBorders>
              <w:bottom w:val="single" w:sz="8" w:color="auto"/>
            </w:tcBorders>
          </w:tcPr>
          <w:p>
            <w:pPr>
              <w:jc w:val="center"/>
              <w:ind w:right="3"/>
              <w:spacing w:after="0"/>
              <w:rPr>
                <w:sz w:val="20"/>
                <w:szCs w:val="20"/>
                <w:color w:val="auto"/>
              </w:rPr>
            </w:pPr>
            <w:r>
              <w:rPr>
                <w:rFonts w:ascii="Arial" w:cs="Arial" w:eastAsia="Arial" w:hAnsi="Arial"/>
                <w:sz w:val="15"/>
                <w:szCs w:val="15"/>
                <w:b w:val="1"/>
                <w:bCs w:val="1"/>
                <w:color w:val="auto"/>
              </w:rPr>
              <w:t xml:space="preserve">Program </w:t>
            </w:r>
            <w:r>
              <w:rPr>
                <w:rFonts w:ascii="Arial" w:cs="Arial" w:eastAsia="Arial" w:hAnsi="Arial"/>
                <w:sz w:val="8"/>
                <w:szCs w:val="8"/>
                <w:color w:val="auto"/>
              </w:rPr>
              <w:t>(2)</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143"/>
              <w:spacing w:after="0"/>
              <w:rPr>
                <w:sz w:val="20"/>
                <w:szCs w:val="20"/>
                <w:color w:val="auto"/>
              </w:rPr>
            </w:pPr>
            <w:r>
              <w:rPr>
                <w:rFonts w:ascii="Arial" w:cs="Arial" w:eastAsia="Arial" w:hAnsi="Arial"/>
                <w:sz w:val="15"/>
                <w:szCs w:val="15"/>
                <w:b w:val="1"/>
                <w:bCs w:val="1"/>
                <w:color w:val="auto"/>
              </w:rPr>
              <w:t xml:space="preserve">Program </w:t>
            </w:r>
            <w:r>
              <w:rPr>
                <w:rFonts w:ascii="Arial" w:cs="Arial" w:eastAsia="Arial" w:hAnsi="Arial"/>
                <w:sz w:val="8"/>
                <w:szCs w:val="8"/>
                <w:color w:val="auto"/>
              </w:rPr>
              <w:t>(2)</w:t>
            </w:r>
          </w:p>
        </w:tc>
      </w:tr>
      <w:tr>
        <w:trPr>
          <w:trHeight w:val="187"/>
        </w:trPr>
        <w:tc>
          <w:tcPr>
            <w:tcW w:w="2220" w:type="dxa"/>
            <w:vAlign w:val="bottom"/>
            <w:shd w:val="clear" w:color="auto" w:fill="CCEEFF"/>
          </w:tcPr>
          <w:p>
            <w:pPr>
              <w:spacing w:after="0"/>
              <w:rPr>
                <w:sz w:val="20"/>
                <w:szCs w:val="20"/>
                <w:color w:val="auto"/>
              </w:rPr>
            </w:pPr>
            <w:r>
              <w:rPr>
                <w:rFonts w:ascii="Arial" w:cs="Arial" w:eastAsia="Arial" w:hAnsi="Arial"/>
                <w:sz w:val="15"/>
                <w:szCs w:val="15"/>
                <w:color w:val="auto"/>
              </w:rPr>
              <w:t>July 30 - Aug. 26, 2017</w:t>
            </w:r>
          </w:p>
        </w:tc>
        <w:tc>
          <w:tcPr>
            <w:tcW w:w="17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3,002,574</w:t>
            </w:r>
          </w:p>
        </w:tc>
        <w:tc>
          <w:tcPr>
            <w:tcW w:w="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40" w:type="dxa"/>
            <w:vAlign w:val="bottom"/>
            <w:shd w:val="clear" w:color="auto" w:fill="CCEEFF"/>
          </w:tcPr>
          <w:p>
            <w:pPr>
              <w:jc w:val="right"/>
              <w:ind w:right="123"/>
              <w:spacing w:after="0"/>
              <w:rPr>
                <w:sz w:val="20"/>
                <w:szCs w:val="20"/>
                <w:color w:val="auto"/>
              </w:rPr>
            </w:pPr>
            <w:r>
              <w:rPr>
                <w:rFonts w:ascii="Arial" w:cs="Arial" w:eastAsia="Arial" w:hAnsi="Arial"/>
                <w:sz w:val="15"/>
                <w:szCs w:val="15"/>
                <w:color w:val="auto"/>
              </w:rPr>
              <w:t>35.17</w:t>
            </w:r>
          </w:p>
        </w:tc>
        <w:tc>
          <w:tcPr>
            <w:tcW w:w="20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rPr>
              <w:t>3,000,000</w:t>
            </w: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1,061,038,524</w:t>
            </w:r>
          </w:p>
        </w:tc>
      </w:tr>
      <w:tr>
        <w:trPr>
          <w:trHeight w:val="207"/>
        </w:trPr>
        <w:tc>
          <w:tcPr>
            <w:tcW w:w="2220" w:type="dxa"/>
            <w:vAlign w:val="bottom"/>
          </w:tcPr>
          <w:p>
            <w:pPr>
              <w:spacing w:after="0"/>
              <w:rPr>
                <w:sz w:val="20"/>
                <w:szCs w:val="20"/>
                <w:color w:val="auto"/>
              </w:rPr>
            </w:pPr>
            <w:r>
              <w:rPr>
                <w:rFonts w:ascii="Arial" w:cs="Arial" w:eastAsia="Arial" w:hAnsi="Arial"/>
                <w:sz w:val="15"/>
                <w:szCs w:val="15"/>
                <w:color w:val="auto"/>
              </w:rPr>
              <w:t>Aug. 27 - Sept. 30, 2017</w:t>
            </w:r>
          </w:p>
        </w:tc>
        <w:tc>
          <w:tcPr>
            <w:tcW w:w="1740" w:type="dxa"/>
            <w:vAlign w:val="bottom"/>
          </w:tcPr>
          <w:p>
            <w:pPr>
              <w:jc w:val="right"/>
              <w:ind w:right="123"/>
              <w:spacing w:after="0"/>
              <w:rPr>
                <w:sz w:val="20"/>
                <w:szCs w:val="20"/>
                <w:color w:val="auto"/>
              </w:rPr>
            </w:pPr>
            <w:r>
              <w:rPr>
                <w:rFonts w:ascii="Arial" w:cs="Arial" w:eastAsia="Arial" w:hAnsi="Arial"/>
                <w:sz w:val="15"/>
                <w:szCs w:val="15"/>
                <w:color w:val="auto"/>
              </w:rPr>
              <w:t>4,788,800</w:t>
            </w:r>
          </w:p>
        </w:tc>
        <w:tc>
          <w:tcPr>
            <w:tcW w:w="340" w:type="dxa"/>
            <w:vAlign w:val="bottom"/>
          </w:tcPr>
          <w:p>
            <w:pPr>
              <w:spacing w:after="0"/>
              <w:rPr>
                <w:sz w:val="17"/>
                <w:szCs w:val="17"/>
                <w:color w:val="auto"/>
              </w:rPr>
            </w:pPr>
          </w:p>
        </w:tc>
        <w:tc>
          <w:tcPr>
            <w:tcW w:w="1140" w:type="dxa"/>
            <w:vAlign w:val="bottom"/>
          </w:tcPr>
          <w:p>
            <w:pPr>
              <w:jc w:val="right"/>
              <w:ind w:right="123"/>
              <w:spacing w:after="0"/>
              <w:rPr>
                <w:sz w:val="20"/>
                <w:szCs w:val="20"/>
                <w:color w:val="auto"/>
              </w:rPr>
            </w:pPr>
            <w:r>
              <w:rPr>
                <w:rFonts w:ascii="Arial" w:cs="Arial" w:eastAsia="Arial" w:hAnsi="Arial"/>
                <w:sz w:val="15"/>
                <w:szCs w:val="15"/>
                <w:color w:val="auto"/>
              </w:rPr>
              <w:t>35.34</w:t>
            </w:r>
          </w:p>
        </w:tc>
        <w:tc>
          <w:tcPr>
            <w:tcW w:w="2060" w:type="dxa"/>
            <w:vAlign w:val="bottom"/>
          </w:tcPr>
          <w:p>
            <w:pPr>
              <w:jc w:val="right"/>
              <w:ind w:right="103"/>
              <w:spacing w:after="0"/>
              <w:rPr>
                <w:sz w:val="20"/>
                <w:szCs w:val="20"/>
                <w:color w:val="auto"/>
              </w:rPr>
            </w:pPr>
            <w:r>
              <w:rPr>
                <w:rFonts w:ascii="Arial" w:cs="Arial" w:eastAsia="Arial" w:hAnsi="Arial"/>
                <w:sz w:val="15"/>
                <w:szCs w:val="15"/>
                <w:color w:val="auto"/>
              </w:rPr>
              <w:t>4,788,760</w:t>
            </w:r>
          </w:p>
        </w:tc>
        <w:tc>
          <w:tcPr>
            <w:tcW w:w="28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891,816,280</w:t>
            </w:r>
          </w:p>
        </w:tc>
      </w:tr>
      <w:tr>
        <w:trPr>
          <w:trHeight w:val="207"/>
        </w:trPr>
        <w:tc>
          <w:tcPr>
            <w:tcW w:w="2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rPr>
              <w:t>Oct. 1 - Oct. 28, 2017</w:t>
            </w:r>
          </w:p>
        </w:tc>
        <w:tc>
          <w:tcPr>
            <w:tcW w:w="17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904,800</w:t>
            </w:r>
          </w:p>
        </w:tc>
        <w:tc>
          <w:tcPr>
            <w:tcW w:w="340" w:type="dxa"/>
            <w:vAlign w:val="bottom"/>
            <w:tcBorders>
              <w:bottom w:val="single" w:sz="8" w:color="auto"/>
            </w:tcBorders>
            <w:shd w:val="clear" w:color="auto" w:fill="CCEEFF"/>
          </w:tcPr>
          <w:p>
            <w:pPr>
              <w:spacing w:after="0"/>
              <w:rPr>
                <w:sz w:val="17"/>
                <w:szCs w:val="17"/>
                <w:color w:val="auto"/>
              </w:rPr>
            </w:pPr>
          </w:p>
        </w:tc>
        <w:tc>
          <w:tcPr>
            <w:tcW w:w="114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5"/>
                <w:szCs w:val="15"/>
                <w:color w:val="auto"/>
              </w:rPr>
              <w:t>31.85</w:t>
            </w:r>
          </w:p>
        </w:tc>
        <w:tc>
          <w:tcPr>
            <w:tcW w:w="2060" w:type="dxa"/>
            <w:vAlign w:val="bottom"/>
            <w:tcBorders>
              <w:bottom w:val="single" w:sz="8" w:color="auto"/>
            </w:tcBorders>
            <w:shd w:val="clear" w:color="auto" w:fill="CCEEFF"/>
          </w:tcPr>
          <w:p>
            <w:pPr>
              <w:jc w:val="right"/>
              <w:ind w:right="103"/>
              <w:spacing w:after="0"/>
              <w:rPr>
                <w:sz w:val="20"/>
                <w:szCs w:val="20"/>
                <w:color w:val="auto"/>
              </w:rPr>
            </w:pPr>
            <w:r>
              <w:rPr>
                <w:rFonts w:ascii="Arial" w:cs="Arial" w:eastAsia="Arial" w:hAnsi="Arial"/>
                <w:sz w:val="15"/>
                <w:szCs w:val="15"/>
                <w:color w:val="auto"/>
              </w:rPr>
              <w:t>904,800</w:t>
            </w:r>
          </w:p>
        </w:tc>
        <w:tc>
          <w:tcPr>
            <w:tcW w:w="280" w:type="dxa"/>
            <w:vAlign w:val="bottom"/>
            <w:tcBorders>
              <w:bottom w:val="single" w:sz="8" w:color="auto"/>
            </w:tcBorders>
            <w:shd w:val="clear" w:color="auto" w:fill="CCEEFF"/>
          </w:tcPr>
          <w:p>
            <w:pPr>
              <w:spacing w:after="0"/>
              <w:rPr>
                <w:sz w:val="17"/>
                <w:szCs w:val="17"/>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862,996,130</w:t>
            </w:r>
          </w:p>
        </w:tc>
      </w:tr>
      <w:tr>
        <w:trPr>
          <w:trHeight w:val="187"/>
        </w:trPr>
        <w:tc>
          <w:tcPr>
            <w:tcW w:w="222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8,696,174</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114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color w:val="auto"/>
              </w:rPr>
              <w:t>34.92</w:t>
            </w:r>
          </w:p>
        </w:tc>
        <w:tc>
          <w:tcPr>
            <w:tcW w:w="20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rPr>
              <w:t>8,693,560</w:t>
            </w:r>
          </w:p>
        </w:tc>
        <w:tc>
          <w:tcPr>
            <w:tcW w:w="2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bl>
    <w:p>
      <w:pPr>
        <w:spacing w:after="0" w:line="109" w:lineRule="exact"/>
        <w:rPr>
          <w:sz w:val="20"/>
          <w:szCs w:val="20"/>
          <w:color w:val="auto"/>
        </w:rPr>
      </w:pPr>
    </w:p>
    <w:p>
      <w:pPr>
        <w:jc w:val="both"/>
        <w:ind w:left="840" w:right="20" w:hanging="642"/>
        <w:spacing w:after="0" w:line="239" w:lineRule="auto"/>
        <w:tabs>
          <w:tab w:leader="none" w:pos="840" w:val="left"/>
        </w:tabs>
        <w:numPr>
          <w:ilvl w:val="0"/>
          <w:numId w:val="9"/>
        </w:numPr>
        <w:rPr>
          <w:rFonts w:ascii="Arial" w:cs="Arial" w:eastAsia="Arial" w:hAnsi="Arial"/>
          <w:sz w:val="11"/>
          <w:szCs w:val="11"/>
          <w:color w:val="auto"/>
        </w:rPr>
      </w:pPr>
      <w:r>
        <w:rPr>
          <w:rFonts w:ascii="Arial" w:cs="Arial" w:eastAsia="Arial" w:hAnsi="Arial"/>
          <w:sz w:val="12"/>
          <w:szCs w:val="12"/>
          <w:color w:val="auto"/>
        </w:rPr>
        <w:t>These columns also reflect shares acquired in satisfaction of the tax withholding obligations of holders of restricted stock units and restricted stock awards which vested during the quarter, and shares repurchased pursuant to Rule 10b5-1 under the Securities Exchange Act of 1934. The calculation of the average price paid per share includes all fees, commissions, and other costs associated with the repurchase of such shares.</w:t>
      </w:r>
    </w:p>
    <w:p>
      <w:pPr>
        <w:spacing w:after="0" w:line="232" w:lineRule="exact"/>
        <w:rPr>
          <w:rFonts w:ascii="Arial" w:cs="Arial" w:eastAsia="Arial" w:hAnsi="Arial"/>
          <w:sz w:val="11"/>
          <w:szCs w:val="11"/>
          <w:color w:val="auto"/>
        </w:rPr>
      </w:pPr>
    </w:p>
    <w:p>
      <w:pPr>
        <w:ind w:left="840" w:hanging="642"/>
        <w:spacing w:after="0"/>
        <w:tabs>
          <w:tab w:leader="none" w:pos="840" w:val="left"/>
        </w:tabs>
        <w:numPr>
          <w:ilvl w:val="0"/>
          <w:numId w:val="9"/>
        </w:numPr>
        <w:rPr>
          <w:rFonts w:ascii="Arial" w:cs="Arial" w:eastAsia="Arial" w:hAnsi="Arial"/>
          <w:sz w:val="11"/>
          <w:szCs w:val="11"/>
          <w:color w:val="auto"/>
        </w:rPr>
      </w:pPr>
      <w:r>
        <w:rPr>
          <w:rFonts w:ascii="Arial" w:cs="Arial" w:eastAsia="Arial" w:hAnsi="Arial"/>
          <w:sz w:val="12"/>
          <w:szCs w:val="12"/>
          <w:color w:val="auto"/>
        </w:rPr>
        <w:t>On February 14, 2017, the Board of Directors approved a 3-year, $1.2 billion share repurchase program extending through January 2020.</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Item 6. Exhibits</w:t>
      </w:r>
    </w:p>
    <w:p>
      <w:pPr>
        <w:spacing w:after="0" w:line="186" w:lineRule="exact"/>
        <w:rPr>
          <w:sz w:val="20"/>
          <w:szCs w:val="20"/>
          <w:color w:val="auto"/>
        </w:rPr>
      </w:pPr>
    </w:p>
    <w:p>
      <w:pPr>
        <w:ind w:left="600" w:hanging="381"/>
        <w:spacing w:after="0"/>
        <w:tabs>
          <w:tab w:leader="none" w:pos="600" w:val="left"/>
        </w:tabs>
        <w:numPr>
          <w:ilvl w:val="0"/>
          <w:numId w:val="10"/>
        </w:numPr>
        <w:rPr>
          <w:rFonts w:ascii="Arial" w:cs="Arial" w:eastAsia="Arial" w:hAnsi="Arial"/>
          <w:sz w:val="15"/>
          <w:szCs w:val="15"/>
          <w:color w:val="auto"/>
        </w:rPr>
      </w:pPr>
      <w:r>
        <w:rPr>
          <w:rFonts w:ascii="Arial" w:cs="Arial" w:eastAsia="Arial" w:hAnsi="Arial"/>
          <w:sz w:val="15"/>
          <w:szCs w:val="15"/>
          <w:u w:val="single" w:color="auto"/>
          <w:color w:val="auto"/>
        </w:rPr>
        <w:t>Exhibits</w:t>
      </w:r>
    </w:p>
    <w:p>
      <w:pPr>
        <w:spacing w:after="0" w:line="22" w:lineRule="exact"/>
        <w:rPr>
          <w:rFonts w:ascii="Arial" w:cs="Arial" w:eastAsia="Arial" w:hAnsi="Arial"/>
          <w:sz w:val="15"/>
          <w:szCs w:val="15"/>
          <w:color w:val="auto"/>
        </w:rPr>
      </w:pPr>
    </w:p>
    <w:p>
      <w:pPr>
        <w:ind w:left="600"/>
        <w:spacing w:after="0"/>
        <w:rPr>
          <w:rFonts w:ascii="Arial" w:cs="Arial" w:eastAsia="Arial" w:hAnsi="Arial"/>
          <w:sz w:val="15"/>
          <w:szCs w:val="15"/>
          <w:color w:val="auto"/>
        </w:rPr>
      </w:pPr>
      <w:r>
        <w:rPr>
          <w:rFonts w:ascii="Arial" w:cs="Arial" w:eastAsia="Arial" w:hAnsi="Arial"/>
          <w:sz w:val="15"/>
          <w:szCs w:val="15"/>
          <w:color w:val="auto"/>
        </w:rPr>
        <w:t>The exhibits that are in this report immediately follow the index.</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sectPr>
      </w:pPr>
    </w:p>
    <w:bookmarkStart w:id="28" w:name="page29"/>
    <w:bookmarkEnd w:id="28"/>
    <w:p>
      <w:pPr>
        <w:jc w:val="center"/>
        <w:ind w:right="-19"/>
        <w:spacing w:after="0"/>
        <w:rPr>
          <w:sz w:val="20"/>
          <w:szCs w:val="20"/>
          <w:color w:val="auto"/>
        </w:rPr>
      </w:pPr>
      <w:r>
        <w:rPr>
          <w:rFonts w:ascii="Arial" w:cs="Arial" w:eastAsia="Arial" w:hAnsi="Arial"/>
          <w:sz w:val="15"/>
          <w:szCs w:val="15"/>
          <w:b w:val="1"/>
          <w:bCs w:val="1"/>
          <w:color w:val="auto"/>
        </w:rPr>
        <w:t>SIGNATURE</w:t>
      </w:r>
    </w:p>
    <w:p>
      <w:pPr>
        <w:spacing w:after="0" w:line="186" w:lineRule="exact"/>
        <w:rPr>
          <w:sz w:val="20"/>
          <w:szCs w:val="20"/>
          <w:color w:val="auto"/>
        </w:rPr>
      </w:pPr>
    </w:p>
    <w:p>
      <w:pPr>
        <w:spacing w:after="0" w:line="254" w:lineRule="auto"/>
        <w:rPr>
          <w:sz w:val="20"/>
          <w:szCs w:val="20"/>
          <w:color w:val="auto"/>
        </w:rPr>
      </w:pPr>
      <w:r>
        <w:rPr>
          <w:rFonts w:ascii="Arial" w:cs="Arial" w:eastAsia="Arial" w:hAnsi="Arial"/>
          <w:sz w:val="15"/>
          <w:szCs w:val="15"/>
          <w:color w:val="auto"/>
        </w:rPr>
        <w:t>Pursuant to the requirements of the Securities Exchange Act of 1934, the Company has duly caused this report to be signed on its behalf by the undersigned thereunto duly authorized.</w:t>
      </w:r>
    </w:p>
    <w:p>
      <w:pPr>
        <w:spacing w:after="0" w:line="389" w:lineRule="exact"/>
        <w:rPr>
          <w:sz w:val="20"/>
          <w:szCs w:val="20"/>
          <w:color w:val="auto"/>
        </w:rPr>
      </w:pPr>
    </w:p>
    <w:p>
      <w:pPr>
        <w:spacing w:after="0"/>
        <w:tabs>
          <w:tab w:leader="none" w:pos="4540" w:val="left"/>
        </w:tabs>
        <w:rPr>
          <w:sz w:val="20"/>
          <w:szCs w:val="20"/>
          <w:color w:val="auto"/>
        </w:rPr>
      </w:pPr>
      <w:r>
        <w:rPr>
          <w:rFonts w:ascii="Arial" w:cs="Arial" w:eastAsia="Arial" w:hAnsi="Arial"/>
          <w:sz w:val="15"/>
          <w:szCs w:val="15"/>
          <w:color w:val="auto"/>
        </w:rPr>
        <w:t>Date: December 6, 2017</w:t>
      </w:r>
      <w:r>
        <w:rPr>
          <w:sz w:val="20"/>
          <w:szCs w:val="20"/>
          <w:color w:val="auto"/>
        </w:rPr>
        <w:tab/>
      </w:r>
      <w:r>
        <w:rPr>
          <w:rFonts w:ascii="Arial" w:cs="Arial" w:eastAsia="Arial" w:hAnsi="Arial"/>
          <w:sz w:val="15"/>
          <w:szCs w:val="15"/>
          <w:color w:val="auto"/>
        </w:rPr>
        <w:t>FOOT LOCKER, INC.</w:t>
      </w:r>
    </w:p>
    <w:p>
      <w:pPr>
        <w:spacing w:after="0" w:line="200" w:lineRule="exact"/>
        <w:rPr>
          <w:sz w:val="20"/>
          <w:szCs w:val="20"/>
          <w:color w:val="auto"/>
        </w:rPr>
      </w:pPr>
    </w:p>
    <w:p>
      <w:pPr>
        <w:spacing w:after="0" w:line="321"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1905</wp:posOffset>
            </wp:positionV>
            <wp:extent cx="2888615"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888615" cy="7620"/>
                    </a:xfrm>
                    <a:prstGeom prst="rect">
                      <a:avLst/>
                    </a:prstGeom>
                    <a:noFill/>
                  </pic:spPr>
                </pic:pic>
              </a:graphicData>
            </a:graphic>
          </wp:anchor>
        </w:drawing>
      </w:r>
    </w:p>
    <w:p>
      <w:pPr>
        <w:spacing w:after="0" w:line="39"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LAUREN B. PETERS</w:t>
      </w:r>
    </w:p>
    <w:p>
      <w:pPr>
        <w:spacing w:after="0" w:line="22"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Executive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505" w:right="1399" w:bottom="1440" w:gutter="0" w:footer="0" w:header="0"/>
        </w:sectPr>
      </w:pPr>
    </w:p>
    <w:bookmarkStart w:id="29" w:name="page30"/>
    <w:bookmarkEnd w:id="29"/>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40"/>
        <w:spacing w:after="0"/>
        <w:rPr>
          <w:sz w:val="20"/>
          <w:szCs w:val="20"/>
          <w:color w:val="auto"/>
        </w:rPr>
      </w:pPr>
      <w:r>
        <w:rPr>
          <w:rFonts w:ascii="Arial" w:cs="Arial" w:eastAsia="Arial" w:hAnsi="Arial"/>
          <w:sz w:val="15"/>
          <w:szCs w:val="15"/>
          <w:b w:val="1"/>
          <w:bCs w:val="1"/>
          <w:u w:val="single" w:color="auto"/>
          <w:color w:val="auto"/>
        </w:rPr>
        <w:t>Exhibit No.</w:t>
      </w:r>
    </w:p>
    <w:p>
      <w:pPr>
        <w:spacing w:after="0" w:line="52" w:lineRule="exact"/>
        <w:rPr>
          <w:sz w:val="20"/>
          <w:szCs w:val="20"/>
          <w:color w:val="auto"/>
        </w:rPr>
      </w:pPr>
    </w:p>
    <w:p>
      <w:pPr>
        <w:ind w:left="420"/>
        <w:spacing w:after="0"/>
        <w:rPr>
          <w:sz w:val="20"/>
          <w:szCs w:val="20"/>
          <w:color w:val="auto"/>
        </w:rPr>
      </w:pPr>
      <w:r>
        <w:rPr>
          <w:rFonts w:ascii="Arial" w:cs="Arial" w:eastAsia="Arial" w:hAnsi="Arial"/>
          <w:sz w:val="15"/>
          <w:szCs w:val="15"/>
          <w:color w:val="auto"/>
        </w:rPr>
        <w:t>12*</w:t>
      </w:r>
    </w:p>
    <w:p>
      <w:pPr>
        <w:spacing w:after="0" w:line="10" w:lineRule="exact"/>
        <w:rPr>
          <w:sz w:val="20"/>
          <w:szCs w:val="20"/>
          <w:color w:val="auto"/>
        </w:rPr>
      </w:pPr>
    </w:p>
    <w:p>
      <w:pPr>
        <w:jc w:val="center"/>
        <w:ind w:left="140"/>
        <w:spacing w:after="0"/>
        <w:rPr>
          <w:sz w:val="20"/>
          <w:szCs w:val="20"/>
          <w:color w:val="auto"/>
        </w:rPr>
      </w:pPr>
      <w:r>
        <w:rPr>
          <w:rFonts w:ascii="Arial" w:cs="Arial" w:eastAsia="Arial" w:hAnsi="Arial"/>
          <w:sz w:val="15"/>
          <w:szCs w:val="15"/>
          <w:color w:val="auto"/>
        </w:rPr>
        <w:t>15*</w:t>
      </w:r>
    </w:p>
    <w:p>
      <w:pPr>
        <w:spacing w:after="0" w:line="95" w:lineRule="exact"/>
        <w:rPr>
          <w:sz w:val="20"/>
          <w:szCs w:val="20"/>
          <w:color w:val="auto"/>
        </w:rPr>
      </w:pPr>
    </w:p>
    <w:p>
      <w:pPr>
        <w:jc w:val="center"/>
        <w:ind w:left="140"/>
        <w:spacing w:after="0"/>
        <w:rPr>
          <w:sz w:val="20"/>
          <w:szCs w:val="20"/>
          <w:color w:val="auto"/>
        </w:rPr>
      </w:pPr>
      <w:r>
        <w:rPr>
          <w:rFonts w:ascii="Arial" w:cs="Arial" w:eastAsia="Arial" w:hAnsi="Arial"/>
          <w:sz w:val="15"/>
          <w:szCs w:val="15"/>
          <w:color w:val="auto"/>
        </w:rPr>
        <w:t>31.1*</w:t>
      </w:r>
    </w:p>
    <w:p>
      <w:pPr>
        <w:spacing w:after="0" w:line="18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31.2*</w:t>
      </w:r>
    </w:p>
    <w:p>
      <w:pPr>
        <w:spacing w:after="0" w:line="180" w:lineRule="exact"/>
        <w:rPr>
          <w:sz w:val="20"/>
          <w:szCs w:val="20"/>
          <w:color w:val="auto"/>
        </w:rPr>
      </w:pPr>
    </w:p>
    <w:p>
      <w:pPr>
        <w:ind w:left="380"/>
        <w:spacing w:after="0"/>
        <w:rPr>
          <w:sz w:val="20"/>
          <w:szCs w:val="20"/>
          <w:color w:val="auto"/>
        </w:rPr>
      </w:pPr>
      <w:r>
        <w:rPr>
          <w:rFonts w:ascii="Arial" w:cs="Arial" w:eastAsia="Arial" w:hAnsi="Arial"/>
          <w:sz w:val="15"/>
          <w:szCs w:val="15"/>
          <w:color w:val="auto"/>
        </w:rPr>
        <w:t>32**</w:t>
      </w:r>
    </w:p>
    <w:p>
      <w:pPr>
        <w:spacing w:after="0" w:line="20" w:lineRule="exact"/>
        <w:rPr>
          <w:sz w:val="20"/>
          <w:szCs w:val="20"/>
          <w:color w:val="auto"/>
        </w:rPr>
      </w:pPr>
      <w:r>
        <w:rPr>
          <w:sz w:val="20"/>
          <w:szCs w:val="20"/>
          <w:color w:val="auto"/>
        </w:rPr>
        <w:br w:type="column"/>
      </w:r>
    </w:p>
    <w:p>
      <w:pPr>
        <w:ind w:left="2660"/>
        <w:spacing w:after="0"/>
        <w:rPr>
          <w:sz w:val="20"/>
          <w:szCs w:val="20"/>
          <w:color w:val="auto"/>
        </w:rPr>
      </w:pPr>
      <w:r>
        <w:rPr>
          <w:rFonts w:ascii="Arial" w:cs="Arial" w:eastAsia="Arial" w:hAnsi="Arial"/>
          <w:sz w:val="15"/>
          <w:szCs w:val="15"/>
          <w:b w:val="1"/>
          <w:bCs w:val="1"/>
          <w:color w:val="auto"/>
        </w:rPr>
        <w:t>FOOT LOCKER, INC.</w:t>
      </w:r>
    </w:p>
    <w:p>
      <w:pPr>
        <w:spacing w:after="0" w:line="16" w:lineRule="exact"/>
        <w:rPr>
          <w:sz w:val="20"/>
          <w:szCs w:val="20"/>
          <w:color w:val="auto"/>
        </w:rPr>
      </w:pPr>
    </w:p>
    <w:p>
      <w:pPr>
        <w:ind w:left="2660"/>
        <w:spacing w:after="0"/>
        <w:rPr>
          <w:sz w:val="20"/>
          <w:szCs w:val="20"/>
          <w:color w:val="auto"/>
        </w:rPr>
      </w:pPr>
      <w:r>
        <w:rPr>
          <w:rFonts w:ascii="Arial" w:cs="Arial" w:eastAsia="Arial" w:hAnsi="Arial"/>
          <w:sz w:val="15"/>
          <w:szCs w:val="15"/>
          <w:b w:val="1"/>
          <w:bCs w:val="1"/>
          <w:color w:val="auto"/>
        </w:rPr>
        <w:t>INDEX OF EXHIBITS</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Description</w:t>
      </w:r>
    </w:p>
    <w:p>
      <w:pPr>
        <w:spacing w:after="0" w:line="77" w:lineRule="exact"/>
        <w:rPr>
          <w:sz w:val="20"/>
          <w:szCs w:val="20"/>
          <w:color w:val="auto"/>
        </w:rPr>
      </w:pPr>
    </w:p>
    <w:p>
      <w:pPr>
        <w:spacing w:after="0"/>
        <w:rPr>
          <w:rFonts w:ascii="Arial" w:cs="Arial" w:eastAsia="Arial" w:hAnsi="Arial"/>
          <w:sz w:val="15"/>
          <w:szCs w:val="15"/>
          <w:u w:val="single" w:color="auto"/>
          <w:color w:val="0000EE"/>
        </w:rPr>
      </w:pPr>
      <w:hyperlink w:anchor="page31">
        <w:r>
          <w:rPr>
            <w:rFonts w:ascii="Arial" w:cs="Arial" w:eastAsia="Arial" w:hAnsi="Arial"/>
            <w:sz w:val="15"/>
            <w:szCs w:val="15"/>
            <w:u w:val="single" w:color="auto"/>
            <w:color w:val="0000EE"/>
          </w:rPr>
          <w:t>Computation of Ratio of Earnings to Fixed Charges.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-105410</wp:posOffset>
            </wp:positionV>
            <wp:extent cx="5777230" cy="1155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77230" cy="115570"/>
                    </a:xfrm>
                    <a:prstGeom prst="rect">
                      <a:avLst/>
                    </a:prstGeom>
                    <a:noFill/>
                  </pic:spPr>
                </pic:pic>
              </a:graphicData>
            </a:graphic>
          </wp:anchor>
        </w:drawing>
      </w:r>
    </w:p>
    <w:p>
      <w:pPr>
        <w:spacing w:after="0"/>
        <w:rPr>
          <w:rFonts w:ascii="Arial" w:cs="Arial" w:eastAsia="Arial" w:hAnsi="Arial"/>
          <w:sz w:val="15"/>
          <w:szCs w:val="15"/>
          <w:u w:val="single" w:color="auto"/>
          <w:color w:val="0000EE"/>
        </w:rPr>
      </w:pPr>
      <w:hyperlink w:anchor="page32">
        <w:r>
          <w:rPr>
            <w:rFonts w:ascii="Arial" w:cs="Arial" w:eastAsia="Arial" w:hAnsi="Arial"/>
            <w:sz w:val="15"/>
            <w:szCs w:val="15"/>
            <w:u w:val="single" w:color="auto"/>
            <w:color w:val="0000EE"/>
          </w:rPr>
          <w:t>Accountants’ Acknowledgement.</w:t>
        </w:r>
      </w:hyperlink>
    </w:p>
    <w:p>
      <w:pPr>
        <w:spacing w:after="0" w:line="10" w:lineRule="exact"/>
        <w:rPr>
          <w:sz w:val="20"/>
          <w:szCs w:val="20"/>
          <w:color w:val="auto"/>
        </w:rPr>
      </w:pPr>
    </w:p>
    <w:p>
      <w:pPr>
        <w:ind w:right="60"/>
        <w:spacing w:after="0" w:line="245" w:lineRule="auto"/>
        <w:rPr>
          <w:rFonts w:ascii="Arial" w:cs="Arial" w:eastAsia="Arial" w:hAnsi="Arial"/>
          <w:sz w:val="15"/>
          <w:szCs w:val="15"/>
          <w:u w:val="single" w:color="auto"/>
          <w:color w:val="0000EE"/>
        </w:rPr>
      </w:pPr>
      <w:hyperlink w:anchor="page33">
        <w:r>
          <w:rPr>
            <w:rFonts w:ascii="Arial" w:cs="Arial" w:eastAsia="Arial" w:hAnsi="Arial"/>
            <w:sz w:val="15"/>
            <w:szCs w:val="15"/>
            <w:u w:val="single" w:color="auto"/>
            <w:color w:val="0000EE"/>
          </w:rPr>
          <w:t>Certification of Chief Executive Officer Pursuant to Rule 13a-14(a) or 15d-14(a), as adopted pursuant to Section 302</w:t>
        </w:r>
      </w:hyperlink>
      <w:r>
        <w:rPr>
          <w:rFonts w:ascii="Arial" w:cs="Arial" w:eastAsia="Arial" w:hAnsi="Arial"/>
          <w:sz w:val="15"/>
          <w:szCs w:val="15"/>
          <w:u w:val="single" w:color="auto"/>
          <w:color w:val="0000EE"/>
        </w:rPr>
        <w:t xml:space="preserve"> </w:t>
      </w:r>
      <w:hyperlink w:anchor="page33">
        <w:r>
          <w:rPr>
            <w:rFonts w:ascii="Arial" w:cs="Arial" w:eastAsia="Arial" w:hAnsi="Arial"/>
            <w:sz w:val="15"/>
            <w:szCs w:val="15"/>
            <w:u w:val="single" w:color="auto"/>
            <w:color w:val="0000EE"/>
          </w:rPr>
          <w:t>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-219710</wp:posOffset>
            </wp:positionV>
            <wp:extent cx="5777230" cy="2241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77230" cy="224155"/>
                    </a:xfrm>
                    <a:prstGeom prst="rect">
                      <a:avLst/>
                    </a:prstGeom>
                    <a:noFill/>
                  </pic:spPr>
                </pic:pic>
              </a:graphicData>
            </a:graphic>
          </wp:anchor>
        </w:drawing>
      </w:r>
    </w:p>
    <w:p>
      <w:pPr>
        <w:ind w:right="120"/>
        <w:spacing w:after="0" w:line="245" w:lineRule="auto"/>
        <w:rPr>
          <w:rFonts w:ascii="Arial" w:cs="Arial" w:eastAsia="Arial" w:hAnsi="Arial"/>
          <w:sz w:val="15"/>
          <w:szCs w:val="15"/>
          <w:u w:val="single" w:color="auto"/>
          <w:color w:val="0000EE"/>
        </w:rPr>
      </w:pPr>
      <w:hyperlink w:anchor="page34">
        <w:r>
          <w:rPr>
            <w:rFonts w:ascii="Arial" w:cs="Arial" w:eastAsia="Arial" w:hAnsi="Arial"/>
            <w:sz w:val="15"/>
            <w:szCs w:val="15"/>
            <w:u w:val="single" w:color="auto"/>
            <w:color w:val="0000EE"/>
          </w:rPr>
          <w:t>Certification of Chief Financial Officer Pursuant to Rule 13a-14(a) or 15d-14(a), as adopted pursuant to Section 302</w:t>
        </w:r>
      </w:hyperlink>
      <w:r>
        <w:rPr>
          <w:rFonts w:ascii="Arial" w:cs="Arial" w:eastAsia="Arial" w:hAnsi="Arial"/>
          <w:sz w:val="15"/>
          <w:szCs w:val="15"/>
          <w:u w:val="single" w:color="auto"/>
          <w:color w:val="0000EE"/>
        </w:rPr>
        <w:t xml:space="preserve"> </w:t>
      </w:r>
      <w:hyperlink w:anchor="page34">
        <w:r>
          <w:rPr>
            <w:rFonts w:ascii="Arial" w:cs="Arial" w:eastAsia="Arial" w:hAnsi="Arial"/>
            <w:sz w:val="15"/>
            <w:szCs w:val="15"/>
            <w:u w:val="single" w:color="auto"/>
            <w:color w:val="0000EE"/>
          </w:rPr>
          <w:t>of the Sarbanes-Oxley Act of 2002.</w:t>
        </w:r>
      </w:hyperlink>
    </w:p>
    <w:p>
      <w:pPr>
        <w:spacing w:after="0" w:line="1" w:lineRule="exact"/>
        <w:rPr>
          <w:sz w:val="20"/>
          <w:szCs w:val="20"/>
          <w:color w:val="auto"/>
        </w:rPr>
      </w:pPr>
    </w:p>
    <w:p>
      <w:pPr>
        <w:ind w:right="200"/>
        <w:spacing w:after="0" w:line="223" w:lineRule="auto"/>
        <w:rPr>
          <w:rFonts w:ascii="Arial" w:cs="Arial" w:eastAsia="Arial" w:hAnsi="Arial"/>
          <w:sz w:val="15"/>
          <w:szCs w:val="15"/>
          <w:color w:val="0000EE"/>
        </w:rPr>
      </w:pPr>
      <w:hyperlink w:anchor="page35">
        <w:r>
          <w:rPr>
            <w:rFonts w:ascii="Arial" w:cs="Arial" w:eastAsia="Arial" w:hAnsi="Arial"/>
            <w:sz w:val="15"/>
            <w:szCs w:val="15"/>
            <w:u w:val="single" w:color="auto"/>
            <w:color w:val="0000EE"/>
          </w:rPr>
          <w:t>Certification of Chief Executive Officer and Chief Financial Officer Pursuant to 18 U.S.C. Section 1350, as adopted</w:t>
        </w:r>
      </w:hyperlink>
      <w:r>
        <w:rPr>
          <w:rFonts w:ascii="Arial" w:cs="Arial" w:eastAsia="Arial" w:hAnsi="Arial"/>
          <w:sz w:val="15"/>
          <w:szCs w:val="15"/>
          <w:u w:val="single" w:color="auto"/>
          <w:color w:val="0000EE"/>
        </w:rPr>
        <w:t xml:space="preserve"> </w:t>
      </w:r>
      <w:hyperlink w:anchor="page35">
        <w:r>
          <w:rPr>
            <w:rFonts w:ascii="Arial" w:cs="Arial" w:eastAsia="Arial" w:hAnsi="Arial"/>
            <w:sz w:val="15"/>
            <w:szCs w:val="15"/>
            <w:color w:val="0000EE"/>
          </w:rPr>
          <w:t>pursuant to Section 906 of the Sarbanes-Oxley Act of 2002.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-199390</wp:posOffset>
            </wp:positionV>
            <wp:extent cx="5777230" cy="2241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77230" cy="2241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940" w:space="200"/>
            <w:col w:w="7960"/>
          </w:cols>
          <w:pgMar w:left="1400" w:top="311" w:right="1399" w:bottom="1440" w:gutter="0" w:footer="0" w:header="0"/>
        </w:sectPr>
      </w:pPr>
    </w:p>
    <w:tbl>
      <w:tblPr>
        <w:tblLayout w:type="fixed"/>
        <w:tblInd w:w="0" w:type="dxa"/>
        <w:tblCellMar>
          <w:top w:w="0" w:type="dxa"/>
          <w:left w:w="0" w:type="dxa"/>
          <w:bottom w:w="0" w:type="dxa"/>
          <w:right w:w="0" w:type="dxa"/>
        </w:tblCellMar>
      </w:tblPr>
      <w:tr>
        <w:trPr>
          <w:trHeight w:val="171"/>
        </w:trPr>
        <w:tc>
          <w:tcPr>
            <w:tcW w:w="1140" w:type="dxa"/>
            <w:vAlign w:val="bottom"/>
          </w:tcPr>
          <w:p>
            <w:pPr>
              <w:jc w:val="center"/>
              <w:ind w:right="3"/>
              <w:spacing w:after="0" w:line="163" w:lineRule="exact"/>
              <w:rPr>
                <w:sz w:val="20"/>
                <w:szCs w:val="20"/>
                <w:color w:val="auto"/>
              </w:rPr>
            </w:pPr>
            <w:r>
              <w:rPr>
                <w:rFonts w:ascii="Arial" w:cs="Arial" w:eastAsia="Arial" w:hAnsi="Arial"/>
                <w:sz w:val="15"/>
                <w:szCs w:val="15"/>
                <w:color w:val="auto"/>
                <w:w w:val="97"/>
              </w:rPr>
              <w:t>99*</w:t>
            </w:r>
          </w:p>
        </w:tc>
        <w:tc>
          <w:tcPr>
            <w:tcW w:w="3980" w:type="dxa"/>
            <w:vAlign w:val="bottom"/>
            <w:tcBorders>
              <w:top w:val="single" w:sz="8" w:color="0000EE"/>
              <w:bottom w:val="single" w:sz="8" w:color="0000EE"/>
            </w:tcBorders>
          </w:tcPr>
          <w:p>
            <w:pPr>
              <w:spacing w:after="0" w:line="163" w:lineRule="exact"/>
              <w:rPr>
                <w:rFonts w:ascii="Arial" w:cs="Arial" w:eastAsia="Arial" w:hAnsi="Arial"/>
                <w:sz w:val="15"/>
                <w:szCs w:val="15"/>
                <w:color w:val="0000EE"/>
              </w:rPr>
            </w:pPr>
            <w:hyperlink w:anchor="page36">
              <w:r>
                <w:rPr>
                  <w:rFonts w:ascii="Arial" w:cs="Arial" w:eastAsia="Arial" w:hAnsi="Arial"/>
                  <w:sz w:val="15"/>
                  <w:szCs w:val="15"/>
                  <w:color w:val="0000EE"/>
                </w:rPr>
                <w:t>Report of Independent Registered Public Accounting Firm.</w:t>
              </w:r>
            </w:hyperlink>
          </w:p>
        </w:tc>
        <w:tc>
          <w:tcPr>
            <w:tcW w:w="80" w:type="dxa"/>
            <w:vAlign w:val="bottom"/>
            <w:tcBorders>
              <w:top w:val="single" w:sz="8" w:color="0000EE"/>
            </w:tcBorders>
          </w:tcPr>
          <w:p>
            <w:pPr>
              <w:spacing w:after="0"/>
              <w:rPr>
                <w:sz w:val="14"/>
                <w:szCs w:val="14"/>
                <w:color w:val="auto"/>
              </w:rPr>
            </w:pPr>
          </w:p>
        </w:tc>
        <w:tc>
          <w:tcPr>
            <w:tcW w:w="3900" w:type="dxa"/>
            <w:vAlign w:val="bottom"/>
          </w:tcPr>
          <w:p>
            <w:pPr>
              <w:spacing w:after="0"/>
              <w:rPr>
                <w:sz w:val="14"/>
                <w:szCs w:val="14"/>
                <w:color w:val="auto"/>
              </w:rPr>
            </w:pPr>
          </w:p>
        </w:tc>
      </w:tr>
      <w:tr>
        <w:trPr>
          <w:trHeight w:val="191"/>
        </w:trPr>
        <w:tc>
          <w:tcPr>
            <w:tcW w:w="11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101.INS*</w:t>
            </w:r>
          </w:p>
        </w:tc>
        <w:tc>
          <w:tcPr>
            <w:tcW w:w="7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XBRL Instance Document.</w:t>
            </w:r>
          </w:p>
        </w:tc>
      </w:tr>
      <w:tr>
        <w:trPr>
          <w:trHeight w:val="182"/>
        </w:trPr>
        <w:tc>
          <w:tcPr>
            <w:tcW w:w="1140" w:type="dxa"/>
            <w:vAlign w:val="bottom"/>
          </w:tcPr>
          <w:p>
            <w:pPr>
              <w:jc w:val="center"/>
              <w:spacing w:after="0"/>
              <w:rPr>
                <w:sz w:val="20"/>
                <w:szCs w:val="20"/>
                <w:color w:val="auto"/>
              </w:rPr>
            </w:pPr>
            <w:r>
              <w:rPr>
                <w:rFonts w:ascii="Arial" w:cs="Arial" w:eastAsia="Arial" w:hAnsi="Arial"/>
                <w:sz w:val="15"/>
                <w:szCs w:val="15"/>
                <w:color w:val="auto"/>
              </w:rPr>
              <w:t>101.SCH*</w:t>
            </w:r>
          </w:p>
        </w:tc>
        <w:tc>
          <w:tcPr>
            <w:tcW w:w="7960" w:type="dxa"/>
            <w:vAlign w:val="bottom"/>
            <w:gridSpan w:val="3"/>
          </w:tcPr>
          <w:p>
            <w:pPr>
              <w:spacing w:after="0"/>
              <w:rPr>
                <w:sz w:val="20"/>
                <w:szCs w:val="20"/>
                <w:color w:val="auto"/>
              </w:rPr>
            </w:pPr>
            <w:r>
              <w:rPr>
                <w:rFonts w:ascii="Arial" w:cs="Arial" w:eastAsia="Arial" w:hAnsi="Arial"/>
                <w:sz w:val="15"/>
                <w:szCs w:val="15"/>
                <w:color w:val="auto"/>
              </w:rPr>
              <w:t>XBRL Taxonomy Extension Schema.</w:t>
            </w:r>
          </w:p>
        </w:tc>
      </w:tr>
      <w:tr>
        <w:trPr>
          <w:trHeight w:val="182"/>
        </w:trPr>
        <w:tc>
          <w:tcPr>
            <w:tcW w:w="11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101.CAL*</w:t>
            </w:r>
          </w:p>
        </w:tc>
        <w:tc>
          <w:tcPr>
            <w:tcW w:w="7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XBRL Taxonomy Extension Calculation Linkbase.</w:t>
            </w:r>
          </w:p>
        </w:tc>
      </w:tr>
      <w:tr>
        <w:trPr>
          <w:trHeight w:val="182"/>
        </w:trPr>
        <w:tc>
          <w:tcPr>
            <w:tcW w:w="1140" w:type="dxa"/>
            <w:vAlign w:val="bottom"/>
          </w:tcPr>
          <w:p>
            <w:pPr>
              <w:jc w:val="center"/>
              <w:ind w:right="3"/>
              <w:spacing w:after="0"/>
              <w:rPr>
                <w:sz w:val="20"/>
                <w:szCs w:val="20"/>
                <w:color w:val="auto"/>
              </w:rPr>
            </w:pPr>
            <w:r>
              <w:rPr>
                <w:rFonts w:ascii="Arial" w:cs="Arial" w:eastAsia="Arial" w:hAnsi="Arial"/>
                <w:sz w:val="15"/>
                <w:szCs w:val="15"/>
                <w:color w:val="auto"/>
              </w:rPr>
              <w:t>101.DEF*</w:t>
            </w:r>
          </w:p>
        </w:tc>
        <w:tc>
          <w:tcPr>
            <w:tcW w:w="7960" w:type="dxa"/>
            <w:vAlign w:val="bottom"/>
            <w:gridSpan w:val="3"/>
          </w:tcPr>
          <w:p>
            <w:pPr>
              <w:spacing w:after="0"/>
              <w:rPr>
                <w:sz w:val="20"/>
                <w:szCs w:val="20"/>
                <w:color w:val="auto"/>
              </w:rPr>
            </w:pPr>
            <w:r>
              <w:rPr>
                <w:rFonts w:ascii="Arial" w:cs="Arial" w:eastAsia="Arial" w:hAnsi="Arial"/>
                <w:sz w:val="15"/>
                <w:szCs w:val="15"/>
                <w:color w:val="auto"/>
              </w:rPr>
              <w:t>XBRL Taxonomy Extension Definition Linkbase.</w:t>
            </w:r>
          </w:p>
        </w:tc>
      </w:tr>
      <w:tr>
        <w:trPr>
          <w:trHeight w:val="182"/>
        </w:trPr>
        <w:tc>
          <w:tcPr>
            <w:tcW w:w="1140" w:type="dxa"/>
            <w:vAlign w:val="bottom"/>
            <w:shd w:val="clear" w:color="auto" w:fill="CCEEFF"/>
          </w:tcPr>
          <w:p>
            <w:pPr>
              <w:jc w:val="center"/>
              <w:ind w:right="3"/>
              <w:spacing w:after="0"/>
              <w:rPr>
                <w:sz w:val="20"/>
                <w:szCs w:val="20"/>
                <w:color w:val="auto"/>
              </w:rPr>
            </w:pPr>
            <w:r>
              <w:rPr>
                <w:rFonts w:ascii="Arial" w:cs="Arial" w:eastAsia="Arial" w:hAnsi="Arial"/>
                <w:sz w:val="15"/>
                <w:szCs w:val="15"/>
                <w:color w:val="auto"/>
              </w:rPr>
              <w:t>101.LAB*</w:t>
            </w:r>
          </w:p>
        </w:tc>
        <w:tc>
          <w:tcPr>
            <w:tcW w:w="7960" w:type="dxa"/>
            <w:vAlign w:val="bottom"/>
            <w:gridSpan w:val="3"/>
            <w:shd w:val="clear" w:color="auto" w:fill="CCEEFF"/>
          </w:tcPr>
          <w:p>
            <w:pPr>
              <w:spacing w:after="0"/>
              <w:rPr>
                <w:sz w:val="20"/>
                <w:szCs w:val="20"/>
                <w:color w:val="auto"/>
              </w:rPr>
            </w:pPr>
            <w:r>
              <w:rPr>
                <w:rFonts w:ascii="Arial" w:cs="Arial" w:eastAsia="Arial" w:hAnsi="Arial"/>
                <w:sz w:val="15"/>
                <w:szCs w:val="15"/>
                <w:color w:val="auto"/>
              </w:rPr>
              <w:t>XBRL Taxonomy Extension Label Linkbase.</w:t>
            </w:r>
          </w:p>
        </w:tc>
      </w:tr>
      <w:tr>
        <w:trPr>
          <w:trHeight w:val="182"/>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5"/>
                <w:szCs w:val="15"/>
                <w:color w:val="auto"/>
              </w:rPr>
              <w:t>101.PRE*</w:t>
            </w:r>
          </w:p>
        </w:tc>
        <w:tc>
          <w:tcPr>
            <w:tcW w:w="7960" w:type="dxa"/>
            <w:vAlign w:val="bottom"/>
            <w:tcBorders>
              <w:bottom w:val="single" w:sz="8" w:color="auto"/>
            </w:tcBorders>
            <w:gridSpan w:val="3"/>
          </w:tcPr>
          <w:p>
            <w:pPr>
              <w:spacing w:after="0"/>
              <w:rPr>
                <w:sz w:val="20"/>
                <w:szCs w:val="20"/>
                <w:color w:val="auto"/>
              </w:rPr>
            </w:pPr>
            <w:r>
              <w:rPr>
                <w:rFonts w:ascii="Arial" w:cs="Arial" w:eastAsia="Arial" w:hAnsi="Arial"/>
                <w:sz w:val="15"/>
                <w:szCs w:val="15"/>
                <w:color w:val="auto"/>
              </w:rPr>
              <w:t>XBRL Taxonomy Extension Presentation Linkbase.</w:t>
            </w:r>
          </w:p>
        </w:tc>
      </w:tr>
    </w:tbl>
    <w:p>
      <w:pPr>
        <w:spacing w:after="0" w:line="201" w:lineRule="exact"/>
        <w:rPr>
          <w:sz w:val="20"/>
          <w:szCs w:val="20"/>
          <w:color w:val="auto"/>
        </w:rPr>
      </w:pPr>
    </w:p>
    <w:p>
      <w:pPr>
        <w:ind w:left="1140" w:hanging="636"/>
        <w:spacing w:after="0"/>
        <w:tabs>
          <w:tab w:leader="none" w:pos="1140" w:val="left"/>
        </w:tabs>
        <w:numPr>
          <w:ilvl w:val="0"/>
          <w:numId w:val="11"/>
        </w:numPr>
        <w:rPr>
          <w:rFonts w:ascii="Arial" w:cs="Arial" w:eastAsia="Arial" w:hAnsi="Arial"/>
          <w:sz w:val="15"/>
          <w:szCs w:val="15"/>
          <w:color w:val="auto"/>
        </w:rPr>
      </w:pPr>
      <w:r>
        <w:rPr>
          <w:rFonts w:ascii="Arial" w:cs="Arial" w:eastAsia="Arial" w:hAnsi="Arial"/>
          <w:sz w:val="15"/>
          <w:szCs w:val="15"/>
          <w:color w:val="auto"/>
        </w:rPr>
        <w:t>Filed herewith.</w:t>
      </w:r>
    </w:p>
    <w:p>
      <w:pPr>
        <w:spacing w:after="0" w:line="34" w:lineRule="exact"/>
        <w:rPr>
          <w:sz w:val="20"/>
          <w:szCs w:val="20"/>
          <w:color w:val="auto"/>
        </w:rPr>
      </w:pPr>
    </w:p>
    <w:p>
      <w:pPr>
        <w:ind w:left="1140" w:hanging="666"/>
        <w:spacing w:after="0"/>
        <w:tabs>
          <w:tab w:leader="none" w:pos="11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Furnished herewith.</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51435</wp:posOffset>
            </wp:positionV>
            <wp:extent cx="5817870" cy="482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311" w:right="1399" w:bottom="1440" w:gutter="0" w:footer="0" w:header="0"/>
          <w:type w:val="continuous"/>
        </w:sectPr>
      </w:pPr>
    </w:p>
    <w:bookmarkStart w:id="30" w:name="page31"/>
    <w:bookmarkEnd w:id="30"/>
    <w:p>
      <w:pPr>
        <w:ind w:left="8380"/>
        <w:spacing w:after="0"/>
        <w:rPr>
          <w:sz w:val="20"/>
          <w:szCs w:val="20"/>
          <w:color w:val="auto"/>
        </w:rPr>
      </w:pPr>
      <w:r>
        <w:rPr>
          <w:rFonts w:ascii="Arial" w:cs="Arial" w:eastAsia="Arial" w:hAnsi="Arial"/>
          <w:sz w:val="15"/>
          <w:szCs w:val="15"/>
          <w:b w:val="1"/>
          <w:bCs w:val="1"/>
          <w:color w:val="auto"/>
        </w:rPr>
        <w:t>Exhibit 12</w:t>
      </w:r>
    </w:p>
    <w:p>
      <w:pPr>
        <w:spacing w:after="0" w:line="168"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FOOT LOCKER, INC.</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COMPUTATION OF RATIO OF EARNINGS TO FIXED CHARGES</w:t>
      </w:r>
    </w:p>
    <w:p>
      <w:pPr>
        <w:jc w:val="center"/>
        <w:ind w:right="20"/>
        <w:spacing w:after="0" w:line="236" w:lineRule="auto"/>
        <w:rPr>
          <w:sz w:val="20"/>
          <w:szCs w:val="20"/>
          <w:color w:val="auto"/>
        </w:rPr>
      </w:pPr>
      <w:r>
        <w:rPr>
          <w:rFonts w:ascii="Arial" w:cs="Arial" w:eastAsia="Arial" w:hAnsi="Arial"/>
          <w:sz w:val="15"/>
          <w:szCs w:val="15"/>
          <w:b w:val="1"/>
          <w:bCs w:val="1"/>
          <w:color w:val="auto"/>
        </w:rPr>
        <w:t>(Unaudited)</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15"/>
          <w:szCs w:val="15"/>
          <w:b w:val="1"/>
          <w:bCs w:val="1"/>
          <w:color w:val="auto"/>
        </w:rPr>
        <w:t>($ in millions)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right"/>
              <w:ind w:right="243"/>
              <w:spacing w:after="0"/>
              <w:rPr>
                <w:sz w:val="20"/>
                <w:szCs w:val="20"/>
                <w:color w:val="auto"/>
              </w:rPr>
            </w:pPr>
            <w:r>
              <w:rPr>
                <w:rFonts w:ascii="Arial" w:cs="Arial" w:eastAsia="Arial" w:hAnsi="Arial"/>
                <w:sz w:val="15"/>
                <w:szCs w:val="15"/>
                <w:b w:val="1"/>
                <w:bCs w:val="1"/>
                <w:color w:val="auto"/>
              </w:rPr>
              <w:t>Thirty-nine weeks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b w:val="1"/>
                <w:bCs w:val="1"/>
                <w:color w:val="auto"/>
              </w:rPr>
              <w:t>ended</w:t>
            </w:r>
          </w:p>
        </w:tc>
        <w:tc>
          <w:tcPr>
            <w:tcW w:w="7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5"/>
          </w:tcPr>
          <w:p>
            <w:pPr>
              <w:jc w:val="right"/>
              <w:ind w:right="443"/>
              <w:spacing w:after="0"/>
              <w:rPr>
                <w:sz w:val="20"/>
                <w:szCs w:val="20"/>
                <w:color w:val="auto"/>
              </w:rPr>
            </w:pPr>
            <w:r>
              <w:rPr>
                <w:rFonts w:ascii="Arial" w:cs="Arial" w:eastAsia="Arial" w:hAnsi="Arial"/>
                <w:sz w:val="15"/>
                <w:szCs w:val="15"/>
                <w:b w:val="1"/>
                <w:bCs w:val="1"/>
                <w:color w:val="auto"/>
              </w:rPr>
              <w:t>Fiscal Year Ended</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29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0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Oct. 28,</w:t>
            </w:r>
          </w:p>
        </w:tc>
        <w:tc>
          <w:tcPr>
            <w:tcW w:w="220" w:type="dxa"/>
            <w:vAlign w:val="bottom"/>
          </w:tcPr>
          <w:p>
            <w:pPr>
              <w:spacing w:after="0"/>
              <w:rPr>
                <w:sz w:val="13"/>
                <w:szCs w:val="13"/>
                <w:color w:val="auto"/>
              </w:rPr>
            </w:pPr>
          </w:p>
        </w:tc>
        <w:tc>
          <w:tcPr>
            <w:tcW w:w="740" w:type="dxa"/>
            <w:vAlign w:val="bottom"/>
          </w:tcPr>
          <w:p>
            <w:pPr>
              <w:jc w:val="right"/>
              <w:ind w:right="103"/>
              <w:spacing w:after="0" w:line="151" w:lineRule="exact"/>
              <w:rPr>
                <w:sz w:val="20"/>
                <w:szCs w:val="20"/>
                <w:color w:val="auto"/>
              </w:rPr>
            </w:pPr>
            <w:r>
              <w:rPr>
                <w:rFonts w:ascii="Arial" w:cs="Arial" w:eastAsia="Arial" w:hAnsi="Arial"/>
                <w:sz w:val="15"/>
                <w:szCs w:val="15"/>
                <w:b w:val="1"/>
                <w:bCs w:val="1"/>
                <w:color w:val="auto"/>
                <w:w w:val="99"/>
              </w:rPr>
              <w:t>Oct. 29,</w:t>
            </w:r>
          </w:p>
        </w:tc>
        <w:tc>
          <w:tcPr>
            <w:tcW w:w="260" w:type="dxa"/>
            <w:vAlign w:val="bottom"/>
          </w:tcPr>
          <w:p>
            <w:pPr>
              <w:spacing w:after="0"/>
              <w:rPr>
                <w:sz w:val="13"/>
                <w:szCs w:val="13"/>
                <w:color w:val="auto"/>
              </w:rPr>
            </w:pPr>
          </w:p>
        </w:tc>
        <w:tc>
          <w:tcPr>
            <w:tcW w:w="66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Jan. 28,</w:t>
            </w:r>
          </w:p>
        </w:tc>
        <w:tc>
          <w:tcPr>
            <w:tcW w:w="180" w:type="dxa"/>
            <w:vAlign w:val="bottom"/>
          </w:tcPr>
          <w:p>
            <w:pPr>
              <w:spacing w:after="0"/>
              <w:rPr>
                <w:sz w:val="13"/>
                <w:szCs w:val="13"/>
                <w:color w:val="auto"/>
              </w:rPr>
            </w:pPr>
          </w:p>
        </w:tc>
        <w:tc>
          <w:tcPr>
            <w:tcW w:w="66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Jan. 30,</w:t>
            </w:r>
          </w:p>
        </w:tc>
        <w:tc>
          <w:tcPr>
            <w:tcW w:w="180" w:type="dxa"/>
            <w:vAlign w:val="bottom"/>
          </w:tcPr>
          <w:p>
            <w:pPr>
              <w:spacing w:after="0"/>
              <w:rPr>
                <w:sz w:val="13"/>
                <w:szCs w:val="13"/>
                <w:color w:val="auto"/>
              </w:rPr>
            </w:pPr>
          </w:p>
        </w:tc>
        <w:tc>
          <w:tcPr>
            <w:tcW w:w="66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Jan. 31,</w:t>
            </w:r>
          </w:p>
        </w:tc>
        <w:tc>
          <w:tcPr>
            <w:tcW w:w="180" w:type="dxa"/>
            <w:vAlign w:val="bottom"/>
          </w:tcPr>
          <w:p>
            <w:pPr>
              <w:spacing w:after="0"/>
              <w:rPr>
                <w:sz w:val="13"/>
                <w:szCs w:val="13"/>
                <w:color w:val="auto"/>
              </w:rPr>
            </w:pPr>
          </w:p>
        </w:tc>
        <w:tc>
          <w:tcPr>
            <w:tcW w:w="620" w:type="dxa"/>
            <w:vAlign w:val="bottom"/>
          </w:tcPr>
          <w:p>
            <w:pPr>
              <w:jc w:val="right"/>
              <w:ind w:right="23"/>
              <w:spacing w:after="0" w:line="151" w:lineRule="exact"/>
              <w:rPr>
                <w:sz w:val="20"/>
                <w:szCs w:val="20"/>
                <w:color w:val="auto"/>
              </w:rPr>
            </w:pPr>
            <w:r>
              <w:rPr>
                <w:rFonts w:ascii="Arial" w:cs="Arial" w:eastAsia="Arial" w:hAnsi="Arial"/>
                <w:sz w:val="15"/>
                <w:szCs w:val="15"/>
                <w:b w:val="1"/>
                <w:bCs w:val="1"/>
                <w:color w:val="auto"/>
              </w:rPr>
              <w:t>Feb. 1,</w:t>
            </w:r>
          </w:p>
        </w:tc>
        <w:tc>
          <w:tcPr>
            <w:tcW w:w="180" w:type="dxa"/>
            <w:vAlign w:val="bottom"/>
          </w:tcPr>
          <w:p>
            <w:pPr>
              <w:spacing w:after="0"/>
              <w:rPr>
                <w:sz w:val="13"/>
                <w:szCs w:val="13"/>
                <w:color w:val="auto"/>
              </w:rPr>
            </w:pPr>
          </w:p>
        </w:tc>
        <w:tc>
          <w:tcPr>
            <w:tcW w:w="620" w:type="dxa"/>
            <w:vAlign w:val="bottom"/>
          </w:tcPr>
          <w:p>
            <w:pPr>
              <w:jc w:val="right"/>
              <w:ind w:right="3"/>
              <w:spacing w:after="0" w:line="151" w:lineRule="exact"/>
              <w:rPr>
                <w:sz w:val="20"/>
                <w:szCs w:val="20"/>
                <w:color w:val="auto"/>
              </w:rPr>
            </w:pPr>
            <w:r>
              <w:rPr>
                <w:rFonts w:ascii="Arial" w:cs="Arial" w:eastAsia="Arial" w:hAnsi="Arial"/>
                <w:sz w:val="15"/>
                <w:szCs w:val="15"/>
                <w:b w:val="1"/>
                <w:bCs w:val="1"/>
                <w:color w:val="auto"/>
              </w:rPr>
              <w:t>Feb. 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29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123"/>
              <w:spacing w:after="0"/>
              <w:rPr>
                <w:sz w:val="20"/>
                <w:szCs w:val="20"/>
                <w:color w:val="auto"/>
              </w:rPr>
            </w:pPr>
            <w:r>
              <w:rPr>
                <w:rFonts w:ascii="Arial" w:cs="Arial" w:eastAsia="Arial" w:hAnsi="Arial"/>
                <w:sz w:val="15"/>
                <w:szCs w:val="15"/>
                <w:b w:val="1"/>
                <w:bCs w:val="1"/>
                <w:color w:val="auto"/>
              </w:rPr>
              <w:t>2017</w:t>
            </w: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03"/>
              <w:spacing w:after="0"/>
              <w:rPr>
                <w:sz w:val="20"/>
                <w:szCs w:val="20"/>
                <w:color w:val="auto"/>
              </w:rPr>
            </w:pPr>
            <w:r>
              <w:rPr>
                <w:rFonts w:ascii="Arial" w:cs="Arial" w:eastAsia="Arial" w:hAnsi="Arial"/>
                <w:sz w:val="15"/>
                <w:szCs w:val="15"/>
                <w:b w:val="1"/>
                <w:bCs w:val="1"/>
                <w:color w:val="auto"/>
              </w:rPr>
              <w:t>2016</w:t>
            </w:r>
          </w:p>
        </w:tc>
        <w:tc>
          <w:tcPr>
            <w:tcW w:w="2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2017</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2016</w:t>
            </w: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b w:val="1"/>
                <w:bCs w:val="1"/>
                <w:color w:val="auto"/>
              </w:rPr>
              <w:t>2015</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2014</w:t>
            </w:r>
          </w:p>
        </w:tc>
        <w:tc>
          <w:tcPr>
            <w:tcW w:w="18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83"/>
              <w:spacing w:after="0"/>
              <w:rPr>
                <w:sz w:val="20"/>
                <w:szCs w:val="20"/>
                <w:color w:val="auto"/>
              </w:rPr>
            </w:pPr>
            <w:r>
              <w:rPr>
                <w:rFonts w:ascii="Arial" w:cs="Arial" w:eastAsia="Arial" w:hAnsi="Arial"/>
                <w:sz w:val="15"/>
                <w:szCs w:val="15"/>
                <w:b w:val="1"/>
                <w:bCs w:val="1"/>
                <w:color w:val="auto"/>
              </w:rPr>
              <w:t>2013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NET EARNINGS</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20"/>
                <w:szCs w:val="20"/>
                <w:color w:val="auto"/>
              </w:rPr>
            </w:pPr>
            <w:r>
              <w:rPr>
                <w:rFonts w:ascii="Arial" w:cs="Arial" w:eastAsia="Arial" w:hAnsi="Arial"/>
                <w:sz w:val="15"/>
                <w:szCs w:val="15"/>
                <w:color w:val="auto"/>
              </w:rPr>
              <w:t>Net income</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333</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475</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664</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541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520</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429</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397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Income tax expense</w:t>
            </w:r>
          </w:p>
        </w:tc>
        <w:tc>
          <w:tcPr>
            <w:tcW w:w="2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rPr>
              <w:t>165</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rPr>
              <w:t>248</w:t>
            </w:r>
          </w:p>
        </w:tc>
        <w:tc>
          <w:tcPr>
            <w:tcW w:w="26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296</w:t>
            </w: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234</w:t>
            </w: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980" w:type="dxa"/>
            <w:vAlign w:val="bottom"/>
          </w:tcPr>
          <w:p>
            <w:pPr>
              <w:spacing w:after="0"/>
              <w:rPr>
                <w:sz w:val="20"/>
                <w:szCs w:val="20"/>
                <w:color w:val="auto"/>
              </w:rPr>
            </w:pPr>
            <w:r>
              <w:rPr>
                <w:rFonts w:ascii="Arial" w:cs="Arial" w:eastAsia="Arial" w:hAnsi="Arial"/>
                <w:sz w:val="15"/>
                <w:szCs w:val="15"/>
                <w:color w:val="auto"/>
              </w:rPr>
              <w:t>Interest expense, excluding capitalized</w:t>
            </w:r>
          </w:p>
        </w:tc>
        <w:tc>
          <w:tcPr>
            <w:tcW w:w="260" w:type="dxa"/>
            <w:vAlign w:val="bottom"/>
          </w:tcPr>
          <w:p>
            <w:pPr>
              <w:spacing w:after="0"/>
              <w:rPr>
                <w:sz w:val="15"/>
                <w:szCs w:val="15"/>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9</w:t>
            </w: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980" w:type="dxa"/>
            <w:vAlign w:val="bottom"/>
          </w:tcPr>
          <w:p>
            <w:pPr>
              <w:ind w:left="80"/>
              <w:spacing w:after="0"/>
              <w:rPr>
                <w:sz w:val="20"/>
                <w:szCs w:val="20"/>
                <w:color w:val="auto"/>
              </w:rPr>
            </w:pPr>
            <w:r>
              <w:rPr>
                <w:rFonts w:ascii="Arial" w:cs="Arial" w:eastAsia="Arial" w:hAnsi="Arial"/>
                <w:sz w:val="15"/>
                <w:szCs w:val="15"/>
                <w:color w:val="auto"/>
              </w:rPr>
              <w:t>interest</w:t>
            </w:r>
          </w:p>
        </w:tc>
        <w:tc>
          <w:tcPr>
            <w:tcW w:w="26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9</w:t>
            </w:r>
          </w:p>
        </w:tc>
        <w:tc>
          <w:tcPr>
            <w:tcW w:w="26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4"/>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Portion of rents deemed representative of</w:t>
            </w:r>
          </w:p>
        </w:tc>
        <w:tc>
          <w:tcPr>
            <w:tcW w:w="26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202</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the interest factor (1/3)</w:t>
            </w:r>
          </w:p>
        </w:tc>
        <w:tc>
          <w:tcPr>
            <w:tcW w:w="2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189</w:t>
            </w: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709</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921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1,284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1,100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1,069</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910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FIXED CHARGES</w:t>
            </w: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980" w:type="dxa"/>
            <w:vAlign w:val="bottom"/>
          </w:tcPr>
          <w:p>
            <w:pPr>
              <w:spacing w:after="0"/>
              <w:rPr>
                <w:sz w:val="20"/>
                <w:szCs w:val="20"/>
                <w:color w:val="auto"/>
              </w:rPr>
            </w:pPr>
            <w:r>
              <w:rPr>
                <w:rFonts w:ascii="Arial" w:cs="Arial" w:eastAsia="Arial" w:hAnsi="Arial"/>
                <w:sz w:val="15"/>
                <w:szCs w:val="15"/>
                <w:color w:val="auto"/>
              </w:rPr>
              <w:t>Gross interest expense</w:t>
            </w:r>
          </w:p>
        </w:tc>
        <w:tc>
          <w:tcPr>
            <w:tcW w:w="260" w:type="dxa"/>
            <w:vAlign w:val="bottom"/>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Pr>
          <w:p>
            <w:pPr>
              <w:jc w:val="right"/>
              <w:spacing w:after="0"/>
              <w:rPr>
                <w:sz w:val="20"/>
                <w:szCs w:val="20"/>
                <w:color w:val="auto"/>
              </w:rPr>
            </w:pPr>
            <w:r>
              <w:rPr>
                <w:rFonts w:ascii="Arial" w:cs="Arial" w:eastAsia="Arial" w:hAnsi="Arial"/>
                <w:sz w:val="15"/>
                <w:szCs w:val="15"/>
                <w:b w:val="1"/>
                <w:bCs w:val="1"/>
                <w:color w:val="auto"/>
              </w:rPr>
              <w:t>9</w:t>
            </w:r>
          </w:p>
        </w:tc>
        <w:tc>
          <w:tcPr>
            <w:tcW w:w="220" w:type="dxa"/>
            <w:vAlign w:val="bottom"/>
          </w:tcPr>
          <w:p>
            <w:pPr>
              <w:jc w:val="right"/>
              <w:spacing w:after="0"/>
              <w:rPr>
                <w:sz w:val="20"/>
                <w:szCs w:val="20"/>
                <w:color w:val="auto"/>
              </w:rPr>
            </w:pPr>
            <w:r>
              <w:rPr>
                <w:rFonts w:ascii="Arial" w:cs="Arial" w:eastAsia="Arial" w:hAnsi="Arial"/>
                <w:sz w:val="15"/>
                <w:szCs w:val="15"/>
                <w:color w:val="auto"/>
              </w:rPr>
              <w:t>$</w:t>
            </w:r>
          </w:p>
        </w:tc>
        <w:tc>
          <w:tcPr>
            <w:tcW w:w="740" w:type="dxa"/>
            <w:vAlign w:val="bottom"/>
          </w:tcPr>
          <w:p>
            <w:pPr>
              <w:jc w:val="right"/>
              <w:ind w:right="63"/>
              <w:spacing w:after="0"/>
              <w:rPr>
                <w:sz w:val="20"/>
                <w:szCs w:val="20"/>
                <w:color w:val="auto"/>
              </w:rPr>
            </w:pPr>
            <w:r>
              <w:rPr>
                <w:rFonts w:ascii="Arial" w:cs="Arial" w:eastAsia="Arial" w:hAnsi="Arial"/>
                <w:sz w:val="15"/>
                <w:szCs w:val="15"/>
                <w:color w:val="auto"/>
              </w:rPr>
              <w:t>9</w:t>
            </w:r>
          </w:p>
        </w:tc>
        <w:tc>
          <w:tcPr>
            <w:tcW w:w="26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6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180" w:type="dxa"/>
            <w:vAlign w:val="bottom"/>
          </w:tcPr>
          <w:p>
            <w:pPr>
              <w:jc w:val="right"/>
              <w:spacing w:after="0"/>
              <w:rPr>
                <w:sz w:val="20"/>
                <w:szCs w:val="20"/>
                <w:color w:val="auto"/>
              </w:rPr>
            </w:pPr>
            <w:r>
              <w:rPr>
                <w:rFonts w:ascii="Arial" w:cs="Arial" w:eastAsia="Arial" w:hAnsi="Arial"/>
                <w:sz w:val="15"/>
                <w:szCs w:val="15"/>
                <w:color w:val="auto"/>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2980" w:type="dxa"/>
            <w:vAlign w:val="bottom"/>
            <w:shd w:val="clear" w:color="auto" w:fill="CCEEFF"/>
          </w:tcPr>
          <w:p>
            <w:pPr>
              <w:spacing w:after="0"/>
              <w:rPr>
                <w:sz w:val="20"/>
                <w:szCs w:val="20"/>
                <w:color w:val="auto"/>
              </w:rPr>
            </w:pPr>
            <w:r>
              <w:rPr>
                <w:rFonts w:ascii="Arial" w:cs="Arial" w:eastAsia="Arial" w:hAnsi="Arial"/>
                <w:sz w:val="15"/>
                <w:szCs w:val="15"/>
                <w:color w:val="auto"/>
              </w:rPr>
              <w:t>Portion of rents deemed representative of</w:t>
            </w:r>
          </w:p>
        </w:tc>
        <w:tc>
          <w:tcPr>
            <w:tcW w:w="260" w:type="dxa"/>
            <w:vAlign w:val="bottom"/>
            <w:shd w:val="clear" w:color="auto" w:fill="CCEEFF"/>
          </w:tcPr>
          <w:p>
            <w:pPr>
              <w:spacing w:after="0"/>
              <w:rPr>
                <w:sz w:val="24"/>
                <w:szCs w:val="24"/>
                <w:color w:val="auto"/>
              </w:rPr>
            </w:pP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202</w:t>
            </w:r>
          </w:p>
        </w:tc>
        <w:tc>
          <w:tcPr>
            <w:tcW w:w="2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6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shd w:val="clear" w:color="auto" w:fill="CCEEFF"/>
          </w:tcPr>
          <w:p>
            <w:pPr>
              <w:ind w:left="80"/>
              <w:spacing w:after="0"/>
              <w:rPr>
                <w:sz w:val="20"/>
                <w:szCs w:val="20"/>
                <w:color w:val="auto"/>
              </w:rPr>
            </w:pPr>
            <w:r>
              <w:rPr>
                <w:rFonts w:ascii="Arial" w:cs="Arial" w:eastAsia="Arial" w:hAnsi="Arial"/>
                <w:sz w:val="15"/>
                <w:szCs w:val="15"/>
                <w:color w:val="auto"/>
              </w:rPr>
              <w:t>the interest factor (1/3)</w:t>
            </w:r>
          </w:p>
        </w:tc>
        <w:tc>
          <w:tcPr>
            <w:tcW w:w="26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vMerge w:val="continue"/>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ind w:right="63"/>
              <w:spacing w:after="0"/>
              <w:rPr>
                <w:sz w:val="20"/>
                <w:szCs w:val="20"/>
                <w:color w:val="auto"/>
              </w:rPr>
            </w:pPr>
            <w:r>
              <w:rPr>
                <w:rFonts w:ascii="Arial" w:cs="Arial" w:eastAsia="Arial" w:hAnsi="Arial"/>
                <w:sz w:val="15"/>
                <w:szCs w:val="15"/>
                <w:color w:val="auto"/>
              </w:rPr>
              <w:t>189</w:t>
            </w:r>
          </w:p>
        </w:tc>
        <w:tc>
          <w:tcPr>
            <w:tcW w:w="26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269</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252</w:t>
            </w:r>
          </w:p>
        </w:tc>
        <w:tc>
          <w:tcPr>
            <w:tcW w:w="180" w:type="dxa"/>
            <w:vAlign w:val="bottom"/>
            <w:tcBorders>
              <w:bottom w:val="single" w:sz="8" w:color="auto"/>
            </w:tcBorders>
            <w:shd w:val="clear" w:color="auto" w:fill="CCEEFF"/>
          </w:tcPr>
          <w:p>
            <w:pPr>
              <w:spacing w:after="0"/>
              <w:rPr>
                <w:sz w:val="15"/>
                <w:szCs w:val="15"/>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249</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w:t>
            </w:r>
          </w:p>
        </w:tc>
        <w:tc>
          <w:tcPr>
            <w:tcW w:w="18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98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211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198</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263</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247</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233</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980" w:type="dxa"/>
            <w:vAlign w:val="bottom"/>
          </w:tcPr>
          <w:p>
            <w:pPr>
              <w:spacing w:after="0"/>
              <w:rPr>
                <w:sz w:val="20"/>
                <w:szCs w:val="20"/>
                <w:color w:val="auto"/>
              </w:rPr>
            </w:pPr>
            <w:r>
              <w:rPr>
                <w:rFonts w:ascii="Arial" w:cs="Arial" w:eastAsia="Arial" w:hAnsi="Arial"/>
                <w:sz w:val="15"/>
                <w:szCs w:val="15"/>
                <w:color w:val="auto"/>
              </w:rPr>
              <w:t>RATIO OF EARNINGS TO FIXED</w:t>
            </w:r>
          </w:p>
        </w:tc>
        <w:tc>
          <w:tcPr>
            <w:tcW w:w="260" w:type="dxa"/>
            <w:vAlign w:val="bottom"/>
          </w:tcPr>
          <w:p>
            <w:pPr>
              <w:spacing w:after="0"/>
              <w:rPr>
                <w:sz w:val="16"/>
                <w:szCs w:val="16"/>
                <w:color w:val="auto"/>
              </w:rPr>
            </w:pPr>
          </w:p>
        </w:tc>
        <w:tc>
          <w:tcPr>
            <w:tcW w:w="700" w:type="dxa"/>
            <w:vAlign w:val="bottom"/>
            <w:vMerge w:val="restart"/>
          </w:tcPr>
          <w:p>
            <w:pPr>
              <w:jc w:val="right"/>
              <w:spacing w:after="0"/>
              <w:rPr>
                <w:sz w:val="20"/>
                <w:szCs w:val="20"/>
                <w:color w:val="auto"/>
              </w:rPr>
            </w:pPr>
            <w:r>
              <w:rPr>
                <w:rFonts w:ascii="Arial" w:cs="Arial" w:eastAsia="Arial" w:hAnsi="Arial"/>
                <w:sz w:val="15"/>
                <w:szCs w:val="15"/>
                <w:b w:val="1"/>
                <w:bCs w:val="1"/>
                <w:color w:val="auto"/>
              </w:rPr>
              <w:t>3.4</w:t>
            </w: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980" w:type="dxa"/>
            <w:vAlign w:val="bottom"/>
            <w:tcBorders>
              <w:bottom w:val="single" w:sz="8" w:color="auto"/>
            </w:tcBorders>
          </w:tcPr>
          <w:p>
            <w:pPr>
              <w:ind w:left="80"/>
              <w:spacing w:after="0"/>
              <w:rPr>
                <w:sz w:val="20"/>
                <w:szCs w:val="20"/>
                <w:color w:val="auto"/>
              </w:rPr>
            </w:pPr>
            <w:r>
              <w:rPr>
                <w:rFonts w:ascii="Arial" w:cs="Arial" w:eastAsia="Arial" w:hAnsi="Arial"/>
                <w:sz w:val="15"/>
                <w:szCs w:val="15"/>
                <w:color w:val="auto"/>
              </w:rPr>
              <w:t>CHARGES</w:t>
            </w:r>
          </w:p>
        </w:tc>
        <w:tc>
          <w:tcPr>
            <w:tcW w:w="26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rPr>
              <w:t>4.7</w:t>
            </w: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4.2</w:t>
            </w: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4.1</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1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6"/>
        </w:trPr>
        <w:tc>
          <w:tcPr>
            <w:tcW w:w="29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4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98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700" w:type="dxa"/>
            <w:vAlign w:val="bottom"/>
            <w:tcBorders>
              <w:bottom w:val="single" w:sz="8" w:color="EEEEEE"/>
            </w:tcBorders>
          </w:tcPr>
          <w:p>
            <w:pPr>
              <w:spacing w:after="0" w:line="20" w:lineRule="exact"/>
              <w:rPr>
                <w:sz w:val="1"/>
                <w:szCs w:val="1"/>
                <w:color w:val="auto"/>
              </w:rPr>
            </w:pPr>
          </w:p>
        </w:tc>
        <w:tc>
          <w:tcPr>
            <w:tcW w:w="220" w:type="dxa"/>
            <w:vAlign w:val="bottom"/>
            <w:tcBorders>
              <w:bottom w:val="single" w:sz="8" w:color="EEEEEE"/>
            </w:tcBorders>
          </w:tcPr>
          <w:p>
            <w:pPr>
              <w:spacing w:after="0" w:line="20" w:lineRule="exact"/>
              <w:rPr>
                <w:sz w:val="1"/>
                <w:szCs w:val="1"/>
                <w:color w:val="auto"/>
              </w:rPr>
            </w:pPr>
          </w:p>
        </w:tc>
        <w:tc>
          <w:tcPr>
            <w:tcW w:w="740" w:type="dxa"/>
            <w:vAlign w:val="bottom"/>
            <w:tcBorders>
              <w:bottom w:val="single" w:sz="8" w:color="EEEEEE"/>
            </w:tcBorders>
          </w:tcPr>
          <w:p>
            <w:pPr>
              <w:spacing w:after="0" w:line="20" w:lineRule="exact"/>
              <w:rPr>
                <w:sz w:val="1"/>
                <w:szCs w:val="1"/>
                <w:color w:val="auto"/>
              </w:rPr>
            </w:pPr>
          </w:p>
        </w:tc>
        <w:tc>
          <w:tcPr>
            <w:tcW w:w="26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6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180" w:type="dxa"/>
            <w:vAlign w:val="bottom"/>
            <w:tcBorders>
              <w:bottom w:val="single" w:sz="8" w:color="EEEEEE"/>
            </w:tcBorders>
          </w:tcPr>
          <w:p>
            <w:pPr>
              <w:spacing w:after="0" w:line="20" w:lineRule="exact"/>
              <w:rPr>
                <w:sz w:val="1"/>
                <w:szCs w:val="1"/>
                <w:color w:val="auto"/>
              </w:rPr>
            </w:pPr>
          </w:p>
        </w:tc>
        <w:tc>
          <w:tcPr>
            <w:tcW w:w="620" w:type="dxa"/>
            <w:vAlign w:val="bottom"/>
            <w:tcBorders>
              <w:bottom w:val="single" w:sz="8" w:color="EEEEEE"/>
            </w:tcBorders>
          </w:tcPr>
          <w:p>
            <w:pPr>
              <w:spacing w:after="0" w:line="20" w:lineRule="exact"/>
              <w:rPr>
                <w:sz w:val="1"/>
                <w:szCs w:val="1"/>
                <w:color w:val="auto"/>
              </w:rPr>
            </w:pPr>
          </w:p>
        </w:tc>
        <w:tc>
          <w:tcPr>
            <w:tcW w:w="20" w:type="dxa"/>
            <w:vAlign w:val="bottom"/>
            <w:tcBorders>
              <w:bottom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5775325</wp:posOffset>
            </wp:positionH>
            <wp:positionV relativeFrom="paragraph">
              <wp:posOffset>-34925</wp:posOffset>
            </wp:positionV>
            <wp:extent cx="33020" cy="482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020" cy="4826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-34925</wp:posOffset>
            </wp:positionV>
            <wp:extent cx="33020" cy="482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8260"/>
                    </a:xfrm>
                    <a:prstGeom prst="rect">
                      <a:avLst/>
                    </a:prstGeom>
                    <a:noFill/>
                  </pic:spPr>
                </pic:pic>
              </a:graphicData>
            </a:graphic>
          </wp:anchor>
        </w:drawing>
      </w:r>
    </w:p>
    <w:p>
      <w:pPr>
        <w:sectPr>
          <w:pgSz w:w="11900" w:h="16838" w:orient="portrait"/>
          <w:cols w:equalWidth="0" w:num="1">
            <w:col w:w="9120"/>
          </w:cols>
          <w:pgMar w:left="1400" w:top="128" w:right="1379" w:bottom="1440" w:gutter="0" w:footer="0" w:header="0"/>
        </w:sectPr>
      </w:pPr>
    </w:p>
    <w:bookmarkStart w:id="31" w:name="page32"/>
    <w:bookmarkEnd w:id="31"/>
    <w:p>
      <w:pPr>
        <w:ind w:left="8380"/>
        <w:spacing w:after="0"/>
        <w:rPr>
          <w:sz w:val="20"/>
          <w:szCs w:val="20"/>
          <w:color w:val="auto"/>
        </w:rPr>
      </w:pPr>
      <w:r>
        <w:rPr>
          <w:rFonts w:ascii="Arial" w:cs="Arial" w:eastAsia="Arial" w:hAnsi="Arial"/>
          <w:sz w:val="15"/>
          <w:szCs w:val="15"/>
          <w:b w:val="1"/>
          <w:bCs w:val="1"/>
          <w:color w:val="auto"/>
        </w:rPr>
        <w:t>Exhibit 15</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ACCOUNTANTS’ ACKNOWLEDGEMENT</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w:t>
      </w:r>
    </w:p>
    <w:p>
      <w:pPr>
        <w:spacing w:after="0" w:line="34" w:lineRule="exact"/>
        <w:rPr>
          <w:sz w:val="20"/>
          <w:szCs w:val="20"/>
          <w:color w:val="auto"/>
        </w:rPr>
      </w:pPr>
    </w:p>
    <w:p>
      <w:pPr>
        <w:spacing w:after="0"/>
        <w:rPr>
          <w:sz w:val="20"/>
          <w:szCs w:val="20"/>
          <w:color w:val="auto"/>
        </w:rPr>
      </w:pPr>
      <w:r>
        <w:rPr>
          <w:rFonts w:ascii="Arial" w:cs="Arial" w:eastAsia="Arial" w:hAnsi="Arial"/>
          <w:sz w:val="15"/>
          <w:szCs w:val="15"/>
          <w:color w:val="auto"/>
        </w:rPr>
        <w:t>Foot Locker, Inc.:</w:t>
      </w:r>
    </w:p>
    <w:p>
      <w:pPr>
        <w:spacing w:after="0" w:line="241" w:lineRule="exact"/>
        <w:rPr>
          <w:sz w:val="20"/>
          <w:szCs w:val="20"/>
          <w:color w:val="auto"/>
        </w:rPr>
      </w:pPr>
    </w:p>
    <w:p>
      <w:pPr>
        <w:spacing w:after="0" w:line="305" w:lineRule="auto"/>
        <w:rPr>
          <w:sz w:val="20"/>
          <w:szCs w:val="20"/>
          <w:color w:val="auto"/>
        </w:rPr>
      </w:pPr>
      <w:r>
        <w:rPr>
          <w:rFonts w:ascii="Arial" w:cs="Arial" w:eastAsia="Arial" w:hAnsi="Arial"/>
          <w:sz w:val="15"/>
          <w:szCs w:val="15"/>
          <w:color w:val="auto"/>
        </w:rPr>
        <w:t>We hereby acknowledge our awareness of the use of our report dated December 6, 2017 related to our review of interim financial information in the following Registration Statements:</w:t>
      </w:r>
    </w:p>
    <w:p>
      <w:pPr>
        <w:spacing w:after="0" w:line="182" w:lineRule="exact"/>
        <w:rPr>
          <w:sz w:val="20"/>
          <w:szCs w:val="20"/>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33-10783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33-91888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33-91886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33-97832</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333-07215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333-21131</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333-62425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333-33120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333-41056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333-41058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333-74688</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333-99829</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333-111222</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333-121515</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333-144044</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333-149803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S-3 No. 33-43334</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S-3 No. 33-86300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S-3 No. 333-64930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333-167066</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333-171523</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333-190680</w:t>
      </w:r>
    </w:p>
    <w:p>
      <w:pPr>
        <w:spacing w:after="0" w:line="9" w:lineRule="exact"/>
        <w:rPr>
          <w:rFonts w:ascii="Arial" w:cs="Arial" w:eastAsia="Arial" w:hAnsi="Arial"/>
          <w:sz w:val="15"/>
          <w:szCs w:val="15"/>
          <w:color w:val="auto"/>
        </w:rPr>
      </w:pPr>
    </w:p>
    <w:p>
      <w:pPr>
        <w:ind w:left="320" w:hanging="202"/>
        <w:spacing w:after="0"/>
        <w:tabs>
          <w:tab w:leader="none" w:pos="320" w:val="left"/>
        </w:tabs>
        <w:numPr>
          <w:ilvl w:val="0"/>
          <w:numId w:val="13"/>
        </w:numPr>
        <w:rPr>
          <w:rFonts w:ascii="Arial" w:cs="Arial" w:eastAsia="Arial" w:hAnsi="Arial"/>
          <w:sz w:val="15"/>
          <w:szCs w:val="15"/>
          <w:color w:val="auto"/>
        </w:rPr>
      </w:pPr>
      <w:r>
        <w:rPr>
          <w:rFonts w:ascii="Arial" w:cs="Arial" w:eastAsia="Arial" w:hAnsi="Arial"/>
          <w:sz w:val="15"/>
          <w:szCs w:val="15"/>
          <w:color w:val="auto"/>
        </w:rPr>
        <w:t>Form S-8 No. 333-196899</w:t>
      </w:r>
    </w:p>
    <w:p>
      <w:pPr>
        <w:spacing w:after="0" w:line="18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Pursuant to Rule 436(c) under the Securities Act of 1933 (the Act), such report is not considered a part of the registration statement prepared or certified by an independent registered public accounting firm or a report prepared or certified by an independent registered public accounting firm within the meaning of Sections 7 and 11 of the Act.</w:t>
      </w:r>
    </w:p>
    <w:p>
      <w:pPr>
        <w:spacing w:after="0" w:line="200" w:lineRule="exact"/>
        <w:rPr>
          <w:sz w:val="20"/>
          <w:szCs w:val="20"/>
          <w:color w:val="auto"/>
        </w:rPr>
      </w:pPr>
    </w:p>
    <w:p>
      <w:pPr>
        <w:spacing w:after="0" w:line="354"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December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252095</wp:posOffset>
            </wp:positionV>
            <wp:extent cx="5817870" cy="482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28" w:right="1399" w:bottom="1440" w:gutter="0" w:footer="0" w:header="0"/>
        </w:sectPr>
      </w:pPr>
    </w:p>
    <w:bookmarkStart w:id="32" w:name="page33"/>
    <w:bookmarkEnd w:id="32"/>
    <w:p>
      <w:pPr>
        <w:ind w:left="8200"/>
        <w:spacing w:after="0"/>
        <w:rPr>
          <w:sz w:val="20"/>
          <w:szCs w:val="20"/>
          <w:color w:val="auto"/>
        </w:rPr>
      </w:pPr>
      <w:r>
        <w:rPr>
          <w:rFonts w:ascii="Arial" w:cs="Arial" w:eastAsia="Arial" w:hAnsi="Arial"/>
          <w:sz w:val="15"/>
          <w:szCs w:val="15"/>
          <w:b w:val="1"/>
          <w:bCs w:val="1"/>
          <w:color w:val="auto"/>
        </w:rPr>
        <w:t>Exhibit 31.1</w:t>
      </w:r>
    </w:p>
    <w:p>
      <w:pPr>
        <w:spacing w:after="0" w:line="168" w:lineRule="exact"/>
        <w:rPr>
          <w:sz w:val="20"/>
          <w:szCs w:val="20"/>
          <w:color w:val="auto"/>
        </w:rPr>
      </w:pPr>
    </w:p>
    <w:p>
      <w:pPr>
        <w:jc w:val="center"/>
        <w:ind w:right="260"/>
        <w:spacing w:after="0"/>
        <w:rPr>
          <w:sz w:val="20"/>
          <w:szCs w:val="20"/>
          <w:color w:val="auto"/>
        </w:rPr>
      </w:pPr>
      <w:r>
        <w:rPr>
          <w:rFonts w:ascii="Arial" w:cs="Arial" w:eastAsia="Arial" w:hAnsi="Arial"/>
          <w:sz w:val="15"/>
          <w:szCs w:val="15"/>
          <w:b w:val="1"/>
          <w:bCs w:val="1"/>
          <w:color w:val="auto"/>
        </w:rPr>
        <w:t>CERTIFICATION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 Richard A. Johnson, certify that:</w:t>
      </w:r>
    </w:p>
    <w:p>
      <w:pPr>
        <w:spacing w:after="0" w:line="180" w:lineRule="exact"/>
        <w:rPr>
          <w:sz w:val="20"/>
          <w:szCs w:val="20"/>
          <w:color w:val="auto"/>
        </w:rPr>
      </w:pPr>
    </w:p>
    <w:p>
      <w:pPr>
        <w:ind w:left="880" w:hanging="696"/>
        <w:spacing w:after="0"/>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Foot Locker, Inc. (the “Registrant”);</w:t>
      </w:r>
    </w:p>
    <w:p>
      <w:pPr>
        <w:spacing w:after="0" w:line="119"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38"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2"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0" w:lineRule="exact"/>
        <w:rPr>
          <w:rFonts w:ascii="Arial" w:cs="Arial" w:eastAsia="Arial" w:hAnsi="Arial"/>
          <w:sz w:val="15"/>
          <w:szCs w:val="15"/>
          <w:color w:val="auto"/>
        </w:rPr>
      </w:pPr>
    </w:p>
    <w:p>
      <w:pPr>
        <w:jc w:val="both"/>
        <w:ind w:left="1560" w:hanging="683"/>
        <w:spacing w:after="0" w:line="245"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0"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0"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5"/>
          <w:szCs w:val="15"/>
          <w:color w:val="auto"/>
        </w:rPr>
      </w:pPr>
    </w:p>
    <w:p>
      <w:pPr>
        <w:jc w:val="both"/>
        <w:ind w:left="1560" w:hanging="683"/>
        <w:spacing w:after="0" w:line="245"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5"/>
          <w:szCs w:val="15"/>
          <w:color w:val="auto"/>
        </w:rPr>
      </w:pPr>
    </w:p>
    <w:p>
      <w:pPr>
        <w:ind w:left="1560" w:hanging="683"/>
        <w:spacing w:after="0" w:line="254" w:lineRule="auto"/>
        <w:tabs>
          <w:tab w:leader="none" w:pos="1560" w:val="left"/>
        </w:tabs>
        <w:numPr>
          <w:ilvl w:val="1"/>
          <w:numId w:val="14"/>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31"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December 6, 2017</w:t>
      </w:r>
    </w:p>
    <w:p>
      <w:pPr>
        <w:spacing w:after="0" w:line="59"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1905</wp:posOffset>
            </wp:positionV>
            <wp:extent cx="1560195"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560195" cy="7620"/>
                    </a:xfrm>
                    <a:prstGeom prst="rect">
                      <a:avLst/>
                    </a:prstGeom>
                    <a:noFill/>
                  </pic:spPr>
                </pic:pic>
              </a:graphicData>
            </a:graphic>
          </wp:anchor>
        </w:drawing>
      </w:r>
    </w:p>
    <w:p>
      <w:pPr>
        <w:spacing w:after="0" w:line="39" w:lineRule="exact"/>
        <w:rPr>
          <w:sz w:val="20"/>
          <w:szCs w:val="20"/>
          <w:color w:val="auto"/>
        </w:rPr>
      </w:pPr>
    </w:p>
    <w:p>
      <w:pPr>
        <w:ind w:left="6820"/>
        <w:spacing w:after="0"/>
        <w:rPr>
          <w:sz w:val="20"/>
          <w:szCs w:val="20"/>
          <w:color w:val="auto"/>
        </w:rPr>
      </w:pPr>
      <w:r>
        <w:rPr>
          <w:rFonts w:ascii="Arial" w:cs="Arial" w:eastAsia="Arial" w:hAnsi="Arial"/>
          <w:sz w:val="15"/>
          <w:szCs w:val="15"/>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220980</wp:posOffset>
            </wp:positionV>
            <wp:extent cx="5817870" cy="482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280"/>
          </w:cols>
          <w:pgMar w:left="1440" w:top="128" w:right="1179" w:bottom="1440" w:gutter="0" w:footer="0" w:header="0"/>
        </w:sectPr>
      </w:pPr>
    </w:p>
    <w:bookmarkStart w:id="33" w:name="page34"/>
    <w:bookmarkEnd w:id="33"/>
    <w:p>
      <w:pPr>
        <w:jc w:val="right"/>
        <w:spacing w:after="0"/>
        <w:rPr>
          <w:sz w:val="20"/>
          <w:szCs w:val="20"/>
          <w:color w:val="auto"/>
        </w:rPr>
      </w:pPr>
      <w:r>
        <w:rPr>
          <w:rFonts w:ascii="Arial" w:cs="Arial" w:eastAsia="Arial" w:hAnsi="Arial"/>
          <w:sz w:val="15"/>
          <w:szCs w:val="15"/>
          <w:b w:val="1"/>
          <w:bCs w:val="1"/>
          <w:color w:val="auto"/>
        </w:rPr>
        <w:t>Exhibit 31.2</w:t>
      </w:r>
    </w:p>
    <w:p>
      <w:pPr>
        <w:spacing w:after="0" w:line="168" w:lineRule="exact"/>
        <w:rPr>
          <w:sz w:val="20"/>
          <w:szCs w:val="20"/>
          <w:color w:val="auto"/>
        </w:rPr>
      </w:pPr>
    </w:p>
    <w:p>
      <w:pPr>
        <w:jc w:val="center"/>
        <w:ind w:right="40"/>
        <w:spacing w:after="0"/>
        <w:rPr>
          <w:sz w:val="20"/>
          <w:szCs w:val="20"/>
          <w:color w:val="auto"/>
        </w:rPr>
      </w:pPr>
      <w:r>
        <w:rPr>
          <w:rFonts w:ascii="Arial" w:cs="Arial" w:eastAsia="Arial" w:hAnsi="Arial"/>
          <w:sz w:val="15"/>
          <w:szCs w:val="15"/>
          <w:b w:val="1"/>
          <w:bCs w:val="1"/>
          <w:color w:val="auto"/>
        </w:rPr>
        <w:t>CERTIFICATION</w:t>
      </w:r>
    </w:p>
    <w:p>
      <w:pPr>
        <w:spacing w:after="0" w:line="186" w:lineRule="exact"/>
        <w:rPr>
          <w:sz w:val="20"/>
          <w:szCs w:val="20"/>
          <w:color w:val="auto"/>
        </w:rPr>
      </w:pPr>
    </w:p>
    <w:p>
      <w:pPr>
        <w:ind w:left="180"/>
        <w:spacing w:after="0"/>
        <w:rPr>
          <w:sz w:val="20"/>
          <w:szCs w:val="20"/>
          <w:color w:val="auto"/>
        </w:rPr>
      </w:pPr>
      <w:r>
        <w:rPr>
          <w:rFonts w:ascii="Arial" w:cs="Arial" w:eastAsia="Arial" w:hAnsi="Arial"/>
          <w:sz w:val="15"/>
          <w:szCs w:val="15"/>
          <w:color w:val="auto"/>
        </w:rPr>
        <w:t>I, Lauren B. Peters, certify that:</w:t>
      </w:r>
    </w:p>
    <w:p>
      <w:pPr>
        <w:spacing w:after="0" w:line="180" w:lineRule="exact"/>
        <w:rPr>
          <w:sz w:val="20"/>
          <w:szCs w:val="20"/>
          <w:color w:val="auto"/>
        </w:rPr>
      </w:pPr>
    </w:p>
    <w:p>
      <w:pPr>
        <w:ind w:left="880" w:hanging="696"/>
        <w:spacing w:after="0"/>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I have reviewed this quarterly report on Form 10-Q of Foot Locker, Inc. (the “Registrant”);</w:t>
      </w:r>
    </w:p>
    <w:p>
      <w:pPr>
        <w:spacing w:after="0" w:line="168"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38"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01"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74"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89"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7" w:lineRule="exact"/>
        <w:rPr>
          <w:rFonts w:ascii="Arial" w:cs="Arial" w:eastAsia="Arial" w:hAnsi="Arial"/>
          <w:sz w:val="15"/>
          <w:szCs w:val="15"/>
          <w:color w:val="auto"/>
        </w:rPr>
      </w:pPr>
    </w:p>
    <w:p>
      <w:pPr>
        <w:jc w:val="both"/>
        <w:ind w:left="1560" w:hanging="683"/>
        <w:spacing w:after="0" w:line="245" w:lineRule="auto"/>
        <w:tabs>
          <w:tab w:leader="none" w:pos="1560" w:val="left"/>
        </w:tabs>
        <w:numPr>
          <w:ilvl w:val="1"/>
          <w:numId w:val="15"/>
        </w:numPr>
        <w:rPr>
          <w:rFonts w:ascii="Arial" w:cs="Arial" w:eastAsia="Arial" w:hAnsi="Arial"/>
          <w:sz w:val="15"/>
          <w:szCs w:val="15"/>
          <w:color w:val="auto"/>
        </w:rPr>
      </w:pPr>
      <w:r>
        <w:rPr>
          <w:rFonts w:ascii="Arial" w:cs="Arial" w:eastAsia="Arial" w:hAnsi="Arial"/>
          <w:sz w:val="15"/>
          <w:szCs w:val="15"/>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5"/>
          <w:szCs w:val="15"/>
          <w:color w:val="auto"/>
        </w:rPr>
      </w:pPr>
    </w:p>
    <w:p>
      <w:pPr>
        <w:jc w:val="both"/>
        <w:ind w:left="1560" w:hanging="683"/>
        <w:spacing w:after="0" w:line="242" w:lineRule="auto"/>
        <w:tabs>
          <w:tab w:leader="none" w:pos="1560" w:val="left"/>
        </w:tabs>
        <w:numPr>
          <w:ilvl w:val="1"/>
          <w:numId w:val="15"/>
        </w:numPr>
        <w:rPr>
          <w:rFonts w:ascii="Arial" w:cs="Arial" w:eastAsia="Arial" w:hAnsi="Arial"/>
          <w:sz w:val="15"/>
          <w:szCs w:val="15"/>
          <w:color w:val="auto"/>
        </w:rPr>
      </w:pPr>
      <w:r>
        <w:rPr>
          <w:rFonts w:ascii="Arial" w:cs="Arial" w:eastAsia="Arial" w:hAnsi="Arial"/>
          <w:sz w:val="15"/>
          <w:szCs w:val="15"/>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89" w:lineRule="exact"/>
        <w:rPr>
          <w:rFonts w:ascii="Arial" w:cs="Arial" w:eastAsia="Arial" w:hAnsi="Arial"/>
          <w:sz w:val="15"/>
          <w:szCs w:val="15"/>
          <w:color w:val="auto"/>
        </w:rPr>
      </w:pPr>
    </w:p>
    <w:p>
      <w:pPr>
        <w:jc w:val="both"/>
        <w:ind w:left="880" w:hanging="696"/>
        <w:spacing w:after="0" w:line="245" w:lineRule="auto"/>
        <w:tabs>
          <w:tab w:leader="none" w:pos="8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6" w:lineRule="exact"/>
        <w:rPr>
          <w:rFonts w:ascii="Arial" w:cs="Arial" w:eastAsia="Arial" w:hAnsi="Arial"/>
          <w:sz w:val="15"/>
          <w:szCs w:val="15"/>
          <w:color w:val="auto"/>
        </w:rPr>
      </w:pPr>
    </w:p>
    <w:p>
      <w:pPr>
        <w:jc w:val="both"/>
        <w:ind w:left="1560" w:hanging="683"/>
        <w:spacing w:after="0" w:line="245" w:lineRule="auto"/>
        <w:tabs>
          <w:tab w:leader="none" w:pos="1560" w:val="left"/>
        </w:tabs>
        <w:numPr>
          <w:ilvl w:val="1"/>
          <w:numId w:val="15"/>
        </w:numPr>
        <w:rPr>
          <w:rFonts w:ascii="Arial" w:cs="Arial" w:eastAsia="Arial" w:hAnsi="Arial"/>
          <w:sz w:val="15"/>
          <w:szCs w:val="15"/>
          <w:color w:val="auto"/>
        </w:rPr>
      </w:pPr>
      <w:r>
        <w:rPr>
          <w:rFonts w:ascii="Arial" w:cs="Arial" w:eastAsia="Arial" w:hAnsi="Arial"/>
          <w:sz w:val="15"/>
          <w:szCs w:val="15"/>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4" w:lineRule="exact"/>
        <w:rPr>
          <w:rFonts w:ascii="Arial" w:cs="Arial" w:eastAsia="Arial" w:hAnsi="Arial"/>
          <w:sz w:val="15"/>
          <w:szCs w:val="15"/>
          <w:color w:val="auto"/>
        </w:rPr>
      </w:pPr>
    </w:p>
    <w:p>
      <w:pPr>
        <w:ind w:left="1560" w:hanging="683"/>
        <w:spacing w:after="0" w:line="254" w:lineRule="auto"/>
        <w:tabs>
          <w:tab w:leader="none" w:pos="1560" w:val="left"/>
        </w:tabs>
        <w:numPr>
          <w:ilvl w:val="1"/>
          <w:numId w:val="15"/>
        </w:numPr>
        <w:rPr>
          <w:rFonts w:ascii="Arial" w:cs="Arial" w:eastAsia="Arial" w:hAnsi="Arial"/>
          <w:sz w:val="15"/>
          <w:szCs w:val="15"/>
          <w:color w:val="auto"/>
        </w:rPr>
      </w:pPr>
      <w:r>
        <w:rPr>
          <w:rFonts w:ascii="Arial" w:cs="Arial" w:eastAsia="Arial" w:hAnsi="Arial"/>
          <w:sz w:val="15"/>
          <w:szCs w:val="15"/>
          <w:color w:val="auto"/>
        </w:rPr>
        <w:t>any fraud, whether or not material, that involves management or other employees who have a significant role in the Registrant’s internal control over financial reporting.</w:t>
      </w:r>
    </w:p>
    <w:p>
      <w:pPr>
        <w:spacing w:after="0" w:line="292" w:lineRule="exact"/>
        <w:rPr>
          <w:sz w:val="20"/>
          <w:szCs w:val="20"/>
          <w:color w:val="auto"/>
        </w:rPr>
      </w:pPr>
    </w:p>
    <w:p>
      <w:pPr>
        <w:ind w:left="180"/>
        <w:spacing w:after="0"/>
        <w:rPr>
          <w:sz w:val="20"/>
          <w:szCs w:val="20"/>
          <w:color w:val="auto"/>
        </w:rPr>
      </w:pPr>
      <w:r>
        <w:rPr>
          <w:rFonts w:ascii="Arial" w:cs="Arial" w:eastAsia="Arial" w:hAnsi="Arial"/>
          <w:sz w:val="15"/>
          <w:szCs w:val="15"/>
          <w:color w:val="auto"/>
        </w:rPr>
        <w:t>December 6, 2017</w:t>
      </w:r>
    </w:p>
    <w:p>
      <w:pPr>
        <w:spacing w:after="0" w:line="5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4395470</wp:posOffset>
            </wp:positionH>
            <wp:positionV relativeFrom="paragraph">
              <wp:posOffset>1905</wp:posOffset>
            </wp:positionV>
            <wp:extent cx="149860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498600" cy="7620"/>
                    </a:xfrm>
                    <a:prstGeom prst="rect">
                      <a:avLst/>
                    </a:prstGeom>
                    <a:noFill/>
                  </pic:spPr>
                </pic:pic>
              </a:graphicData>
            </a:graphic>
          </wp:anchor>
        </w:drawing>
      </w:r>
    </w:p>
    <w:p>
      <w:pPr>
        <w:spacing w:after="0" w:line="39" w:lineRule="exact"/>
        <w:rPr>
          <w:sz w:val="20"/>
          <w:szCs w:val="20"/>
          <w:color w:val="auto"/>
        </w:rPr>
      </w:pPr>
    </w:p>
    <w:p>
      <w:pPr>
        <w:ind w:left="6920"/>
        <w:spacing w:after="0"/>
        <w:rPr>
          <w:sz w:val="20"/>
          <w:szCs w:val="20"/>
          <w:color w:val="auto"/>
        </w:rPr>
      </w:pPr>
      <w:r>
        <w:rPr>
          <w:rFonts w:ascii="Arial" w:cs="Arial" w:eastAsia="Arial" w:hAnsi="Arial"/>
          <w:sz w:val="15"/>
          <w:szCs w:val="15"/>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wp:posOffset>
            </wp:positionH>
            <wp:positionV relativeFrom="paragraph">
              <wp:posOffset>530225</wp:posOffset>
            </wp:positionV>
            <wp:extent cx="5817870" cy="48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060"/>
          </w:cols>
          <w:pgMar w:left="1440" w:top="128" w:right="1399" w:bottom="1440" w:gutter="0" w:footer="0" w:header="0"/>
        </w:sectPr>
      </w:pPr>
    </w:p>
    <w:bookmarkStart w:id="34" w:name="page35"/>
    <w:bookmarkEnd w:id="34"/>
    <w:p>
      <w:pPr>
        <w:jc w:val="right"/>
        <w:spacing w:after="0"/>
        <w:rPr>
          <w:sz w:val="20"/>
          <w:szCs w:val="20"/>
          <w:color w:val="auto"/>
        </w:rPr>
      </w:pPr>
      <w:r>
        <w:rPr>
          <w:rFonts w:ascii="Arial" w:cs="Arial" w:eastAsia="Arial" w:hAnsi="Arial"/>
          <w:sz w:val="15"/>
          <w:szCs w:val="15"/>
          <w:b w:val="1"/>
          <w:bCs w:val="1"/>
          <w:color w:val="auto"/>
        </w:rPr>
        <w:t>Exhibit 32</w:t>
      </w:r>
    </w:p>
    <w:p>
      <w:pPr>
        <w:spacing w:after="0" w:line="168" w:lineRule="exact"/>
        <w:rPr>
          <w:sz w:val="20"/>
          <w:szCs w:val="20"/>
          <w:color w:val="auto"/>
        </w:rPr>
      </w:pPr>
    </w:p>
    <w:p>
      <w:pPr>
        <w:ind w:left="3800"/>
        <w:spacing w:after="0"/>
        <w:rPr>
          <w:sz w:val="20"/>
          <w:szCs w:val="20"/>
          <w:color w:val="auto"/>
        </w:rPr>
      </w:pPr>
      <w:r>
        <w:rPr>
          <w:rFonts w:ascii="Arial" w:cs="Arial" w:eastAsia="Arial" w:hAnsi="Arial"/>
          <w:sz w:val="15"/>
          <w:szCs w:val="15"/>
          <w:b w:val="1"/>
          <w:bCs w:val="1"/>
          <w:color w:val="auto"/>
        </w:rPr>
        <w:t>FOOT LOCKER, INC.</w:t>
      </w:r>
    </w:p>
    <w:p>
      <w:pPr>
        <w:spacing w:after="0" w:line="168" w:lineRule="exact"/>
        <w:rPr>
          <w:sz w:val="20"/>
          <w:szCs w:val="20"/>
          <w:color w:val="auto"/>
        </w:rPr>
      </w:pPr>
    </w:p>
    <w:p>
      <w:pPr>
        <w:ind w:left="3380"/>
        <w:spacing w:after="0"/>
        <w:rPr>
          <w:sz w:val="20"/>
          <w:szCs w:val="20"/>
          <w:color w:val="auto"/>
        </w:rPr>
      </w:pPr>
      <w:r>
        <w:rPr>
          <w:rFonts w:ascii="Arial" w:cs="Arial" w:eastAsia="Arial" w:hAnsi="Arial"/>
          <w:sz w:val="15"/>
          <w:szCs w:val="15"/>
          <w:b w:val="1"/>
          <w:bCs w:val="1"/>
          <w:color w:val="auto"/>
        </w:rPr>
        <w:t>CERTIFICATION PURSUANT TO</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18 U.S.C. SECTION 1350</w:t>
      </w:r>
    </w:p>
    <w:p>
      <w:pPr>
        <w:jc w:val="center"/>
        <w:spacing w:after="0" w:line="236" w:lineRule="auto"/>
        <w:rPr>
          <w:sz w:val="20"/>
          <w:szCs w:val="20"/>
          <w:color w:val="auto"/>
        </w:rPr>
      </w:pPr>
      <w:r>
        <w:rPr>
          <w:rFonts w:ascii="Arial" w:cs="Arial" w:eastAsia="Arial" w:hAnsi="Arial"/>
          <w:sz w:val="15"/>
          <w:szCs w:val="15"/>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SECTION 906 OF THE SARBANES-OXLEY ACT OF 2002</w:t>
      </w:r>
    </w:p>
    <w:p>
      <w:pPr>
        <w:spacing w:after="0" w:line="168"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In connection with the Quarterly Report on Form 10-Q of Foot Locker, Inc. (the “Registrant”) for the quarterly period ended October 28, 2017, as filed with the Securities and Exchange Commission on the date hereof (the “Report”), Richard A. Johnson, as Chief Executive Officer of the Registrant and Lauren B. Peters, as Chief Financial Officer of the Registrant, each hereby certifies, pursuant to 18 U.S.C. Section 1350, as adopted pursuant to Section 906 of the Sarbanes-Oxley Act of 2002, that:</w:t>
      </w:r>
    </w:p>
    <w:p>
      <w:pPr>
        <w:spacing w:after="0" w:line="168" w:lineRule="exact"/>
        <w:rPr>
          <w:sz w:val="20"/>
          <w:szCs w:val="20"/>
          <w:color w:val="auto"/>
        </w:rPr>
      </w:pPr>
    </w:p>
    <w:p>
      <w:pPr>
        <w:ind w:left="600" w:hanging="363"/>
        <w:spacing w:after="0"/>
        <w:tabs>
          <w:tab w:leader="none" w:pos="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Report fully complies with the requirements of Section 13(a) or 15(d) of the Securities Exchange Act of 1934; and</w:t>
      </w:r>
    </w:p>
    <w:p>
      <w:pPr>
        <w:spacing w:after="0" w:line="387" w:lineRule="exact"/>
        <w:rPr>
          <w:rFonts w:ascii="Arial" w:cs="Arial" w:eastAsia="Arial" w:hAnsi="Arial"/>
          <w:sz w:val="15"/>
          <w:szCs w:val="15"/>
          <w:color w:val="auto"/>
        </w:rPr>
      </w:pPr>
    </w:p>
    <w:p>
      <w:pPr>
        <w:ind w:left="600" w:hanging="363"/>
        <w:spacing w:after="0" w:line="254" w:lineRule="auto"/>
        <w:tabs>
          <w:tab w:leader="none" w:pos="600" w:val="left"/>
        </w:tabs>
        <w:numPr>
          <w:ilvl w:val="0"/>
          <w:numId w:val="16"/>
        </w:numPr>
        <w:rPr>
          <w:rFonts w:ascii="Arial" w:cs="Arial" w:eastAsia="Arial" w:hAnsi="Arial"/>
          <w:sz w:val="15"/>
          <w:szCs w:val="15"/>
          <w:color w:val="auto"/>
        </w:rPr>
      </w:pPr>
      <w:r>
        <w:rPr>
          <w:rFonts w:ascii="Arial" w:cs="Arial" w:eastAsia="Arial" w:hAnsi="Arial"/>
          <w:sz w:val="15"/>
          <w:szCs w:val="15"/>
          <w:color w:val="auto"/>
        </w:rPr>
        <w:t>The information contained in the Report fairly presents, in all material respects, the financial condition and results of operations of the Registrant.</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5"/>
          <w:szCs w:val="15"/>
          <w:color w:val="auto"/>
        </w:rPr>
        <w:t>Dated: December 6, 2017</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/s/ Richard A. Johnson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1905</wp:posOffset>
            </wp:positionV>
            <wp:extent cx="152146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Richard A. Johnson</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Chief Executive Officer</w:t>
      </w:r>
    </w:p>
    <w:p>
      <w:pPr>
        <w:spacing w:after="0" w:line="265"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/s/ Lauren B. Peters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4258945</wp:posOffset>
            </wp:positionH>
            <wp:positionV relativeFrom="paragraph">
              <wp:posOffset>1905</wp:posOffset>
            </wp:positionV>
            <wp:extent cx="15214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21460" cy="7620"/>
                    </a:xfrm>
                    <a:prstGeom prst="rect">
                      <a:avLst/>
                    </a:prstGeom>
                    <a:noFill/>
                  </pic:spPr>
                </pic:pic>
              </a:graphicData>
            </a:graphic>
          </wp:anchor>
        </w:drawing>
      </w:r>
    </w:p>
    <w:p>
      <w:pPr>
        <w:spacing w:after="0" w:line="2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Lauren B. Peters</w:t>
      </w:r>
    </w:p>
    <w:p>
      <w:pPr>
        <w:spacing w:after="0" w:line="46" w:lineRule="exact"/>
        <w:rPr>
          <w:sz w:val="20"/>
          <w:szCs w:val="20"/>
          <w:color w:val="auto"/>
        </w:rPr>
      </w:pPr>
    </w:p>
    <w:p>
      <w:pPr>
        <w:ind w:left="6700"/>
        <w:spacing w:after="0"/>
        <w:rPr>
          <w:sz w:val="20"/>
          <w:szCs w:val="20"/>
          <w:color w:val="auto"/>
        </w:rPr>
      </w:pPr>
      <w:r>
        <w:rPr>
          <w:rFonts w:ascii="Arial" w:cs="Arial" w:eastAsia="Arial" w:hAnsi="Arial"/>
          <w:sz w:val="15"/>
          <w:szCs w:val="15"/>
          <w:color w:val="auto"/>
        </w:rPr>
        <w:t>Chief Financial Officer</w:t>
      </w:r>
    </w:p>
    <w:p>
      <w:pPr>
        <w:spacing w:after="0" w:line="200" w:lineRule="exact"/>
        <w:rPr>
          <w:sz w:val="20"/>
          <w:szCs w:val="20"/>
          <w:color w:val="auto"/>
        </w:rPr>
      </w:pPr>
    </w:p>
    <w:p>
      <w:pPr>
        <w:spacing w:after="0" w:line="309" w:lineRule="exact"/>
        <w:rPr>
          <w:sz w:val="20"/>
          <w:szCs w:val="20"/>
          <w:color w:val="auto"/>
        </w:rPr>
      </w:pPr>
    </w:p>
    <w:p>
      <w:pPr>
        <w:jc w:val="both"/>
        <w:spacing w:after="0" w:line="242" w:lineRule="auto"/>
        <w:rPr>
          <w:sz w:val="20"/>
          <w:szCs w:val="20"/>
          <w:color w:val="auto"/>
        </w:rPr>
      </w:pPr>
      <w:r>
        <w:rPr>
          <w:rFonts w:ascii="Arial" w:cs="Arial" w:eastAsia="Arial" w:hAnsi="Arial"/>
          <w:sz w:val="15"/>
          <w:szCs w:val="15"/>
          <w:color w:val="auto"/>
        </w:rPr>
        <w:t>The foregoing certification is being furnished solely pursuant to 18 U.S.C. § 1350 and is not being filed as part of the Report or as a separate disclosure document. Such certification will not be deemed to be incorporated by reference into any filing under the Securities Act of 1933, as amended, or the Securities Exchange Act of 1934, as amended, except to the extent that the company specifically incorporates it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228600</wp:posOffset>
            </wp:positionV>
            <wp:extent cx="5817870" cy="482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p>
      <w:pPr>
        <w:sectPr>
          <w:pgSz w:w="11900" w:h="16838" w:orient="portrait"/>
          <w:cols w:equalWidth="0" w:num="1">
            <w:col w:w="9100"/>
          </w:cols>
          <w:pgMar w:left="1400" w:top="128" w:right="1399" w:bottom="1440" w:gutter="0" w:footer="0" w:header="0"/>
        </w:sectPr>
      </w:pPr>
    </w:p>
    <w:bookmarkStart w:id="35" w:name="page36"/>
    <w:bookmarkEnd w:id="35"/>
    <w:p>
      <w:pPr>
        <w:jc w:val="right"/>
        <w:spacing w:after="0"/>
        <w:rPr>
          <w:sz w:val="20"/>
          <w:szCs w:val="20"/>
          <w:color w:val="auto"/>
        </w:rPr>
      </w:pPr>
      <w:r>
        <w:rPr>
          <w:rFonts w:ascii="Arial" w:cs="Arial" w:eastAsia="Arial" w:hAnsi="Arial"/>
          <w:sz w:val="15"/>
          <w:szCs w:val="15"/>
          <w:b w:val="1"/>
          <w:bCs w:val="1"/>
          <w:color w:val="auto"/>
        </w:rPr>
        <w:t>Exhibit 99</w:t>
      </w:r>
    </w:p>
    <w:p>
      <w:pPr>
        <w:spacing w:after="0" w:line="36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REPORT OF INDEPENDENT REGISTERED PUBLIC ACCOUNTING FIRM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5"/>
          <w:szCs w:val="15"/>
          <w:color w:val="auto"/>
        </w:rPr>
        <w:t>The Board of Directors and Shareholders</w:t>
      </w:r>
    </w:p>
    <w:p>
      <w:pPr>
        <w:spacing w:after="0"/>
        <w:rPr>
          <w:sz w:val="20"/>
          <w:szCs w:val="20"/>
          <w:color w:val="auto"/>
        </w:rPr>
      </w:pPr>
      <w:r>
        <w:rPr>
          <w:rFonts w:ascii="Arial" w:cs="Arial" w:eastAsia="Arial" w:hAnsi="Arial"/>
          <w:sz w:val="15"/>
          <w:szCs w:val="15"/>
          <w:color w:val="auto"/>
        </w:rPr>
        <w:t>Foot Locker, Inc.:</w:t>
      </w:r>
    </w:p>
    <w:p>
      <w:pPr>
        <w:spacing w:after="0" w:line="290"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have reviewed the accompanying condensed consolidated balance sheets of Foot Locker, Inc. and subsidiaries as of October 28, 2017 and October 29, 2016, and the related condensed consolidated statements of operations and comprehensive income for the thirteen and thirty-nine week periods ended October 28, 2017 and October 29, 2016, and the related condensed consolidated statements of cash flows for the thirty-nine week periods ended October 28, 2017 and October 29, 2016. These condensed consolidated financial statements are the responsibility of the Company’s management.</w:t>
      </w:r>
    </w:p>
    <w:p>
      <w:pPr>
        <w:spacing w:after="0" w:line="119" w:lineRule="exact"/>
        <w:rPr>
          <w:sz w:val="20"/>
          <w:szCs w:val="20"/>
          <w:color w:val="auto"/>
        </w:rPr>
      </w:pPr>
    </w:p>
    <w:p>
      <w:pPr>
        <w:jc w:val="both"/>
        <w:spacing w:after="0" w:line="241" w:lineRule="auto"/>
        <w:rPr>
          <w:sz w:val="20"/>
          <w:szCs w:val="20"/>
          <w:color w:val="auto"/>
        </w:rPr>
      </w:pPr>
      <w:r>
        <w:rPr>
          <w:rFonts w:ascii="Arial" w:cs="Arial" w:eastAsia="Arial" w:hAnsi="Arial"/>
          <w:sz w:val="15"/>
          <w:szCs w:val="15"/>
          <w:color w:val="auto"/>
        </w:rPr>
        <w:t>We conducted our review in accordance with the standards of the Public Company Accounting Oversight Board (United States). A review of interim financial information consists principally of applying analytical procedures and making inquiries of persons responsible for financial and accounting matters. It is substantially less in scope than an audit conducted in accordance with the standards of the Public Company Accounting Oversight Board (United States), the objective of which is the expression of an opinion regarding the financial statements taken as a whole. Accordingly, we do not express such an opinion.</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5"/>
          <w:szCs w:val="15"/>
          <w:color w:val="auto"/>
        </w:rPr>
        <w:t>Based on our review, we are not aware of any material modifications that should be made to the condensed consolidated financial statements referred to above for them to be in conformity with U.S. generally accepted accounting principles.</w:t>
      </w:r>
    </w:p>
    <w:p>
      <w:pPr>
        <w:spacing w:after="0" w:line="109" w:lineRule="exact"/>
        <w:rPr>
          <w:sz w:val="20"/>
          <w:szCs w:val="20"/>
          <w:color w:val="auto"/>
        </w:rPr>
      </w:pPr>
    </w:p>
    <w:p>
      <w:pPr>
        <w:jc w:val="both"/>
        <w:spacing w:after="0"/>
        <w:rPr>
          <w:sz w:val="20"/>
          <w:szCs w:val="20"/>
          <w:color w:val="auto"/>
        </w:rPr>
      </w:pPr>
      <w:r>
        <w:rPr>
          <w:rFonts w:ascii="Arial" w:cs="Arial" w:eastAsia="Arial" w:hAnsi="Arial"/>
          <w:sz w:val="15"/>
          <w:szCs w:val="15"/>
          <w:color w:val="auto"/>
        </w:rPr>
        <w:t>We have previously audited, in accordance with the standards of the Public Company Accounting Oversight Board (United States), the consolidated balance sheet of Foot Locker, Inc. and subsidiaries as of January 28, 2017, and the related consolidated statements of operations, comprehensive income, shareholders’ equity, and cash flows for the year then ended (not presented herein); and in our report dated March 23, 2017 we expressed an unqualified opinion on those consolidated financial statements. In our opinion, the information set forth in the accompanying condensed consolidated balance sheet as of January 28, 2017, is fairly stated, in all material respects, in relation to the consolidated balance sheet from which it has been derived.</w:t>
      </w:r>
    </w:p>
    <w:p>
      <w:pPr>
        <w:spacing w:after="0" w:line="327" w:lineRule="exact"/>
        <w:rPr>
          <w:sz w:val="20"/>
          <w:szCs w:val="20"/>
          <w:color w:val="auto"/>
        </w:rPr>
      </w:pPr>
    </w:p>
    <w:p>
      <w:pPr>
        <w:spacing w:after="0"/>
        <w:rPr>
          <w:sz w:val="20"/>
          <w:szCs w:val="20"/>
          <w:color w:val="auto"/>
        </w:rPr>
      </w:pPr>
      <w:r>
        <w:rPr>
          <w:rFonts w:ascii="Arial" w:cs="Arial" w:eastAsia="Arial" w:hAnsi="Arial"/>
          <w:sz w:val="15"/>
          <w:szCs w:val="15"/>
          <w:color w:val="auto"/>
        </w:rPr>
        <w:t>/s/ KPMG LLP</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New York, New York</w:t>
      </w:r>
    </w:p>
    <w:p>
      <w:pPr>
        <w:spacing w:after="0"/>
        <w:rPr>
          <w:sz w:val="20"/>
          <w:szCs w:val="20"/>
          <w:color w:val="auto"/>
        </w:rPr>
      </w:pPr>
      <w:r>
        <w:rPr>
          <w:rFonts w:ascii="Arial" w:cs="Arial" w:eastAsia="Arial" w:hAnsi="Arial"/>
          <w:sz w:val="15"/>
          <w:szCs w:val="15"/>
          <w:color w:val="auto"/>
        </w:rPr>
        <w:t>December 6,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298450</wp:posOffset>
            </wp:positionV>
            <wp:extent cx="5817870" cy="48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17870" cy="48260"/>
                    </a:xfrm>
                    <a:prstGeom prst="rect">
                      <a:avLst/>
                    </a:prstGeom>
                    <a:noFill/>
                  </pic:spPr>
                </pic:pic>
              </a:graphicData>
            </a:graphic>
          </wp:anchor>
        </w:drawing>
      </w:r>
    </w:p>
    <w:sectPr>
      <w:pgSz w:w="11900" w:h="16838" w:orient="portrait"/>
      <w:cols w:equalWidth="0" w:num="1">
        <w:col w:w="9100"/>
      </w:cols>
      <w:pgMar w:left="1400" w:top="128" w:right="1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
      <w:numFmt w:val="bullet"/>
      <w:start w:val="1"/>
    </w:lvl>
  </w:abstractNum>
  <w:abstractNum w:abstractNumId="3">
    <w:nsid w:val="4DB127F8"/>
    <w:multiLevelType w:val="hybridMultilevel"/>
    <w:lvl w:ilvl="0">
      <w:lvlJc w:val="left"/>
      <w:lvlText w:val="*"/>
      <w:numFmt w:val="bullet"/>
      <w:start w:val="1"/>
    </w:lvl>
  </w:abstractNum>
  <w:abstractNum w:abstractNumId="4">
    <w:nsid w:val="216231B"/>
    <w:multiLevelType w:val="hybridMultilevel"/>
    <w:lvl w:ilvl="0">
      <w:lvlJc w:val="left"/>
      <w:lvlText w:val="%1"/>
      <w:numFmt w:val="decimal"/>
      <w:start w:val="1"/>
    </w:lvl>
    <w:lvl w:ilvl="1">
      <w:lvlJc w:val="left"/>
      <w:lvlText w:val="(%2)"/>
      <w:numFmt w:val="decimal"/>
      <w:start w:val="1"/>
    </w:lvl>
  </w:abstractNum>
  <w:abstractNum w:abstractNumId="5">
    <w:nsid w:val="1F16E9E8"/>
    <w:multiLevelType w:val="hybridMultilevel"/>
    <w:lvl w:ilvl="0">
      <w:lvlJc w:val="left"/>
      <w:lvlText w:val="%1."/>
      <w:numFmt w:val="decimal"/>
      <w:start w:val="3"/>
    </w:lvl>
    <w:lvl w:ilvl="1">
      <w:lvlJc w:val="left"/>
      <w:lvlText w:val="%2"/>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lowerLetter"/>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
      <w:numFmt w:val="bullet"/>
      <w:start w:val="1"/>
    </w:lvl>
  </w:abstractNum>
  <w:abstractNum w:abstractNumId="13">
    <w:nsid w:val="1BEFD79F"/>
    <w:multiLevelType w:val="hybridMultilevel"/>
    <w:lvl w:ilvl="0">
      <w:lvlJc w:val="left"/>
      <w:lvlText w:val="%1."/>
      <w:numFmt w:val="decimal"/>
      <w:start w:val="1"/>
    </w:lvl>
    <w:lvl w:ilvl="1">
      <w:lvlJc w:val="left"/>
      <w:lvlText w:val="%2)"/>
      <w:numFmt w:val="lowerLetter"/>
      <w:start w:val="1"/>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2019-12-29T02:52:21Z</dcterms:created>
  <dcterms:modified xsi:type="dcterms:W3CDTF">2019-12-29T02:52:21Z</dcterms:modified>
</cp:coreProperties>
</file>