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April 21, 2020</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Foot Locker,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charter)</w:t>
      </w:r>
    </w:p>
    <w:p>
      <w:pPr>
        <w:spacing w:after="0" w:line="205" w:lineRule="exact"/>
        <w:rPr>
          <w:sz w:val="24"/>
          <w:szCs w:val="24"/>
          <w:color w:val="auto"/>
        </w:rPr>
      </w:pPr>
    </w:p>
    <w:tbl>
      <w:tblPr>
        <w:tblLayout w:type="fixed"/>
        <w:tblInd w:w="980" w:type="dxa"/>
        <w:tblCellMar>
          <w:top w:w="0" w:type="dxa"/>
          <w:left w:w="0" w:type="dxa"/>
          <w:bottom w:w="0" w:type="dxa"/>
          <w:right w:w="0" w:type="dxa"/>
        </w:tblCellMar>
      </w:tblPr>
      <w:tr>
        <w:trPr>
          <w:trHeight w:val="220"/>
        </w:trPr>
        <w:tc>
          <w:tcPr>
            <w:tcW w:w="204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New York</w:t>
            </w: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90"/>
              </w:rPr>
              <w:t>1-10299</w:t>
            </w:r>
          </w:p>
        </w:tc>
        <w:tc>
          <w:tcPr>
            <w:tcW w:w="1660" w:type="dxa"/>
            <w:vAlign w:val="bottom"/>
          </w:tcPr>
          <w:p>
            <w:pPr>
              <w:jc w:val="center"/>
              <w:ind w:left="230"/>
              <w:spacing w:after="0"/>
              <w:rPr>
                <w:sz w:val="20"/>
                <w:szCs w:val="20"/>
                <w:color w:val="auto"/>
              </w:rPr>
            </w:pPr>
            <w:r>
              <w:rPr>
                <w:rFonts w:ascii="Arial" w:cs="Arial" w:eastAsia="Arial" w:hAnsi="Arial"/>
                <w:sz w:val="18"/>
                <w:szCs w:val="18"/>
                <w:b w:val="1"/>
                <w:bCs w:val="1"/>
                <w:color w:val="auto"/>
                <w:w w:val="89"/>
              </w:rPr>
              <w:t>13-3513936</w:t>
            </w:r>
          </w:p>
        </w:tc>
      </w:tr>
      <w:tr>
        <w:trPr>
          <w:trHeight w:val="216"/>
        </w:trPr>
        <w:tc>
          <w:tcPr>
            <w:tcW w:w="2040" w:type="dxa"/>
            <w:vAlign w:val="bottom"/>
          </w:tcPr>
          <w:p>
            <w:pPr>
              <w:jc w:val="center"/>
              <w:ind w:right="70"/>
              <w:spacing w:after="0"/>
              <w:rPr>
                <w:sz w:val="20"/>
                <w:szCs w:val="20"/>
                <w:color w:val="auto"/>
              </w:rPr>
            </w:pPr>
            <w:r>
              <w:rPr>
                <w:rFonts w:ascii="Arial" w:cs="Arial" w:eastAsia="Arial" w:hAnsi="Arial"/>
                <w:sz w:val="18"/>
                <w:szCs w:val="18"/>
                <w:color w:val="auto"/>
                <w:w w:val="91"/>
              </w:rPr>
              <w:t>(State or other jurisdiction</w:t>
            </w:r>
          </w:p>
        </w:tc>
        <w:tc>
          <w:tcPr>
            <w:tcW w:w="5380" w:type="dxa"/>
            <w:vAlign w:val="bottom"/>
          </w:tcPr>
          <w:p>
            <w:pPr>
              <w:jc w:val="center"/>
              <w:spacing w:after="0"/>
              <w:rPr>
                <w:sz w:val="20"/>
                <w:szCs w:val="20"/>
                <w:color w:val="auto"/>
              </w:rPr>
            </w:pPr>
            <w:r>
              <w:rPr>
                <w:rFonts w:ascii="Arial" w:cs="Arial" w:eastAsia="Arial" w:hAnsi="Arial"/>
                <w:sz w:val="18"/>
                <w:szCs w:val="18"/>
                <w:color w:val="auto"/>
                <w:w w:val="91"/>
              </w:rPr>
              <w:t>(Commission</w:t>
            </w:r>
          </w:p>
        </w:tc>
        <w:tc>
          <w:tcPr>
            <w:tcW w:w="1660" w:type="dxa"/>
            <w:vAlign w:val="bottom"/>
          </w:tcPr>
          <w:p>
            <w:pPr>
              <w:jc w:val="center"/>
              <w:ind w:left="230"/>
              <w:spacing w:after="0"/>
              <w:rPr>
                <w:sz w:val="20"/>
                <w:szCs w:val="20"/>
                <w:color w:val="auto"/>
              </w:rPr>
            </w:pPr>
            <w:r>
              <w:rPr>
                <w:rFonts w:ascii="Arial" w:cs="Arial" w:eastAsia="Arial" w:hAnsi="Arial"/>
                <w:sz w:val="18"/>
                <w:szCs w:val="18"/>
                <w:color w:val="auto"/>
                <w:w w:val="93"/>
              </w:rPr>
              <w:t>(IRS Employer</w:t>
            </w:r>
          </w:p>
        </w:tc>
      </w:tr>
      <w:tr>
        <w:trPr>
          <w:trHeight w:val="230"/>
        </w:trPr>
        <w:tc>
          <w:tcPr>
            <w:tcW w:w="2040" w:type="dxa"/>
            <w:vAlign w:val="bottom"/>
          </w:tcPr>
          <w:p>
            <w:pPr>
              <w:jc w:val="center"/>
              <w:ind w:right="70"/>
              <w:spacing w:after="0"/>
              <w:rPr>
                <w:sz w:val="20"/>
                <w:szCs w:val="20"/>
                <w:color w:val="auto"/>
              </w:rPr>
            </w:pPr>
            <w:r>
              <w:rPr>
                <w:rFonts w:ascii="Arial" w:cs="Arial" w:eastAsia="Arial" w:hAnsi="Arial"/>
                <w:sz w:val="18"/>
                <w:szCs w:val="18"/>
                <w:color w:val="auto"/>
                <w:w w:val="95"/>
              </w:rPr>
              <w:t>of incorporation)</w:t>
            </w:r>
          </w:p>
        </w:tc>
        <w:tc>
          <w:tcPr>
            <w:tcW w:w="5380" w:type="dxa"/>
            <w:vAlign w:val="bottom"/>
          </w:tcPr>
          <w:p>
            <w:pPr>
              <w:jc w:val="center"/>
              <w:spacing w:after="0"/>
              <w:rPr>
                <w:sz w:val="20"/>
                <w:szCs w:val="20"/>
                <w:color w:val="auto"/>
              </w:rPr>
            </w:pPr>
            <w:r>
              <w:rPr>
                <w:rFonts w:ascii="Arial" w:cs="Arial" w:eastAsia="Arial" w:hAnsi="Arial"/>
                <w:sz w:val="18"/>
                <w:szCs w:val="18"/>
                <w:color w:val="auto"/>
                <w:w w:val="94"/>
              </w:rPr>
              <w:t>File Number)</w:t>
            </w:r>
          </w:p>
        </w:tc>
        <w:tc>
          <w:tcPr>
            <w:tcW w:w="1660" w:type="dxa"/>
            <w:vAlign w:val="bottom"/>
          </w:tcPr>
          <w:p>
            <w:pPr>
              <w:jc w:val="center"/>
              <w:ind w:left="23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2040" w:type="dxa"/>
            <w:vAlign w:val="bottom"/>
          </w:tcPr>
          <w:p>
            <w:pPr>
              <w:spacing w:after="0"/>
              <w:rPr>
                <w:sz w:val="24"/>
                <w:szCs w:val="24"/>
                <w:color w:val="auto"/>
              </w:rPr>
            </w:pPr>
          </w:p>
        </w:tc>
        <w:tc>
          <w:tcPr>
            <w:tcW w:w="5380" w:type="dxa"/>
            <w:vAlign w:val="bottom"/>
          </w:tcPr>
          <w:p>
            <w:pPr>
              <w:ind w:left="720"/>
              <w:spacing w:after="0"/>
              <w:rPr>
                <w:sz w:val="20"/>
                <w:szCs w:val="20"/>
                <w:color w:val="auto"/>
              </w:rPr>
            </w:pPr>
            <w:r>
              <w:rPr>
                <w:rFonts w:ascii="Arial" w:cs="Arial" w:eastAsia="Arial" w:hAnsi="Arial"/>
                <w:sz w:val="18"/>
                <w:szCs w:val="18"/>
                <w:b w:val="1"/>
                <w:bCs w:val="1"/>
                <w:color w:val="auto"/>
              </w:rPr>
              <w:t>330 West 34th Street, New York, New York 10001</w:t>
            </w:r>
          </w:p>
        </w:tc>
        <w:tc>
          <w:tcPr>
            <w:tcW w:w="1660" w:type="dxa"/>
            <w:vAlign w:val="bottom"/>
          </w:tcPr>
          <w:p>
            <w:pPr>
              <w:spacing w:after="0"/>
              <w:rPr>
                <w:sz w:val="24"/>
                <w:szCs w:val="24"/>
                <w:color w:val="auto"/>
              </w:rPr>
            </w:pPr>
          </w:p>
        </w:tc>
      </w:tr>
      <w:tr>
        <w:trPr>
          <w:trHeight w:val="230"/>
        </w:trPr>
        <w:tc>
          <w:tcPr>
            <w:tcW w:w="2040" w:type="dxa"/>
            <w:vAlign w:val="bottom"/>
          </w:tcPr>
          <w:p>
            <w:pPr>
              <w:spacing w:after="0"/>
              <w:rPr>
                <w:sz w:val="20"/>
                <w:szCs w:val="20"/>
                <w:color w:val="auto"/>
              </w:rPr>
            </w:pPr>
          </w:p>
        </w:tc>
        <w:tc>
          <w:tcPr>
            <w:tcW w:w="5380" w:type="dxa"/>
            <w:vAlign w:val="bottom"/>
          </w:tcPr>
          <w:p>
            <w:pPr>
              <w:ind w:left="720"/>
              <w:spacing w:after="0"/>
              <w:rPr>
                <w:sz w:val="20"/>
                <w:szCs w:val="20"/>
                <w:color w:val="auto"/>
              </w:rPr>
            </w:pPr>
            <w:r>
              <w:rPr>
                <w:rFonts w:ascii="Arial" w:cs="Arial" w:eastAsia="Arial" w:hAnsi="Arial"/>
                <w:sz w:val="18"/>
                <w:szCs w:val="18"/>
                <w:color w:val="auto"/>
              </w:rPr>
              <w:t>(Address of principal executive offices) (Zip Code)</w:t>
            </w:r>
          </w:p>
        </w:tc>
        <w:tc>
          <w:tcPr>
            <w:tcW w:w="1660" w:type="dxa"/>
            <w:vAlign w:val="bottom"/>
          </w:tcPr>
          <w:p>
            <w:pPr>
              <w:spacing w:after="0"/>
              <w:rPr>
                <w:sz w:val="20"/>
                <w:szCs w:val="20"/>
                <w:color w:val="auto"/>
              </w:rPr>
            </w:pPr>
          </w:p>
        </w:tc>
      </w:tr>
      <w:tr>
        <w:trPr>
          <w:trHeight w:val="432"/>
        </w:trPr>
        <w:tc>
          <w:tcPr>
            <w:tcW w:w="2040" w:type="dxa"/>
            <w:vAlign w:val="bottom"/>
          </w:tcPr>
          <w:p>
            <w:pPr>
              <w:spacing w:after="0"/>
              <w:rPr>
                <w:sz w:val="24"/>
                <w:szCs w:val="24"/>
                <w:color w:val="auto"/>
              </w:rPr>
            </w:pPr>
          </w:p>
        </w:tc>
        <w:tc>
          <w:tcPr>
            <w:tcW w:w="5380" w:type="dxa"/>
            <w:vAlign w:val="bottom"/>
          </w:tcPr>
          <w:p>
            <w:pPr>
              <w:ind w:left="160"/>
              <w:spacing w:after="0"/>
              <w:rPr>
                <w:sz w:val="20"/>
                <w:szCs w:val="20"/>
                <w:color w:val="auto"/>
              </w:rPr>
            </w:pPr>
            <w:r>
              <w:rPr>
                <w:rFonts w:ascii="Arial" w:cs="Arial" w:eastAsia="Arial" w:hAnsi="Arial"/>
                <w:sz w:val="18"/>
                <w:szCs w:val="18"/>
                <w:color w:val="auto"/>
                <w:w w:val="95"/>
              </w:rPr>
              <w:t xml:space="preserve">Registrant's telephone number, including area code: </w:t>
            </w:r>
            <w:r>
              <w:rPr>
                <w:rFonts w:ascii="Arial" w:cs="Arial" w:eastAsia="Arial" w:hAnsi="Arial"/>
                <w:sz w:val="18"/>
                <w:szCs w:val="18"/>
                <w:b w:val="1"/>
                <w:bCs w:val="1"/>
                <w:color w:val="auto"/>
                <w:w w:val="95"/>
              </w:rPr>
              <w:t>(212) 720-3700</w:t>
            </w:r>
          </w:p>
        </w:tc>
        <w:tc>
          <w:tcPr>
            <w:tcW w:w="1660" w:type="dxa"/>
            <w:vAlign w:val="bottom"/>
          </w:tcPr>
          <w:p>
            <w:pPr>
              <w:spacing w:after="0"/>
              <w:rPr>
                <w:sz w:val="24"/>
                <w:szCs w:val="24"/>
                <w:color w:val="auto"/>
              </w:rPr>
            </w:pPr>
          </w:p>
        </w:tc>
      </w:tr>
    </w:tbl>
    <w:p>
      <w:pPr>
        <w:spacing w:after="0" w:line="202"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40" w:firstLine="8"/>
        <w:spacing w:after="0" w:line="527" w:lineRule="auto"/>
        <w:tabs>
          <w:tab w:leader="none" w:pos="459"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ind w:left="1440"/>
              <w:spacing w:after="0"/>
              <w:rPr>
                <w:sz w:val="20"/>
                <w:szCs w:val="20"/>
                <w:color w:val="auto"/>
              </w:rPr>
            </w:pPr>
            <w:r>
              <w:rPr>
                <w:rFonts w:ascii="Arial" w:cs="Arial" w:eastAsia="Arial" w:hAnsi="Arial"/>
                <w:sz w:val="18"/>
                <w:szCs w:val="18"/>
                <w:color w:val="auto"/>
              </w:rPr>
              <w:t>Title of each class</w:t>
            </w:r>
          </w:p>
        </w:tc>
        <w:tc>
          <w:tcPr>
            <w:tcW w:w="12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92"/>
              </w:rPr>
              <w:t>Trading Symbol(s)</w:t>
            </w:r>
          </w:p>
        </w:tc>
        <w:tc>
          <w:tcPr>
            <w:tcW w:w="100" w:type="dxa"/>
            <w:vAlign w:val="bottom"/>
          </w:tcPr>
          <w:p>
            <w:pPr>
              <w:spacing w:after="0"/>
              <w:rPr>
                <w:sz w:val="18"/>
                <w:szCs w:val="18"/>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w w:val="88"/>
              </w:rPr>
              <w:t>Name of each exchange on</w:t>
            </w:r>
          </w:p>
        </w:tc>
      </w:tr>
      <w:tr>
        <w:trPr>
          <w:trHeight w:val="230"/>
        </w:trPr>
        <w:tc>
          <w:tcPr>
            <w:tcW w:w="41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which registered</w:t>
            </w:r>
          </w:p>
        </w:tc>
      </w:tr>
      <w:tr>
        <w:trPr>
          <w:trHeight w:val="224"/>
        </w:trPr>
        <w:tc>
          <w:tcPr>
            <w:tcW w:w="4160" w:type="dxa"/>
            <w:vAlign w:val="bottom"/>
          </w:tcPr>
          <w:p>
            <w:pPr>
              <w:spacing w:after="0"/>
              <w:rPr>
                <w:sz w:val="20"/>
                <w:szCs w:val="20"/>
                <w:color w:val="auto"/>
              </w:rPr>
            </w:pPr>
            <w:r>
              <w:rPr>
                <w:rFonts w:ascii="Arial" w:cs="Arial" w:eastAsia="Arial" w:hAnsi="Arial"/>
                <w:sz w:val="18"/>
                <w:szCs w:val="18"/>
                <w:color w:val="auto"/>
              </w:rPr>
              <w:t>Common Stock, par value $0.01 per share</w:t>
            </w:r>
          </w:p>
        </w:tc>
        <w:tc>
          <w:tcPr>
            <w:tcW w:w="120" w:type="dxa"/>
            <w:vAlign w:val="bottom"/>
          </w:tcPr>
          <w:p>
            <w:pPr>
              <w:spacing w:after="0"/>
              <w:rPr>
                <w:sz w:val="19"/>
                <w:szCs w:val="19"/>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94"/>
              </w:rPr>
              <w:t>FL</w:t>
            </w:r>
          </w:p>
        </w:tc>
        <w:tc>
          <w:tcPr>
            <w:tcW w:w="100" w:type="dxa"/>
            <w:vAlign w:val="bottom"/>
          </w:tcPr>
          <w:p>
            <w:pPr>
              <w:spacing w:after="0"/>
              <w:rPr>
                <w:sz w:val="19"/>
                <w:szCs w:val="19"/>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87"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467995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ind w:left="1300" w:hanging="129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Effective May 3, 2020, Foot Locker, Inc. (the “Company”) is reducing executive salaries, including each of the executives included as named executive officers in the Company’s 2020 proxy statement, for the second quarter ended August 1, 2020 as follows:</w:t>
      </w:r>
    </w:p>
    <w:p>
      <w:pPr>
        <w:spacing w:after="0" w:line="170" w:lineRule="exact"/>
        <w:rPr>
          <w:sz w:val="20"/>
          <w:szCs w:val="20"/>
          <w:color w:val="auto"/>
        </w:rPr>
      </w:pPr>
    </w:p>
    <w:p>
      <w:pPr>
        <w:ind w:left="700" w:hanging="328"/>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Chief Executive Officer salary reduction of 40%;</w:t>
      </w:r>
    </w:p>
    <w:p>
      <w:pPr>
        <w:spacing w:after="0" w:line="23" w:lineRule="exact"/>
        <w:rPr>
          <w:rFonts w:ascii="Arial" w:cs="Arial" w:eastAsia="Arial" w:hAnsi="Arial"/>
          <w:sz w:val="18"/>
          <w:szCs w:val="18"/>
          <w:color w:val="auto"/>
        </w:rPr>
      </w:pPr>
    </w:p>
    <w:p>
      <w:pPr>
        <w:ind w:left="700" w:hanging="328"/>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Executive Vice Presidents and Senior Vice Presidents salary reduction of 20%; and</w:t>
      </w:r>
    </w:p>
    <w:p>
      <w:pPr>
        <w:spacing w:after="0" w:line="9" w:lineRule="exact"/>
        <w:rPr>
          <w:rFonts w:ascii="Arial" w:cs="Arial" w:eastAsia="Arial" w:hAnsi="Arial"/>
          <w:sz w:val="18"/>
          <w:szCs w:val="18"/>
          <w:color w:val="auto"/>
        </w:rPr>
      </w:pPr>
    </w:p>
    <w:p>
      <w:pPr>
        <w:ind w:left="700" w:hanging="328"/>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Corporate Vice Presidents and General Manager-level roles salary reduction of 10%.</w:t>
      </w:r>
    </w:p>
    <w:p>
      <w:pPr>
        <w:spacing w:after="0" w:line="38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April 21, 2020, in response to temporary store closures and other business disruptions resulting from the widespread COVID-19 pandemic, the Company communicated to its employees that it is implementing an employee furlough program (or its equivalent under applicable local law) that will apply to a majority of the Company’s store employees in the United States and Canada, and certain of its store employees in Australia and supply chain employees in the United States. The furlough period will begin on April 26, 2020. The Company is continuing to provide its furloughed employees with wages and salaries, as applicable, until the effective date of the furlough period. Subject to local regulations, these employees will be eligible for unemployment benefits. Employees subject to the furlough program will also continue to receive their currently-enrolled health and other benefits in accordance with the terms of the respective plans. The Company’s retail store closures and employee furlough period is uncertain at this time and will continue until operations can safely and responsibly resume in accordance with national, state, and local guidance related to the evolving COVID-19 pandemic.</w:t>
      </w:r>
    </w:p>
    <w:p>
      <w:pPr>
        <w:spacing w:after="0" w:line="19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information contained in Item 7.01 of this Form 8-K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provided by specific reference in such a filing.</w:t>
      </w:r>
    </w:p>
    <w:p>
      <w:pPr>
        <w:spacing w:after="0" w:line="16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conjunction with the Company’s executive salary reduction measures, effective May 3, 2020, the Company’s Board of Directors have suspended the cash elements of their director compensation until further notice.</w:t>
      </w:r>
    </w:p>
    <w:p>
      <w:pPr>
        <w:spacing w:after="0" w:line="170" w:lineRule="exact"/>
        <w:rPr>
          <w:sz w:val="20"/>
          <w:szCs w:val="20"/>
          <w:color w:val="auto"/>
        </w:rPr>
      </w:pPr>
    </w:p>
    <w:p>
      <w:pPr>
        <w:jc w:val="both"/>
        <w:ind w:right="20" w:firstLine="734"/>
        <w:spacing w:after="0" w:line="263" w:lineRule="auto"/>
        <w:rPr>
          <w:sz w:val="20"/>
          <w:szCs w:val="20"/>
          <w:color w:val="auto"/>
        </w:rPr>
      </w:pPr>
      <w:r>
        <w:rPr>
          <w:rFonts w:ascii="Arial" w:cs="Arial" w:eastAsia="Arial" w:hAnsi="Arial"/>
          <w:sz w:val="18"/>
          <w:szCs w:val="18"/>
          <w:color w:val="auto"/>
        </w:rPr>
        <w:t>In addition, due to the unprecedented business impact of the widespread COVID-19 pandemic, the Company is implementing a variety of actions to address the sudden reduction in sales, including temporarily suspending its share repurchase program, and reducing capital expenditures by 50%, for the fiscal year ended January 30, 2021 to increase its cash position and provide additional flexibility.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7620" w:type="dxa"/>
            <w:vAlign w:val="bottom"/>
            <w:gridSpan w:val="3"/>
          </w:tcPr>
          <w:p>
            <w:pPr>
              <w:ind w:left="2120"/>
              <w:spacing w:after="0"/>
              <w:rPr>
                <w:sz w:val="20"/>
                <w:szCs w:val="20"/>
                <w:color w:val="auto"/>
              </w:rPr>
            </w:pPr>
            <w:r>
              <w:rPr>
                <w:rFonts w:ascii="Arial" w:cs="Arial" w:eastAsia="Arial" w:hAnsi="Arial"/>
                <w:sz w:val="18"/>
                <w:szCs w:val="18"/>
                <w:b w:val="1"/>
                <w:bCs w:val="1"/>
                <w:color w:val="auto"/>
              </w:rPr>
              <w:t>FOOT LOCKER, INC.</w:t>
            </w:r>
          </w:p>
        </w:tc>
      </w:tr>
      <w:tr>
        <w:trPr>
          <w:trHeight w:val="391"/>
        </w:trPr>
        <w:tc>
          <w:tcPr>
            <w:tcW w:w="3620" w:type="dxa"/>
            <w:vAlign w:val="bottom"/>
          </w:tcPr>
          <w:p>
            <w:pPr>
              <w:spacing w:after="0"/>
              <w:rPr>
                <w:sz w:val="20"/>
                <w:szCs w:val="20"/>
                <w:color w:val="auto"/>
              </w:rPr>
            </w:pPr>
            <w:r>
              <w:rPr>
                <w:rFonts w:ascii="Arial" w:cs="Arial" w:eastAsia="Arial" w:hAnsi="Arial"/>
                <w:sz w:val="18"/>
                <w:szCs w:val="18"/>
                <w:color w:val="auto"/>
              </w:rPr>
              <w:t>Date: April 22, 2020</w:t>
            </w:r>
          </w:p>
        </w:tc>
        <w:tc>
          <w:tcPr>
            <w:tcW w:w="7620" w:type="dxa"/>
            <w:vAlign w:val="bottom"/>
            <w:gridSpan w:val="3"/>
          </w:tcPr>
          <w:p>
            <w:pPr>
              <w:ind w:left="2120"/>
              <w:spacing w:after="0"/>
              <w:rPr>
                <w:sz w:val="20"/>
                <w:szCs w:val="20"/>
                <w:color w:val="auto"/>
              </w:rPr>
            </w:pPr>
            <w:r>
              <w:rPr>
                <w:rFonts w:ascii="Arial" w:cs="Arial" w:eastAsia="Arial" w:hAnsi="Arial"/>
                <w:sz w:val="18"/>
                <w:szCs w:val="18"/>
                <w:color w:val="auto"/>
              </w:rPr>
              <w:t>By:  /s/ Elizabeth Norberg</w:t>
            </w:r>
          </w:p>
        </w:tc>
      </w:tr>
      <w:tr>
        <w:trPr>
          <w:trHeight w:val="20"/>
        </w:trPr>
        <w:tc>
          <w:tcPr>
            <w:tcW w:w="36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222"/>
        </w:trPr>
        <w:tc>
          <w:tcPr>
            <w:tcW w:w="36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Name: Elizabeth Norberg</w:t>
            </w:r>
          </w:p>
        </w:tc>
      </w:tr>
      <w:tr>
        <w:trPr>
          <w:trHeight w:val="216"/>
        </w:trPr>
        <w:tc>
          <w:tcPr>
            <w:tcW w:w="36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Title: Senior Vice President and</w:t>
            </w:r>
          </w:p>
        </w:tc>
      </w:tr>
      <w:tr>
        <w:trPr>
          <w:trHeight w:val="230"/>
        </w:trPr>
        <w:tc>
          <w:tcPr>
            <w:tcW w:w="36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040" w:type="dxa"/>
            <w:vAlign w:val="bottom"/>
            <w:gridSpan w:val="2"/>
          </w:tcPr>
          <w:p>
            <w:pPr>
              <w:ind w:left="440"/>
              <w:spacing w:after="0"/>
              <w:rPr>
                <w:sz w:val="20"/>
                <w:szCs w:val="20"/>
                <w:color w:val="auto"/>
              </w:rPr>
            </w:pPr>
            <w:r>
              <w:rPr>
                <w:rFonts w:ascii="Arial" w:cs="Arial" w:eastAsia="Arial" w:hAnsi="Arial"/>
                <w:sz w:val="18"/>
                <w:szCs w:val="18"/>
                <w:color w:val="auto"/>
              </w:rPr>
              <w:t>Chief Human Resources Officer</w:t>
            </w:r>
          </w:p>
        </w:tc>
      </w:tr>
      <w:tr>
        <w:trPr>
          <w:trHeight w:val="763"/>
        </w:trPr>
        <w:tc>
          <w:tcPr>
            <w:tcW w:w="36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2020-04-22T15:02:52Z</dcterms:created>
  <dcterms:modified xsi:type="dcterms:W3CDTF">2020-04-22T15:02:52Z</dcterms:modified>
</cp:coreProperties>
</file>