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49160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1605" cy="342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426720</wp:posOffset>
            </wp:positionV>
            <wp:extent cx="64916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160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3"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UNITED STATES</w:t>
      </w:r>
    </w:p>
    <w:p>
      <w:pPr>
        <w:spacing w:after="0" w:line="6"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2540635</wp:posOffset>
            </wp:positionH>
            <wp:positionV relativeFrom="paragraph">
              <wp:posOffset>169545</wp:posOffset>
            </wp:positionV>
            <wp:extent cx="16205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0520" cy="17145"/>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FORM 10-Q</w:t>
      </w:r>
    </w:p>
    <w:p>
      <w:pPr>
        <w:spacing w:after="0" w:line="176" w:lineRule="exact"/>
        <w:rPr>
          <w:sz w:val="24"/>
          <w:szCs w:val="24"/>
          <w:color w:val="auto"/>
        </w:rPr>
      </w:pPr>
    </w:p>
    <w:p>
      <w:pPr>
        <w:ind w:left="160"/>
        <w:spacing w:after="0"/>
        <w:rPr>
          <w:sz w:val="20"/>
          <w:szCs w:val="20"/>
          <w:color w:val="auto"/>
        </w:rPr>
      </w:pPr>
      <w:r>
        <w:rPr>
          <w:rFonts w:ascii="Arial" w:cs="Arial" w:eastAsia="Arial" w:hAnsi="Arial"/>
          <w:sz w:val="14"/>
          <w:szCs w:val="14"/>
          <w:color w:val="auto"/>
        </w:rPr>
        <w:t>(Mark One)</w:t>
      </w:r>
    </w:p>
    <w:p>
      <w:pPr>
        <w:spacing w:after="0" w:line="307" w:lineRule="exact"/>
        <w:rPr>
          <w:sz w:val="24"/>
          <w:szCs w:val="24"/>
          <w:color w:val="auto"/>
        </w:rPr>
      </w:pPr>
    </w:p>
    <w:p>
      <w:pPr>
        <w:ind w:left="3680" w:right="2160" w:hanging="3394"/>
        <w:spacing w:after="0" w:line="476" w:lineRule="auto"/>
        <w:tabs>
          <w:tab w:leader="none" w:pos="702"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 xml:space="preserve">QUARTERLY REPORT PURSUANT TO SECTION 13 OR 15(d) OF THE SECURITIES EXCHANGE ACT OF 1934 </w:t>
      </w:r>
      <w:r>
        <w:rPr>
          <w:rFonts w:ascii="Arial" w:cs="Arial" w:eastAsia="Arial" w:hAnsi="Arial"/>
          <w:sz w:val="14"/>
          <w:szCs w:val="14"/>
          <w:color w:val="auto"/>
        </w:rPr>
        <w:t>For the quarterly period ended: August 3, 2019</w:t>
      </w:r>
    </w:p>
    <w:p>
      <w:pPr>
        <w:spacing w:after="0" w:line="1" w:lineRule="exact"/>
        <w:rPr>
          <w:sz w:val="24"/>
          <w:szCs w:val="24"/>
          <w:color w:val="auto"/>
        </w:rPr>
      </w:pPr>
    </w:p>
    <w:p>
      <w:pPr>
        <w:jc w:val="center"/>
        <w:ind w:right="-139"/>
        <w:spacing w:after="0"/>
        <w:rPr>
          <w:sz w:val="20"/>
          <w:szCs w:val="20"/>
          <w:color w:val="auto"/>
        </w:rPr>
      </w:pPr>
      <w:r>
        <w:rPr>
          <w:rFonts w:ascii="Arial" w:cs="Arial" w:eastAsia="Arial" w:hAnsi="Arial"/>
          <w:sz w:val="14"/>
          <w:szCs w:val="14"/>
          <w:color w:val="auto"/>
        </w:rPr>
        <w:t>OR</w:t>
      </w:r>
    </w:p>
    <w:p>
      <w:pPr>
        <w:spacing w:after="0" w:line="307" w:lineRule="exact"/>
        <w:rPr>
          <w:sz w:val="24"/>
          <w:szCs w:val="24"/>
          <w:color w:val="auto"/>
        </w:rPr>
      </w:pPr>
    </w:p>
    <w:p>
      <w:pPr>
        <w:ind w:left="3360" w:right="2160" w:hanging="3074"/>
        <w:spacing w:after="0" w:line="486" w:lineRule="auto"/>
        <w:tabs>
          <w:tab w:leader="none" w:pos="714" w:val="left"/>
        </w:tabs>
        <w:numPr>
          <w:ilvl w:val="0"/>
          <w:numId w:val="2"/>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 xml:space="preserve">TRANSITION REPORT PURSUANT TO SECTION 13 OR 15(d) OF THE SECURITIES EXCHANGE ACT OF 1934 </w:t>
      </w:r>
      <w:r>
        <w:rPr>
          <w:rFonts w:ascii="Arial" w:cs="Arial" w:eastAsia="Arial" w:hAnsi="Arial"/>
          <w:sz w:val="14"/>
          <w:szCs w:val="14"/>
          <w:color w:val="auto"/>
        </w:rPr>
        <w:t>For the transition period from __________ to __________</w:t>
      </w:r>
    </w:p>
    <w:p>
      <w:pPr>
        <w:ind w:left="4080"/>
        <w:spacing w:after="0"/>
        <w:rPr>
          <w:rFonts w:ascii="MS PGothic" w:cs="MS PGothic" w:eastAsia="MS PGothic" w:hAnsi="MS PGothic"/>
          <w:sz w:val="14"/>
          <w:szCs w:val="14"/>
          <w:color w:val="auto"/>
          <w:highlight w:val="black"/>
        </w:rPr>
      </w:pPr>
      <w:r>
        <w:rPr>
          <w:rFonts w:ascii="Arial" w:cs="Arial" w:eastAsia="Arial" w:hAnsi="Arial"/>
          <w:sz w:val="14"/>
          <w:szCs w:val="14"/>
          <w:color w:val="auto"/>
        </w:rPr>
        <w:t>Commission File Number: 1-10299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2085975</wp:posOffset>
            </wp:positionH>
            <wp:positionV relativeFrom="paragraph">
              <wp:posOffset>288925</wp:posOffset>
            </wp:positionV>
            <wp:extent cx="2426970" cy="2832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26970" cy="283210"/>
                    </a:xfrm>
                    <a:prstGeom prst="rect">
                      <a:avLst/>
                    </a:prstGeom>
                    <a:noFill/>
                  </pic:spPr>
                </pic:pic>
              </a:graphicData>
            </a:graphic>
          </wp:anchor>
        </w:drawing>
        <w:drawing>
          <wp:anchor simplePos="0" relativeHeight="251657728" behindDoc="1" locked="0" layoutInCell="0" allowOverlap="1">
            <wp:simplePos x="0" y="0"/>
            <wp:positionH relativeFrom="column">
              <wp:posOffset>2540635</wp:posOffset>
            </wp:positionH>
            <wp:positionV relativeFrom="paragraph">
              <wp:posOffset>143510</wp:posOffset>
            </wp:positionV>
            <wp:extent cx="16205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05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jc w:val="center"/>
        <w:ind w:right="-139"/>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2540635</wp:posOffset>
            </wp:positionH>
            <wp:positionV relativeFrom="paragraph">
              <wp:posOffset>143510</wp:posOffset>
            </wp:positionV>
            <wp:extent cx="16205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0520" cy="8890"/>
                    </a:xfrm>
                    <a:prstGeom prst="rect">
                      <a:avLst/>
                    </a:prstGeom>
                    <a:noFill/>
                  </pic:spPr>
                </pic:pic>
              </a:graphicData>
            </a:graphic>
          </wp:anchor>
        </w:drawing>
      </w:r>
    </w:p>
    <w:p>
      <w:pPr>
        <w:sectPr>
          <w:pgSz w:w="11900" w:h="16838" w:orient="portrait"/>
          <w:cols w:equalWidth="0" w:num="1">
            <w:col w:w="10240"/>
          </w:cols>
          <w:pgMar w:left="920" w:top="665" w:right="7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640"/>
        <w:spacing w:after="0"/>
        <w:rPr>
          <w:sz w:val="20"/>
          <w:szCs w:val="20"/>
          <w:color w:val="auto"/>
        </w:rPr>
      </w:pPr>
      <w:r>
        <w:rPr>
          <w:rFonts w:ascii="Arial" w:cs="Arial" w:eastAsia="Arial" w:hAnsi="Arial"/>
          <w:sz w:val="14"/>
          <w:szCs w:val="14"/>
          <w:b w:val="1"/>
          <w:bCs w:val="1"/>
          <w:color w:val="auto"/>
        </w:rPr>
        <w:t>New York</w:t>
      </w:r>
    </w:p>
    <w:p>
      <w:pPr>
        <w:spacing w:after="0" w:line="19" w:lineRule="exact"/>
        <w:rPr>
          <w:sz w:val="24"/>
          <w:szCs w:val="24"/>
          <w:color w:val="auto"/>
        </w:rPr>
      </w:pPr>
    </w:p>
    <w:p>
      <w:pPr>
        <w:jc w:val="center"/>
        <w:ind w:right="640"/>
        <w:spacing w:after="0"/>
        <w:rPr>
          <w:sz w:val="20"/>
          <w:szCs w:val="20"/>
          <w:color w:val="auto"/>
        </w:rPr>
      </w:pPr>
      <w:r>
        <w:rPr>
          <w:rFonts w:ascii="Arial" w:cs="Arial" w:eastAsia="Arial" w:hAnsi="Arial"/>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4" w:lineRule="exact"/>
        <w:rPr>
          <w:sz w:val="24"/>
          <w:szCs w:val="24"/>
          <w:color w:val="auto"/>
        </w:rPr>
      </w:pPr>
    </w:p>
    <w:p>
      <w:pPr>
        <w:jc w:val="center"/>
        <w:ind w:right="1380"/>
        <w:spacing w:after="0"/>
        <w:rPr>
          <w:sz w:val="20"/>
          <w:szCs w:val="20"/>
          <w:color w:val="auto"/>
        </w:rPr>
      </w:pPr>
      <w:r>
        <w:rPr>
          <w:rFonts w:ascii="Arial" w:cs="Arial" w:eastAsia="Arial" w:hAnsi="Arial"/>
          <w:sz w:val="14"/>
          <w:szCs w:val="14"/>
          <w:b w:val="1"/>
          <w:bCs w:val="1"/>
          <w:color w:val="auto"/>
        </w:rPr>
        <w:t>13-3513936</w:t>
      </w:r>
    </w:p>
    <w:p>
      <w:pPr>
        <w:spacing w:after="0" w:line="19" w:lineRule="exact"/>
        <w:rPr>
          <w:sz w:val="24"/>
          <w:szCs w:val="24"/>
          <w:color w:val="auto"/>
        </w:rPr>
      </w:pPr>
    </w:p>
    <w:p>
      <w:pPr>
        <w:jc w:val="center"/>
        <w:ind w:right="1380"/>
        <w:spacing w:after="0"/>
        <w:rPr>
          <w:sz w:val="20"/>
          <w:szCs w:val="20"/>
          <w:color w:val="auto"/>
        </w:rPr>
      </w:pPr>
      <w:r>
        <w:rPr>
          <w:rFonts w:ascii="Arial" w:cs="Arial" w:eastAsia="Arial" w:hAnsi="Arial"/>
          <w:sz w:val="14"/>
          <w:szCs w:val="14"/>
          <w:color w:val="auto"/>
        </w:rPr>
        <w:t>(I.R.S. Employer Identification No.)</w:t>
      </w:r>
    </w:p>
    <w:p>
      <w:pPr>
        <w:spacing w:after="0" w:line="84" w:lineRule="exact"/>
        <w:rPr>
          <w:sz w:val="24"/>
          <w:szCs w:val="24"/>
          <w:color w:val="auto"/>
        </w:rPr>
      </w:pPr>
    </w:p>
    <w:p>
      <w:pPr>
        <w:sectPr>
          <w:pgSz w:w="11900" w:h="16838" w:orient="portrait"/>
          <w:cols w:equalWidth="0" w:num="2">
            <w:col w:w="5920" w:space="720"/>
            <w:col w:w="3600"/>
          </w:cols>
          <w:pgMar w:left="920" w:top="665" w:right="739" w:bottom="1440" w:gutter="0" w:footer="0" w:header="0"/>
          <w:type w:val="continuous"/>
        </w:sectPr>
      </w:pPr>
    </w:p>
    <w:p>
      <w:pPr>
        <w:jc w:val="center"/>
        <w:ind w:right="-139"/>
        <w:spacing w:after="0"/>
        <w:rPr>
          <w:sz w:val="20"/>
          <w:szCs w:val="20"/>
          <w:color w:val="auto"/>
        </w:rPr>
      </w:pPr>
      <w:r>
        <w:rPr>
          <w:rFonts w:ascii="Arial" w:cs="Arial" w:eastAsia="Arial" w:hAnsi="Arial"/>
          <w:sz w:val="14"/>
          <w:szCs w:val="14"/>
          <w:b w:val="1"/>
          <w:bCs w:val="1"/>
          <w:color w:val="auto"/>
        </w:rPr>
        <w:t>330 West 34</w:t>
      </w:r>
      <w:r>
        <w:rPr>
          <w:rFonts w:ascii="Arial" w:cs="Arial" w:eastAsia="Arial" w:hAnsi="Arial"/>
          <w:sz w:val="21"/>
          <w:szCs w:val="21"/>
          <w:b w:val="1"/>
          <w:bCs w:val="1"/>
          <w:color w:val="auto"/>
          <w:vertAlign w:val="superscript"/>
        </w:rPr>
        <w:t>th</w:t>
      </w:r>
      <w:r>
        <w:rPr>
          <w:rFonts w:ascii="Arial" w:cs="Arial" w:eastAsia="Arial" w:hAnsi="Arial"/>
          <w:sz w:val="14"/>
          <w:szCs w:val="14"/>
          <w:b w:val="1"/>
          <w:bCs w:val="1"/>
          <w:color w:val="auto"/>
        </w:rPr>
        <w:t xml:space="preserve"> Street, New York, New York 10001</w:t>
      </w:r>
    </w:p>
    <w:p>
      <w:pPr>
        <w:jc w:val="center"/>
        <w:ind w:right="-159"/>
        <w:spacing w:after="0"/>
        <w:rPr>
          <w:sz w:val="20"/>
          <w:szCs w:val="20"/>
          <w:color w:val="auto"/>
        </w:rPr>
      </w:pPr>
      <w:r>
        <w:rPr>
          <w:rFonts w:ascii="Arial" w:cs="Arial" w:eastAsia="Arial" w:hAnsi="Arial"/>
          <w:sz w:val="14"/>
          <w:szCs w:val="14"/>
          <w:color w:val="auto"/>
        </w:rPr>
        <w:t>(Address of principal executive offices, Zip Code)</w:t>
      </w:r>
    </w:p>
    <w:p>
      <w:pPr>
        <w:spacing w:after="0" w:line="1"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(212-720-3700)</w:t>
      </w:r>
    </w:p>
    <w:p>
      <w:pPr>
        <w:spacing w:after="0" w:line="1" w:lineRule="exact"/>
        <w:rPr>
          <w:sz w:val="24"/>
          <w:szCs w:val="24"/>
          <w:color w:val="auto"/>
        </w:rPr>
      </w:pPr>
    </w:p>
    <w:p>
      <w:pPr>
        <w:jc w:val="center"/>
        <w:ind w:right="-159"/>
        <w:spacing w:after="0"/>
        <w:rPr>
          <w:sz w:val="20"/>
          <w:szCs w:val="20"/>
          <w:color w:val="auto"/>
        </w:rPr>
      </w:pPr>
      <w:r>
        <w:rPr>
          <w:rFonts w:ascii="Arial" w:cs="Arial" w:eastAsia="Arial" w:hAnsi="Arial"/>
          <w:sz w:val="14"/>
          <w:szCs w:val="14"/>
          <w:color w:val="auto"/>
        </w:rPr>
        <w:t>(Registrant’s telephone number, including area code)</w:t>
      </w:r>
    </w:p>
    <w:p>
      <w:pPr>
        <w:spacing w:after="0" w:line="125" w:lineRule="exact"/>
        <w:rPr>
          <w:sz w:val="24"/>
          <w:szCs w:val="24"/>
          <w:color w:val="auto"/>
        </w:rPr>
      </w:pPr>
    </w:p>
    <w:tbl>
      <w:tblPr>
        <w:tblLayout w:type="fixed"/>
        <w:tblInd w:w="1350" w:type="dxa"/>
        <w:tblCellMar>
          <w:top w:w="0" w:type="dxa"/>
          <w:left w:w="0" w:type="dxa"/>
          <w:bottom w:w="0" w:type="dxa"/>
          <w:right w:w="0" w:type="dxa"/>
        </w:tblCellMar>
      </w:tblPr>
      <w:tr>
        <w:trPr>
          <w:trHeight w:val="162"/>
        </w:trPr>
        <w:tc>
          <w:tcPr>
            <w:tcW w:w="3120" w:type="dxa"/>
            <w:vAlign w:val="bottom"/>
            <w:tcBorders>
              <w:top w:val="single" w:sz="8" w:color="auto"/>
              <w:left w:val="single" w:sz="8" w:color="auto"/>
              <w:right w:val="single" w:sz="8" w:color="auto"/>
            </w:tcBorders>
          </w:tcPr>
          <w:p>
            <w:pPr>
              <w:jc w:val="center"/>
              <w:ind w:left="88"/>
              <w:spacing w:after="0"/>
              <w:rPr>
                <w:sz w:val="20"/>
                <w:szCs w:val="20"/>
                <w:color w:val="auto"/>
              </w:rPr>
            </w:pPr>
            <w:r>
              <w:rPr>
                <w:rFonts w:ascii="Arial" w:cs="Arial" w:eastAsia="Arial" w:hAnsi="Arial"/>
                <w:sz w:val="14"/>
                <w:szCs w:val="14"/>
                <w:b w:val="1"/>
                <w:bCs w:val="1"/>
                <w:color w:val="auto"/>
              </w:rPr>
              <w:t>Title of each class</w:t>
            </w:r>
          </w:p>
        </w:tc>
        <w:tc>
          <w:tcPr>
            <w:tcW w:w="1340" w:type="dxa"/>
            <w:vAlign w:val="bottom"/>
            <w:tcBorders>
              <w:top w:val="single" w:sz="8" w:color="auto"/>
              <w:right w:val="single" w:sz="8" w:color="auto"/>
            </w:tcBorders>
          </w:tcPr>
          <w:p>
            <w:pPr>
              <w:jc w:val="center"/>
              <w:ind w:left="28"/>
              <w:spacing w:after="0"/>
              <w:rPr>
                <w:sz w:val="20"/>
                <w:szCs w:val="20"/>
                <w:color w:val="auto"/>
              </w:rPr>
            </w:pPr>
            <w:r>
              <w:rPr>
                <w:rFonts w:ascii="Arial" w:cs="Arial" w:eastAsia="Arial" w:hAnsi="Arial"/>
                <w:sz w:val="14"/>
                <w:szCs w:val="14"/>
                <w:b w:val="1"/>
                <w:bCs w:val="1"/>
                <w:color w:val="auto"/>
              </w:rPr>
              <w:t>Trading</w:t>
            </w:r>
          </w:p>
        </w:tc>
        <w:tc>
          <w:tcPr>
            <w:tcW w:w="3100" w:type="dxa"/>
            <w:vAlign w:val="bottom"/>
            <w:tcBorders>
              <w:top w:val="single" w:sz="8" w:color="auto"/>
              <w:right w:val="single" w:sz="8" w:color="auto"/>
            </w:tcBorders>
          </w:tcPr>
          <w:p>
            <w:pPr>
              <w:jc w:val="center"/>
              <w:ind w:left="48"/>
              <w:spacing w:after="0"/>
              <w:rPr>
                <w:sz w:val="20"/>
                <w:szCs w:val="20"/>
                <w:color w:val="auto"/>
              </w:rPr>
            </w:pPr>
            <w:r>
              <w:rPr>
                <w:rFonts w:ascii="Arial" w:cs="Arial" w:eastAsia="Arial" w:hAnsi="Arial"/>
                <w:sz w:val="14"/>
                <w:szCs w:val="14"/>
                <w:b w:val="1"/>
                <w:bCs w:val="1"/>
                <w:color w:val="auto"/>
              </w:rPr>
              <w:t>Name of each exchange on which</w:t>
            </w:r>
          </w:p>
        </w:tc>
      </w:tr>
      <w:tr>
        <w:trPr>
          <w:trHeight w:val="190"/>
        </w:trPr>
        <w:tc>
          <w:tcPr>
            <w:tcW w:w="3120" w:type="dxa"/>
            <w:vAlign w:val="bottom"/>
            <w:tcBorders>
              <w:left w:val="single" w:sz="8" w:color="auto"/>
              <w:right w:val="single" w:sz="8" w:color="auto"/>
            </w:tcBorders>
          </w:tcPr>
          <w:p>
            <w:pPr>
              <w:spacing w:after="0"/>
              <w:rPr>
                <w:sz w:val="16"/>
                <w:szCs w:val="16"/>
                <w:color w:val="auto"/>
              </w:rPr>
            </w:pPr>
          </w:p>
        </w:tc>
        <w:tc>
          <w:tcPr>
            <w:tcW w:w="1340" w:type="dxa"/>
            <w:vAlign w:val="bottom"/>
            <w:tcBorders>
              <w:right w:val="single" w:sz="8" w:color="auto"/>
            </w:tcBorders>
          </w:tcPr>
          <w:p>
            <w:pPr>
              <w:jc w:val="center"/>
              <w:ind w:left="48"/>
              <w:spacing w:after="0"/>
              <w:rPr>
                <w:sz w:val="20"/>
                <w:szCs w:val="20"/>
                <w:color w:val="auto"/>
              </w:rPr>
            </w:pPr>
            <w:r>
              <w:rPr>
                <w:rFonts w:ascii="Arial" w:cs="Arial" w:eastAsia="Arial" w:hAnsi="Arial"/>
                <w:sz w:val="14"/>
                <w:szCs w:val="14"/>
                <w:b w:val="1"/>
                <w:bCs w:val="1"/>
                <w:color w:val="auto"/>
              </w:rPr>
              <w:t>Symbol(s)</w:t>
            </w:r>
          </w:p>
        </w:tc>
        <w:tc>
          <w:tcPr>
            <w:tcW w:w="3100" w:type="dxa"/>
            <w:vAlign w:val="bottom"/>
            <w:tcBorders>
              <w:right w:val="single" w:sz="8" w:color="auto"/>
            </w:tcBorders>
          </w:tcPr>
          <w:p>
            <w:pPr>
              <w:jc w:val="center"/>
              <w:ind w:left="48"/>
              <w:spacing w:after="0"/>
              <w:rPr>
                <w:sz w:val="20"/>
                <w:szCs w:val="20"/>
                <w:color w:val="auto"/>
              </w:rPr>
            </w:pPr>
            <w:r>
              <w:rPr>
                <w:rFonts w:ascii="Arial" w:cs="Arial" w:eastAsia="Arial" w:hAnsi="Arial"/>
                <w:sz w:val="14"/>
                <w:szCs w:val="14"/>
                <w:b w:val="1"/>
                <w:bCs w:val="1"/>
                <w:color w:val="auto"/>
              </w:rPr>
              <w:t>registered</w:t>
            </w:r>
          </w:p>
        </w:tc>
      </w:tr>
      <w:tr>
        <w:trPr>
          <w:trHeight w:val="134"/>
        </w:trPr>
        <w:tc>
          <w:tcPr>
            <w:tcW w:w="3120" w:type="dxa"/>
            <w:vAlign w:val="bottom"/>
            <w:tcBorders>
              <w:left w:val="single" w:sz="8" w:color="auto"/>
              <w:bottom w:val="single" w:sz="8" w:color="auto"/>
              <w:right w:val="single" w:sz="8" w:color="auto"/>
            </w:tcBorders>
          </w:tcPr>
          <w:p>
            <w:pPr>
              <w:spacing w:after="0"/>
              <w:rPr>
                <w:sz w:val="11"/>
                <w:szCs w:val="11"/>
                <w:color w:val="auto"/>
              </w:rPr>
            </w:pPr>
          </w:p>
        </w:tc>
        <w:tc>
          <w:tcPr>
            <w:tcW w:w="1340" w:type="dxa"/>
            <w:vAlign w:val="bottom"/>
            <w:tcBorders>
              <w:bottom w:val="single" w:sz="8" w:color="auto"/>
              <w:right w:val="single" w:sz="8" w:color="auto"/>
            </w:tcBorders>
          </w:tcPr>
          <w:p>
            <w:pPr>
              <w:spacing w:after="0"/>
              <w:rPr>
                <w:sz w:val="11"/>
                <w:szCs w:val="11"/>
                <w:color w:val="auto"/>
              </w:rPr>
            </w:pPr>
          </w:p>
        </w:tc>
        <w:tc>
          <w:tcPr>
            <w:tcW w:w="3100" w:type="dxa"/>
            <w:vAlign w:val="bottom"/>
            <w:tcBorders>
              <w:bottom w:val="single" w:sz="8" w:color="auto"/>
              <w:right w:val="single" w:sz="8" w:color="auto"/>
            </w:tcBorders>
          </w:tcPr>
          <w:p>
            <w:pPr>
              <w:spacing w:after="0"/>
              <w:rPr>
                <w:sz w:val="11"/>
                <w:szCs w:val="11"/>
                <w:color w:val="auto"/>
              </w:rPr>
            </w:pPr>
          </w:p>
        </w:tc>
      </w:tr>
      <w:tr>
        <w:trPr>
          <w:trHeight w:val="171"/>
        </w:trPr>
        <w:tc>
          <w:tcPr>
            <w:tcW w:w="3120" w:type="dxa"/>
            <w:vAlign w:val="bottom"/>
            <w:tcBorders>
              <w:left w:val="single" w:sz="8" w:color="auto"/>
              <w:right w:val="single" w:sz="8" w:color="auto"/>
            </w:tcBorders>
          </w:tcPr>
          <w:p>
            <w:pPr>
              <w:jc w:val="center"/>
              <w:ind w:left="68"/>
              <w:spacing w:after="0"/>
              <w:rPr>
                <w:sz w:val="20"/>
                <w:szCs w:val="20"/>
                <w:color w:val="auto"/>
              </w:rPr>
            </w:pPr>
            <w:r>
              <w:rPr>
                <w:rFonts w:ascii="Arial" w:cs="Arial" w:eastAsia="Arial" w:hAnsi="Arial"/>
                <w:sz w:val="14"/>
                <w:szCs w:val="14"/>
                <w:color w:val="auto"/>
              </w:rPr>
              <w:t>Common Stock, par value $0.01</w:t>
            </w:r>
          </w:p>
        </w:tc>
        <w:tc>
          <w:tcPr>
            <w:tcW w:w="1340" w:type="dxa"/>
            <w:vAlign w:val="bottom"/>
            <w:tcBorders>
              <w:right w:val="single" w:sz="8" w:color="auto"/>
            </w:tcBorders>
          </w:tcPr>
          <w:p>
            <w:pPr>
              <w:jc w:val="center"/>
              <w:ind w:left="48"/>
              <w:spacing w:after="0"/>
              <w:rPr>
                <w:sz w:val="20"/>
                <w:szCs w:val="20"/>
                <w:color w:val="auto"/>
              </w:rPr>
            </w:pPr>
            <w:r>
              <w:rPr>
                <w:rFonts w:ascii="Arial" w:cs="Arial" w:eastAsia="Arial" w:hAnsi="Arial"/>
                <w:sz w:val="14"/>
                <w:szCs w:val="14"/>
                <w:color w:val="auto"/>
              </w:rPr>
              <w:t>FL</w:t>
            </w:r>
          </w:p>
        </w:tc>
        <w:tc>
          <w:tcPr>
            <w:tcW w:w="3100" w:type="dxa"/>
            <w:vAlign w:val="bottom"/>
            <w:tcBorders>
              <w:right w:val="single" w:sz="8" w:color="auto"/>
            </w:tcBorders>
          </w:tcPr>
          <w:p>
            <w:pPr>
              <w:jc w:val="center"/>
              <w:ind w:left="68"/>
              <w:spacing w:after="0"/>
              <w:rPr>
                <w:sz w:val="20"/>
                <w:szCs w:val="20"/>
                <w:color w:val="auto"/>
              </w:rPr>
            </w:pPr>
            <w:r>
              <w:rPr>
                <w:rFonts w:ascii="Arial" w:cs="Arial" w:eastAsia="Arial" w:hAnsi="Arial"/>
                <w:sz w:val="14"/>
                <w:szCs w:val="14"/>
                <w:color w:val="auto"/>
              </w:rPr>
              <w:t>New York Stock Exchange</w:t>
            </w:r>
          </w:p>
        </w:tc>
      </w:tr>
      <w:tr>
        <w:trPr>
          <w:trHeight w:val="134"/>
        </w:trPr>
        <w:tc>
          <w:tcPr>
            <w:tcW w:w="3120" w:type="dxa"/>
            <w:vAlign w:val="bottom"/>
            <w:tcBorders>
              <w:left w:val="single" w:sz="8" w:color="auto"/>
              <w:bottom w:val="single" w:sz="8" w:color="auto"/>
              <w:right w:val="single" w:sz="8" w:color="auto"/>
            </w:tcBorders>
          </w:tcPr>
          <w:p>
            <w:pPr>
              <w:spacing w:after="0"/>
              <w:rPr>
                <w:sz w:val="11"/>
                <w:szCs w:val="11"/>
                <w:color w:val="auto"/>
              </w:rPr>
            </w:pPr>
          </w:p>
        </w:tc>
        <w:tc>
          <w:tcPr>
            <w:tcW w:w="1340" w:type="dxa"/>
            <w:vAlign w:val="bottom"/>
            <w:tcBorders>
              <w:bottom w:val="single" w:sz="8" w:color="auto"/>
              <w:right w:val="single" w:sz="8" w:color="auto"/>
            </w:tcBorders>
          </w:tcPr>
          <w:p>
            <w:pPr>
              <w:spacing w:after="0"/>
              <w:rPr>
                <w:sz w:val="11"/>
                <w:szCs w:val="11"/>
                <w:color w:val="auto"/>
              </w:rPr>
            </w:pPr>
          </w:p>
        </w:tc>
        <w:tc>
          <w:tcPr>
            <w:tcW w:w="3100" w:type="dxa"/>
            <w:vAlign w:val="bottom"/>
            <w:tcBorders>
              <w:bottom w:val="single" w:sz="8" w:color="auto"/>
              <w:right w:val="single" w:sz="8" w:color="auto"/>
            </w:tcBorders>
          </w:tcPr>
          <w:p>
            <w:pPr>
              <w:spacing w:after="0"/>
              <w:rPr>
                <w:sz w:val="11"/>
                <w:szCs w:val="11"/>
                <w:color w:val="auto"/>
              </w:rPr>
            </w:pPr>
          </w:p>
        </w:tc>
      </w:tr>
    </w:tbl>
    <w:p>
      <w:pPr>
        <w:spacing w:after="0" w:line="167" w:lineRule="exact"/>
        <w:rPr>
          <w:sz w:val="24"/>
          <w:szCs w:val="24"/>
          <w:color w:val="auto"/>
        </w:rPr>
      </w:pPr>
    </w:p>
    <w:p>
      <w:pPr>
        <w:jc w:val="both"/>
        <w:ind w:left="160"/>
        <w:spacing w:after="0" w:line="171"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37" w:lineRule="exact"/>
        <w:rPr>
          <w:sz w:val="24"/>
          <w:szCs w:val="24"/>
          <w:color w:val="auto"/>
        </w:rPr>
      </w:pPr>
    </w:p>
    <w:p>
      <w:pPr>
        <w:jc w:val="both"/>
        <w:ind w:left="160" w:right="20"/>
        <w:spacing w:after="0" w:line="239"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p>
    <w:p>
      <w:pPr>
        <w:ind w:left="340" w:hanging="179"/>
        <w:spacing w:after="0" w:line="161" w:lineRule="exact"/>
        <w:tabs>
          <w:tab w:leader="none" w:pos="34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166" w:lineRule="exact"/>
        <w:rPr>
          <w:sz w:val="24"/>
          <w:szCs w:val="24"/>
          <w:color w:val="auto"/>
        </w:rPr>
      </w:pPr>
    </w:p>
    <w:p>
      <w:pPr>
        <w:jc w:val="both"/>
        <w:ind w:left="160" w:right="20"/>
        <w:spacing w:after="0" w:line="250"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43" w:lineRule="exact"/>
        <w:rPr>
          <w:sz w:val="24"/>
          <w:szCs w:val="24"/>
          <w:color w:val="auto"/>
        </w:rPr>
      </w:pPr>
    </w:p>
    <w:p>
      <w:pPr>
        <w:ind w:left="160" w:right="520"/>
        <w:spacing w:after="0" w:line="20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Non-accelerated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Smaller reporting company </w:t>
      </w:r>
      <w:r>
        <w:rPr>
          <w:rFonts w:ascii="MS PGothic" w:cs="MS PGothic" w:eastAsia="MS PGothic" w:hAnsi="MS PGothic"/>
          <w:sz w:val="14"/>
          <w:szCs w:val="14"/>
          <w:color w:val="auto"/>
        </w:rPr>
        <w:t>☐</w:t>
      </w:r>
      <w:r>
        <w:rPr>
          <w:rFonts w:ascii="Arial" w:cs="Arial" w:eastAsia="Arial" w:hAnsi="Arial"/>
          <w:sz w:val="14"/>
          <w:szCs w:val="14"/>
          <w:color w:val="auto"/>
        </w:rPr>
        <w:t xml:space="preserve"> Emerging growth company </w:t>
      </w:r>
      <w:r>
        <w:rPr>
          <w:rFonts w:ascii="MS PGothic" w:cs="MS PGothic" w:eastAsia="MS PGothic" w:hAnsi="MS PGothic"/>
          <w:sz w:val="14"/>
          <w:szCs w:val="14"/>
          <w:color w:val="auto"/>
        </w:rPr>
        <w:t>☐</w:t>
      </w:r>
    </w:p>
    <w:p>
      <w:pPr>
        <w:spacing w:after="0" w:line="350" w:lineRule="exact"/>
        <w:rPr>
          <w:sz w:val="24"/>
          <w:szCs w:val="24"/>
          <w:color w:val="auto"/>
        </w:rPr>
      </w:pPr>
    </w:p>
    <w:p>
      <w:pPr>
        <w:ind w:left="160" w:right="20"/>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99" w:lineRule="exact"/>
        <w:rPr>
          <w:sz w:val="24"/>
          <w:szCs w:val="24"/>
          <w:color w:val="auto"/>
        </w:rPr>
      </w:pPr>
    </w:p>
    <w:p>
      <w:pPr>
        <w:ind w:left="160" w:right="2040"/>
        <w:spacing w:after="0" w:line="267"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Number of shares of Common Stock outstanding as of September 9, 2019: 107,039,179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428625</wp:posOffset>
            </wp:positionV>
            <wp:extent cx="649160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1605" cy="260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8255</wp:posOffset>
            </wp:positionV>
            <wp:extent cx="64916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160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51435</wp:posOffset>
            </wp:positionV>
            <wp:extent cx="649160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1605" cy="34290"/>
                    </a:xfrm>
                    <a:prstGeom prst="rect">
                      <a:avLst/>
                    </a:prstGeom>
                    <a:noFill/>
                  </pic:spPr>
                </pic:pic>
              </a:graphicData>
            </a:graphic>
          </wp:anchor>
        </w:drawing>
      </w:r>
    </w:p>
    <w:p>
      <w:pPr>
        <w:sectPr>
          <w:pgSz w:w="11900" w:h="16838" w:orient="portrait"/>
          <w:cols w:equalWidth="0" w:num="1">
            <w:col w:w="10240"/>
          </w:cols>
          <w:pgMar w:left="920" w:top="665" w:right="739" w:bottom="1440" w:gutter="0" w:footer="0" w:header="0"/>
          <w:type w:val="continuous"/>
        </w:sectPr>
      </w:pPr>
    </w:p>
    <w:bookmarkStart w:id="1" w:name="page2"/>
    <w:bookmarkEnd w:id="1"/>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gridSpan w:val="2"/>
          </w:tcPr>
          <w:p>
            <w:pPr>
              <w:ind w:left="14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56"/>
        </w:trPr>
        <w:tc>
          <w:tcPr>
            <w:tcW w:w="900" w:type="dxa"/>
            <w:vAlign w:val="bottom"/>
            <w:tcBorders>
              <w:top w:val="single" w:sz="8" w:color="CCEEFF"/>
            </w:tcBorders>
            <w:gridSpan w:val="3"/>
            <w:shd w:val="clear" w:color="auto" w:fill="CCEEFF"/>
          </w:tcPr>
          <w:p>
            <w:pPr>
              <w:spacing w:after="0" w:line="136" w:lineRule="exact"/>
              <w:rPr>
                <w:rFonts w:ascii="Arial" w:cs="Arial" w:eastAsia="Arial" w:hAnsi="Arial"/>
                <w:sz w:val="15"/>
                <w:szCs w:val="15"/>
                <w:color w:val="0000EE"/>
              </w:rPr>
            </w:pPr>
            <w:hyperlink w:anchor="page3">
              <w:r>
                <w:rPr>
                  <w:rFonts w:ascii="Arial" w:cs="Arial" w:eastAsia="Arial" w:hAnsi="Arial"/>
                  <w:sz w:val="15"/>
                  <w:szCs w:val="15"/>
                  <w:color w:val="0000EE"/>
                </w:rPr>
                <w:t>PART I</w:t>
              </w:r>
            </w:hyperlink>
          </w:p>
        </w:tc>
        <w:tc>
          <w:tcPr>
            <w:tcW w:w="7380" w:type="dxa"/>
            <w:vAlign w:val="bottom"/>
            <w:tcBorders>
              <w:top w:val="single" w:sz="8" w:color="CCEEFF"/>
            </w:tcBorders>
            <w:gridSpan w:val="20"/>
            <w:shd w:val="clear" w:color="auto" w:fill="CCEEFF"/>
          </w:tcPr>
          <w:p>
            <w:pPr>
              <w:spacing w:after="0" w:line="136" w:lineRule="exact"/>
              <w:rPr>
                <w:rFonts w:ascii="Arial" w:cs="Arial" w:eastAsia="Arial" w:hAnsi="Arial"/>
                <w:sz w:val="15"/>
                <w:szCs w:val="15"/>
                <w:color w:val="0000EE"/>
              </w:rPr>
            </w:pPr>
            <w:hyperlink w:anchor="page3">
              <w:r>
                <w:rPr>
                  <w:rFonts w:ascii="Arial" w:cs="Arial" w:eastAsia="Arial" w:hAnsi="Arial"/>
                  <w:sz w:val="15"/>
                  <w:szCs w:val="15"/>
                  <w:color w:val="0000EE"/>
                </w:rPr>
                <w:t>FINANCIAL INFORMATION</w:t>
              </w:r>
            </w:hyperlink>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5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right w:val="single" w:sz="8" w:color="CCEEFF"/>
            </w:tcBorders>
            <w:shd w:val="clear" w:color="auto" w:fill="CCEEFF"/>
          </w:tcPr>
          <w:p>
            <w:pPr>
              <w:spacing w:after="0"/>
              <w:rPr>
                <w:sz w:val="5"/>
                <w:szCs w:val="5"/>
                <w:color w:val="auto"/>
              </w:rPr>
            </w:pPr>
          </w:p>
        </w:tc>
        <w:tc>
          <w:tcPr>
            <w:tcW w:w="62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134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gridSpan w:val="4"/>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6620" w:type="dxa"/>
            <w:vAlign w:val="bottom"/>
            <w:gridSpan w:val="16"/>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6620" w:type="dxa"/>
            <w:vAlign w:val="bottom"/>
            <w:gridSpan w:val="16"/>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w:t>
              </w:r>
            </w:hyperlink>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5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right w:val="single" w:sz="8" w:color="CCEEFF"/>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340" w:type="dxa"/>
            <w:vAlign w:val="bottom"/>
            <w:tcBorders>
              <w:top w:val="single" w:sz="8" w:color="0000EE"/>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20" w:type="dxa"/>
            <w:vAlign w:val="bottom"/>
            <w:gridSpan w:val="16"/>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w:t>
              </w:r>
            </w:hyperlink>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340" w:type="dxa"/>
            <w:vAlign w:val="bottom"/>
            <w:tcBorders>
              <w:top w:val="single" w:sz="8" w:color="0000EE"/>
            </w:tcBorders>
          </w:tcPr>
          <w:p>
            <w:pPr>
              <w:spacing w:after="0"/>
              <w:rPr>
                <w:sz w:val="4"/>
                <w:szCs w:val="4"/>
                <w:color w:val="auto"/>
              </w:rPr>
            </w:pPr>
          </w:p>
        </w:tc>
        <w:tc>
          <w:tcPr>
            <w:tcW w:w="7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6620" w:type="dxa"/>
            <w:vAlign w:val="bottom"/>
            <w:gridSpan w:val="16"/>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Comprehensive Income</w:t>
              </w:r>
            </w:hyperlink>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5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right w:val="single" w:sz="8" w:color="CCEEFF"/>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340" w:type="dxa"/>
            <w:vAlign w:val="bottom"/>
            <w:tcBorders>
              <w:top w:val="single" w:sz="8" w:color="0000EE"/>
            </w:tcBorders>
            <w:shd w:val="clear" w:color="auto" w:fill="CCEEFF"/>
          </w:tcPr>
          <w:p>
            <w:pPr>
              <w:spacing w:after="0"/>
              <w:rPr>
                <w:sz w:val="4"/>
                <w:szCs w:val="4"/>
                <w:color w:val="auto"/>
              </w:rPr>
            </w:pPr>
          </w:p>
        </w:tc>
        <w:tc>
          <w:tcPr>
            <w:tcW w:w="7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20" w:type="dxa"/>
            <w:vAlign w:val="bottom"/>
            <w:gridSpan w:val="16"/>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Changes in Shareholders’ Equity</w:t>
              </w:r>
            </w:hyperlink>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340" w:type="dxa"/>
            <w:vAlign w:val="bottom"/>
            <w:tcBorders>
              <w:top w:val="single" w:sz="8" w:color="0000EE"/>
            </w:tcBorders>
          </w:tcPr>
          <w:p>
            <w:pPr>
              <w:spacing w:after="0"/>
              <w:rPr>
                <w:sz w:val="4"/>
                <w:szCs w:val="4"/>
                <w:color w:val="auto"/>
              </w:rPr>
            </w:pPr>
          </w:p>
        </w:tc>
        <w:tc>
          <w:tcPr>
            <w:tcW w:w="7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740" w:type="dxa"/>
            <w:vAlign w:val="bottom"/>
            <w:tcBorders>
              <w:top w:val="single" w:sz="8" w:color="0000EE"/>
            </w:tcBorders>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6620" w:type="dxa"/>
            <w:vAlign w:val="bottom"/>
            <w:gridSpan w:val="16"/>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w:t>
              </w:r>
            </w:hyperlink>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5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right w:val="single" w:sz="8" w:color="CCEEFF"/>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340" w:type="dxa"/>
            <w:vAlign w:val="bottom"/>
            <w:tcBorders>
              <w:top w:val="single" w:sz="8" w:color="0000EE"/>
            </w:tcBorders>
            <w:shd w:val="clear" w:color="auto" w:fill="CCEEFF"/>
          </w:tcPr>
          <w:p>
            <w:pPr>
              <w:spacing w:after="0"/>
              <w:rPr>
                <w:sz w:val="4"/>
                <w:szCs w:val="4"/>
                <w:color w:val="auto"/>
              </w:rPr>
            </w:pPr>
          </w:p>
        </w:tc>
        <w:tc>
          <w:tcPr>
            <w:tcW w:w="7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20" w:type="dxa"/>
            <w:vAlign w:val="bottom"/>
            <w:gridSpan w:val="16"/>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340" w:type="dxa"/>
            <w:vAlign w:val="bottom"/>
            <w:tcBorders>
              <w:top w:val="single" w:sz="8" w:color="0000EE"/>
            </w:tcBorders>
          </w:tcPr>
          <w:p>
            <w:pPr>
              <w:spacing w:after="0"/>
              <w:rPr>
                <w:sz w:val="4"/>
                <w:szCs w:val="4"/>
                <w:color w:val="auto"/>
              </w:rPr>
            </w:pPr>
          </w:p>
        </w:tc>
        <w:tc>
          <w:tcPr>
            <w:tcW w:w="7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spacing w:after="0" w:line="176" w:lineRule="exact"/>
              <w:rPr>
                <w:rFonts w:ascii="Arial" w:cs="Arial" w:eastAsia="Arial" w:hAnsi="Arial"/>
                <w:sz w:val="18"/>
                <w:szCs w:val="18"/>
                <w:color w:val="0000EE"/>
                <w:w w:val="98"/>
              </w:rPr>
            </w:pPr>
            <w:hyperlink w:anchor="page22">
              <w:r>
                <w:rPr>
                  <w:rFonts w:ascii="Arial" w:cs="Arial" w:eastAsia="Arial" w:hAnsi="Arial"/>
                  <w:sz w:val="18"/>
                  <w:szCs w:val="18"/>
                  <w:color w:val="0000EE"/>
                  <w:w w:val="98"/>
                </w:rPr>
                <w:t>Item 2.</w:t>
              </w:r>
            </w:hyperlink>
          </w:p>
        </w:tc>
        <w:tc>
          <w:tcPr>
            <w:tcW w:w="200" w:type="dxa"/>
            <w:vAlign w:val="bottom"/>
            <w:tcBorders>
              <w:right w:val="single" w:sz="8" w:color="CCEEFF"/>
            </w:tcBorders>
            <w:gridSpan w:val="2"/>
            <w:shd w:val="clear" w:color="auto" w:fill="CCEEFF"/>
          </w:tcPr>
          <w:p>
            <w:pPr>
              <w:spacing w:after="0"/>
              <w:rPr>
                <w:sz w:val="15"/>
                <w:szCs w:val="15"/>
                <w:color w:val="auto"/>
              </w:rPr>
            </w:pPr>
          </w:p>
        </w:tc>
        <w:tc>
          <w:tcPr>
            <w:tcW w:w="6620" w:type="dxa"/>
            <w:vAlign w:val="bottom"/>
            <w:gridSpan w:val="16"/>
            <w:shd w:val="clear" w:color="auto" w:fill="CCEEFF"/>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Management’s Discussion and Analysis of Financial Condition and Results of</w:t>
              </w:r>
            </w:hyperlink>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860" w:type="dxa"/>
            <w:vAlign w:val="bottom"/>
            <w:gridSpan w:val="5"/>
            <w:shd w:val="clear" w:color="auto" w:fill="0000EE"/>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6620" w:type="dxa"/>
            <w:vAlign w:val="bottom"/>
            <w:gridSpan w:val="16"/>
            <w:shd w:val="clear" w:color="auto" w:fill="CCEEFF"/>
          </w:tcPr>
          <w:p>
            <w:pPr>
              <w:spacing w:after="0" w:line="182" w:lineRule="exact"/>
              <w:rPr>
                <w:rFonts w:ascii="Arial" w:cs="Arial" w:eastAsia="Arial" w:hAnsi="Arial"/>
                <w:sz w:val="18"/>
                <w:szCs w:val="18"/>
                <w:color w:val="0000EE"/>
              </w:rPr>
            </w:pPr>
            <w:hyperlink w:anchor="page22">
              <w:r>
                <w:rPr>
                  <w:rFonts w:ascii="Arial" w:cs="Arial" w:eastAsia="Arial" w:hAnsi="Arial"/>
                  <w:sz w:val="18"/>
                  <w:szCs w:val="18"/>
                  <w:color w:val="0000EE"/>
                </w:rPr>
                <w:t>Operations</w:t>
              </w:r>
            </w:hyperlink>
          </w:p>
        </w:tc>
        <w:tc>
          <w:tcPr>
            <w:tcW w:w="7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5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right w:val="single" w:sz="8" w:color="CCEEFF"/>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34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gridSpan w:val="4"/>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Item 4.</w:t>
              </w:r>
            </w:hyperlink>
          </w:p>
        </w:tc>
        <w:tc>
          <w:tcPr>
            <w:tcW w:w="6620" w:type="dxa"/>
            <w:vAlign w:val="bottom"/>
            <w:gridSpan w:val="16"/>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Controls and Procedures</w:t>
              </w:r>
            </w:hyperlink>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900" w:type="dxa"/>
            <w:vAlign w:val="bottom"/>
            <w:gridSpan w:val="3"/>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PART II</w:t>
              </w:r>
            </w:hyperlink>
          </w:p>
        </w:tc>
        <w:tc>
          <w:tcPr>
            <w:tcW w:w="7380" w:type="dxa"/>
            <w:vAlign w:val="bottom"/>
            <w:gridSpan w:val="20"/>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OTHER INFORMATION</w:t>
              </w:r>
            </w:hyperlink>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5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spacing w:after="0" w:line="176" w:lineRule="exact"/>
              <w:rPr>
                <w:rFonts w:ascii="Arial" w:cs="Arial" w:eastAsia="Arial" w:hAnsi="Arial"/>
                <w:sz w:val="18"/>
                <w:szCs w:val="18"/>
                <w:color w:val="0000EE"/>
                <w:w w:val="98"/>
              </w:rPr>
            </w:pPr>
            <w:hyperlink w:anchor="page32">
              <w:r>
                <w:rPr>
                  <w:rFonts w:ascii="Arial" w:cs="Arial" w:eastAsia="Arial" w:hAnsi="Arial"/>
                  <w:sz w:val="18"/>
                  <w:szCs w:val="18"/>
                  <w:color w:val="0000EE"/>
                  <w:w w:val="98"/>
                </w:rPr>
                <w:t>Item 1.</w:t>
              </w:r>
            </w:hyperlink>
          </w:p>
        </w:tc>
        <w:tc>
          <w:tcPr>
            <w:tcW w:w="200" w:type="dxa"/>
            <w:vAlign w:val="bottom"/>
            <w:tcBorders>
              <w:right w:val="single" w:sz="8" w:color="CCEEFF"/>
            </w:tcBorders>
            <w:gridSpan w:val="2"/>
            <w:shd w:val="clear" w:color="auto" w:fill="CCEEFF"/>
          </w:tcPr>
          <w:p>
            <w:pPr>
              <w:spacing w:after="0"/>
              <w:rPr>
                <w:sz w:val="15"/>
                <w:szCs w:val="15"/>
                <w:color w:val="auto"/>
              </w:rPr>
            </w:pPr>
          </w:p>
        </w:tc>
        <w:tc>
          <w:tcPr>
            <w:tcW w:w="6620" w:type="dxa"/>
            <w:vAlign w:val="bottom"/>
            <w:gridSpan w:val="16"/>
            <w:shd w:val="clear" w:color="auto" w:fill="CCEEFF"/>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Legal Proceedings</w:t>
              </w:r>
            </w:hyperlink>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5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right w:val="single" w:sz="8" w:color="CCEEFF"/>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34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gridSpan w:val="4"/>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Item 1A.</w:t>
              </w:r>
            </w:hyperlink>
          </w:p>
        </w:tc>
        <w:tc>
          <w:tcPr>
            <w:tcW w:w="6620" w:type="dxa"/>
            <w:vAlign w:val="bottom"/>
            <w:gridSpan w:val="16"/>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Risk Factors</w:t>
              </w:r>
            </w:hyperlink>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spacing w:after="0" w:line="176" w:lineRule="exact"/>
              <w:rPr>
                <w:rFonts w:ascii="Arial" w:cs="Arial" w:eastAsia="Arial" w:hAnsi="Arial"/>
                <w:sz w:val="18"/>
                <w:szCs w:val="18"/>
                <w:color w:val="0000EE"/>
                <w:w w:val="98"/>
              </w:rPr>
            </w:pPr>
            <w:hyperlink w:anchor="page32">
              <w:r>
                <w:rPr>
                  <w:rFonts w:ascii="Arial" w:cs="Arial" w:eastAsia="Arial" w:hAnsi="Arial"/>
                  <w:sz w:val="18"/>
                  <w:szCs w:val="18"/>
                  <w:color w:val="0000EE"/>
                  <w:w w:val="98"/>
                </w:rPr>
                <w:t>Item 2.</w:t>
              </w:r>
            </w:hyperlink>
          </w:p>
        </w:tc>
        <w:tc>
          <w:tcPr>
            <w:tcW w:w="200" w:type="dxa"/>
            <w:vAlign w:val="bottom"/>
            <w:tcBorders>
              <w:right w:val="single" w:sz="8" w:color="CCEEFF"/>
            </w:tcBorders>
            <w:gridSpan w:val="2"/>
            <w:shd w:val="clear" w:color="auto" w:fill="CCEEFF"/>
          </w:tcPr>
          <w:p>
            <w:pPr>
              <w:spacing w:after="0"/>
              <w:rPr>
                <w:sz w:val="15"/>
                <w:szCs w:val="15"/>
                <w:color w:val="auto"/>
              </w:rPr>
            </w:pPr>
          </w:p>
        </w:tc>
        <w:tc>
          <w:tcPr>
            <w:tcW w:w="6620" w:type="dxa"/>
            <w:vAlign w:val="bottom"/>
            <w:gridSpan w:val="16"/>
            <w:shd w:val="clear" w:color="auto" w:fill="CCEEFF"/>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Unregistered Sales of Equity Securities and Use of Proceeds</w:t>
              </w:r>
            </w:hyperlink>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5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right w:val="single" w:sz="8" w:color="CCEEFF"/>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340" w:type="dxa"/>
            <w:vAlign w:val="bottom"/>
            <w:tcBorders>
              <w:top w:val="single" w:sz="8" w:color="0000EE"/>
            </w:tcBorders>
            <w:shd w:val="clear" w:color="auto" w:fill="CCEEFF"/>
          </w:tcPr>
          <w:p>
            <w:pPr>
              <w:spacing w:after="0"/>
              <w:rPr>
                <w:sz w:val="4"/>
                <w:szCs w:val="4"/>
                <w:color w:val="auto"/>
              </w:rPr>
            </w:pPr>
          </w:p>
        </w:tc>
        <w:tc>
          <w:tcPr>
            <w:tcW w:w="7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gridSpan w:val="2"/>
          </w:tcPr>
          <w:p>
            <w:pPr>
              <w:spacing w:after="0" w:line="176" w:lineRule="exact"/>
              <w:rPr>
                <w:rFonts w:ascii="Arial" w:cs="Arial" w:eastAsia="Arial" w:hAnsi="Arial"/>
                <w:sz w:val="18"/>
                <w:szCs w:val="18"/>
                <w:color w:val="0000EE"/>
                <w:w w:val="98"/>
              </w:rPr>
            </w:pPr>
            <w:hyperlink w:anchor="page33">
              <w:r>
                <w:rPr>
                  <w:rFonts w:ascii="Arial" w:cs="Arial" w:eastAsia="Arial" w:hAnsi="Arial"/>
                  <w:sz w:val="18"/>
                  <w:szCs w:val="18"/>
                  <w:color w:val="0000EE"/>
                  <w:w w:val="98"/>
                </w:rPr>
                <w:t>Item 6.</w:t>
              </w:r>
            </w:hyperlink>
          </w:p>
        </w:tc>
        <w:tc>
          <w:tcPr>
            <w:tcW w:w="200" w:type="dxa"/>
            <w:vAlign w:val="bottom"/>
            <w:gridSpan w:val="2"/>
          </w:tcPr>
          <w:p>
            <w:pPr>
              <w:spacing w:after="0"/>
              <w:rPr>
                <w:sz w:val="15"/>
                <w:szCs w:val="15"/>
                <w:color w:val="auto"/>
              </w:rPr>
            </w:pPr>
          </w:p>
        </w:tc>
        <w:tc>
          <w:tcPr>
            <w:tcW w:w="6620" w:type="dxa"/>
            <w:vAlign w:val="bottom"/>
            <w:gridSpan w:val="16"/>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Exhibits</w:t>
              </w:r>
            </w:hyperlink>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gridSpan w:val="2"/>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660" w:type="dxa"/>
            <w:vAlign w:val="bottom"/>
            <w:gridSpan w:val="7"/>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SIGNATURE</w:t>
              </w:r>
            </w:hyperlink>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70"/>
        </w:trPr>
        <w:tc>
          <w:tcPr>
            <w:tcW w:w="5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rPr>
          <w:sz w:val="20"/>
          <w:szCs w:val="20"/>
          <w:color w:val="auto"/>
        </w:rPr>
      </w:pPr>
      <w:r>
        <w:rPr>
          <w:rFonts w:ascii="Arial" w:cs="Arial" w:eastAsia="Arial" w:hAnsi="Arial"/>
          <w:sz w:val="18"/>
          <w:szCs w:val="18"/>
          <w:color w:val="auto"/>
        </w:rPr>
        <w:t>($ in millions, except shares)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ind w:right="335"/>
              <w:spacing w:after="0"/>
              <w:rPr>
                <w:sz w:val="20"/>
                <w:szCs w:val="20"/>
                <w:color w:val="auto"/>
              </w:rPr>
            </w:pPr>
            <w:r>
              <w:rPr>
                <w:rFonts w:ascii="Arial" w:cs="Arial" w:eastAsia="Arial" w:hAnsi="Arial"/>
                <w:sz w:val="17"/>
                <w:szCs w:val="17"/>
                <w:b w:val="1"/>
                <w:bCs w:val="1"/>
                <w:color w:val="auto"/>
              </w:rPr>
              <w:t>August 3,</w:t>
            </w:r>
          </w:p>
        </w:tc>
        <w:tc>
          <w:tcPr>
            <w:tcW w:w="320" w:type="dxa"/>
            <w:vAlign w:val="bottom"/>
          </w:tcPr>
          <w:p>
            <w:pPr>
              <w:spacing w:after="0"/>
              <w:rPr>
                <w:sz w:val="16"/>
                <w:szCs w:val="16"/>
                <w:color w:val="auto"/>
              </w:rPr>
            </w:pPr>
          </w:p>
        </w:tc>
        <w:tc>
          <w:tcPr>
            <w:tcW w:w="1320" w:type="dxa"/>
            <w:vAlign w:val="bottom"/>
          </w:tcPr>
          <w:p>
            <w:pPr>
              <w:jc w:val="right"/>
              <w:ind w:right="335"/>
              <w:spacing w:after="0"/>
              <w:rPr>
                <w:sz w:val="20"/>
                <w:szCs w:val="20"/>
                <w:color w:val="auto"/>
              </w:rPr>
            </w:pPr>
            <w:r>
              <w:rPr>
                <w:rFonts w:ascii="Arial" w:cs="Arial" w:eastAsia="Arial" w:hAnsi="Arial"/>
                <w:sz w:val="17"/>
                <w:szCs w:val="17"/>
                <w:b w:val="1"/>
                <w:bCs w:val="1"/>
                <w:color w:val="auto"/>
              </w:rPr>
              <w:t>August 4,</w:t>
            </w:r>
          </w:p>
        </w:tc>
        <w:tc>
          <w:tcPr>
            <w:tcW w:w="300" w:type="dxa"/>
            <w:vAlign w:val="bottom"/>
          </w:tcPr>
          <w:p>
            <w:pPr>
              <w:spacing w:after="0"/>
              <w:rPr>
                <w:sz w:val="16"/>
                <w:szCs w:val="16"/>
                <w:color w:val="auto"/>
              </w:rPr>
            </w:pPr>
          </w:p>
        </w:tc>
        <w:tc>
          <w:tcPr>
            <w:tcW w:w="1240" w:type="dxa"/>
            <w:vAlign w:val="bottom"/>
          </w:tcPr>
          <w:p>
            <w:pPr>
              <w:jc w:val="right"/>
              <w:ind w:right="155"/>
              <w:spacing w:after="0"/>
              <w:rPr>
                <w:sz w:val="20"/>
                <w:szCs w:val="20"/>
                <w:color w:val="auto"/>
              </w:rPr>
            </w:pPr>
            <w:r>
              <w:rPr>
                <w:rFonts w:ascii="Arial" w:cs="Arial" w:eastAsia="Arial" w:hAnsi="Arial"/>
                <w:sz w:val="17"/>
                <w:szCs w:val="17"/>
                <w:b w:val="1"/>
                <w:bCs w:val="1"/>
                <w:color w:val="auto"/>
              </w:rPr>
              <w:t>February 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1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35"/>
              <w:spacing w:after="0"/>
              <w:rPr>
                <w:sz w:val="20"/>
                <w:szCs w:val="20"/>
                <w:color w:val="auto"/>
              </w:rPr>
            </w:pPr>
            <w:r>
              <w:rPr>
                <w:rFonts w:ascii="Arial" w:cs="Arial" w:eastAsia="Arial" w:hAnsi="Arial"/>
                <w:sz w:val="17"/>
                <w:szCs w:val="17"/>
                <w:b w:val="1"/>
                <w:bCs w:val="1"/>
                <w:color w:val="auto"/>
              </w:rPr>
              <w:t>2019</w:t>
            </w: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35"/>
              <w:spacing w:after="0"/>
              <w:rPr>
                <w:sz w:val="20"/>
                <w:szCs w:val="20"/>
                <w:color w:val="auto"/>
              </w:rPr>
            </w:pPr>
            <w:r>
              <w:rPr>
                <w:rFonts w:ascii="Arial" w:cs="Arial" w:eastAsia="Arial" w:hAnsi="Arial"/>
                <w:sz w:val="17"/>
                <w:szCs w:val="17"/>
                <w:b w:val="1"/>
                <w:bCs w:val="1"/>
                <w:color w:val="auto"/>
              </w:rPr>
              <w:t>2018</w:t>
            </w: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b w:val="1"/>
                <w:bCs w:val="1"/>
                <w:color w:val="auto"/>
              </w:rPr>
              <w:t>2019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ind w:right="135"/>
              <w:spacing w:after="0" w:line="176" w:lineRule="exact"/>
              <w:rPr>
                <w:sz w:val="20"/>
                <w:szCs w:val="20"/>
                <w:color w:val="auto"/>
              </w:rPr>
            </w:pPr>
            <w:r>
              <w:rPr>
                <w:rFonts w:ascii="Arial" w:cs="Arial" w:eastAsia="Arial" w:hAnsi="Arial"/>
                <w:sz w:val="17"/>
                <w:szCs w:val="17"/>
                <w:b w:val="1"/>
                <w:bCs w:val="1"/>
                <w:color w:val="auto"/>
              </w:rPr>
              <w:t>(Unaudited)</w:t>
            </w:r>
          </w:p>
        </w:tc>
        <w:tc>
          <w:tcPr>
            <w:tcW w:w="320" w:type="dxa"/>
            <w:vAlign w:val="bottom"/>
          </w:tcPr>
          <w:p>
            <w:pPr>
              <w:spacing w:after="0"/>
              <w:rPr>
                <w:sz w:val="15"/>
                <w:szCs w:val="15"/>
                <w:color w:val="auto"/>
              </w:rPr>
            </w:pPr>
          </w:p>
        </w:tc>
        <w:tc>
          <w:tcPr>
            <w:tcW w:w="1320" w:type="dxa"/>
            <w:vAlign w:val="bottom"/>
          </w:tcPr>
          <w:p>
            <w:pPr>
              <w:jc w:val="right"/>
              <w:ind w:right="135"/>
              <w:spacing w:after="0" w:line="176" w:lineRule="exact"/>
              <w:rPr>
                <w:sz w:val="20"/>
                <w:szCs w:val="20"/>
                <w:color w:val="auto"/>
              </w:rPr>
            </w:pPr>
            <w:r>
              <w:rPr>
                <w:rFonts w:ascii="Arial" w:cs="Arial" w:eastAsia="Arial" w:hAnsi="Arial"/>
                <w:sz w:val="17"/>
                <w:szCs w:val="17"/>
                <w:b w:val="1"/>
                <w:bCs w:val="1"/>
                <w:color w:val="auto"/>
              </w:rPr>
              <w:t>(Unaudited)</w:t>
            </w:r>
          </w:p>
        </w:tc>
        <w:tc>
          <w:tcPr>
            <w:tcW w:w="300" w:type="dxa"/>
            <w:vAlign w:val="bottom"/>
          </w:tcPr>
          <w:p>
            <w:pPr>
              <w:spacing w:after="0"/>
              <w:rPr>
                <w:sz w:val="15"/>
                <w:szCs w:val="15"/>
                <w:color w:val="auto"/>
              </w:rPr>
            </w:pPr>
          </w:p>
        </w:tc>
        <w:tc>
          <w:tcPr>
            <w:tcW w:w="1240" w:type="dxa"/>
            <w:vAlign w:val="bottom"/>
          </w:tcPr>
          <w:p>
            <w:pPr>
              <w:jc w:val="right"/>
              <w:ind w:right="475"/>
              <w:spacing w:after="0" w:line="176" w:lineRule="exact"/>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jc w:val="right"/>
              <w:ind w:right="75"/>
              <w:spacing w:after="0"/>
              <w:rPr>
                <w:sz w:val="20"/>
                <w:szCs w:val="20"/>
                <w:color w:val="auto"/>
              </w:rPr>
            </w:pPr>
            <w:r>
              <w:rPr>
                <w:rFonts w:ascii="Arial" w:cs="Arial" w:eastAsia="Arial" w:hAnsi="Arial"/>
                <w:sz w:val="17"/>
                <w:szCs w:val="17"/>
                <w:color w:val="auto"/>
              </w:rPr>
              <w:t>($ in millions)</w:t>
            </w: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6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ASSETS</w:t>
            </w:r>
          </w:p>
        </w:tc>
        <w:tc>
          <w:tcPr>
            <w:tcW w:w="4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1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Current assets:</w:t>
            </w:r>
          </w:p>
        </w:tc>
        <w:tc>
          <w:tcPr>
            <w:tcW w:w="4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60" w:type="dxa"/>
            <w:vAlign w:val="bottom"/>
          </w:tcPr>
          <w:p>
            <w:pPr>
              <w:ind w:left="100"/>
              <w:spacing w:after="0" w:line="189" w:lineRule="exact"/>
              <w:rPr>
                <w:sz w:val="20"/>
                <w:szCs w:val="20"/>
                <w:color w:val="auto"/>
              </w:rPr>
            </w:pPr>
            <w:r>
              <w:rPr>
                <w:rFonts w:ascii="Arial" w:cs="Arial" w:eastAsia="Arial" w:hAnsi="Arial"/>
                <w:sz w:val="17"/>
                <w:szCs w:val="17"/>
                <w:color w:val="auto"/>
              </w:rPr>
              <w:t>Cash and cash equivalents</w:t>
            </w:r>
          </w:p>
        </w:tc>
        <w:tc>
          <w:tcPr>
            <w:tcW w:w="400" w:type="dxa"/>
            <w:vAlign w:val="bottom"/>
          </w:tcPr>
          <w:p>
            <w:pPr>
              <w:jc w:val="right"/>
              <w:ind w:right="35"/>
              <w:spacing w:after="0" w:line="189" w:lineRule="exact"/>
              <w:rPr>
                <w:sz w:val="20"/>
                <w:szCs w:val="20"/>
                <w:color w:val="auto"/>
              </w:rPr>
            </w:pPr>
            <w:r>
              <w:rPr>
                <w:rFonts w:ascii="Arial" w:cs="Arial" w:eastAsia="Arial" w:hAnsi="Arial"/>
                <w:sz w:val="17"/>
                <w:szCs w:val="17"/>
                <w:b w:val="1"/>
                <w:bCs w:val="1"/>
                <w:color w:val="auto"/>
              </w:rPr>
              <w:t>$</w:t>
            </w:r>
          </w:p>
        </w:tc>
        <w:tc>
          <w:tcPr>
            <w:tcW w:w="1300" w:type="dxa"/>
            <w:vAlign w:val="bottom"/>
          </w:tcPr>
          <w:p>
            <w:pPr>
              <w:jc w:val="right"/>
              <w:ind w:right="95"/>
              <w:spacing w:after="0" w:line="189" w:lineRule="exact"/>
              <w:rPr>
                <w:sz w:val="20"/>
                <w:szCs w:val="20"/>
                <w:color w:val="auto"/>
              </w:rPr>
            </w:pPr>
            <w:r>
              <w:rPr>
                <w:rFonts w:ascii="Arial" w:cs="Arial" w:eastAsia="Arial" w:hAnsi="Arial"/>
                <w:sz w:val="17"/>
                <w:szCs w:val="17"/>
                <w:b w:val="1"/>
                <w:bCs w:val="1"/>
                <w:color w:val="auto"/>
              </w:rPr>
              <w:t>939</w:t>
            </w:r>
          </w:p>
        </w:tc>
        <w:tc>
          <w:tcPr>
            <w:tcW w:w="320" w:type="dxa"/>
            <w:vAlign w:val="bottom"/>
          </w:tcPr>
          <w:p>
            <w:pPr>
              <w:jc w:val="right"/>
              <w:ind w:right="15"/>
              <w:spacing w:after="0" w:line="189" w:lineRule="exact"/>
              <w:rPr>
                <w:sz w:val="20"/>
                <w:szCs w:val="20"/>
                <w:color w:val="auto"/>
              </w:rPr>
            </w:pPr>
            <w:r>
              <w:rPr>
                <w:rFonts w:ascii="Arial" w:cs="Arial" w:eastAsia="Arial" w:hAnsi="Arial"/>
                <w:sz w:val="17"/>
                <w:szCs w:val="17"/>
                <w:b w:val="1"/>
                <w:bCs w:val="1"/>
                <w:color w:val="auto"/>
              </w:rPr>
              <w:t>$</w:t>
            </w:r>
          </w:p>
        </w:tc>
        <w:tc>
          <w:tcPr>
            <w:tcW w:w="1320" w:type="dxa"/>
            <w:vAlign w:val="bottom"/>
          </w:tcPr>
          <w:p>
            <w:pPr>
              <w:jc w:val="right"/>
              <w:ind w:right="95"/>
              <w:spacing w:after="0" w:line="189" w:lineRule="exact"/>
              <w:rPr>
                <w:sz w:val="20"/>
                <w:szCs w:val="20"/>
                <w:color w:val="auto"/>
              </w:rPr>
            </w:pPr>
            <w:r>
              <w:rPr>
                <w:rFonts w:ascii="Arial" w:cs="Arial" w:eastAsia="Arial" w:hAnsi="Arial"/>
                <w:sz w:val="17"/>
                <w:szCs w:val="17"/>
                <w:color w:val="auto"/>
              </w:rPr>
              <w:t>950</w:t>
            </w:r>
          </w:p>
        </w:tc>
        <w:tc>
          <w:tcPr>
            <w:tcW w:w="30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240" w:type="dxa"/>
            <w:vAlign w:val="bottom"/>
          </w:tcPr>
          <w:p>
            <w:pPr>
              <w:jc w:val="right"/>
              <w:spacing w:after="0" w:line="189" w:lineRule="exact"/>
              <w:rPr>
                <w:sz w:val="20"/>
                <w:szCs w:val="20"/>
                <w:color w:val="auto"/>
              </w:rPr>
            </w:pPr>
            <w:r>
              <w:rPr>
                <w:rFonts w:ascii="Arial" w:cs="Arial" w:eastAsia="Arial" w:hAnsi="Arial"/>
                <w:sz w:val="17"/>
                <w:szCs w:val="17"/>
                <w:color w:val="auto"/>
              </w:rPr>
              <w:t>891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60" w:type="dxa"/>
            <w:vAlign w:val="bottom"/>
            <w:shd w:val="clear" w:color="auto" w:fill="CCEEFF"/>
          </w:tcPr>
          <w:p>
            <w:pPr>
              <w:ind w:left="100"/>
              <w:spacing w:after="0" w:line="189" w:lineRule="exact"/>
              <w:rPr>
                <w:sz w:val="20"/>
                <w:szCs w:val="20"/>
                <w:color w:val="auto"/>
              </w:rPr>
            </w:pPr>
            <w:r>
              <w:rPr>
                <w:rFonts w:ascii="Arial" w:cs="Arial" w:eastAsia="Arial" w:hAnsi="Arial"/>
                <w:sz w:val="17"/>
                <w:szCs w:val="17"/>
                <w:color w:val="auto"/>
              </w:rPr>
              <w:t>Merchandise inventories</w:t>
            </w:r>
          </w:p>
        </w:tc>
        <w:tc>
          <w:tcPr>
            <w:tcW w:w="40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b w:val="1"/>
                <w:bCs w:val="1"/>
                <w:color w:val="auto"/>
              </w:rPr>
              <w:t>1,227</w:t>
            </w:r>
          </w:p>
        </w:tc>
        <w:tc>
          <w:tcPr>
            <w:tcW w:w="32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1,254</w:t>
            </w:r>
          </w:p>
        </w:tc>
        <w:tc>
          <w:tcPr>
            <w:tcW w:w="3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1,269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60" w:type="dxa"/>
            <w:vAlign w:val="bottom"/>
            <w:tcBorders>
              <w:bottom w:val="single" w:sz="8" w:color="auto"/>
            </w:tcBorders>
          </w:tcPr>
          <w:p>
            <w:pPr>
              <w:ind w:left="100"/>
              <w:spacing w:after="0" w:line="189" w:lineRule="exact"/>
              <w:rPr>
                <w:sz w:val="20"/>
                <w:szCs w:val="20"/>
                <w:color w:val="auto"/>
              </w:rPr>
            </w:pPr>
            <w:r>
              <w:rPr>
                <w:rFonts w:ascii="Arial" w:cs="Arial" w:eastAsia="Arial" w:hAnsi="Arial"/>
                <w:sz w:val="17"/>
                <w:szCs w:val="17"/>
                <w:color w:val="auto"/>
              </w:rPr>
              <w:t>Other current assets</w:t>
            </w: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95"/>
              <w:spacing w:after="0" w:line="189" w:lineRule="exact"/>
              <w:rPr>
                <w:sz w:val="20"/>
                <w:szCs w:val="20"/>
                <w:color w:val="auto"/>
              </w:rPr>
            </w:pPr>
            <w:r>
              <w:rPr>
                <w:rFonts w:ascii="Arial" w:cs="Arial" w:eastAsia="Arial" w:hAnsi="Arial"/>
                <w:sz w:val="17"/>
                <w:szCs w:val="17"/>
                <w:b w:val="1"/>
                <w:bCs w:val="1"/>
                <w:color w:val="auto"/>
              </w:rPr>
              <w:t>280</w:t>
            </w:r>
          </w:p>
        </w:tc>
        <w:tc>
          <w:tcPr>
            <w:tcW w:w="3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95"/>
              <w:spacing w:after="0" w:line="189" w:lineRule="exact"/>
              <w:rPr>
                <w:sz w:val="20"/>
                <w:szCs w:val="20"/>
                <w:color w:val="auto"/>
              </w:rPr>
            </w:pPr>
            <w:r>
              <w:rPr>
                <w:rFonts w:ascii="Arial" w:cs="Arial" w:eastAsia="Arial" w:hAnsi="Arial"/>
                <w:sz w:val="17"/>
                <w:szCs w:val="17"/>
                <w:color w:val="auto"/>
              </w:rPr>
              <w:t>320</w:t>
            </w: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358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95"/>
              <w:spacing w:after="0" w:line="183" w:lineRule="exact"/>
              <w:rPr>
                <w:sz w:val="20"/>
                <w:szCs w:val="20"/>
                <w:color w:val="auto"/>
              </w:rPr>
            </w:pPr>
            <w:r>
              <w:rPr>
                <w:rFonts w:ascii="Arial" w:cs="Arial" w:eastAsia="Arial" w:hAnsi="Arial"/>
                <w:sz w:val="17"/>
                <w:szCs w:val="17"/>
                <w:b w:val="1"/>
                <w:bCs w:val="1"/>
                <w:color w:val="auto"/>
              </w:rPr>
              <w:t>2,446</w:t>
            </w:r>
          </w:p>
        </w:tc>
        <w:tc>
          <w:tcPr>
            <w:tcW w:w="32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95"/>
              <w:spacing w:after="0" w:line="183" w:lineRule="exact"/>
              <w:rPr>
                <w:sz w:val="20"/>
                <w:szCs w:val="20"/>
                <w:color w:val="auto"/>
              </w:rPr>
            </w:pPr>
            <w:r>
              <w:rPr>
                <w:rFonts w:ascii="Arial" w:cs="Arial" w:eastAsia="Arial" w:hAnsi="Arial"/>
                <w:sz w:val="17"/>
                <w:szCs w:val="17"/>
                <w:color w:val="auto"/>
              </w:rPr>
              <w:t>2,524</w:t>
            </w:r>
          </w:p>
        </w:tc>
        <w:tc>
          <w:tcPr>
            <w:tcW w:w="3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2,518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60" w:type="dxa"/>
            <w:vAlign w:val="bottom"/>
          </w:tcPr>
          <w:p>
            <w:pPr>
              <w:spacing w:after="0" w:line="189" w:lineRule="exact"/>
              <w:rPr>
                <w:sz w:val="20"/>
                <w:szCs w:val="20"/>
                <w:color w:val="auto"/>
              </w:rPr>
            </w:pPr>
            <w:r>
              <w:rPr>
                <w:rFonts w:ascii="Arial" w:cs="Arial" w:eastAsia="Arial" w:hAnsi="Arial"/>
                <w:sz w:val="17"/>
                <w:szCs w:val="17"/>
                <w:color w:val="auto"/>
              </w:rPr>
              <w:t>Property and equipment, net</w:t>
            </w:r>
          </w:p>
        </w:tc>
        <w:tc>
          <w:tcPr>
            <w:tcW w:w="400" w:type="dxa"/>
            <w:vAlign w:val="bottom"/>
          </w:tcPr>
          <w:p>
            <w:pPr>
              <w:spacing w:after="0"/>
              <w:rPr>
                <w:sz w:val="16"/>
                <w:szCs w:val="16"/>
                <w:color w:val="auto"/>
              </w:rPr>
            </w:pPr>
          </w:p>
        </w:tc>
        <w:tc>
          <w:tcPr>
            <w:tcW w:w="1300" w:type="dxa"/>
            <w:vAlign w:val="bottom"/>
          </w:tcPr>
          <w:p>
            <w:pPr>
              <w:jc w:val="right"/>
              <w:ind w:right="95"/>
              <w:spacing w:after="0" w:line="189" w:lineRule="exact"/>
              <w:rPr>
                <w:sz w:val="20"/>
                <w:szCs w:val="20"/>
                <w:color w:val="auto"/>
              </w:rPr>
            </w:pPr>
            <w:r>
              <w:rPr>
                <w:rFonts w:ascii="Arial" w:cs="Arial" w:eastAsia="Arial" w:hAnsi="Arial"/>
                <w:sz w:val="17"/>
                <w:szCs w:val="17"/>
                <w:b w:val="1"/>
                <w:bCs w:val="1"/>
                <w:color w:val="auto"/>
              </w:rPr>
              <w:t>796</w:t>
            </w:r>
          </w:p>
        </w:tc>
        <w:tc>
          <w:tcPr>
            <w:tcW w:w="320" w:type="dxa"/>
            <w:vAlign w:val="bottom"/>
          </w:tcPr>
          <w:p>
            <w:pPr>
              <w:spacing w:after="0"/>
              <w:rPr>
                <w:sz w:val="16"/>
                <w:szCs w:val="16"/>
                <w:color w:val="auto"/>
              </w:rPr>
            </w:pPr>
          </w:p>
        </w:tc>
        <w:tc>
          <w:tcPr>
            <w:tcW w:w="1320" w:type="dxa"/>
            <w:vAlign w:val="bottom"/>
          </w:tcPr>
          <w:p>
            <w:pPr>
              <w:jc w:val="right"/>
              <w:ind w:right="95"/>
              <w:spacing w:after="0" w:line="189" w:lineRule="exact"/>
              <w:rPr>
                <w:sz w:val="20"/>
                <w:szCs w:val="20"/>
                <w:color w:val="auto"/>
              </w:rPr>
            </w:pPr>
            <w:r>
              <w:rPr>
                <w:rFonts w:ascii="Arial" w:cs="Arial" w:eastAsia="Arial" w:hAnsi="Arial"/>
                <w:sz w:val="17"/>
                <w:szCs w:val="17"/>
                <w:color w:val="auto"/>
              </w:rPr>
              <w:t>842</w:t>
            </w:r>
          </w:p>
        </w:tc>
        <w:tc>
          <w:tcPr>
            <w:tcW w:w="30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7"/>
                <w:szCs w:val="17"/>
                <w:color w:val="auto"/>
              </w:rPr>
              <w:t>836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Operating lease right-of-use assets</w:t>
            </w:r>
          </w:p>
        </w:tc>
        <w:tc>
          <w:tcPr>
            <w:tcW w:w="40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b w:val="1"/>
                <w:bCs w:val="1"/>
                <w:color w:val="auto"/>
              </w:rPr>
              <w:t>2,976</w:t>
            </w:r>
          </w:p>
        </w:tc>
        <w:tc>
          <w:tcPr>
            <w:tcW w:w="32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60" w:type="dxa"/>
            <w:vAlign w:val="bottom"/>
          </w:tcPr>
          <w:p>
            <w:pPr>
              <w:spacing w:after="0" w:line="189" w:lineRule="exact"/>
              <w:rPr>
                <w:sz w:val="20"/>
                <w:szCs w:val="20"/>
                <w:color w:val="auto"/>
              </w:rPr>
            </w:pPr>
            <w:r>
              <w:rPr>
                <w:rFonts w:ascii="Arial" w:cs="Arial" w:eastAsia="Arial" w:hAnsi="Arial"/>
                <w:sz w:val="17"/>
                <w:szCs w:val="17"/>
                <w:color w:val="auto"/>
              </w:rPr>
              <w:t>Deferred taxes</w:t>
            </w:r>
          </w:p>
        </w:tc>
        <w:tc>
          <w:tcPr>
            <w:tcW w:w="400" w:type="dxa"/>
            <w:vAlign w:val="bottom"/>
          </w:tcPr>
          <w:p>
            <w:pPr>
              <w:spacing w:after="0"/>
              <w:rPr>
                <w:sz w:val="16"/>
                <w:szCs w:val="16"/>
                <w:color w:val="auto"/>
              </w:rPr>
            </w:pPr>
          </w:p>
        </w:tc>
        <w:tc>
          <w:tcPr>
            <w:tcW w:w="1300" w:type="dxa"/>
            <w:vAlign w:val="bottom"/>
          </w:tcPr>
          <w:p>
            <w:pPr>
              <w:jc w:val="right"/>
              <w:ind w:right="95"/>
              <w:spacing w:after="0" w:line="189" w:lineRule="exact"/>
              <w:rPr>
                <w:sz w:val="20"/>
                <w:szCs w:val="20"/>
                <w:color w:val="auto"/>
              </w:rPr>
            </w:pPr>
            <w:r>
              <w:rPr>
                <w:rFonts w:ascii="Arial" w:cs="Arial" w:eastAsia="Arial" w:hAnsi="Arial"/>
                <w:sz w:val="17"/>
                <w:szCs w:val="17"/>
                <w:b w:val="1"/>
                <w:bCs w:val="1"/>
                <w:color w:val="auto"/>
              </w:rPr>
              <w:t>92</w:t>
            </w:r>
          </w:p>
        </w:tc>
        <w:tc>
          <w:tcPr>
            <w:tcW w:w="320" w:type="dxa"/>
            <w:vAlign w:val="bottom"/>
          </w:tcPr>
          <w:p>
            <w:pPr>
              <w:spacing w:after="0"/>
              <w:rPr>
                <w:sz w:val="16"/>
                <w:szCs w:val="16"/>
                <w:color w:val="auto"/>
              </w:rPr>
            </w:pPr>
          </w:p>
        </w:tc>
        <w:tc>
          <w:tcPr>
            <w:tcW w:w="1320" w:type="dxa"/>
            <w:vAlign w:val="bottom"/>
          </w:tcPr>
          <w:p>
            <w:pPr>
              <w:jc w:val="right"/>
              <w:ind w:right="95"/>
              <w:spacing w:after="0" w:line="189" w:lineRule="exact"/>
              <w:rPr>
                <w:sz w:val="20"/>
                <w:szCs w:val="20"/>
                <w:color w:val="auto"/>
              </w:rPr>
            </w:pPr>
            <w:r>
              <w:rPr>
                <w:rFonts w:ascii="Arial" w:cs="Arial" w:eastAsia="Arial" w:hAnsi="Arial"/>
                <w:sz w:val="17"/>
                <w:szCs w:val="17"/>
                <w:color w:val="auto"/>
              </w:rPr>
              <w:t>108</w:t>
            </w:r>
          </w:p>
        </w:tc>
        <w:tc>
          <w:tcPr>
            <w:tcW w:w="30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7"/>
                <w:szCs w:val="17"/>
                <w:color w:val="auto"/>
              </w:rPr>
              <w:t>87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Goodwill</w:t>
            </w:r>
          </w:p>
        </w:tc>
        <w:tc>
          <w:tcPr>
            <w:tcW w:w="40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b w:val="1"/>
                <w:bCs w:val="1"/>
                <w:color w:val="auto"/>
              </w:rPr>
              <w:t>156</w:t>
            </w:r>
          </w:p>
        </w:tc>
        <w:tc>
          <w:tcPr>
            <w:tcW w:w="32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158</w:t>
            </w:r>
          </w:p>
        </w:tc>
        <w:tc>
          <w:tcPr>
            <w:tcW w:w="3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157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60" w:type="dxa"/>
            <w:vAlign w:val="bottom"/>
          </w:tcPr>
          <w:p>
            <w:pPr>
              <w:spacing w:after="0" w:line="189" w:lineRule="exact"/>
              <w:rPr>
                <w:sz w:val="20"/>
                <w:szCs w:val="20"/>
                <w:color w:val="auto"/>
              </w:rPr>
            </w:pPr>
            <w:r>
              <w:rPr>
                <w:rFonts w:ascii="Arial" w:cs="Arial" w:eastAsia="Arial" w:hAnsi="Arial"/>
                <w:sz w:val="17"/>
                <w:szCs w:val="17"/>
                <w:color w:val="auto"/>
              </w:rPr>
              <w:t>Other intangible assets, net</w:t>
            </w:r>
          </w:p>
        </w:tc>
        <w:tc>
          <w:tcPr>
            <w:tcW w:w="400" w:type="dxa"/>
            <w:vAlign w:val="bottom"/>
          </w:tcPr>
          <w:p>
            <w:pPr>
              <w:spacing w:after="0"/>
              <w:rPr>
                <w:sz w:val="16"/>
                <w:szCs w:val="16"/>
                <w:color w:val="auto"/>
              </w:rPr>
            </w:pPr>
          </w:p>
        </w:tc>
        <w:tc>
          <w:tcPr>
            <w:tcW w:w="1300" w:type="dxa"/>
            <w:vAlign w:val="bottom"/>
          </w:tcPr>
          <w:p>
            <w:pPr>
              <w:jc w:val="right"/>
              <w:ind w:right="95"/>
              <w:spacing w:after="0" w:line="189" w:lineRule="exact"/>
              <w:rPr>
                <w:sz w:val="20"/>
                <w:szCs w:val="20"/>
                <w:color w:val="auto"/>
              </w:rPr>
            </w:pPr>
            <w:r>
              <w:rPr>
                <w:rFonts w:ascii="Arial" w:cs="Arial" w:eastAsia="Arial" w:hAnsi="Arial"/>
                <w:sz w:val="17"/>
                <w:szCs w:val="17"/>
                <w:b w:val="1"/>
                <w:bCs w:val="1"/>
                <w:color w:val="auto"/>
              </w:rPr>
              <w:t>21</w:t>
            </w:r>
          </w:p>
        </w:tc>
        <w:tc>
          <w:tcPr>
            <w:tcW w:w="320" w:type="dxa"/>
            <w:vAlign w:val="bottom"/>
          </w:tcPr>
          <w:p>
            <w:pPr>
              <w:spacing w:after="0"/>
              <w:rPr>
                <w:sz w:val="16"/>
                <w:szCs w:val="16"/>
                <w:color w:val="auto"/>
              </w:rPr>
            </w:pPr>
          </w:p>
        </w:tc>
        <w:tc>
          <w:tcPr>
            <w:tcW w:w="1320" w:type="dxa"/>
            <w:vAlign w:val="bottom"/>
          </w:tcPr>
          <w:p>
            <w:pPr>
              <w:jc w:val="right"/>
              <w:ind w:right="95"/>
              <w:spacing w:after="0" w:line="189" w:lineRule="exact"/>
              <w:rPr>
                <w:sz w:val="20"/>
                <w:szCs w:val="20"/>
                <w:color w:val="auto"/>
              </w:rPr>
            </w:pPr>
            <w:r>
              <w:rPr>
                <w:rFonts w:ascii="Arial" w:cs="Arial" w:eastAsia="Arial" w:hAnsi="Arial"/>
                <w:sz w:val="17"/>
                <w:szCs w:val="17"/>
                <w:color w:val="auto"/>
              </w:rPr>
              <w:t>41</w:t>
            </w:r>
          </w:p>
        </w:tc>
        <w:tc>
          <w:tcPr>
            <w:tcW w:w="30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6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Other assets</w:t>
            </w:r>
          </w:p>
        </w:tc>
        <w:tc>
          <w:tcPr>
            <w:tcW w:w="40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ind w:right="95"/>
              <w:spacing w:after="0" w:line="189" w:lineRule="exact"/>
              <w:rPr>
                <w:sz w:val="20"/>
                <w:szCs w:val="20"/>
                <w:color w:val="auto"/>
              </w:rPr>
            </w:pPr>
            <w:r>
              <w:rPr>
                <w:rFonts w:ascii="Arial" w:cs="Arial" w:eastAsia="Arial" w:hAnsi="Arial"/>
                <w:sz w:val="17"/>
                <w:szCs w:val="17"/>
                <w:b w:val="1"/>
                <w:bCs w:val="1"/>
                <w:color w:val="auto"/>
              </w:rPr>
              <w:t>233</w:t>
            </w:r>
          </w:p>
        </w:tc>
        <w:tc>
          <w:tcPr>
            <w:tcW w:w="32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159</w:t>
            </w:r>
          </w:p>
        </w:tc>
        <w:tc>
          <w:tcPr>
            <w:tcW w:w="3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b w:val="1"/>
                <w:bCs w:val="1"/>
                <w:color w:val="auto"/>
              </w:rPr>
              <w:t>$</w:t>
            </w:r>
          </w:p>
        </w:tc>
        <w:tc>
          <w:tcPr>
            <w:tcW w:w="1300" w:type="dxa"/>
            <w:vAlign w:val="bottom"/>
            <w:tcBorders>
              <w:bottom w:val="single" w:sz="8" w:color="auto"/>
            </w:tcBorders>
          </w:tcPr>
          <w:p>
            <w:pPr>
              <w:jc w:val="right"/>
              <w:ind w:right="95"/>
              <w:spacing w:after="0" w:line="183" w:lineRule="exact"/>
              <w:rPr>
                <w:sz w:val="20"/>
                <w:szCs w:val="20"/>
                <w:color w:val="auto"/>
              </w:rPr>
            </w:pPr>
            <w:r>
              <w:rPr>
                <w:rFonts w:ascii="Arial" w:cs="Arial" w:eastAsia="Arial" w:hAnsi="Arial"/>
                <w:sz w:val="17"/>
                <w:szCs w:val="17"/>
                <w:b w:val="1"/>
                <w:bCs w:val="1"/>
                <w:color w:val="auto"/>
              </w:rPr>
              <w:t>6,720</w:t>
            </w:r>
          </w:p>
        </w:tc>
        <w:tc>
          <w:tcPr>
            <w:tcW w:w="320" w:type="dxa"/>
            <w:vAlign w:val="bottom"/>
            <w:tcBorders>
              <w:bottom w:val="single" w:sz="8" w:color="auto"/>
            </w:tcBorders>
          </w:tcPr>
          <w:p>
            <w:pPr>
              <w:jc w:val="right"/>
              <w:ind w:right="15"/>
              <w:spacing w:after="0" w:line="183" w:lineRule="exact"/>
              <w:rPr>
                <w:sz w:val="20"/>
                <w:szCs w:val="20"/>
                <w:color w:val="auto"/>
              </w:rPr>
            </w:pPr>
            <w:r>
              <w:rPr>
                <w:rFonts w:ascii="Arial" w:cs="Arial" w:eastAsia="Arial" w:hAnsi="Arial"/>
                <w:sz w:val="17"/>
                <w:szCs w:val="17"/>
                <w:b w:val="1"/>
                <w:bCs w:val="1"/>
                <w:color w:val="auto"/>
              </w:rPr>
              <w:t>$</w:t>
            </w:r>
          </w:p>
        </w:tc>
        <w:tc>
          <w:tcPr>
            <w:tcW w:w="1320" w:type="dxa"/>
            <w:vAlign w:val="bottom"/>
            <w:tcBorders>
              <w:bottom w:val="single" w:sz="8" w:color="auto"/>
            </w:tcBorders>
          </w:tcPr>
          <w:p>
            <w:pPr>
              <w:jc w:val="right"/>
              <w:ind w:right="95"/>
              <w:spacing w:after="0" w:line="183" w:lineRule="exact"/>
              <w:rPr>
                <w:sz w:val="20"/>
                <w:szCs w:val="20"/>
                <w:color w:val="auto"/>
              </w:rPr>
            </w:pPr>
            <w:r>
              <w:rPr>
                <w:rFonts w:ascii="Arial" w:cs="Arial" w:eastAsia="Arial" w:hAnsi="Arial"/>
                <w:sz w:val="17"/>
                <w:szCs w:val="17"/>
                <w:color w:val="auto"/>
              </w:rPr>
              <w:t>3,832</w:t>
            </w:r>
          </w:p>
        </w:tc>
        <w:tc>
          <w:tcPr>
            <w:tcW w:w="3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3,820</w:t>
            </w:r>
          </w:p>
        </w:tc>
        <w:tc>
          <w:tcPr>
            <w:tcW w:w="0" w:type="dxa"/>
            <w:vAlign w:val="bottom"/>
          </w:tcPr>
          <w:p>
            <w:pPr>
              <w:spacing w:after="0"/>
              <w:rPr>
                <w:sz w:val="1"/>
                <w:szCs w:val="1"/>
                <w:color w:val="auto"/>
              </w:rPr>
            </w:pPr>
          </w:p>
        </w:tc>
      </w:tr>
      <w:tr>
        <w:trPr>
          <w:trHeight w:val="170"/>
        </w:trPr>
        <w:tc>
          <w:tcPr>
            <w:tcW w:w="20" w:type="dxa"/>
            <w:vAlign w:val="bottom"/>
            <w:vMerge w:val="restart"/>
          </w:tcPr>
          <w:p>
            <w:pPr>
              <w:spacing w:after="0"/>
              <w:rPr>
                <w:sz w:val="14"/>
                <w:szCs w:val="14"/>
                <w:color w:val="auto"/>
              </w:rPr>
            </w:pPr>
          </w:p>
        </w:tc>
        <w:tc>
          <w:tcPr>
            <w:tcW w:w="41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160" w:type="dxa"/>
            <w:vAlign w:val="bottom"/>
          </w:tcPr>
          <w:p>
            <w:pPr>
              <w:spacing w:after="0" w:line="189" w:lineRule="exact"/>
              <w:rPr>
                <w:sz w:val="20"/>
                <w:szCs w:val="20"/>
                <w:color w:val="auto"/>
              </w:rPr>
            </w:pPr>
            <w:r>
              <w:rPr>
                <w:rFonts w:ascii="Arial" w:cs="Arial" w:eastAsia="Arial" w:hAnsi="Arial"/>
                <w:sz w:val="17"/>
                <w:szCs w:val="17"/>
                <w:b w:val="1"/>
                <w:bCs w:val="1"/>
                <w:color w:val="auto"/>
              </w:rPr>
              <w:t>LIABILITIES AND SHAREHOLDERS’ EQUITY</w:t>
            </w: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1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160" w:type="dxa"/>
            <w:vAlign w:val="bottom"/>
          </w:tcPr>
          <w:p>
            <w:pPr>
              <w:spacing w:after="0" w:line="189" w:lineRule="exact"/>
              <w:rPr>
                <w:sz w:val="20"/>
                <w:szCs w:val="20"/>
                <w:color w:val="auto"/>
              </w:rPr>
            </w:pPr>
            <w:r>
              <w:rPr>
                <w:rFonts w:ascii="Arial" w:cs="Arial" w:eastAsia="Arial" w:hAnsi="Arial"/>
                <w:sz w:val="17"/>
                <w:szCs w:val="17"/>
                <w:color w:val="auto"/>
              </w:rPr>
              <w:t>Current liabilities:</w:t>
            </w: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60" w:type="dxa"/>
            <w:vAlign w:val="bottom"/>
            <w:shd w:val="clear" w:color="auto" w:fill="CCEEFF"/>
          </w:tcPr>
          <w:p>
            <w:pPr>
              <w:ind w:left="100"/>
              <w:spacing w:after="0" w:line="189" w:lineRule="exact"/>
              <w:rPr>
                <w:sz w:val="20"/>
                <w:szCs w:val="20"/>
                <w:color w:val="auto"/>
              </w:rPr>
            </w:pPr>
            <w:r>
              <w:rPr>
                <w:rFonts w:ascii="Arial" w:cs="Arial" w:eastAsia="Arial" w:hAnsi="Arial"/>
                <w:sz w:val="17"/>
                <w:szCs w:val="17"/>
                <w:color w:val="auto"/>
              </w:rPr>
              <w:t>Accounts payable</w:t>
            </w:r>
          </w:p>
        </w:tc>
        <w:tc>
          <w:tcPr>
            <w:tcW w:w="40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w:t>
            </w:r>
          </w:p>
        </w:tc>
        <w:tc>
          <w:tcPr>
            <w:tcW w:w="130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b w:val="1"/>
                <w:bCs w:val="1"/>
                <w:color w:val="auto"/>
              </w:rPr>
              <w:t>420</w:t>
            </w:r>
          </w:p>
        </w:tc>
        <w:tc>
          <w:tcPr>
            <w:tcW w:w="32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b w:val="1"/>
                <w:bCs w:val="1"/>
                <w:color w:val="auto"/>
              </w:rPr>
              <w:t>$</w:t>
            </w:r>
          </w:p>
        </w:tc>
        <w:tc>
          <w:tcPr>
            <w:tcW w:w="132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408</w:t>
            </w:r>
          </w:p>
        </w:tc>
        <w:tc>
          <w:tcPr>
            <w:tcW w:w="3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387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60" w:type="dxa"/>
            <w:vAlign w:val="bottom"/>
          </w:tcPr>
          <w:p>
            <w:pPr>
              <w:ind w:left="100"/>
              <w:spacing w:after="0" w:line="189" w:lineRule="exact"/>
              <w:rPr>
                <w:sz w:val="20"/>
                <w:szCs w:val="20"/>
                <w:color w:val="auto"/>
              </w:rPr>
            </w:pPr>
            <w:r>
              <w:rPr>
                <w:rFonts w:ascii="Arial" w:cs="Arial" w:eastAsia="Arial" w:hAnsi="Arial"/>
                <w:sz w:val="17"/>
                <w:szCs w:val="17"/>
                <w:color w:val="auto"/>
              </w:rPr>
              <w:t>Accrued and other liabilities</w:t>
            </w:r>
          </w:p>
        </w:tc>
        <w:tc>
          <w:tcPr>
            <w:tcW w:w="400" w:type="dxa"/>
            <w:vAlign w:val="bottom"/>
          </w:tcPr>
          <w:p>
            <w:pPr>
              <w:spacing w:after="0"/>
              <w:rPr>
                <w:sz w:val="16"/>
                <w:szCs w:val="16"/>
                <w:color w:val="auto"/>
              </w:rPr>
            </w:pPr>
          </w:p>
        </w:tc>
        <w:tc>
          <w:tcPr>
            <w:tcW w:w="1300" w:type="dxa"/>
            <w:vAlign w:val="bottom"/>
          </w:tcPr>
          <w:p>
            <w:pPr>
              <w:jc w:val="right"/>
              <w:ind w:right="95"/>
              <w:spacing w:after="0" w:line="189" w:lineRule="exact"/>
              <w:rPr>
                <w:sz w:val="20"/>
                <w:szCs w:val="20"/>
                <w:color w:val="auto"/>
              </w:rPr>
            </w:pPr>
            <w:r>
              <w:rPr>
                <w:rFonts w:ascii="Arial" w:cs="Arial" w:eastAsia="Arial" w:hAnsi="Arial"/>
                <w:sz w:val="17"/>
                <w:szCs w:val="17"/>
                <w:b w:val="1"/>
                <w:bCs w:val="1"/>
                <w:color w:val="auto"/>
              </w:rPr>
              <w:t>312</w:t>
            </w:r>
          </w:p>
        </w:tc>
        <w:tc>
          <w:tcPr>
            <w:tcW w:w="320" w:type="dxa"/>
            <w:vAlign w:val="bottom"/>
          </w:tcPr>
          <w:p>
            <w:pPr>
              <w:spacing w:after="0"/>
              <w:rPr>
                <w:sz w:val="16"/>
                <w:szCs w:val="16"/>
                <w:color w:val="auto"/>
              </w:rPr>
            </w:pPr>
          </w:p>
        </w:tc>
        <w:tc>
          <w:tcPr>
            <w:tcW w:w="1320" w:type="dxa"/>
            <w:vAlign w:val="bottom"/>
          </w:tcPr>
          <w:p>
            <w:pPr>
              <w:jc w:val="right"/>
              <w:ind w:right="95"/>
              <w:spacing w:after="0" w:line="189" w:lineRule="exact"/>
              <w:rPr>
                <w:sz w:val="20"/>
                <w:szCs w:val="20"/>
                <w:color w:val="auto"/>
              </w:rPr>
            </w:pPr>
            <w:r>
              <w:rPr>
                <w:rFonts w:ascii="Arial" w:cs="Arial" w:eastAsia="Arial" w:hAnsi="Arial"/>
                <w:sz w:val="17"/>
                <w:szCs w:val="17"/>
                <w:color w:val="auto"/>
              </w:rPr>
              <w:t>313</w:t>
            </w:r>
          </w:p>
        </w:tc>
        <w:tc>
          <w:tcPr>
            <w:tcW w:w="30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7"/>
                <w:szCs w:val="17"/>
                <w:color w:val="auto"/>
              </w:rPr>
              <w:t>377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60" w:type="dxa"/>
            <w:vAlign w:val="bottom"/>
            <w:tcBorders>
              <w:bottom w:val="single" w:sz="8" w:color="auto"/>
            </w:tcBorders>
            <w:shd w:val="clear" w:color="auto" w:fill="CCEEFF"/>
          </w:tcPr>
          <w:p>
            <w:pPr>
              <w:ind w:left="100"/>
              <w:spacing w:after="0" w:line="189" w:lineRule="exact"/>
              <w:rPr>
                <w:sz w:val="20"/>
                <w:szCs w:val="20"/>
                <w:color w:val="auto"/>
              </w:rPr>
            </w:pPr>
            <w:r>
              <w:rPr>
                <w:rFonts w:ascii="Arial" w:cs="Arial" w:eastAsia="Arial" w:hAnsi="Arial"/>
                <w:sz w:val="17"/>
                <w:szCs w:val="17"/>
                <w:color w:val="auto"/>
              </w:rPr>
              <w:t>Current portion of lease obligations</w:t>
            </w:r>
          </w:p>
        </w:tc>
        <w:tc>
          <w:tcPr>
            <w:tcW w:w="40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ind w:right="95"/>
              <w:spacing w:after="0" w:line="189" w:lineRule="exact"/>
              <w:rPr>
                <w:sz w:val="20"/>
                <w:szCs w:val="20"/>
                <w:color w:val="auto"/>
              </w:rPr>
            </w:pPr>
            <w:r>
              <w:rPr>
                <w:rFonts w:ascii="Arial" w:cs="Arial" w:eastAsia="Arial" w:hAnsi="Arial"/>
                <w:sz w:val="17"/>
                <w:szCs w:val="17"/>
                <w:b w:val="1"/>
                <w:bCs w:val="1"/>
                <w:color w:val="auto"/>
              </w:rPr>
              <w:t>497</w:t>
            </w:r>
          </w:p>
        </w:tc>
        <w:tc>
          <w:tcPr>
            <w:tcW w:w="32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ind w:right="95"/>
              <w:spacing w:after="0" w:line="183" w:lineRule="exact"/>
              <w:rPr>
                <w:sz w:val="20"/>
                <w:szCs w:val="20"/>
                <w:color w:val="auto"/>
              </w:rPr>
            </w:pPr>
            <w:r>
              <w:rPr>
                <w:rFonts w:ascii="Arial" w:cs="Arial" w:eastAsia="Arial" w:hAnsi="Arial"/>
                <w:sz w:val="17"/>
                <w:szCs w:val="17"/>
                <w:b w:val="1"/>
                <w:bCs w:val="1"/>
                <w:color w:val="auto"/>
              </w:rPr>
              <w:t>1,229</w:t>
            </w:r>
          </w:p>
        </w:tc>
        <w:tc>
          <w:tcPr>
            <w:tcW w:w="320" w:type="dxa"/>
            <w:vAlign w:val="bottom"/>
          </w:tcPr>
          <w:p>
            <w:pPr>
              <w:spacing w:after="0"/>
              <w:rPr>
                <w:sz w:val="15"/>
                <w:szCs w:val="15"/>
                <w:color w:val="auto"/>
              </w:rPr>
            </w:pPr>
          </w:p>
        </w:tc>
        <w:tc>
          <w:tcPr>
            <w:tcW w:w="1320" w:type="dxa"/>
            <w:vAlign w:val="bottom"/>
          </w:tcPr>
          <w:p>
            <w:pPr>
              <w:jc w:val="right"/>
              <w:ind w:right="95"/>
              <w:spacing w:after="0" w:line="183" w:lineRule="exact"/>
              <w:rPr>
                <w:sz w:val="20"/>
                <w:szCs w:val="20"/>
                <w:color w:val="auto"/>
              </w:rPr>
            </w:pPr>
            <w:r>
              <w:rPr>
                <w:rFonts w:ascii="Arial" w:cs="Arial" w:eastAsia="Arial" w:hAnsi="Arial"/>
                <w:sz w:val="17"/>
                <w:szCs w:val="17"/>
                <w:color w:val="auto"/>
              </w:rPr>
              <w:t>721</w:t>
            </w:r>
          </w:p>
        </w:tc>
        <w:tc>
          <w:tcPr>
            <w:tcW w:w="300" w:type="dxa"/>
            <w:vAlign w:val="bottom"/>
          </w:tcPr>
          <w:p>
            <w:pPr>
              <w:spacing w:after="0"/>
              <w:rPr>
                <w:sz w:val="15"/>
                <w:szCs w:val="15"/>
                <w:color w:val="auto"/>
              </w:rPr>
            </w:pPr>
          </w:p>
        </w:tc>
        <w:tc>
          <w:tcPr>
            <w:tcW w:w="1240" w:type="dxa"/>
            <w:vAlign w:val="bottom"/>
          </w:tcPr>
          <w:p>
            <w:pPr>
              <w:jc w:val="right"/>
              <w:spacing w:after="0" w:line="183" w:lineRule="exact"/>
              <w:rPr>
                <w:sz w:val="20"/>
                <w:szCs w:val="20"/>
                <w:color w:val="auto"/>
              </w:rPr>
            </w:pPr>
            <w:r>
              <w:rPr>
                <w:rFonts w:ascii="Arial" w:cs="Arial" w:eastAsia="Arial" w:hAnsi="Arial"/>
                <w:sz w:val="17"/>
                <w:szCs w:val="17"/>
                <w:color w:val="auto"/>
              </w:rPr>
              <w:t>764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Long-term debt</w:t>
            </w:r>
          </w:p>
        </w:tc>
        <w:tc>
          <w:tcPr>
            <w:tcW w:w="40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b w:val="1"/>
                <w:bCs w:val="1"/>
                <w:color w:val="auto"/>
              </w:rPr>
              <w:t>123</w:t>
            </w:r>
          </w:p>
        </w:tc>
        <w:tc>
          <w:tcPr>
            <w:tcW w:w="32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124</w:t>
            </w:r>
          </w:p>
        </w:tc>
        <w:tc>
          <w:tcPr>
            <w:tcW w:w="3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124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60" w:type="dxa"/>
            <w:vAlign w:val="bottom"/>
          </w:tcPr>
          <w:p>
            <w:pPr>
              <w:spacing w:after="0" w:line="189" w:lineRule="exact"/>
              <w:rPr>
                <w:sz w:val="20"/>
                <w:szCs w:val="20"/>
                <w:color w:val="auto"/>
              </w:rPr>
            </w:pPr>
            <w:r>
              <w:rPr>
                <w:rFonts w:ascii="Arial" w:cs="Arial" w:eastAsia="Arial" w:hAnsi="Arial"/>
                <w:sz w:val="17"/>
                <w:szCs w:val="17"/>
                <w:color w:val="auto"/>
              </w:rPr>
              <w:t>Long-term lease obligations</w:t>
            </w:r>
          </w:p>
        </w:tc>
        <w:tc>
          <w:tcPr>
            <w:tcW w:w="400" w:type="dxa"/>
            <w:vAlign w:val="bottom"/>
          </w:tcPr>
          <w:p>
            <w:pPr>
              <w:spacing w:after="0"/>
              <w:rPr>
                <w:sz w:val="16"/>
                <w:szCs w:val="16"/>
                <w:color w:val="auto"/>
              </w:rPr>
            </w:pPr>
          </w:p>
        </w:tc>
        <w:tc>
          <w:tcPr>
            <w:tcW w:w="1300" w:type="dxa"/>
            <w:vAlign w:val="bottom"/>
          </w:tcPr>
          <w:p>
            <w:pPr>
              <w:jc w:val="right"/>
              <w:ind w:right="95"/>
              <w:spacing w:after="0" w:line="189" w:lineRule="exact"/>
              <w:rPr>
                <w:sz w:val="20"/>
                <w:szCs w:val="20"/>
                <w:color w:val="auto"/>
              </w:rPr>
            </w:pPr>
            <w:r>
              <w:rPr>
                <w:rFonts w:ascii="Arial" w:cs="Arial" w:eastAsia="Arial" w:hAnsi="Arial"/>
                <w:sz w:val="17"/>
                <w:szCs w:val="17"/>
                <w:b w:val="1"/>
                <w:bCs w:val="1"/>
                <w:color w:val="auto"/>
              </w:rPr>
              <w:t>2,750</w:t>
            </w:r>
          </w:p>
        </w:tc>
        <w:tc>
          <w:tcPr>
            <w:tcW w:w="320" w:type="dxa"/>
            <w:vAlign w:val="bottom"/>
          </w:tcPr>
          <w:p>
            <w:pPr>
              <w:spacing w:after="0"/>
              <w:rPr>
                <w:sz w:val="16"/>
                <w:szCs w:val="16"/>
                <w:color w:val="auto"/>
              </w:rPr>
            </w:pPr>
          </w:p>
        </w:tc>
        <w:tc>
          <w:tcPr>
            <w:tcW w:w="1320" w:type="dxa"/>
            <w:vAlign w:val="bottom"/>
          </w:tcPr>
          <w:p>
            <w:pPr>
              <w:jc w:val="right"/>
              <w:ind w:right="95"/>
              <w:spacing w:after="0" w:line="189" w:lineRule="exact"/>
              <w:rPr>
                <w:sz w:val="20"/>
                <w:szCs w:val="20"/>
                <w:color w:val="auto"/>
              </w:rPr>
            </w:pPr>
            <w:r>
              <w:rPr>
                <w:rFonts w:ascii="Arial" w:cs="Arial" w:eastAsia="Arial" w:hAnsi="Arial"/>
                <w:sz w:val="17"/>
                <w:szCs w:val="17"/>
                <w:color w:val="auto"/>
              </w:rPr>
              <w:t>—</w:t>
            </w:r>
          </w:p>
        </w:tc>
        <w:tc>
          <w:tcPr>
            <w:tcW w:w="30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6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Other liabilities</w:t>
            </w:r>
          </w:p>
        </w:tc>
        <w:tc>
          <w:tcPr>
            <w:tcW w:w="40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ind w:right="95"/>
              <w:spacing w:after="0" w:line="189" w:lineRule="exact"/>
              <w:rPr>
                <w:sz w:val="20"/>
                <w:szCs w:val="20"/>
                <w:color w:val="auto"/>
              </w:rPr>
            </w:pPr>
            <w:r>
              <w:rPr>
                <w:rFonts w:ascii="Arial" w:cs="Arial" w:eastAsia="Arial" w:hAnsi="Arial"/>
                <w:sz w:val="17"/>
                <w:szCs w:val="17"/>
                <w:b w:val="1"/>
                <w:bCs w:val="1"/>
                <w:color w:val="auto"/>
              </w:rPr>
              <w:t>106</w:t>
            </w:r>
          </w:p>
        </w:tc>
        <w:tc>
          <w:tcPr>
            <w:tcW w:w="32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505</w:t>
            </w:r>
          </w:p>
        </w:tc>
        <w:tc>
          <w:tcPr>
            <w:tcW w:w="3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426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160" w:type="dxa"/>
            <w:vAlign w:val="bottom"/>
          </w:tcPr>
          <w:p>
            <w:pPr>
              <w:spacing w:after="0" w:line="183" w:lineRule="exact"/>
              <w:rPr>
                <w:sz w:val="20"/>
                <w:szCs w:val="20"/>
                <w:color w:val="auto"/>
              </w:rPr>
            </w:pPr>
            <w:r>
              <w:rPr>
                <w:rFonts w:ascii="Arial" w:cs="Arial" w:eastAsia="Arial" w:hAnsi="Arial"/>
                <w:sz w:val="17"/>
                <w:szCs w:val="17"/>
                <w:color w:val="auto"/>
              </w:rPr>
              <w:t>Total liabilities</w:t>
            </w:r>
          </w:p>
        </w:tc>
        <w:tc>
          <w:tcPr>
            <w:tcW w:w="400" w:type="dxa"/>
            <w:vAlign w:val="bottom"/>
          </w:tcPr>
          <w:p>
            <w:pPr>
              <w:spacing w:after="0"/>
              <w:rPr>
                <w:sz w:val="15"/>
                <w:szCs w:val="15"/>
                <w:color w:val="auto"/>
              </w:rPr>
            </w:pPr>
          </w:p>
        </w:tc>
        <w:tc>
          <w:tcPr>
            <w:tcW w:w="1300" w:type="dxa"/>
            <w:vAlign w:val="bottom"/>
          </w:tcPr>
          <w:p>
            <w:pPr>
              <w:jc w:val="right"/>
              <w:ind w:right="95"/>
              <w:spacing w:after="0" w:line="183" w:lineRule="exact"/>
              <w:rPr>
                <w:sz w:val="20"/>
                <w:szCs w:val="20"/>
                <w:color w:val="auto"/>
              </w:rPr>
            </w:pPr>
            <w:r>
              <w:rPr>
                <w:rFonts w:ascii="Arial" w:cs="Arial" w:eastAsia="Arial" w:hAnsi="Arial"/>
                <w:sz w:val="17"/>
                <w:szCs w:val="17"/>
                <w:b w:val="1"/>
                <w:bCs w:val="1"/>
                <w:color w:val="auto"/>
              </w:rPr>
              <w:t>4,208</w:t>
            </w:r>
          </w:p>
        </w:tc>
        <w:tc>
          <w:tcPr>
            <w:tcW w:w="320" w:type="dxa"/>
            <w:vAlign w:val="bottom"/>
          </w:tcPr>
          <w:p>
            <w:pPr>
              <w:spacing w:after="0"/>
              <w:rPr>
                <w:sz w:val="15"/>
                <w:szCs w:val="15"/>
                <w:color w:val="auto"/>
              </w:rPr>
            </w:pPr>
          </w:p>
        </w:tc>
        <w:tc>
          <w:tcPr>
            <w:tcW w:w="1320" w:type="dxa"/>
            <w:vAlign w:val="bottom"/>
          </w:tcPr>
          <w:p>
            <w:pPr>
              <w:jc w:val="right"/>
              <w:ind w:right="95"/>
              <w:spacing w:after="0" w:line="183" w:lineRule="exact"/>
              <w:rPr>
                <w:sz w:val="20"/>
                <w:szCs w:val="20"/>
                <w:color w:val="auto"/>
              </w:rPr>
            </w:pPr>
            <w:r>
              <w:rPr>
                <w:rFonts w:ascii="Arial" w:cs="Arial" w:eastAsia="Arial" w:hAnsi="Arial"/>
                <w:sz w:val="17"/>
                <w:szCs w:val="17"/>
                <w:color w:val="auto"/>
              </w:rPr>
              <w:t>1,350</w:t>
            </w:r>
          </w:p>
        </w:tc>
        <w:tc>
          <w:tcPr>
            <w:tcW w:w="300" w:type="dxa"/>
            <w:vAlign w:val="bottom"/>
          </w:tcPr>
          <w:p>
            <w:pPr>
              <w:spacing w:after="0"/>
              <w:rPr>
                <w:sz w:val="15"/>
                <w:szCs w:val="15"/>
                <w:color w:val="auto"/>
              </w:rPr>
            </w:pPr>
          </w:p>
        </w:tc>
        <w:tc>
          <w:tcPr>
            <w:tcW w:w="1240" w:type="dxa"/>
            <w:vAlign w:val="bottom"/>
          </w:tcPr>
          <w:p>
            <w:pPr>
              <w:jc w:val="right"/>
              <w:spacing w:after="0" w:line="183" w:lineRule="exact"/>
              <w:rPr>
                <w:sz w:val="20"/>
                <w:szCs w:val="20"/>
                <w:color w:val="auto"/>
              </w:rPr>
            </w:pPr>
            <w:r>
              <w:rPr>
                <w:rFonts w:ascii="Arial" w:cs="Arial" w:eastAsia="Arial" w:hAnsi="Arial"/>
                <w:sz w:val="17"/>
                <w:szCs w:val="17"/>
                <w:color w:val="auto"/>
              </w:rPr>
              <w:t>1,314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Shareholders’ equity:</w:t>
            </w:r>
          </w:p>
        </w:tc>
        <w:tc>
          <w:tcPr>
            <w:tcW w:w="4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160" w:type="dxa"/>
            <w:vAlign w:val="bottom"/>
          </w:tcPr>
          <w:p>
            <w:pPr>
              <w:ind w:left="100"/>
              <w:spacing w:after="0" w:line="183" w:lineRule="exact"/>
              <w:rPr>
                <w:sz w:val="20"/>
                <w:szCs w:val="20"/>
                <w:color w:val="auto"/>
              </w:rPr>
            </w:pPr>
            <w:r>
              <w:rPr>
                <w:rFonts w:ascii="Arial" w:cs="Arial" w:eastAsia="Arial" w:hAnsi="Arial"/>
                <w:sz w:val="17"/>
                <w:szCs w:val="17"/>
                <w:color w:val="auto"/>
              </w:rPr>
              <w:t>Common stock and paid-in capital: 113,199,460;</w:t>
            </w: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60" w:type="dxa"/>
            <w:vAlign w:val="bottom"/>
          </w:tcPr>
          <w:p>
            <w:pPr>
              <w:ind w:left="260"/>
              <w:spacing w:after="0" w:line="189" w:lineRule="exact"/>
              <w:rPr>
                <w:sz w:val="20"/>
                <w:szCs w:val="20"/>
                <w:color w:val="auto"/>
              </w:rPr>
            </w:pPr>
            <w:r>
              <w:rPr>
                <w:rFonts w:ascii="Arial" w:cs="Arial" w:eastAsia="Arial" w:hAnsi="Arial"/>
                <w:sz w:val="17"/>
                <w:szCs w:val="17"/>
                <w:color w:val="auto"/>
              </w:rPr>
              <w:t>121,497,470; and 112,932,605 shares</w:t>
            </w:r>
          </w:p>
        </w:tc>
        <w:tc>
          <w:tcPr>
            <w:tcW w:w="400" w:type="dxa"/>
            <w:vAlign w:val="bottom"/>
          </w:tcPr>
          <w:p>
            <w:pPr>
              <w:spacing w:after="0"/>
              <w:rPr>
                <w:sz w:val="16"/>
                <w:szCs w:val="16"/>
                <w:color w:val="auto"/>
              </w:rPr>
            </w:pPr>
          </w:p>
        </w:tc>
        <w:tc>
          <w:tcPr>
            <w:tcW w:w="1300" w:type="dxa"/>
            <w:vAlign w:val="bottom"/>
            <w:vMerge w:val="restart"/>
          </w:tcPr>
          <w:p>
            <w:pPr>
              <w:jc w:val="right"/>
              <w:ind w:right="95"/>
              <w:spacing w:after="0"/>
              <w:rPr>
                <w:sz w:val="20"/>
                <w:szCs w:val="20"/>
                <w:color w:val="auto"/>
              </w:rPr>
            </w:pPr>
            <w:r>
              <w:rPr>
                <w:rFonts w:ascii="Arial" w:cs="Arial" w:eastAsia="Arial" w:hAnsi="Arial"/>
                <w:sz w:val="17"/>
                <w:szCs w:val="17"/>
                <w:b w:val="1"/>
                <w:bCs w:val="1"/>
                <w:color w:val="auto"/>
              </w:rPr>
              <w:t>825</w:t>
            </w:r>
          </w:p>
        </w:tc>
        <w:tc>
          <w:tcPr>
            <w:tcW w:w="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160" w:type="dxa"/>
            <w:vAlign w:val="bottom"/>
          </w:tcPr>
          <w:p>
            <w:pPr>
              <w:ind w:left="260"/>
              <w:spacing w:after="0"/>
              <w:rPr>
                <w:sz w:val="20"/>
                <w:szCs w:val="20"/>
                <w:color w:val="auto"/>
              </w:rPr>
            </w:pPr>
            <w:r>
              <w:rPr>
                <w:rFonts w:ascii="Arial" w:cs="Arial" w:eastAsia="Arial" w:hAnsi="Arial"/>
                <w:sz w:val="17"/>
                <w:szCs w:val="17"/>
                <w:color w:val="auto"/>
              </w:rPr>
              <w:t>outstanding, respectively</w:t>
            </w:r>
          </w:p>
        </w:tc>
        <w:tc>
          <w:tcPr>
            <w:tcW w:w="40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jc w:val="right"/>
              <w:ind w:right="95"/>
              <w:spacing w:after="0"/>
              <w:rPr>
                <w:sz w:val="20"/>
                <w:szCs w:val="20"/>
                <w:color w:val="auto"/>
              </w:rPr>
            </w:pPr>
            <w:r>
              <w:rPr>
                <w:rFonts w:ascii="Arial" w:cs="Arial" w:eastAsia="Arial" w:hAnsi="Arial"/>
                <w:sz w:val="17"/>
                <w:szCs w:val="17"/>
                <w:color w:val="auto"/>
              </w:rPr>
              <w:t>857</w:t>
            </w:r>
          </w:p>
        </w:tc>
        <w:tc>
          <w:tcPr>
            <w:tcW w:w="3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809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60" w:type="dxa"/>
            <w:vAlign w:val="bottom"/>
            <w:shd w:val="clear" w:color="auto" w:fill="CCEEFF"/>
          </w:tcPr>
          <w:p>
            <w:pPr>
              <w:ind w:left="100"/>
              <w:spacing w:after="0" w:line="189" w:lineRule="exact"/>
              <w:rPr>
                <w:sz w:val="20"/>
                <w:szCs w:val="20"/>
                <w:color w:val="auto"/>
              </w:rPr>
            </w:pPr>
            <w:r>
              <w:rPr>
                <w:rFonts w:ascii="Arial" w:cs="Arial" w:eastAsia="Arial" w:hAnsi="Arial"/>
                <w:sz w:val="17"/>
                <w:szCs w:val="17"/>
                <w:color w:val="auto"/>
              </w:rPr>
              <w:t>Retained earnings</w:t>
            </w:r>
          </w:p>
        </w:tc>
        <w:tc>
          <w:tcPr>
            <w:tcW w:w="40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b w:val="1"/>
                <w:bCs w:val="1"/>
                <w:color w:val="auto"/>
              </w:rPr>
              <w:t>2,226</w:t>
            </w:r>
          </w:p>
        </w:tc>
        <w:tc>
          <w:tcPr>
            <w:tcW w:w="32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2,232</w:t>
            </w:r>
          </w:p>
        </w:tc>
        <w:tc>
          <w:tcPr>
            <w:tcW w:w="3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2,104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60" w:type="dxa"/>
            <w:vAlign w:val="bottom"/>
          </w:tcPr>
          <w:p>
            <w:pPr>
              <w:ind w:left="100"/>
              <w:spacing w:after="0" w:line="189" w:lineRule="exact"/>
              <w:rPr>
                <w:sz w:val="20"/>
                <w:szCs w:val="20"/>
                <w:color w:val="auto"/>
              </w:rPr>
            </w:pPr>
            <w:r>
              <w:rPr>
                <w:rFonts w:ascii="Arial" w:cs="Arial" w:eastAsia="Arial" w:hAnsi="Arial"/>
                <w:sz w:val="17"/>
                <w:szCs w:val="17"/>
                <w:color w:val="auto"/>
              </w:rPr>
              <w:t>Accumulated other comprehensive loss</w:t>
            </w:r>
          </w:p>
        </w:tc>
        <w:tc>
          <w:tcPr>
            <w:tcW w:w="400" w:type="dxa"/>
            <w:vAlign w:val="bottom"/>
          </w:tcPr>
          <w:p>
            <w:pPr>
              <w:spacing w:after="0"/>
              <w:rPr>
                <w:sz w:val="16"/>
                <w:szCs w:val="16"/>
                <w:color w:val="auto"/>
              </w:rPr>
            </w:pPr>
          </w:p>
        </w:tc>
        <w:tc>
          <w:tcPr>
            <w:tcW w:w="1300" w:type="dxa"/>
            <w:vAlign w:val="bottom"/>
          </w:tcPr>
          <w:p>
            <w:pPr>
              <w:jc w:val="right"/>
              <w:ind w:right="35"/>
              <w:spacing w:after="0" w:line="189" w:lineRule="exact"/>
              <w:rPr>
                <w:sz w:val="20"/>
                <w:szCs w:val="20"/>
                <w:color w:val="auto"/>
              </w:rPr>
            </w:pPr>
            <w:r>
              <w:rPr>
                <w:rFonts w:ascii="Arial" w:cs="Arial" w:eastAsia="Arial" w:hAnsi="Arial"/>
                <w:sz w:val="17"/>
                <w:szCs w:val="17"/>
                <w:b w:val="1"/>
                <w:bCs w:val="1"/>
                <w:color w:val="auto"/>
              </w:rPr>
              <w:t>(384)</w:t>
            </w:r>
          </w:p>
        </w:tc>
        <w:tc>
          <w:tcPr>
            <w:tcW w:w="320" w:type="dxa"/>
            <w:vAlign w:val="bottom"/>
          </w:tcPr>
          <w:p>
            <w:pPr>
              <w:spacing w:after="0"/>
              <w:rPr>
                <w:sz w:val="16"/>
                <w:szCs w:val="16"/>
                <w:color w:val="auto"/>
              </w:rPr>
            </w:pPr>
          </w:p>
        </w:tc>
        <w:tc>
          <w:tcPr>
            <w:tcW w:w="1320" w:type="dxa"/>
            <w:vAlign w:val="bottom"/>
          </w:tcPr>
          <w:p>
            <w:pPr>
              <w:jc w:val="right"/>
              <w:ind w:right="35"/>
              <w:spacing w:after="0" w:line="189" w:lineRule="exact"/>
              <w:rPr>
                <w:sz w:val="20"/>
                <w:szCs w:val="20"/>
                <w:color w:val="auto"/>
              </w:rPr>
            </w:pPr>
            <w:r>
              <w:rPr>
                <w:rFonts w:ascii="Arial" w:cs="Arial" w:eastAsia="Arial" w:hAnsi="Arial"/>
                <w:sz w:val="17"/>
                <w:szCs w:val="17"/>
                <w:color w:val="auto"/>
              </w:rPr>
              <w:t>(340)</w:t>
            </w:r>
          </w:p>
        </w:tc>
        <w:tc>
          <w:tcPr>
            <w:tcW w:w="30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7"/>
                <w:szCs w:val="17"/>
                <w:color w:val="auto"/>
              </w:rPr>
              <w:t>(370)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160" w:type="dxa"/>
            <w:vAlign w:val="bottom"/>
            <w:shd w:val="clear" w:color="auto" w:fill="CCEEFF"/>
          </w:tcPr>
          <w:p>
            <w:pPr>
              <w:ind w:left="100"/>
              <w:spacing w:after="0" w:line="183" w:lineRule="exact"/>
              <w:rPr>
                <w:sz w:val="20"/>
                <w:szCs w:val="20"/>
                <w:color w:val="auto"/>
              </w:rPr>
            </w:pPr>
            <w:r>
              <w:rPr>
                <w:rFonts w:ascii="Arial" w:cs="Arial" w:eastAsia="Arial" w:hAnsi="Arial"/>
                <w:sz w:val="17"/>
                <w:szCs w:val="17"/>
                <w:color w:val="auto"/>
              </w:rPr>
              <w:t>Less: Treasury stock at cost: 3,578,395; 5,869,122;</w:t>
            </w:r>
          </w:p>
        </w:tc>
        <w:tc>
          <w:tcPr>
            <w:tcW w:w="40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(155)</w:t>
            </w:r>
          </w:p>
        </w:tc>
        <w:tc>
          <w:tcPr>
            <w:tcW w:w="3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16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7"/>
                <w:szCs w:val="17"/>
                <w:color w:val="auto"/>
              </w:rPr>
              <w:t>and 711,024 shares, respectively</w:t>
            </w:r>
          </w:p>
        </w:tc>
        <w:tc>
          <w:tcPr>
            <w:tcW w:w="40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vMerge w:val="continue"/>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(267)</w:t>
            </w:r>
          </w:p>
        </w:tc>
        <w:tc>
          <w:tcPr>
            <w:tcW w:w="3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16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Total shareholders' equity</w:t>
            </w: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95"/>
              <w:spacing w:after="0" w:line="183" w:lineRule="exact"/>
              <w:rPr>
                <w:sz w:val="20"/>
                <w:szCs w:val="20"/>
                <w:color w:val="auto"/>
              </w:rPr>
            </w:pPr>
            <w:r>
              <w:rPr>
                <w:rFonts w:ascii="Arial" w:cs="Arial" w:eastAsia="Arial" w:hAnsi="Arial"/>
                <w:sz w:val="17"/>
                <w:szCs w:val="17"/>
                <w:b w:val="1"/>
                <w:bCs w:val="1"/>
                <w:color w:val="auto"/>
              </w:rPr>
              <w:t>2,512</w:t>
            </w:r>
          </w:p>
        </w:tc>
        <w:tc>
          <w:tcPr>
            <w:tcW w:w="3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95"/>
              <w:spacing w:after="0" w:line="183" w:lineRule="exact"/>
              <w:rPr>
                <w:sz w:val="20"/>
                <w:szCs w:val="20"/>
                <w:color w:val="auto"/>
              </w:rPr>
            </w:pPr>
            <w:r>
              <w:rPr>
                <w:rFonts w:ascii="Arial" w:cs="Arial" w:eastAsia="Arial" w:hAnsi="Arial"/>
                <w:sz w:val="17"/>
                <w:szCs w:val="17"/>
                <w:color w:val="auto"/>
              </w:rPr>
              <w:t>2,482</w:t>
            </w:r>
          </w:p>
        </w:tc>
        <w:tc>
          <w:tcPr>
            <w:tcW w:w="3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2,506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16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w:t>
            </w:r>
          </w:p>
        </w:tc>
        <w:tc>
          <w:tcPr>
            <w:tcW w:w="1300" w:type="dxa"/>
            <w:vAlign w:val="bottom"/>
            <w:tcBorders>
              <w:bottom w:val="single" w:sz="8" w:color="auto"/>
            </w:tcBorders>
            <w:shd w:val="clear" w:color="auto" w:fill="CCEEFF"/>
          </w:tcPr>
          <w:p>
            <w:pPr>
              <w:jc w:val="right"/>
              <w:ind w:right="95"/>
              <w:spacing w:after="0" w:line="183" w:lineRule="exact"/>
              <w:rPr>
                <w:sz w:val="20"/>
                <w:szCs w:val="20"/>
                <w:color w:val="auto"/>
              </w:rPr>
            </w:pPr>
            <w:r>
              <w:rPr>
                <w:rFonts w:ascii="Arial" w:cs="Arial" w:eastAsia="Arial" w:hAnsi="Arial"/>
                <w:sz w:val="17"/>
                <w:szCs w:val="17"/>
                <w:b w:val="1"/>
                <w:bCs w:val="1"/>
                <w:color w:val="auto"/>
              </w:rPr>
              <w:t>6,720</w:t>
            </w:r>
          </w:p>
        </w:tc>
        <w:tc>
          <w:tcPr>
            <w:tcW w:w="32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b w:val="1"/>
                <w:bCs w:val="1"/>
                <w:color w:val="auto"/>
              </w:rPr>
              <w:t>$</w:t>
            </w:r>
          </w:p>
        </w:tc>
        <w:tc>
          <w:tcPr>
            <w:tcW w:w="1320" w:type="dxa"/>
            <w:vAlign w:val="bottom"/>
            <w:tcBorders>
              <w:bottom w:val="single" w:sz="8" w:color="auto"/>
            </w:tcBorders>
            <w:shd w:val="clear" w:color="auto" w:fill="CCEEFF"/>
          </w:tcPr>
          <w:p>
            <w:pPr>
              <w:jc w:val="right"/>
              <w:ind w:right="95"/>
              <w:spacing w:after="0" w:line="183" w:lineRule="exact"/>
              <w:rPr>
                <w:sz w:val="20"/>
                <w:szCs w:val="20"/>
                <w:color w:val="auto"/>
              </w:rPr>
            </w:pPr>
            <w:r>
              <w:rPr>
                <w:rFonts w:ascii="Arial" w:cs="Arial" w:eastAsia="Arial" w:hAnsi="Arial"/>
                <w:sz w:val="17"/>
                <w:szCs w:val="17"/>
                <w:color w:val="auto"/>
              </w:rPr>
              <w:t>3,832</w:t>
            </w:r>
          </w:p>
        </w:tc>
        <w:tc>
          <w:tcPr>
            <w:tcW w:w="3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3,820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ind w:left="340" w:hanging="331"/>
        <w:spacing w:after="0" w:line="247" w:lineRule="auto"/>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balance sheet at February 2, 2019 has been derived from the previously reported audited financial statements at that date, but does not include all of the information and footnotes required by U.S. generally accepted accounting principles for complete financial statements. For further information, refer to the consolidated financial statements and footnotes thereto included in Foot Locker, Inc.’s Annual Report on Form 10-K for the year ended February 2, 2019.</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jc w:val="center"/>
        <w:spacing w:after="0" w:line="234" w:lineRule="auto"/>
        <w:rPr>
          <w:sz w:val="20"/>
          <w:szCs w:val="20"/>
          <w:color w:val="auto"/>
        </w:rPr>
      </w:pPr>
      <w:r>
        <w:rPr>
          <w:rFonts w:ascii="Arial" w:cs="Arial" w:eastAsia="Arial" w:hAnsi="Arial"/>
          <w:sz w:val="18"/>
          <w:szCs w:val="18"/>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4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3"/>
          </w:tcPr>
          <w:p>
            <w:pPr>
              <w:jc w:val="right"/>
              <w:ind w:right="255"/>
              <w:spacing w:after="0"/>
              <w:rPr>
                <w:sz w:val="20"/>
                <w:szCs w:val="20"/>
                <w:color w:val="auto"/>
              </w:rPr>
            </w:pPr>
            <w:r>
              <w:rPr>
                <w:rFonts w:ascii="Arial" w:cs="Arial" w:eastAsia="Arial" w:hAnsi="Arial"/>
                <w:sz w:val="17"/>
                <w:szCs w:val="17"/>
                <w:b w:val="1"/>
                <w:bCs w:val="1"/>
                <w:color w:val="auto"/>
              </w:rPr>
              <w:t>Thirteen weeks ended</w:t>
            </w:r>
          </w:p>
        </w:tc>
        <w:tc>
          <w:tcPr>
            <w:tcW w:w="24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3"/>
          </w:tcPr>
          <w:p>
            <w:pPr>
              <w:jc w:val="right"/>
              <w:ind w:right="95"/>
              <w:spacing w:after="0"/>
              <w:rPr>
                <w:sz w:val="20"/>
                <w:szCs w:val="20"/>
                <w:color w:val="auto"/>
              </w:rPr>
            </w:pPr>
            <w:r>
              <w:rPr>
                <w:rFonts w:ascii="Arial" w:cs="Arial" w:eastAsia="Arial" w:hAnsi="Arial"/>
                <w:sz w:val="17"/>
                <w:szCs w:val="17"/>
                <w:b w:val="1"/>
                <w:bCs w:val="1"/>
                <w:color w:val="auto"/>
              </w:rPr>
              <w:t>Twenty-six weeks ended</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jc w:val="right"/>
              <w:ind w:right="35"/>
              <w:spacing w:after="0" w:line="157" w:lineRule="exact"/>
              <w:rPr>
                <w:sz w:val="20"/>
                <w:szCs w:val="20"/>
                <w:color w:val="auto"/>
              </w:rPr>
            </w:pPr>
            <w:r>
              <w:rPr>
                <w:rFonts w:ascii="Arial" w:cs="Arial" w:eastAsia="Arial" w:hAnsi="Arial"/>
                <w:sz w:val="17"/>
                <w:szCs w:val="17"/>
                <w:b w:val="1"/>
                <w:bCs w:val="1"/>
                <w:color w:val="auto"/>
              </w:rPr>
              <w:t>August 3,</w:t>
            </w:r>
          </w:p>
        </w:tc>
        <w:tc>
          <w:tcPr>
            <w:tcW w:w="340" w:type="dxa"/>
            <w:vAlign w:val="bottom"/>
          </w:tcPr>
          <w:p>
            <w:pPr>
              <w:spacing w:after="0"/>
              <w:rPr>
                <w:sz w:val="13"/>
                <w:szCs w:val="13"/>
                <w:color w:val="auto"/>
              </w:rPr>
            </w:pPr>
          </w:p>
        </w:tc>
        <w:tc>
          <w:tcPr>
            <w:tcW w:w="1020" w:type="dxa"/>
            <w:vAlign w:val="bottom"/>
          </w:tcPr>
          <w:p>
            <w:pPr>
              <w:jc w:val="right"/>
              <w:ind w:right="135"/>
              <w:spacing w:after="0" w:line="157" w:lineRule="exact"/>
              <w:rPr>
                <w:sz w:val="20"/>
                <w:szCs w:val="20"/>
                <w:color w:val="auto"/>
              </w:rPr>
            </w:pPr>
            <w:r>
              <w:rPr>
                <w:rFonts w:ascii="Arial" w:cs="Arial" w:eastAsia="Arial" w:hAnsi="Arial"/>
                <w:sz w:val="17"/>
                <w:szCs w:val="17"/>
                <w:b w:val="1"/>
                <w:bCs w:val="1"/>
                <w:color w:val="auto"/>
              </w:rPr>
              <w:t>August 4,</w:t>
            </w:r>
          </w:p>
        </w:tc>
        <w:tc>
          <w:tcPr>
            <w:tcW w:w="240" w:type="dxa"/>
            <w:vAlign w:val="bottom"/>
          </w:tcPr>
          <w:p>
            <w:pPr>
              <w:spacing w:after="0"/>
              <w:rPr>
                <w:sz w:val="13"/>
                <w:szCs w:val="13"/>
                <w:color w:val="auto"/>
              </w:rPr>
            </w:pPr>
          </w:p>
        </w:tc>
        <w:tc>
          <w:tcPr>
            <w:tcW w:w="1020" w:type="dxa"/>
            <w:vAlign w:val="bottom"/>
          </w:tcPr>
          <w:p>
            <w:pPr>
              <w:jc w:val="right"/>
              <w:ind w:right="135"/>
              <w:spacing w:after="0" w:line="157" w:lineRule="exact"/>
              <w:rPr>
                <w:sz w:val="20"/>
                <w:szCs w:val="20"/>
                <w:color w:val="auto"/>
              </w:rPr>
            </w:pPr>
            <w:r>
              <w:rPr>
                <w:rFonts w:ascii="Arial" w:cs="Arial" w:eastAsia="Arial" w:hAnsi="Arial"/>
                <w:sz w:val="17"/>
                <w:szCs w:val="17"/>
                <w:b w:val="1"/>
                <w:bCs w:val="1"/>
                <w:color w:val="auto"/>
              </w:rPr>
              <w:t>August 3,</w:t>
            </w:r>
          </w:p>
        </w:tc>
        <w:tc>
          <w:tcPr>
            <w:tcW w:w="260" w:type="dxa"/>
            <w:vAlign w:val="bottom"/>
          </w:tcPr>
          <w:p>
            <w:pPr>
              <w:spacing w:after="0"/>
              <w:rPr>
                <w:sz w:val="13"/>
                <w:szCs w:val="13"/>
                <w:color w:val="auto"/>
              </w:rPr>
            </w:pPr>
          </w:p>
        </w:tc>
        <w:tc>
          <w:tcPr>
            <w:tcW w:w="940" w:type="dxa"/>
            <w:vAlign w:val="bottom"/>
          </w:tcPr>
          <w:p>
            <w:pPr>
              <w:jc w:val="right"/>
              <w:ind w:right="55"/>
              <w:spacing w:after="0" w:line="157" w:lineRule="exact"/>
              <w:rPr>
                <w:sz w:val="20"/>
                <w:szCs w:val="20"/>
                <w:color w:val="auto"/>
              </w:rPr>
            </w:pPr>
            <w:r>
              <w:rPr>
                <w:rFonts w:ascii="Arial" w:cs="Arial" w:eastAsia="Arial" w:hAnsi="Arial"/>
                <w:sz w:val="17"/>
                <w:szCs w:val="17"/>
                <w:b w:val="1"/>
                <w:bCs w:val="1"/>
                <w:color w:val="auto"/>
              </w:rPr>
              <w:t>August 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b w:val="1"/>
                <w:bCs w:val="1"/>
                <w:color w:val="auto"/>
              </w:rPr>
              <w:t>2019</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auto"/>
              </w:rPr>
              <w:t>2018</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auto"/>
              </w:rPr>
              <w:t>2019</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b w:val="1"/>
                <w:bCs w:val="1"/>
                <w:color w:val="auto"/>
              </w:rPr>
              <w:t>2018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20" w:type="dxa"/>
            <w:vAlign w:val="bottom"/>
            <w:gridSpan w:val="6"/>
          </w:tcPr>
          <w:p>
            <w:pPr>
              <w:jc w:val="right"/>
              <w:ind w:right="795"/>
              <w:spacing w:after="0" w:line="183" w:lineRule="exact"/>
              <w:rPr>
                <w:sz w:val="20"/>
                <w:szCs w:val="20"/>
                <w:color w:val="auto"/>
              </w:rPr>
            </w:pPr>
            <w:r>
              <w:rPr>
                <w:rFonts w:ascii="Arial" w:cs="Arial" w:eastAsia="Arial" w:hAnsi="Arial"/>
                <w:sz w:val="17"/>
                <w:szCs w:val="17"/>
                <w:color w:val="auto"/>
              </w:rPr>
              <w:t>(in millions, expect per share amounts)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0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Sales</w:t>
            </w:r>
          </w:p>
        </w:tc>
        <w:tc>
          <w:tcPr>
            <w:tcW w:w="3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1,774</w:t>
            </w:r>
          </w:p>
        </w:tc>
        <w:tc>
          <w:tcPr>
            <w:tcW w:w="3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1,782</w:t>
            </w:r>
          </w:p>
        </w:tc>
        <w:tc>
          <w:tcPr>
            <w:tcW w:w="2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02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3,852</w:t>
            </w:r>
          </w:p>
        </w:tc>
        <w:tc>
          <w:tcPr>
            <w:tcW w:w="2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3,807</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0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Cost of sales</w:t>
            </w: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1,240</w:t>
            </w: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1,243</w:t>
            </w: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2,629</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2,602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00" w:type="dxa"/>
            <w:vAlign w:val="bottom"/>
          </w:tcPr>
          <w:p>
            <w:pPr>
              <w:spacing w:after="0" w:line="189" w:lineRule="exact"/>
              <w:rPr>
                <w:sz w:val="20"/>
                <w:szCs w:val="20"/>
                <w:color w:val="auto"/>
              </w:rPr>
            </w:pPr>
            <w:r>
              <w:rPr>
                <w:rFonts w:ascii="Arial" w:cs="Arial" w:eastAsia="Arial" w:hAnsi="Arial"/>
                <w:sz w:val="17"/>
                <w:szCs w:val="17"/>
                <w:color w:val="auto"/>
              </w:rPr>
              <w:t>Selling, general and administrative expenses</w:t>
            </w:r>
          </w:p>
        </w:tc>
        <w:tc>
          <w:tcPr>
            <w:tcW w:w="30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393</w:t>
            </w:r>
          </w:p>
        </w:tc>
        <w:tc>
          <w:tcPr>
            <w:tcW w:w="340" w:type="dxa"/>
            <w:vAlign w:val="bottom"/>
          </w:tcPr>
          <w:p>
            <w:pPr>
              <w:spacing w:after="0"/>
              <w:rPr>
                <w:sz w:val="16"/>
                <w:szCs w:val="16"/>
                <w:color w:val="auto"/>
              </w:rPr>
            </w:pPr>
          </w:p>
        </w:tc>
        <w:tc>
          <w:tcPr>
            <w:tcW w:w="1020" w:type="dxa"/>
            <w:vAlign w:val="bottom"/>
          </w:tcPr>
          <w:p>
            <w:pPr>
              <w:jc w:val="right"/>
              <w:ind w:right="55"/>
              <w:spacing w:after="0" w:line="189" w:lineRule="exact"/>
              <w:rPr>
                <w:sz w:val="20"/>
                <w:szCs w:val="20"/>
                <w:color w:val="auto"/>
              </w:rPr>
            </w:pPr>
            <w:r>
              <w:rPr>
                <w:rFonts w:ascii="Arial" w:cs="Arial" w:eastAsia="Arial" w:hAnsi="Arial"/>
                <w:sz w:val="17"/>
                <w:szCs w:val="17"/>
                <w:color w:val="auto"/>
              </w:rPr>
              <w:t>380</w:t>
            </w:r>
          </w:p>
        </w:tc>
        <w:tc>
          <w:tcPr>
            <w:tcW w:w="240" w:type="dxa"/>
            <w:vAlign w:val="bottom"/>
          </w:tcPr>
          <w:p>
            <w:pPr>
              <w:spacing w:after="0"/>
              <w:rPr>
                <w:sz w:val="16"/>
                <w:szCs w:val="16"/>
                <w:color w:val="auto"/>
              </w:rPr>
            </w:pPr>
          </w:p>
        </w:tc>
        <w:tc>
          <w:tcPr>
            <w:tcW w:w="1020" w:type="dxa"/>
            <w:vAlign w:val="bottom"/>
          </w:tcPr>
          <w:p>
            <w:pPr>
              <w:jc w:val="right"/>
              <w:ind w:right="35"/>
              <w:spacing w:after="0" w:line="189" w:lineRule="exact"/>
              <w:rPr>
                <w:sz w:val="20"/>
                <w:szCs w:val="20"/>
                <w:color w:val="auto"/>
              </w:rPr>
            </w:pPr>
            <w:r>
              <w:rPr>
                <w:rFonts w:ascii="Arial" w:cs="Arial" w:eastAsia="Arial" w:hAnsi="Arial"/>
                <w:sz w:val="17"/>
                <w:szCs w:val="17"/>
                <w:b w:val="1"/>
                <w:bCs w:val="1"/>
                <w:color w:val="auto"/>
              </w:rPr>
              <w:t>809</w:t>
            </w:r>
          </w:p>
        </w:tc>
        <w:tc>
          <w:tcPr>
            <w:tcW w:w="26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7"/>
                <w:szCs w:val="17"/>
                <w:color w:val="auto"/>
              </w:rPr>
              <w:t>765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Depreciation and amortization</w:t>
            </w: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46</w:t>
            </w: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44</w:t>
            </w: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90</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89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0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Litigation and other charges</w:t>
            </w: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14</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color w:val="auto"/>
              </w:rPr>
              <w:t>3</w:t>
            </w: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b w:val="1"/>
                <w:bCs w:val="1"/>
                <w:color w:val="auto"/>
              </w:rPr>
              <w:t>15</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Income from operations</w:t>
            </w:r>
          </w:p>
        </w:tc>
        <w:tc>
          <w:tcPr>
            <w:tcW w:w="3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81</w:t>
            </w:r>
          </w:p>
        </w:tc>
        <w:tc>
          <w:tcPr>
            <w:tcW w:w="34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112</w:t>
            </w: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309</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336</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0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Interest income, net</w:t>
            </w: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2</w:t>
            </w: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1</w:t>
            </w: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6</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0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Other income</w:t>
            </w: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2</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color w:val="auto"/>
              </w:rPr>
              <w:t>2</w:t>
            </w: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b w:val="1"/>
                <w:bCs w:val="1"/>
                <w:color w:val="auto"/>
              </w:rPr>
              <w:t>4</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Income before income taxes</w:t>
            </w:r>
          </w:p>
        </w:tc>
        <w:tc>
          <w:tcPr>
            <w:tcW w:w="3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85</w:t>
            </w:r>
          </w:p>
        </w:tc>
        <w:tc>
          <w:tcPr>
            <w:tcW w:w="34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115</w:t>
            </w: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319</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344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0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Income tax expense</w:t>
            </w: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25</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color w:val="auto"/>
              </w:rPr>
              <w:t>27</w:t>
            </w: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b w:val="1"/>
                <w:bCs w:val="1"/>
                <w:color w:val="auto"/>
              </w:rPr>
              <w:t>87</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91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0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Net income</w:t>
            </w:r>
          </w:p>
        </w:tc>
        <w:tc>
          <w:tcPr>
            <w:tcW w:w="3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9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60</w:t>
            </w:r>
          </w:p>
        </w:tc>
        <w:tc>
          <w:tcPr>
            <w:tcW w:w="3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88</w:t>
            </w:r>
          </w:p>
        </w:tc>
        <w:tc>
          <w:tcPr>
            <w:tcW w:w="2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02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232</w:t>
            </w:r>
          </w:p>
        </w:tc>
        <w:tc>
          <w:tcPr>
            <w:tcW w:w="2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253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00" w:type="dxa"/>
            <w:vAlign w:val="bottom"/>
            <w:shd w:val="clear" w:color="auto" w:fill="CCEEFF"/>
          </w:tcPr>
          <w:p>
            <w:pPr>
              <w:ind w:left="100"/>
              <w:spacing w:after="0" w:line="189" w:lineRule="exact"/>
              <w:rPr>
                <w:sz w:val="20"/>
                <w:szCs w:val="20"/>
                <w:color w:val="auto"/>
              </w:rPr>
            </w:pPr>
            <w:r>
              <w:rPr>
                <w:rFonts w:ascii="Arial" w:cs="Arial" w:eastAsia="Arial" w:hAnsi="Arial"/>
                <w:sz w:val="17"/>
                <w:szCs w:val="17"/>
                <w:color w:val="auto"/>
              </w:rPr>
              <w:t>Basic earnings per share</w:t>
            </w:r>
          </w:p>
        </w:tc>
        <w:tc>
          <w:tcPr>
            <w:tcW w:w="3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0.55</w:t>
            </w:r>
          </w:p>
        </w:tc>
        <w:tc>
          <w:tcPr>
            <w:tcW w:w="3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0.76</w:t>
            </w:r>
          </w:p>
        </w:tc>
        <w:tc>
          <w:tcPr>
            <w:tcW w:w="2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02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2.09</w:t>
            </w:r>
          </w:p>
        </w:tc>
        <w:tc>
          <w:tcPr>
            <w:tcW w:w="2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2.15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00" w:type="dxa"/>
            <w:vAlign w:val="bottom"/>
          </w:tcPr>
          <w:p>
            <w:pPr>
              <w:ind w:left="100"/>
              <w:spacing w:after="0" w:line="189" w:lineRule="exact"/>
              <w:rPr>
                <w:sz w:val="20"/>
                <w:szCs w:val="20"/>
                <w:color w:val="auto"/>
              </w:rPr>
            </w:pPr>
            <w:r>
              <w:rPr>
                <w:rFonts w:ascii="Arial" w:cs="Arial" w:eastAsia="Arial" w:hAnsi="Arial"/>
                <w:sz w:val="17"/>
                <w:szCs w:val="17"/>
                <w:color w:val="auto"/>
              </w:rPr>
              <w:t>Weighted-average shares outstanding</w:t>
            </w:r>
          </w:p>
        </w:tc>
        <w:tc>
          <w:tcPr>
            <w:tcW w:w="30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110.8</w:t>
            </w:r>
          </w:p>
        </w:tc>
        <w:tc>
          <w:tcPr>
            <w:tcW w:w="340" w:type="dxa"/>
            <w:vAlign w:val="bottom"/>
          </w:tcPr>
          <w:p>
            <w:pPr>
              <w:spacing w:after="0"/>
              <w:rPr>
                <w:sz w:val="16"/>
                <w:szCs w:val="16"/>
                <w:color w:val="auto"/>
              </w:rPr>
            </w:pPr>
          </w:p>
        </w:tc>
        <w:tc>
          <w:tcPr>
            <w:tcW w:w="1020" w:type="dxa"/>
            <w:vAlign w:val="bottom"/>
          </w:tcPr>
          <w:p>
            <w:pPr>
              <w:jc w:val="right"/>
              <w:ind w:right="55"/>
              <w:spacing w:after="0" w:line="189" w:lineRule="exact"/>
              <w:rPr>
                <w:sz w:val="20"/>
                <w:szCs w:val="20"/>
                <w:color w:val="auto"/>
              </w:rPr>
            </w:pPr>
            <w:r>
              <w:rPr>
                <w:rFonts w:ascii="Arial" w:cs="Arial" w:eastAsia="Arial" w:hAnsi="Arial"/>
                <w:sz w:val="17"/>
                <w:szCs w:val="17"/>
                <w:color w:val="auto"/>
              </w:rPr>
              <w:t>116.6</w:t>
            </w:r>
          </w:p>
        </w:tc>
        <w:tc>
          <w:tcPr>
            <w:tcW w:w="240" w:type="dxa"/>
            <w:vAlign w:val="bottom"/>
          </w:tcPr>
          <w:p>
            <w:pPr>
              <w:spacing w:after="0"/>
              <w:rPr>
                <w:sz w:val="16"/>
                <w:szCs w:val="16"/>
                <w:color w:val="auto"/>
              </w:rPr>
            </w:pPr>
          </w:p>
        </w:tc>
        <w:tc>
          <w:tcPr>
            <w:tcW w:w="1020" w:type="dxa"/>
            <w:vAlign w:val="bottom"/>
          </w:tcPr>
          <w:p>
            <w:pPr>
              <w:jc w:val="right"/>
              <w:ind w:right="35"/>
              <w:spacing w:after="0" w:line="189" w:lineRule="exact"/>
              <w:rPr>
                <w:sz w:val="20"/>
                <w:szCs w:val="20"/>
                <w:color w:val="auto"/>
              </w:rPr>
            </w:pPr>
            <w:r>
              <w:rPr>
                <w:rFonts w:ascii="Arial" w:cs="Arial" w:eastAsia="Arial" w:hAnsi="Arial"/>
                <w:sz w:val="17"/>
                <w:szCs w:val="17"/>
                <w:b w:val="1"/>
                <w:bCs w:val="1"/>
                <w:color w:val="auto"/>
              </w:rPr>
              <w:t>111.6</w:t>
            </w:r>
          </w:p>
        </w:tc>
        <w:tc>
          <w:tcPr>
            <w:tcW w:w="26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7"/>
                <w:szCs w:val="17"/>
                <w:color w:val="auto"/>
              </w:rPr>
              <w:t>117.7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00" w:type="dxa"/>
            <w:vAlign w:val="bottom"/>
          </w:tcPr>
          <w:p>
            <w:pPr>
              <w:ind w:left="100"/>
              <w:spacing w:after="0" w:line="189" w:lineRule="exact"/>
              <w:rPr>
                <w:sz w:val="20"/>
                <w:szCs w:val="20"/>
                <w:color w:val="auto"/>
              </w:rPr>
            </w:pPr>
            <w:r>
              <w:rPr>
                <w:rFonts w:ascii="Arial" w:cs="Arial" w:eastAsia="Arial" w:hAnsi="Arial"/>
                <w:sz w:val="17"/>
                <w:szCs w:val="17"/>
                <w:color w:val="auto"/>
              </w:rPr>
              <w:t>Diluted earnings per share</w:t>
            </w:r>
          </w:p>
        </w:tc>
        <w:tc>
          <w:tcPr>
            <w:tcW w:w="30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92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0.55</w:t>
            </w:r>
          </w:p>
        </w:tc>
        <w:tc>
          <w:tcPr>
            <w:tcW w:w="34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020" w:type="dxa"/>
            <w:vAlign w:val="bottom"/>
          </w:tcPr>
          <w:p>
            <w:pPr>
              <w:jc w:val="right"/>
              <w:ind w:right="55"/>
              <w:spacing w:after="0" w:line="189" w:lineRule="exact"/>
              <w:rPr>
                <w:sz w:val="20"/>
                <w:szCs w:val="20"/>
                <w:color w:val="auto"/>
              </w:rPr>
            </w:pPr>
            <w:r>
              <w:rPr>
                <w:rFonts w:ascii="Arial" w:cs="Arial" w:eastAsia="Arial" w:hAnsi="Arial"/>
                <w:sz w:val="17"/>
                <w:szCs w:val="17"/>
                <w:color w:val="auto"/>
              </w:rPr>
              <w:t>0.75</w:t>
            </w:r>
          </w:p>
        </w:tc>
        <w:tc>
          <w:tcPr>
            <w:tcW w:w="24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020" w:type="dxa"/>
            <w:vAlign w:val="bottom"/>
          </w:tcPr>
          <w:p>
            <w:pPr>
              <w:jc w:val="right"/>
              <w:ind w:right="35"/>
              <w:spacing w:after="0" w:line="189" w:lineRule="exact"/>
              <w:rPr>
                <w:sz w:val="20"/>
                <w:szCs w:val="20"/>
                <w:color w:val="auto"/>
              </w:rPr>
            </w:pPr>
            <w:r>
              <w:rPr>
                <w:rFonts w:ascii="Arial" w:cs="Arial" w:eastAsia="Arial" w:hAnsi="Arial"/>
                <w:sz w:val="17"/>
                <w:szCs w:val="17"/>
                <w:b w:val="1"/>
                <w:bCs w:val="1"/>
                <w:color w:val="auto"/>
              </w:rPr>
              <w:t>2.08</w:t>
            </w:r>
          </w:p>
        </w:tc>
        <w:tc>
          <w:tcPr>
            <w:tcW w:w="26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940" w:type="dxa"/>
            <w:vAlign w:val="bottom"/>
          </w:tcPr>
          <w:p>
            <w:pPr>
              <w:jc w:val="right"/>
              <w:spacing w:after="0" w:line="189" w:lineRule="exact"/>
              <w:rPr>
                <w:sz w:val="20"/>
                <w:szCs w:val="20"/>
                <w:color w:val="auto"/>
              </w:rPr>
            </w:pPr>
            <w:r>
              <w:rPr>
                <w:rFonts w:ascii="Arial" w:cs="Arial" w:eastAsia="Arial" w:hAnsi="Arial"/>
                <w:sz w:val="17"/>
                <w:szCs w:val="17"/>
                <w:color w:val="auto"/>
              </w:rPr>
              <w:t>2.14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00" w:type="dxa"/>
            <w:vAlign w:val="bottom"/>
            <w:shd w:val="clear" w:color="auto" w:fill="CCEEFF"/>
          </w:tcPr>
          <w:p>
            <w:pPr>
              <w:ind w:left="100"/>
              <w:spacing w:after="0" w:line="183" w:lineRule="exact"/>
              <w:rPr>
                <w:sz w:val="20"/>
                <w:szCs w:val="20"/>
                <w:color w:val="auto"/>
              </w:rPr>
            </w:pPr>
            <w:r>
              <w:rPr>
                <w:rFonts w:ascii="Arial" w:cs="Arial" w:eastAsia="Arial" w:hAnsi="Arial"/>
                <w:sz w:val="17"/>
                <w:szCs w:val="17"/>
                <w:color w:val="auto"/>
              </w:rPr>
              <w:t>Weighted-average shares outstanding, assuming</w:t>
            </w:r>
          </w:p>
        </w:tc>
        <w:tc>
          <w:tcPr>
            <w:tcW w:w="30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111.1</w:t>
            </w:r>
          </w:p>
        </w:tc>
        <w:tc>
          <w:tcPr>
            <w:tcW w:w="3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112.1</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00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7"/>
                <w:szCs w:val="17"/>
                <w:color w:val="auto"/>
              </w:rPr>
              <w:t>dilution</w:t>
            </w:r>
          </w:p>
        </w:tc>
        <w:tc>
          <w:tcPr>
            <w:tcW w:w="3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vMerge w:val="continue"/>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117.1</w:t>
            </w:r>
          </w:p>
        </w:tc>
        <w:tc>
          <w:tcPr>
            <w:tcW w:w="24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vMerge w:val="continue"/>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118.1</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jc w:val="center"/>
        <w:spacing w:after="0" w:line="234" w:lineRule="auto"/>
        <w:rPr>
          <w:sz w:val="20"/>
          <w:szCs w:val="20"/>
          <w:color w:val="auto"/>
        </w:rPr>
      </w:pPr>
      <w:r>
        <w:rPr>
          <w:rFonts w:ascii="Arial" w:cs="Arial" w:eastAsia="Arial" w:hAnsi="Arial"/>
          <w:sz w:val="18"/>
          <w:szCs w:val="18"/>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in millions)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44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tcPr>
          <w:p>
            <w:pPr>
              <w:jc w:val="right"/>
              <w:ind w:right="75"/>
              <w:spacing w:after="0"/>
              <w:rPr>
                <w:sz w:val="20"/>
                <w:szCs w:val="20"/>
                <w:color w:val="auto"/>
              </w:rPr>
            </w:pPr>
            <w:r>
              <w:rPr>
                <w:rFonts w:ascii="Arial" w:cs="Arial" w:eastAsia="Arial" w:hAnsi="Arial"/>
                <w:sz w:val="17"/>
                <w:szCs w:val="17"/>
                <w:b w:val="1"/>
                <w:bCs w:val="1"/>
                <w:color w:val="auto"/>
              </w:rPr>
              <w:t>Thirteen weeks ended</w:t>
            </w:r>
          </w:p>
        </w:tc>
        <w:tc>
          <w:tcPr>
            <w:tcW w:w="2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Twenty-six weeks ended</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1160" w:type="dxa"/>
            <w:vAlign w:val="bottom"/>
            <w:gridSpan w:val="2"/>
          </w:tcPr>
          <w:p>
            <w:pPr>
              <w:jc w:val="right"/>
              <w:ind w:right="95"/>
              <w:spacing w:after="0" w:line="157" w:lineRule="exact"/>
              <w:rPr>
                <w:sz w:val="20"/>
                <w:szCs w:val="20"/>
                <w:color w:val="auto"/>
              </w:rPr>
            </w:pPr>
            <w:r>
              <w:rPr>
                <w:rFonts w:ascii="Arial" w:cs="Arial" w:eastAsia="Arial" w:hAnsi="Arial"/>
                <w:sz w:val="17"/>
                <w:szCs w:val="17"/>
                <w:b w:val="1"/>
                <w:bCs w:val="1"/>
                <w:color w:val="auto"/>
              </w:rPr>
              <w:t>August 3,</w:t>
            </w:r>
          </w:p>
        </w:tc>
        <w:tc>
          <w:tcPr>
            <w:tcW w:w="1140" w:type="dxa"/>
            <w:vAlign w:val="bottom"/>
            <w:gridSpan w:val="2"/>
          </w:tcPr>
          <w:p>
            <w:pPr>
              <w:jc w:val="right"/>
              <w:ind w:right="95"/>
              <w:spacing w:after="0" w:line="157" w:lineRule="exact"/>
              <w:rPr>
                <w:sz w:val="20"/>
                <w:szCs w:val="20"/>
                <w:color w:val="auto"/>
              </w:rPr>
            </w:pPr>
            <w:r>
              <w:rPr>
                <w:rFonts w:ascii="Arial" w:cs="Arial" w:eastAsia="Arial" w:hAnsi="Arial"/>
                <w:sz w:val="17"/>
                <w:szCs w:val="17"/>
                <w:b w:val="1"/>
                <w:bCs w:val="1"/>
                <w:color w:val="auto"/>
              </w:rPr>
              <w:t>August 4,</w:t>
            </w:r>
          </w:p>
        </w:tc>
        <w:tc>
          <w:tcPr>
            <w:tcW w:w="220" w:type="dxa"/>
            <w:vAlign w:val="bottom"/>
          </w:tcPr>
          <w:p>
            <w:pPr>
              <w:spacing w:after="0"/>
              <w:rPr>
                <w:sz w:val="13"/>
                <w:szCs w:val="13"/>
                <w:color w:val="auto"/>
              </w:rPr>
            </w:pPr>
          </w:p>
        </w:tc>
        <w:tc>
          <w:tcPr>
            <w:tcW w:w="1000" w:type="dxa"/>
            <w:vAlign w:val="bottom"/>
          </w:tcPr>
          <w:p>
            <w:pPr>
              <w:jc w:val="right"/>
              <w:ind w:right="135"/>
              <w:spacing w:after="0" w:line="157" w:lineRule="exact"/>
              <w:rPr>
                <w:sz w:val="20"/>
                <w:szCs w:val="20"/>
                <w:color w:val="auto"/>
              </w:rPr>
            </w:pPr>
            <w:r>
              <w:rPr>
                <w:rFonts w:ascii="Arial" w:cs="Arial" w:eastAsia="Arial" w:hAnsi="Arial"/>
                <w:sz w:val="17"/>
                <w:szCs w:val="17"/>
                <w:b w:val="1"/>
                <w:bCs w:val="1"/>
                <w:color w:val="auto"/>
                <w:w w:val="98"/>
              </w:rPr>
              <w:t>August 3,</w:t>
            </w:r>
          </w:p>
        </w:tc>
        <w:tc>
          <w:tcPr>
            <w:tcW w:w="200" w:type="dxa"/>
            <w:vAlign w:val="bottom"/>
          </w:tcPr>
          <w:p>
            <w:pPr>
              <w:spacing w:after="0"/>
              <w:rPr>
                <w:sz w:val="13"/>
                <w:szCs w:val="13"/>
                <w:color w:val="auto"/>
              </w:rPr>
            </w:pPr>
          </w:p>
        </w:tc>
        <w:tc>
          <w:tcPr>
            <w:tcW w:w="920" w:type="dxa"/>
            <w:vAlign w:val="bottom"/>
          </w:tcPr>
          <w:p>
            <w:pPr>
              <w:jc w:val="right"/>
              <w:ind w:right="35"/>
              <w:spacing w:after="0" w:line="157" w:lineRule="exact"/>
              <w:rPr>
                <w:sz w:val="20"/>
                <w:szCs w:val="20"/>
                <w:color w:val="auto"/>
              </w:rPr>
            </w:pPr>
            <w:r>
              <w:rPr>
                <w:rFonts w:ascii="Arial" w:cs="Arial" w:eastAsia="Arial" w:hAnsi="Arial"/>
                <w:sz w:val="17"/>
                <w:szCs w:val="17"/>
                <w:b w:val="1"/>
                <w:bCs w:val="1"/>
                <w:color w:val="auto"/>
              </w:rPr>
              <w:t>August 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b w:val="1"/>
                <w:bCs w:val="1"/>
                <w:color w:val="auto"/>
              </w:rPr>
              <w:t>2019</w:t>
            </w: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2018</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auto"/>
              </w:rPr>
              <w:t>2019</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b w:val="1"/>
                <w:bCs w:val="1"/>
                <w:color w:val="auto"/>
              </w:rPr>
              <w:t>2018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60" w:type="dxa"/>
            <w:vAlign w:val="bottom"/>
            <w:gridSpan w:val="3"/>
          </w:tcPr>
          <w:p>
            <w:pPr>
              <w:jc w:val="center"/>
              <w:spacing w:after="0" w:line="183" w:lineRule="exact"/>
              <w:rPr>
                <w:sz w:val="20"/>
                <w:szCs w:val="20"/>
                <w:color w:val="auto"/>
              </w:rPr>
            </w:pPr>
            <w:r>
              <w:rPr>
                <w:rFonts w:ascii="Arial" w:cs="Arial" w:eastAsia="Arial" w:hAnsi="Arial"/>
                <w:sz w:val="17"/>
                <w:szCs w:val="17"/>
                <w:color w:val="auto"/>
                <w:w w:val="99"/>
              </w:rPr>
              <w:t>($ in millions)</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0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Net income</w:t>
            </w:r>
          </w:p>
        </w:tc>
        <w:tc>
          <w:tcPr>
            <w:tcW w:w="3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86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60</w:t>
            </w:r>
          </w:p>
        </w:tc>
        <w:tc>
          <w:tcPr>
            <w:tcW w:w="30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88</w:t>
            </w:r>
          </w:p>
        </w:tc>
        <w:tc>
          <w:tcPr>
            <w:tcW w:w="220" w:type="dxa"/>
            <w:vAlign w:val="bottom"/>
            <w:shd w:val="clear" w:color="auto" w:fill="CCEEFF"/>
          </w:tcPr>
          <w:p>
            <w:pPr>
              <w:jc w:val="center"/>
              <w:spacing w:after="0" w:line="189" w:lineRule="exact"/>
              <w:rPr>
                <w:sz w:val="20"/>
                <w:szCs w:val="20"/>
                <w:color w:val="auto"/>
              </w:rPr>
            </w:pPr>
            <w:r>
              <w:rPr>
                <w:rFonts w:ascii="Arial" w:cs="Arial" w:eastAsia="Arial" w:hAnsi="Arial"/>
                <w:sz w:val="17"/>
                <w:szCs w:val="17"/>
                <w:b w:val="1"/>
                <w:bCs w:val="1"/>
                <w:color w:val="auto"/>
              </w:rPr>
              <w:t>$</w:t>
            </w:r>
          </w:p>
        </w:tc>
        <w:tc>
          <w:tcPr>
            <w:tcW w:w="100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232</w:t>
            </w:r>
          </w:p>
        </w:tc>
        <w:tc>
          <w:tcPr>
            <w:tcW w:w="2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253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00" w:type="dxa"/>
            <w:vAlign w:val="bottom"/>
          </w:tcPr>
          <w:p>
            <w:pPr>
              <w:spacing w:after="0" w:line="189" w:lineRule="exact"/>
              <w:rPr>
                <w:sz w:val="20"/>
                <w:szCs w:val="20"/>
                <w:color w:val="auto"/>
              </w:rPr>
            </w:pPr>
            <w:r>
              <w:rPr>
                <w:rFonts w:ascii="Arial" w:cs="Arial" w:eastAsia="Arial" w:hAnsi="Arial"/>
                <w:sz w:val="17"/>
                <w:szCs w:val="17"/>
                <w:color w:val="auto"/>
              </w:rPr>
              <w:t>Other comprehensive income, net of income tax</w:t>
            </w: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400" w:type="dxa"/>
            <w:vAlign w:val="bottom"/>
          </w:tcPr>
          <w:p>
            <w:pPr>
              <w:spacing w:after="0" w:line="189" w:lineRule="exact"/>
              <w:rPr>
                <w:sz w:val="20"/>
                <w:szCs w:val="20"/>
                <w:color w:val="auto"/>
              </w:rPr>
            </w:pPr>
            <w:r>
              <w:rPr>
                <w:rFonts w:ascii="Arial" w:cs="Arial" w:eastAsia="Arial" w:hAnsi="Arial"/>
                <w:sz w:val="17"/>
                <w:szCs w:val="17"/>
                <w:i w:val="1"/>
                <w:iCs w:val="1"/>
                <w:color w:val="auto"/>
              </w:rPr>
              <w:t>Foreign currency translation adjustment:</w:t>
            </w: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400" w:type="dxa"/>
            <w:vAlign w:val="bottom"/>
            <w:shd w:val="clear" w:color="auto" w:fill="CCEEFF"/>
          </w:tcPr>
          <w:p>
            <w:pPr>
              <w:ind w:left="100"/>
              <w:spacing w:after="0" w:line="183" w:lineRule="exact"/>
              <w:rPr>
                <w:sz w:val="20"/>
                <w:szCs w:val="20"/>
                <w:color w:val="auto"/>
              </w:rPr>
            </w:pPr>
            <w:r>
              <w:rPr>
                <w:rFonts w:ascii="Arial" w:cs="Arial" w:eastAsia="Arial" w:hAnsi="Arial"/>
                <w:sz w:val="17"/>
                <w:szCs w:val="17"/>
                <w:color w:val="auto"/>
              </w:rPr>
              <w:t>Translation adjustment arising during the period, net of</w:t>
            </w:r>
          </w:p>
        </w:tc>
        <w:tc>
          <w:tcPr>
            <w:tcW w:w="3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0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income tax (benefit) of $-, $1, $1, and $(7) million,</w:t>
            </w:r>
          </w:p>
        </w:tc>
        <w:tc>
          <w:tcPr>
            <w:tcW w:w="30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(6)</w:t>
            </w: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(21)</w:t>
            </w: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400" w:type="dxa"/>
            <w:vAlign w:val="bottom"/>
            <w:shd w:val="clear" w:color="auto" w:fill="CCEEFF"/>
          </w:tcPr>
          <w:p>
            <w:pPr>
              <w:ind w:left="260"/>
              <w:spacing w:after="0"/>
              <w:rPr>
                <w:sz w:val="20"/>
                <w:szCs w:val="20"/>
                <w:color w:val="auto"/>
              </w:rPr>
            </w:pPr>
            <w:r>
              <w:rPr>
                <w:rFonts w:ascii="Arial" w:cs="Arial" w:eastAsia="Arial" w:hAnsi="Arial"/>
                <w:sz w:val="17"/>
                <w:szCs w:val="17"/>
                <w:color w:val="auto"/>
              </w:rPr>
              <w:t>respectively</w:t>
            </w:r>
          </w:p>
        </w:tc>
        <w:tc>
          <w:tcPr>
            <w:tcW w:w="30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(20)</w:t>
            </w:r>
          </w:p>
        </w:tc>
        <w:tc>
          <w:tcPr>
            <w:tcW w:w="22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400" w:type="dxa"/>
            <w:vAlign w:val="bottom"/>
            <w:shd w:val="clear" w:color="auto" w:fill="CCEEFF"/>
          </w:tcPr>
          <w:p>
            <w:pPr>
              <w:spacing w:after="0" w:line="189" w:lineRule="exact"/>
              <w:rPr>
                <w:sz w:val="20"/>
                <w:szCs w:val="20"/>
                <w:color w:val="auto"/>
              </w:rPr>
            </w:pPr>
            <w:r>
              <w:rPr>
                <w:rFonts w:ascii="Arial" w:cs="Arial" w:eastAsia="Arial" w:hAnsi="Arial"/>
                <w:sz w:val="17"/>
                <w:szCs w:val="17"/>
                <w:i w:val="1"/>
                <w:iCs w:val="1"/>
                <w:color w:val="auto"/>
              </w:rPr>
              <w:t>Cash flow hedges:</w:t>
            </w: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00" w:type="dxa"/>
            <w:vAlign w:val="bottom"/>
          </w:tcPr>
          <w:p>
            <w:pPr>
              <w:ind w:left="100"/>
              <w:spacing w:after="0" w:line="189" w:lineRule="exact"/>
              <w:rPr>
                <w:sz w:val="20"/>
                <w:szCs w:val="20"/>
                <w:color w:val="auto"/>
              </w:rPr>
            </w:pPr>
            <w:r>
              <w:rPr>
                <w:rFonts w:ascii="Arial" w:cs="Arial" w:eastAsia="Arial" w:hAnsi="Arial"/>
                <w:sz w:val="17"/>
                <w:szCs w:val="17"/>
                <w:color w:val="auto"/>
              </w:rPr>
              <w:t>Change in fair value of derivatives, net of income tax</w:t>
            </w:r>
          </w:p>
        </w:tc>
        <w:tc>
          <w:tcPr>
            <w:tcW w:w="300" w:type="dxa"/>
            <w:vAlign w:val="bottom"/>
          </w:tcPr>
          <w:p>
            <w:pPr>
              <w:spacing w:after="0"/>
              <w:rPr>
                <w:sz w:val="16"/>
                <w:szCs w:val="16"/>
                <w:color w:val="auto"/>
              </w:rPr>
            </w:pPr>
          </w:p>
        </w:tc>
        <w:tc>
          <w:tcPr>
            <w:tcW w:w="86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5</w:t>
            </w:r>
          </w:p>
        </w:tc>
        <w:tc>
          <w:tcPr>
            <w:tcW w:w="300" w:type="dxa"/>
            <w:vAlign w:val="bottom"/>
          </w:tcPr>
          <w:p>
            <w:pPr>
              <w:spacing w:after="0"/>
              <w:rPr>
                <w:sz w:val="16"/>
                <w:szCs w:val="16"/>
                <w:color w:val="auto"/>
              </w:rPr>
            </w:pPr>
          </w:p>
        </w:tc>
        <w:tc>
          <w:tcPr>
            <w:tcW w:w="840" w:type="dxa"/>
            <w:vAlign w:val="bottom"/>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100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3</w:t>
            </w:r>
          </w:p>
        </w:tc>
        <w:tc>
          <w:tcPr>
            <w:tcW w:w="20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400" w:type="dxa"/>
            <w:vAlign w:val="bottom"/>
          </w:tcPr>
          <w:p>
            <w:pPr>
              <w:spacing w:after="0" w:line="189" w:lineRule="exact"/>
              <w:rPr>
                <w:sz w:val="20"/>
                <w:szCs w:val="20"/>
                <w:color w:val="auto"/>
              </w:rPr>
            </w:pPr>
            <w:r>
              <w:rPr>
                <w:rFonts w:ascii="Arial" w:cs="Arial" w:eastAsia="Arial" w:hAnsi="Arial"/>
                <w:sz w:val="17"/>
                <w:szCs w:val="17"/>
                <w:i w:val="1"/>
                <w:iCs w:val="1"/>
                <w:color w:val="auto"/>
              </w:rPr>
              <w:t>Pension and postretirement adjustments:</w:t>
            </w: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400" w:type="dxa"/>
            <w:vAlign w:val="bottom"/>
            <w:shd w:val="clear" w:color="auto" w:fill="CCEEFF"/>
          </w:tcPr>
          <w:p>
            <w:pPr>
              <w:ind w:left="100"/>
              <w:spacing w:after="0" w:line="183" w:lineRule="exact"/>
              <w:rPr>
                <w:sz w:val="20"/>
                <w:szCs w:val="20"/>
                <w:color w:val="auto"/>
              </w:rPr>
            </w:pPr>
            <w:r>
              <w:rPr>
                <w:rFonts w:ascii="Arial" w:cs="Arial" w:eastAsia="Arial" w:hAnsi="Arial"/>
                <w:sz w:val="17"/>
                <w:szCs w:val="17"/>
                <w:color w:val="auto"/>
              </w:rPr>
              <w:t>Amortization of net actuarial gain/loss and prior service</w:t>
            </w:r>
          </w:p>
        </w:tc>
        <w:tc>
          <w:tcPr>
            <w:tcW w:w="3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0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cost included in net periodic benefit costs, net of</w:t>
            </w: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0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income tax expense of $-, $-, $1, and $1 million,</w:t>
            </w:r>
          </w:p>
        </w:tc>
        <w:tc>
          <w:tcPr>
            <w:tcW w:w="30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1</w:t>
            </w: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4</w:t>
            </w: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400" w:type="dxa"/>
            <w:vAlign w:val="bottom"/>
            <w:shd w:val="clear" w:color="auto" w:fill="CCEEFF"/>
          </w:tcPr>
          <w:p>
            <w:pPr>
              <w:ind w:left="260"/>
              <w:spacing w:after="0"/>
              <w:rPr>
                <w:sz w:val="20"/>
                <w:szCs w:val="20"/>
                <w:color w:val="auto"/>
              </w:rPr>
            </w:pPr>
            <w:r>
              <w:rPr>
                <w:rFonts w:ascii="Arial" w:cs="Arial" w:eastAsia="Arial" w:hAnsi="Arial"/>
                <w:sz w:val="17"/>
                <w:szCs w:val="17"/>
                <w:color w:val="auto"/>
              </w:rPr>
              <w:t>respectively</w:t>
            </w:r>
          </w:p>
        </w:tc>
        <w:tc>
          <w:tcPr>
            <w:tcW w:w="30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2</w:t>
            </w:r>
          </w:p>
        </w:tc>
        <w:tc>
          <w:tcPr>
            <w:tcW w:w="22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400" w:type="dxa"/>
            <w:vAlign w:val="bottom"/>
          </w:tcPr>
          <w:p>
            <w:pPr>
              <w:ind w:left="100"/>
              <w:spacing w:after="0" w:line="183" w:lineRule="exact"/>
              <w:rPr>
                <w:sz w:val="20"/>
                <w:szCs w:val="20"/>
                <w:color w:val="auto"/>
              </w:rPr>
            </w:pPr>
            <w:r>
              <w:rPr>
                <w:rFonts w:ascii="Arial" w:cs="Arial" w:eastAsia="Arial" w:hAnsi="Arial"/>
                <w:sz w:val="17"/>
                <w:szCs w:val="17"/>
                <w:color w:val="auto"/>
              </w:rPr>
              <w:t>Pension remeasurement and foreign currency</w:t>
            </w: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00" w:type="dxa"/>
            <w:vAlign w:val="bottom"/>
          </w:tcPr>
          <w:p>
            <w:pPr>
              <w:ind w:left="260"/>
              <w:spacing w:after="0" w:line="189" w:lineRule="exact"/>
              <w:rPr>
                <w:sz w:val="20"/>
                <w:szCs w:val="20"/>
                <w:color w:val="auto"/>
              </w:rPr>
            </w:pPr>
            <w:r>
              <w:rPr>
                <w:rFonts w:ascii="Arial" w:cs="Arial" w:eastAsia="Arial" w:hAnsi="Arial"/>
                <w:sz w:val="17"/>
                <w:szCs w:val="17"/>
                <w:color w:val="auto"/>
              </w:rPr>
              <w:t>fluctuations arising during the year, net of income tax</w:t>
            </w:r>
          </w:p>
        </w:tc>
        <w:tc>
          <w:tcPr>
            <w:tcW w:w="300" w:type="dxa"/>
            <w:vAlign w:val="bottom"/>
          </w:tcPr>
          <w:p>
            <w:pPr>
              <w:spacing w:after="0"/>
              <w:rPr>
                <w:sz w:val="16"/>
                <w:szCs w:val="16"/>
                <w:color w:val="auto"/>
              </w:rPr>
            </w:pPr>
          </w:p>
        </w:tc>
        <w:tc>
          <w:tcPr>
            <w:tcW w:w="860" w:type="dxa"/>
            <w:vAlign w:val="bottom"/>
            <w:vMerge w:val="restart"/>
          </w:tcPr>
          <w:p>
            <w:pPr>
              <w:jc w:val="right"/>
              <w:ind w:right="75"/>
              <w:spacing w:after="0"/>
              <w:rPr>
                <w:sz w:val="20"/>
                <w:szCs w:val="20"/>
                <w:color w:val="auto"/>
              </w:rPr>
            </w:pPr>
            <w:r>
              <w:rPr>
                <w:rFonts w:ascii="Arial" w:cs="Arial" w:eastAsia="Arial" w:hAnsi="Arial"/>
                <w:sz w:val="17"/>
                <w:szCs w:val="17"/>
                <w:b w:val="1"/>
                <w:bCs w:val="1"/>
                <w:color w:val="auto"/>
              </w:rPr>
              <w:t>—</w:t>
            </w: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vMerge w:val="restart"/>
          </w:tcPr>
          <w:p>
            <w:pPr>
              <w:jc w:val="right"/>
              <w:ind w:right="75"/>
              <w:spacing w:after="0"/>
              <w:rPr>
                <w:sz w:val="20"/>
                <w:szCs w:val="20"/>
                <w:color w:val="auto"/>
              </w:rPr>
            </w:pPr>
            <w:r>
              <w:rPr>
                <w:rFonts w:ascii="Arial" w:cs="Arial" w:eastAsia="Arial" w:hAnsi="Arial"/>
                <w:sz w:val="17"/>
                <w:szCs w:val="17"/>
                <w:b w:val="1"/>
                <w:bCs w:val="1"/>
                <w:color w:val="auto"/>
              </w:rPr>
              <w:t>—</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400" w:type="dxa"/>
            <w:vAlign w:val="bottom"/>
            <w:tcBorders>
              <w:bottom w:val="single" w:sz="8" w:color="auto"/>
            </w:tcBorders>
          </w:tcPr>
          <w:p>
            <w:pPr>
              <w:ind w:left="260"/>
              <w:spacing w:after="0"/>
              <w:rPr>
                <w:sz w:val="20"/>
                <w:szCs w:val="20"/>
                <w:color w:val="auto"/>
              </w:rPr>
            </w:pPr>
            <w:r>
              <w:rPr>
                <w:rFonts w:ascii="Arial" w:cs="Arial" w:eastAsia="Arial" w:hAnsi="Arial"/>
                <w:sz w:val="17"/>
                <w:szCs w:val="17"/>
                <w:color w:val="auto"/>
              </w:rPr>
              <w:t>benefit of $-, $3, $-, and $3, respectively.</w:t>
            </w: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(9)</w:t>
            </w: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40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Comprehensive income</w:t>
            </w:r>
          </w:p>
        </w:tc>
        <w:tc>
          <w:tcPr>
            <w:tcW w:w="3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86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60</w:t>
            </w:r>
          </w:p>
        </w:tc>
        <w:tc>
          <w:tcPr>
            <w:tcW w:w="30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61</w:t>
            </w:r>
          </w:p>
        </w:tc>
        <w:tc>
          <w:tcPr>
            <w:tcW w:w="220" w:type="dxa"/>
            <w:vAlign w:val="bottom"/>
            <w:tcBorders>
              <w:bottom w:val="single" w:sz="8" w:color="auto"/>
            </w:tcBorders>
            <w:shd w:val="clear" w:color="auto" w:fill="CCEEFF"/>
          </w:tcPr>
          <w:p>
            <w:pPr>
              <w:jc w:val="center"/>
              <w:spacing w:after="0" w:line="183" w:lineRule="exact"/>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218</w:t>
            </w:r>
          </w:p>
        </w:tc>
        <w:tc>
          <w:tcPr>
            <w:tcW w:w="2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FOOT LOCKER,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CHANGES IN SHAREHOLDERS’ EQUITY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80" w:type="dxa"/>
            <w:vAlign w:val="bottom"/>
          </w:tcPr>
          <w:p>
            <w:pPr>
              <w:spacing w:after="0"/>
              <w:rPr>
                <w:sz w:val="13"/>
                <w:szCs w:val="13"/>
                <w:color w:val="auto"/>
              </w:rPr>
            </w:pPr>
          </w:p>
        </w:tc>
        <w:tc>
          <w:tcPr>
            <w:tcW w:w="1280" w:type="dxa"/>
            <w:vAlign w:val="bottom"/>
            <w:gridSpan w:val="5"/>
          </w:tcPr>
          <w:p>
            <w:pPr>
              <w:jc w:val="center"/>
              <w:ind w:right="20"/>
              <w:spacing w:after="0"/>
              <w:rPr>
                <w:sz w:val="20"/>
                <w:szCs w:val="20"/>
                <w:color w:val="auto"/>
              </w:rPr>
            </w:pPr>
            <w:r>
              <w:rPr>
                <w:rFonts w:ascii="Arial" w:cs="Arial" w:eastAsia="Arial" w:hAnsi="Arial"/>
                <w:sz w:val="13"/>
                <w:szCs w:val="13"/>
                <w:b w:val="1"/>
                <w:bCs w:val="1"/>
                <w:color w:val="auto"/>
                <w:w w:val="95"/>
              </w:rPr>
              <w:t>Additional Paid-In</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177"/>
              <w:spacing w:after="0"/>
              <w:rPr>
                <w:sz w:val="20"/>
                <w:szCs w:val="20"/>
                <w:color w:val="auto"/>
              </w:rPr>
            </w:pPr>
            <w:r>
              <w:rPr>
                <w:rFonts w:ascii="Arial" w:cs="Arial" w:eastAsia="Arial" w:hAnsi="Arial"/>
                <w:sz w:val="13"/>
                <w:szCs w:val="13"/>
                <w:b w:val="1"/>
                <w:bCs w:val="1"/>
                <w:color w:val="auto"/>
                <w:w w:val="97"/>
              </w:rPr>
              <w:t>Accumulated</w:t>
            </w: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35"/>
        </w:trPr>
        <w:tc>
          <w:tcPr>
            <w:tcW w:w="3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5"/>
              </w:rPr>
              <w:t>Capital &amp;</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center"/>
              <w:ind w:right="337"/>
              <w:spacing w:after="0" w:line="135" w:lineRule="exact"/>
              <w:rPr>
                <w:sz w:val="20"/>
                <w:szCs w:val="20"/>
                <w:color w:val="auto"/>
              </w:rPr>
            </w:pPr>
            <w:r>
              <w:rPr>
                <w:rFonts w:ascii="Arial" w:cs="Arial" w:eastAsia="Arial" w:hAnsi="Arial"/>
                <w:sz w:val="13"/>
                <w:szCs w:val="13"/>
                <w:b w:val="1"/>
                <w:bCs w:val="1"/>
                <w:color w:val="auto"/>
                <w:w w:val="97"/>
              </w:rPr>
              <w:t>Other</w:t>
            </w:r>
          </w:p>
        </w:tc>
        <w:tc>
          <w:tcPr>
            <w:tcW w:w="240" w:type="dxa"/>
            <w:vAlign w:val="bottom"/>
          </w:tcPr>
          <w:p>
            <w:pPr>
              <w:spacing w:after="0"/>
              <w:rPr>
                <w:sz w:val="11"/>
                <w:szCs w:val="11"/>
                <w:color w:val="auto"/>
              </w:rPr>
            </w:pPr>
          </w:p>
        </w:tc>
        <w:tc>
          <w:tcPr>
            <w:tcW w:w="720" w:type="dxa"/>
            <w:vAlign w:val="bottom"/>
          </w:tcPr>
          <w:p>
            <w:pPr>
              <w:jc w:val="right"/>
              <w:ind w:right="257"/>
              <w:spacing w:after="0" w:line="135" w:lineRule="exact"/>
              <w:rPr>
                <w:sz w:val="20"/>
                <w:szCs w:val="20"/>
                <w:color w:val="auto"/>
              </w:rPr>
            </w:pPr>
            <w:r>
              <w:rPr>
                <w:rFonts w:ascii="Arial" w:cs="Arial" w:eastAsia="Arial" w:hAnsi="Arial"/>
                <w:sz w:val="13"/>
                <w:szCs w:val="13"/>
                <w:b w:val="1"/>
                <w:bCs w:val="1"/>
                <w:color w:val="auto"/>
              </w:rPr>
              <w:t>Total</w:t>
            </w:r>
          </w:p>
        </w:tc>
      </w:tr>
      <w:tr>
        <w:trPr>
          <w:trHeight w:val="157"/>
        </w:trPr>
        <w:tc>
          <w:tcPr>
            <w:tcW w:w="3380" w:type="dxa"/>
            <w:vAlign w:val="bottom"/>
          </w:tcPr>
          <w:p>
            <w:pPr>
              <w:spacing w:after="0"/>
              <w:rPr>
                <w:sz w:val="20"/>
                <w:szCs w:val="20"/>
                <w:color w:val="auto"/>
              </w:rPr>
            </w:pPr>
            <w:r>
              <w:rPr>
                <w:rFonts w:ascii="Arial" w:cs="Arial" w:eastAsia="Arial" w:hAnsi="Arial"/>
                <w:sz w:val="13"/>
                <w:szCs w:val="13"/>
                <w:color w:val="auto"/>
              </w:rPr>
              <w:t>Thirteen weeks ended</w:t>
            </w:r>
          </w:p>
        </w:tc>
        <w:tc>
          <w:tcPr>
            <w:tcW w:w="1280" w:type="dxa"/>
            <w:vAlign w:val="bottom"/>
            <w:gridSpan w:val="5"/>
          </w:tcPr>
          <w:p>
            <w:pPr>
              <w:jc w:val="center"/>
              <w:spacing w:after="0"/>
              <w:rPr>
                <w:sz w:val="20"/>
                <w:szCs w:val="20"/>
                <w:color w:val="auto"/>
              </w:rPr>
            </w:pPr>
            <w:r>
              <w:rPr>
                <w:rFonts w:ascii="Arial" w:cs="Arial" w:eastAsia="Arial" w:hAnsi="Arial"/>
                <w:sz w:val="13"/>
                <w:szCs w:val="13"/>
                <w:b w:val="1"/>
                <w:bCs w:val="1"/>
                <w:color w:val="auto"/>
                <w:w w:val="96"/>
              </w:rPr>
              <w:t>Common Stock</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6"/>
          </w:tcPr>
          <w:p>
            <w:pPr>
              <w:jc w:val="right"/>
              <w:ind w:right="160"/>
              <w:spacing w:after="0"/>
              <w:rPr>
                <w:sz w:val="20"/>
                <w:szCs w:val="20"/>
                <w:color w:val="auto"/>
              </w:rPr>
            </w:pPr>
            <w:r>
              <w:rPr>
                <w:rFonts w:ascii="Arial" w:cs="Arial" w:eastAsia="Arial" w:hAnsi="Arial"/>
                <w:sz w:val="13"/>
                <w:szCs w:val="13"/>
                <w:b w:val="1"/>
                <w:bCs w:val="1"/>
                <w:color w:val="auto"/>
                <w:w w:val="95"/>
              </w:rPr>
              <w:t>Treasury Stock</w:t>
            </w:r>
          </w:p>
        </w:tc>
        <w:tc>
          <w:tcPr>
            <w:tcW w:w="900" w:type="dxa"/>
            <w:vAlign w:val="bottom"/>
            <w:gridSpan w:val="4"/>
          </w:tcPr>
          <w:p>
            <w:pPr>
              <w:jc w:val="right"/>
              <w:ind w:right="137"/>
              <w:spacing w:after="0"/>
              <w:rPr>
                <w:sz w:val="20"/>
                <w:szCs w:val="20"/>
                <w:color w:val="auto"/>
              </w:rPr>
            </w:pPr>
            <w:r>
              <w:rPr>
                <w:rFonts w:ascii="Arial" w:cs="Arial" w:eastAsia="Arial" w:hAnsi="Arial"/>
                <w:sz w:val="13"/>
                <w:szCs w:val="13"/>
                <w:b w:val="1"/>
                <w:bCs w:val="1"/>
                <w:color w:val="auto"/>
              </w:rPr>
              <w:t>Retained</w:t>
            </w:r>
          </w:p>
        </w:tc>
        <w:tc>
          <w:tcPr>
            <w:tcW w:w="1220" w:type="dxa"/>
            <w:vAlign w:val="bottom"/>
            <w:gridSpan w:val="3"/>
          </w:tcPr>
          <w:p>
            <w:pPr>
              <w:jc w:val="center"/>
              <w:ind w:right="97"/>
              <w:spacing w:after="0"/>
              <w:rPr>
                <w:sz w:val="20"/>
                <w:szCs w:val="20"/>
                <w:color w:val="auto"/>
              </w:rPr>
            </w:pPr>
            <w:r>
              <w:rPr>
                <w:rFonts w:ascii="Arial" w:cs="Arial" w:eastAsia="Arial" w:hAnsi="Arial"/>
                <w:sz w:val="13"/>
                <w:szCs w:val="13"/>
                <w:b w:val="1"/>
                <w:bCs w:val="1"/>
                <w:color w:val="auto"/>
                <w:w w:val="96"/>
              </w:rPr>
              <w:t>Comprehensive</w:t>
            </w:r>
          </w:p>
        </w:tc>
        <w:tc>
          <w:tcPr>
            <w:tcW w:w="960" w:type="dxa"/>
            <w:vAlign w:val="bottom"/>
            <w:gridSpan w:val="2"/>
          </w:tcPr>
          <w:p>
            <w:pPr>
              <w:ind w:left="60"/>
              <w:spacing w:after="0"/>
              <w:rPr>
                <w:sz w:val="20"/>
                <w:szCs w:val="20"/>
                <w:color w:val="auto"/>
              </w:rPr>
            </w:pPr>
            <w:r>
              <w:rPr>
                <w:rFonts w:ascii="Arial" w:cs="Arial" w:eastAsia="Arial" w:hAnsi="Arial"/>
                <w:sz w:val="13"/>
                <w:szCs w:val="13"/>
                <w:b w:val="1"/>
                <w:bCs w:val="1"/>
                <w:color w:val="auto"/>
              </w:rPr>
              <w:t>Shareholders'</w:t>
            </w:r>
          </w:p>
        </w:tc>
      </w:tr>
      <w:tr>
        <w:trPr>
          <w:trHeight w:val="129"/>
        </w:trPr>
        <w:tc>
          <w:tcPr>
            <w:tcW w:w="338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(shares in thousands, amounts in millions)</w:t>
            </w:r>
          </w:p>
        </w:tc>
        <w:tc>
          <w:tcPr>
            <w:tcW w:w="600" w:type="dxa"/>
            <w:vAlign w:val="bottom"/>
            <w:tcBorders>
              <w:top w:val="single" w:sz="8" w:color="auto"/>
              <w:bottom w:val="single" w:sz="8" w:color="auto"/>
            </w:tcBorders>
            <w:gridSpan w:val="2"/>
          </w:tcPr>
          <w:p>
            <w:pPr>
              <w:jc w:val="right"/>
              <w:ind w:right="37"/>
              <w:spacing w:after="0" w:line="129" w:lineRule="exact"/>
              <w:rPr>
                <w:sz w:val="20"/>
                <w:szCs w:val="20"/>
                <w:color w:val="auto"/>
              </w:rPr>
            </w:pPr>
            <w:r>
              <w:rPr>
                <w:rFonts w:ascii="Arial" w:cs="Arial" w:eastAsia="Arial" w:hAnsi="Arial"/>
                <w:sz w:val="13"/>
                <w:szCs w:val="13"/>
                <w:b w:val="1"/>
                <w:bCs w:val="1"/>
                <w:color w:val="auto"/>
              </w:rPr>
              <w:t>Shares</w:t>
            </w:r>
          </w:p>
        </w:tc>
        <w:tc>
          <w:tcPr>
            <w:tcW w:w="660" w:type="dxa"/>
            <w:vAlign w:val="bottom"/>
            <w:tcBorders>
              <w:top w:val="single" w:sz="8" w:color="auto"/>
              <w:bottom w:val="single" w:sz="8" w:color="auto"/>
            </w:tcBorders>
            <w:gridSpan w:val="2"/>
          </w:tcPr>
          <w:p>
            <w:pPr>
              <w:jc w:val="center"/>
              <w:spacing w:after="0" w:line="129" w:lineRule="exact"/>
              <w:rPr>
                <w:sz w:val="20"/>
                <w:szCs w:val="20"/>
                <w:color w:val="auto"/>
              </w:rPr>
            </w:pPr>
            <w:r>
              <w:rPr>
                <w:rFonts w:ascii="Arial" w:cs="Arial" w:eastAsia="Arial" w:hAnsi="Arial"/>
                <w:sz w:val="13"/>
                <w:szCs w:val="13"/>
                <w:b w:val="1"/>
                <w:bCs w:val="1"/>
                <w:color w:val="auto"/>
                <w:w w:val="93"/>
              </w:rPr>
              <w:t>Amount</w:t>
            </w: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top w:val="single" w:sz="8" w:color="auto"/>
              <w:bottom w:val="single" w:sz="8" w:color="auto"/>
            </w:tcBorders>
            <w:gridSpan w:val="3"/>
          </w:tcPr>
          <w:p>
            <w:pPr>
              <w:jc w:val="right"/>
              <w:spacing w:after="0" w:line="129" w:lineRule="exact"/>
              <w:rPr>
                <w:sz w:val="20"/>
                <w:szCs w:val="20"/>
                <w:color w:val="auto"/>
              </w:rPr>
            </w:pPr>
            <w:r>
              <w:rPr>
                <w:rFonts w:ascii="Arial" w:cs="Arial" w:eastAsia="Arial" w:hAnsi="Arial"/>
                <w:sz w:val="13"/>
                <w:szCs w:val="13"/>
                <w:b w:val="1"/>
                <w:bCs w:val="1"/>
                <w:color w:val="auto"/>
              </w:rPr>
              <w:t>Shares</w:t>
            </w:r>
          </w:p>
        </w:tc>
        <w:tc>
          <w:tcPr>
            <w:tcW w:w="680" w:type="dxa"/>
            <w:vAlign w:val="bottom"/>
            <w:tcBorders>
              <w:top w:val="single" w:sz="8" w:color="auto"/>
              <w:bottom w:val="single" w:sz="8" w:color="auto"/>
            </w:tcBorders>
            <w:gridSpan w:val="3"/>
          </w:tcPr>
          <w:p>
            <w:pPr>
              <w:jc w:val="right"/>
              <w:spacing w:after="0" w:line="129" w:lineRule="exact"/>
              <w:rPr>
                <w:sz w:val="20"/>
                <w:szCs w:val="20"/>
                <w:color w:val="auto"/>
              </w:rPr>
            </w:pPr>
            <w:r>
              <w:rPr>
                <w:rFonts w:ascii="Arial" w:cs="Arial" w:eastAsia="Arial" w:hAnsi="Arial"/>
                <w:sz w:val="13"/>
                <w:szCs w:val="13"/>
                <w:b w:val="1"/>
                <w:bCs w:val="1"/>
                <w:color w:val="auto"/>
              </w:rPr>
              <w:t>Amount</w:t>
            </w:r>
          </w:p>
        </w:tc>
        <w:tc>
          <w:tcPr>
            <w:tcW w:w="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gridSpan w:val="4"/>
          </w:tcPr>
          <w:p>
            <w:pPr>
              <w:jc w:val="right"/>
              <w:ind w:right="137"/>
              <w:spacing w:after="0" w:line="129" w:lineRule="exact"/>
              <w:rPr>
                <w:sz w:val="20"/>
                <w:szCs w:val="20"/>
                <w:color w:val="auto"/>
              </w:rPr>
            </w:pPr>
            <w:r>
              <w:rPr>
                <w:rFonts w:ascii="Arial" w:cs="Arial" w:eastAsia="Arial" w:hAnsi="Arial"/>
                <w:sz w:val="13"/>
                <w:szCs w:val="13"/>
                <w:b w:val="1"/>
                <w:bCs w:val="1"/>
                <w:color w:val="auto"/>
              </w:rPr>
              <w:t>Earnings</w:t>
            </w:r>
          </w:p>
        </w:tc>
        <w:tc>
          <w:tcPr>
            <w:tcW w:w="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center"/>
              <w:ind w:right="337"/>
              <w:spacing w:after="0" w:line="129" w:lineRule="exact"/>
              <w:rPr>
                <w:sz w:val="20"/>
                <w:szCs w:val="20"/>
                <w:color w:val="auto"/>
              </w:rPr>
            </w:pPr>
            <w:r>
              <w:rPr>
                <w:rFonts w:ascii="Arial" w:cs="Arial" w:eastAsia="Arial" w:hAnsi="Arial"/>
                <w:sz w:val="13"/>
                <w:szCs w:val="13"/>
                <w:b w:val="1"/>
                <w:bCs w:val="1"/>
                <w:color w:val="auto"/>
                <w:w w:val="98"/>
              </w:rPr>
              <w:t>Loss</w:t>
            </w:r>
          </w:p>
        </w:tc>
        <w:tc>
          <w:tcPr>
            <w:tcW w:w="2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17"/>
              <w:spacing w:after="0" w:line="129" w:lineRule="exact"/>
              <w:rPr>
                <w:sz w:val="20"/>
                <w:szCs w:val="20"/>
                <w:color w:val="auto"/>
              </w:rPr>
            </w:pPr>
            <w:r>
              <w:rPr>
                <w:rFonts w:ascii="Arial" w:cs="Arial" w:eastAsia="Arial" w:hAnsi="Arial"/>
                <w:sz w:val="13"/>
                <w:szCs w:val="13"/>
                <w:b w:val="1"/>
                <w:bCs w:val="1"/>
                <w:color w:val="auto"/>
              </w:rPr>
              <w:t>Equity</w:t>
            </w:r>
          </w:p>
        </w:tc>
      </w:tr>
      <w:tr>
        <w:trPr>
          <w:trHeight w:val="129"/>
        </w:trPr>
        <w:tc>
          <w:tcPr>
            <w:tcW w:w="3380" w:type="dxa"/>
            <w:vAlign w:val="bottom"/>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Balance at May 4, 2019</w:t>
            </w:r>
          </w:p>
        </w:tc>
        <w:tc>
          <w:tcPr>
            <w:tcW w:w="60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113,161</w:t>
            </w:r>
          </w:p>
        </w:tc>
        <w:tc>
          <w:tcPr>
            <w:tcW w:w="320" w:type="dxa"/>
            <w:vAlign w:val="bottom"/>
            <w:shd w:val="clear" w:color="auto" w:fill="CCEEFF"/>
          </w:tcPr>
          <w:p>
            <w:pPr>
              <w:jc w:val="right"/>
              <w:ind w:right="137"/>
              <w:spacing w:after="0" w:line="129" w:lineRule="exact"/>
              <w:rPr>
                <w:sz w:val="20"/>
                <w:szCs w:val="20"/>
                <w:color w:val="auto"/>
              </w:rPr>
            </w:pPr>
            <w:r>
              <w:rPr>
                <w:rFonts w:ascii="Arial" w:cs="Arial" w:eastAsia="Arial" w:hAnsi="Arial"/>
                <w:sz w:val="13"/>
                <w:szCs w:val="13"/>
                <w:b w:val="1"/>
                <w:bCs w:val="1"/>
                <w:color w:val="auto"/>
              </w:rPr>
              <w:t>$</w:t>
            </w:r>
          </w:p>
        </w:tc>
        <w:tc>
          <w:tcPr>
            <w:tcW w:w="3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820</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(774)</w:t>
            </w:r>
          </w:p>
        </w:tc>
        <w:tc>
          <w:tcPr>
            <w:tcW w:w="300" w:type="dxa"/>
            <w:vAlign w:val="bottom"/>
            <w:shd w:val="clear" w:color="auto" w:fill="CCEEFF"/>
          </w:tcPr>
          <w:p>
            <w:pPr>
              <w:jc w:val="right"/>
              <w:ind w:right="17"/>
              <w:spacing w:after="0" w:line="129" w:lineRule="exact"/>
              <w:rPr>
                <w:sz w:val="20"/>
                <w:szCs w:val="20"/>
                <w:color w:val="auto"/>
              </w:rPr>
            </w:pPr>
            <w:r>
              <w:rPr>
                <w:rFonts w:ascii="Arial" w:cs="Arial" w:eastAsia="Arial" w:hAnsi="Arial"/>
                <w:sz w:val="13"/>
                <w:szCs w:val="13"/>
                <w:b w:val="1"/>
                <w:bCs w:val="1"/>
                <w:color w:val="auto"/>
              </w:rPr>
              <w:t>$</w:t>
            </w:r>
          </w:p>
        </w:tc>
        <w:tc>
          <w:tcPr>
            <w:tcW w:w="160" w:type="dxa"/>
            <w:vAlign w:val="bottom"/>
            <w:shd w:val="clear" w:color="auto" w:fill="CCEEFF"/>
          </w:tcPr>
          <w:p>
            <w:pPr>
              <w:spacing w:after="0"/>
              <w:rPr>
                <w:sz w:val="11"/>
                <w:szCs w:val="11"/>
                <w:color w:val="auto"/>
              </w:rPr>
            </w:pPr>
          </w:p>
        </w:tc>
        <w:tc>
          <w:tcPr>
            <w:tcW w:w="240" w:type="dxa"/>
            <w:vAlign w:val="bottom"/>
            <w:gridSpan w:val="2"/>
            <w:shd w:val="clear" w:color="auto" w:fill="CCEEFF"/>
          </w:tcPr>
          <w:p>
            <w:pPr>
              <w:jc w:val="right"/>
              <w:ind w:right="20"/>
              <w:spacing w:after="0" w:line="129" w:lineRule="exact"/>
              <w:rPr>
                <w:sz w:val="20"/>
                <w:szCs w:val="20"/>
                <w:color w:val="auto"/>
              </w:rPr>
            </w:pPr>
            <w:r>
              <w:rPr>
                <w:rFonts w:ascii="Arial" w:cs="Arial" w:eastAsia="Arial" w:hAnsi="Arial"/>
                <w:sz w:val="13"/>
                <w:szCs w:val="13"/>
                <w:b w:val="1"/>
                <w:bCs w:val="1"/>
                <w:color w:val="auto"/>
                <w:w w:val="86"/>
              </w:rPr>
              <w:t>(41)</w:t>
            </w:r>
          </w:p>
        </w:tc>
        <w:tc>
          <w:tcPr>
            <w:tcW w:w="280" w:type="dxa"/>
            <w:vAlign w:val="bottom"/>
            <w:gridSpan w:val="2"/>
            <w:shd w:val="clear" w:color="auto" w:fill="CCEEFF"/>
          </w:tcPr>
          <w:p>
            <w:pPr>
              <w:jc w:val="right"/>
              <w:ind w:right="60"/>
              <w:spacing w:after="0" w:line="129" w:lineRule="exact"/>
              <w:rPr>
                <w:sz w:val="20"/>
                <w:szCs w:val="20"/>
                <w:color w:val="auto"/>
              </w:rPr>
            </w:pPr>
            <w:r>
              <w:rPr>
                <w:rFonts w:ascii="Arial" w:cs="Arial" w:eastAsia="Arial" w:hAnsi="Arial"/>
                <w:sz w:val="13"/>
                <w:szCs w:val="13"/>
                <w:b w:val="1"/>
                <w:bCs w:val="1"/>
                <w:color w:val="auto"/>
              </w:rPr>
              <w:t>$</w:t>
            </w:r>
          </w:p>
        </w:tc>
        <w:tc>
          <w:tcPr>
            <w:tcW w:w="620" w:type="dxa"/>
            <w:vAlign w:val="bottom"/>
            <w:gridSpan w:val="2"/>
            <w:shd w:val="clear" w:color="auto" w:fill="CCEEFF"/>
          </w:tcPr>
          <w:p>
            <w:pPr>
              <w:jc w:val="right"/>
              <w:ind w:right="137"/>
              <w:spacing w:after="0" w:line="129" w:lineRule="exact"/>
              <w:rPr>
                <w:sz w:val="20"/>
                <w:szCs w:val="20"/>
                <w:color w:val="auto"/>
              </w:rPr>
            </w:pPr>
            <w:r>
              <w:rPr>
                <w:rFonts w:ascii="Arial" w:cs="Arial" w:eastAsia="Arial" w:hAnsi="Arial"/>
                <w:sz w:val="13"/>
                <w:szCs w:val="13"/>
                <w:b w:val="1"/>
                <w:bCs w:val="1"/>
                <w:color w:val="auto"/>
              </w:rPr>
              <w:t>2,207</w:t>
            </w: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82"/>
              </w:rPr>
              <w:t>$</w:t>
            </w: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jc w:val="right"/>
              <w:ind w:right="77"/>
              <w:spacing w:after="0" w:line="129" w:lineRule="exact"/>
              <w:rPr>
                <w:sz w:val="20"/>
                <w:szCs w:val="20"/>
                <w:color w:val="auto"/>
              </w:rPr>
            </w:pPr>
            <w:r>
              <w:rPr>
                <w:rFonts w:ascii="Arial" w:cs="Arial" w:eastAsia="Arial" w:hAnsi="Arial"/>
                <w:sz w:val="13"/>
                <w:szCs w:val="13"/>
                <w:b w:val="1"/>
                <w:bCs w:val="1"/>
                <w:color w:val="auto"/>
              </w:rPr>
              <w:t>(384)</w:t>
            </w:r>
          </w:p>
        </w:tc>
        <w:tc>
          <w:tcPr>
            <w:tcW w:w="240" w:type="dxa"/>
            <w:vAlign w:val="bottom"/>
            <w:shd w:val="clear" w:color="auto" w:fill="CCEEFF"/>
          </w:tcPr>
          <w:p>
            <w:pPr>
              <w:ind w:left="60"/>
              <w:spacing w:after="0" w:line="129" w:lineRule="exact"/>
              <w:rPr>
                <w:sz w:val="20"/>
                <w:szCs w:val="20"/>
                <w:color w:val="auto"/>
              </w:rPr>
            </w:pPr>
            <w:r>
              <w:rPr>
                <w:rFonts w:ascii="Arial" w:cs="Arial" w:eastAsia="Arial" w:hAnsi="Arial"/>
                <w:sz w:val="13"/>
                <w:szCs w:val="13"/>
                <w:b w:val="1"/>
                <w:bCs w:val="1"/>
                <w:color w:val="auto"/>
              </w:rPr>
              <w:t>$</w:t>
            </w:r>
          </w:p>
        </w:tc>
        <w:tc>
          <w:tcPr>
            <w:tcW w:w="7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2,602</w:t>
            </w:r>
          </w:p>
        </w:tc>
      </w:tr>
      <w:tr>
        <w:trPr>
          <w:trHeight w:val="135"/>
        </w:trPr>
        <w:tc>
          <w:tcPr>
            <w:tcW w:w="3380" w:type="dxa"/>
            <w:vAlign w:val="bottom"/>
          </w:tcPr>
          <w:p>
            <w:pPr>
              <w:spacing w:after="0" w:line="135" w:lineRule="exact"/>
              <w:rPr>
                <w:sz w:val="20"/>
                <w:szCs w:val="20"/>
                <w:color w:val="auto"/>
              </w:rPr>
            </w:pPr>
            <w:r>
              <w:rPr>
                <w:rFonts w:ascii="Arial" w:cs="Arial" w:eastAsia="Arial" w:hAnsi="Arial"/>
                <w:sz w:val="13"/>
                <w:szCs w:val="13"/>
                <w:color w:val="auto"/>
              </w:rPr>
              <w:t>Restricted stock issued</w:t>
            </w:r>
          </w:p>
        </w:tc>
        <w:tc>
          <w:tcPr>
            <w:tcW w:w="6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16</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33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Issued under director and stock plans</w:t>
            </w:r>
          </w:p>
        </w:tc>
        <w:tc>
          <w:tcPr>
            <w:tcW w:w="6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23</w:t>
            </w:r>
          </w:p>
        </w:tc>
        <w:tc>
          <w:tcPr>
            <w:tcW w:w="32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r>
      <w:tr>
        <w:trPr>
          <w:trHeight w:val="135"/>
        </w:trPr>
        <w:tc>
          <w:tcPr>
            <w:tcW w:w="3380" w:type="dxa"/>
            <w:vAlign w:val="bottom"/>
          </w:tcPr>
          <w:p>
            <w:pPr>
              <w:spacing w:after="0" w:line="135" w:lineRule="exact"/>
              <w:rPr>
                <w:sz w:val="20"/>
                <w:szCs w:val="20"/>
                <w:color w:val="auto"/>
              </w:rPr>
            </w:pPr>
            <w:r>
              <w:rPr>
                <w:rFonts w:ascii="Arial" w:cs="Arial" w:eastAsia="Arial" w:hAnsi="Arial"/>
                <w:sz w:val="13"/>
                <w:szCs w:val="13"/>
                <w:color w:val="auto"/>
              </w:rPr>
              <w:t>Share-based compensation expense</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6</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6</w:t>
            </w:r>
          </w:p>
        </w:tc>
      </w:tr>
      <w:tr>
        <w:trPr>
          <w:trHeight w:val="129"/>
        </w:trPr>
        <w:tc>
          <w:tcPr>
            <w:tcW w:w="338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Shares of common stock used to satisfy tax withholding</w:t>
            </w:r>
          </w:p>
        </w:tc>
        <w:tc>
          <w:tcPr>
            <w:tcW w:w="3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r>
      <w:tr>
        <w:trPr>
          <w:trHeight w:val="141"/>
        </w:trPr>
        <w:tc>
          <w:tcPr>
            <w:tcW w:w="3380" w:type="dxa"/>
            <w:vAlign w:val="bottom"/>
            <w:shd w:val="clear" w:color="auto" w:fill="CCEEFF"/>
          </w:tcPr>
          <w:p>
            <w:pPr>
              <w:ind w:left="180"/>
              <w:spacing w:after="0" w:line="141" w:lineRule="exact"/>
              <w:rPr>
                <w:sz w:val="20"/>
                <w:szCs w:val="20"/>
                <w:color w:val="auto"/>
              </w:rPr>
            </w:pPr>
            <w:r>
              <w:rPr>
                <w:rFonts w:ascii="Arial" w:cs="Arial" w:eastAsia="Arial" w:hAnsi="Arial"/>
                <w:sz w:val="13"/>
                <w:szCs w:val="13"/>
                <w:color w:val="auto"/>
              </w:rPr>
              <w:t>obligations</w:t>
            </w: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rPr>
              <w:t>(1)</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r>
      <w:tr>
        <w:trPr>
          <w:trHeight w:val="135"/>
        </w:trPr>
        <w:tc>
          <w:tcPr>
            <w:tcW w:w="3380" w:type="dxa"/>
            <w:vAlign w:val="bottom"/>
          </w:tcPr>
          <w:p>
            <w:pPr>
              <w:spacing w:after="0" w:line="135" w:lineRule="exact"/>
              <w:rPr>
                <w:sz w:val="20"/>
                <w:szCs w:val="20"/>
                <w:color w:val="auto"/>
              </w:rPr>
            </w:pPr>
            <w:r>
              <w:rPr>
                <w:rFonts w:ascii="Arial" w:cs="Arial" w:eastAsia="Arial" w:hAnsi="Arial"/>
                <w:sz w:val="13"/>
                <w:szCs w:val="13"/>
                <w:color w:val="auto"/>
              </w:rPr>
              <w:t>Share repurchases</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4"/>
          </w:tcPr>
          <w:p>
            <w:pPr>
              <w:jc w:val="right"/>
              <w:spacing w:after="0" w:line="135" w:lineRule="exact"/>
              <w:rPr>
                <w:sz w:val="20"/>
                <w:szCs w:val="20"/>
                <w:color w:val="auto"/>
              </w:rPr>
            </w:pPr>
            <w:r>
              <w:rPr>
                <w:rFonts w:ascii="Arial" w:cs="Arial" w:eastAsia="Arial" w:hAnsi="Arial"/>
                <w:sz w:val="13"/>
                <w:szCs w:val="13"/>
                <w:color w:val="auto"/>
              </w:rPr>
              <w:t>(2,900)</w:t>
            </w:r>
          </w:p>
        </w:tc>
        <w:tc>
          <w:tcPr>
            <w:tcW w:w="300" w:type="dxa"/>
            <w:vAlign w:val="bottom"/>
          </w:tcPr>
          <w:p>
            <w:pPr>
              <w:spacing w:after="0"/>
              <w:rPr>
                <w:sz w:val="11"/>
                <w:szCs w:val="11"/>
                <w:color w:val="auto"/>
              </w:rPr>
            </w:pPr>
          </w:p>
        </w:tc>
        <w:tc>
          <w:tcPr>
            <w:tcW w:w="400" w:type="dxa"/>
            <w:vAlign w:val="bottom"/>
            <w:gridSpan w:val="3"/>
          </w:tcPr>
          <w:p>
            <w:pPr>
              <w:jc w:val="right"/>
              <w:ind w:right="20"/>
              <w:spacing w:after="0" w:line="135" w:lineRule="exact"/>
              <w:rPr>
                <w:sz w:val="20"/>
                <w:szCs w:val="20"/>
                <w:color w:val="auto"/>
              </w:rPr>
            </w:pPr>
            <w:r>
              <w:rPr>
                <w:rFonts w:ascii="Arial" w:cs="Arial" w:eastAsia="Arial" w:hAnsi="Arial"/>
                <w:sz w:val="13"/>
                <w:szCs w:val="13"/>
                <w:color w:val="auto"/>
              </w:rPr>
              <w:t>(120)</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(120)</w:t>
            </w:r>
          </w:p>
        </w:tc>
      </w:tr>
      <w:tr>
        <w:trPr>
          <w:trHeight w:val="135"/>
        </w:trPr>
        <w:tc>
          <w:tcPr>
            <w:tcW w:w="33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Reissued - Employee Stock Purchase Plan</w:t>
            </w:r>
          </w:p>
        </w:tc>
        <w:tc>
          <w:tcPr>
            <w:tcW w:w="3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96</w:t>
            </w: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w:t>
            </w: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w:t>
            </w:r>
          </w:p>
        </w:tc>
      </w:tr>
      <w:tr>
        <w:trPr>
          <w:trHeight w:val="135"/>
        </w:trPr>
        <w:tc>
          <w:tcPr>
            <w:tcW w:w="3380" w:type="dxa"/>
            <w:vAlign w:val="bottom"/>
          </w:tcPr>
          <w:p>
            <w:pPr>
              <w:spacing w:after="0" w:line="135" w:lineRule="exact"/>
              <w:rPr>
                <w:sz w:val="20"/>
                <w:szCs w:val="20"/>
                <w:color w:val="auto"/>
              </w:rPr>
            </w:pPr>
            <w:r>
              <w:rPr>
                <w:rFonts w:ascii="Arial" w:cs="Arial" w:eastAsia="Arial" w:hAnsi="Arial"/>
                <w:sz w:val="13"/>
                <w:szCs w:val="13"/>
                <w:color w:val="auto"/>
              </w:rPr>
              <w:t>Net income</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60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60</w:t>
            </w:r>
          </w:p>
        </w:tc>
      </w:tr>
      <w:tr>
        <w:trPr>
          <w:trHeight w:val="129"/>
        </w:trPr>
        <w:tc>
          <w:tcPr>
            <w:tcW w:w="338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Cash dividends declared on common stock ($0.38 per</w:t>
            </w:r>
          </w:p>
        </w:tc>
        <w:tc>
          <w:tcPr>
            <w:tcW w:w="3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r>
      <w:tr>
        <w:trPr>
          <w:trHeight w:val="141"/>
        </w:trPr>
        <w:tc>
          <w:tcPr>
            <w:tcW w:w="3380" w:type="dxa"/>
            <w:vAlign w:val="bottom"/>
            <w:shd w:val="clear" w:color="auto" w:fill="CCEEFF"/>
          </w:tcPr>
          <w:p>
            <w:pPr>
              <w:ind w:left="180"/>
              <w:spacing w:after="0" w:line="141" w:lineRule="exact"/>
              <w:rPr>
                <w:sz w:val="20"/>
                <w:szCs w:val="20"/>
                <w:color w:val="auto"/>
              </w:rPr>
            </w:pPr>
            <w:r>
              <w:rPr>
                <w:rFonts w:ascii="Arial" w:cs="Arial" w:eastAsia="Arial" w:hAnsi="Arial"/>
                <w:sz w:val="13"/>
                <w:szCs w:val="13"/>
                <w:color w:val="auto"/>
              </w:rPr>
              <w:t>share)</w:t>
            </w: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97"/>
              <w:spacing w:after="0" w:line="141" w:lineRule="exact"/>
              <w:rPr>
                <w:sz w:val="20"/>
                <w:szCs w:val="20"/>
                <w:color w:val="auto"/>
              </w:rPr>
            </w:pPr>
            <w:r>
              <w:rPr>
                <w:rFonts w:ascii="Arial" w:cs="Arial" w:eastAsia="Arial" w:hAnsi="Arial"/>
                <w:sz w:val="13"/>
                <w:szCs w:val="13"/>
                <w:color w:val="auto"/>
              </w:rPr>
              <w:t>(41)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(41)</w:t>
            </w:r>
          </w:p>
        </w:tc>
      </w:tr>
      <w:tr>
        <w:trPr>
          <w:trHeight w:val="135"/>
        </w:trPr>
        <w:tc>
          <w:tcPr>
            <w:tcW w:w="3380" w:type="dxa"/>
            <w:vAlign w:val="bottom"/>
          </w:tcPr>
          <w:p>
            <w:pPr>
              <w:spacing w:after="0" w:line="135" w:lineRule="exact"/>
              <w:rPr>
                <w:sz w:val="20"/>
                <w:szCs w:val="20"/>
                <w:color w:val="auto"/>
              </w:rPr>
            </w:pPr>
            <w:r>
              <w:rPr>
                <w:rFonts w:ascii="Arial" w:cs="Arial" w:eastAsia="Arial" w:hAnsi="Arial"/>
                <w:sz w:val="13"/>
                <w:szCs w:val="13"/>
                <w:color w:val="auto"/>
              </w:rPr>
              <w:t>Translation adjustment, net of tax</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right"/>
              <w:ind w:right="77"/>
              <w:spacing w:after="0" w:line="135" w:lineRule="exact"/>
              <w:rPr>
                <w:sz w:val="20"/>
                <w:szCs w:val="20"/>
                <w:color w:val="auto"/>
              </w:rPr>
            </w:pPr>
            <w:r>
              <w:rPr>
                <w:rFonts w:ascii="Arial" w:cs="Arial" w:eastAsia="Arial" w:hAnsi="Arial"/>
                <w:sz w:val="13"/>
                <w:szCs w:val="13"/>
                <w:color w:val="auto"/>
              </w:rPr>
              <w:t>(6)</w:t>
            </w:r>
          </w:p>
        </w:tc>
        <w:tc>
          <w:tcPr>
            <w:tcW w:w="2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(6)</w:t>
            </w:r>
          </w:p>
        </w:tc>
      </w:tr>
      <w:tr>
        <w:trPr>
          <w:trHeight w:val="135"/>
        </w:trPr>
        <w:tc>
          <w:tcPr>
            <w:tcW w:w="33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Change in cash flow hedges, net of tax</w:t>
            </w:r>
          </w:p>
        </w:tc>
        <w:tc>
          <w:tcPr>
            <w:tcW w:w="3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5</w:t>
            </w: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w:t>
            </w:r>
          </w:p>
        </w:tc>
      </w:tr>
      <w:tr>
        <w:trPr>
          <w:trHeight w:val="135"/>
        </w:trPr>
        <w:tc>
          <w:tcPr>
            <w:tcW w:w="3380" w:type="dxa"/>
            <w:vAlign w:val="bottom"/>
            <w:tcBorders>
              <w:bottom w:val="single" w:sz="8" w:color="auto"/>
            </w:tcBorders>
          </w:tcPr>
          <w:p>
            <w:pPr>
              <w:spacing w:after="0" w:line="135" w:lineRule="exact"/>
              <w:rPr>
                <w:sz w:val="20"/>
                <w:szCs w:val="20"/>
                <w:color w:val="auto"/>
              </w:rPr>
            </w:pPr>
            <w:r>
              <w:rPr>
                <w:rFonts w:ascii="Arial" w:cs="Arial" w:eastAsia="Arial" w:hAnsi="Arial"/>
                <w:sz w:val="13"/>
                <w:szCs w:val="13"/>
                <w:color w:val="auto"/>
              </w:rPr>
              <w:t>Pension and postretirement adjustments, net of tax</w:t>
            </w:r>
          </w:p>
        </w:tc>
        <w:tc>
          <w:tcPr>
            <w:tcW w:w="3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117"/>
              <w:spacing w:after="0" w:line="135" w:lineRule="exact"/>
              <w:rPr>
                <w:sz w:val="20"/>
                <w:szCs w:val="20"/>
                <w:color w:val="auto"/>
              </w:rPr>
            </w:pPr>
            <w:r>
              <w:rPr>
                <w:rFonts w:ascii="Arial" w:cs="Arial" w:eastAsia="Arial" w:hAnsi="Arial"/>
                <w:sz w:val="13"/>
                <w:szCs w:val="13"/>
                <w:color w:val="auto"/>
              </w:rPr>
              <w:t>1</w:t>
            </w:r>
          </w:p>
        </w:tc>
        <w:tc>
          <w:tcPr>
            <w:tcW w:w="2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w:t>
            </w:r>
          </w:p>
        </w:tc>
      </w:tr>
      <w:tr>
        <w:trPr>
          <w:trHeight w:val="129"/>
        </w:trPr>
        <w:tc>
          <w:tcPr>
            <w:tcW w:w="3380" w:type="dxa"/>
            <w:vAlign w:val="bottom"/>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Balance at August 3, 2019</w:t>
            </w:r>
          </w:p>
        </w:tc>
        <w:tc>
          <w:tcPr>
            <w:tcW w:w="60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113,200</w:t>
            </w:r>
          </w:p>
        </w:tc>
        <w:tc>
          <w:tcPr>
            <w:tcW w:w="320" w:type="dxa"/>
            <w:vAlign w:val="bottom"/>
            <w:shd w:val="clear" w:color="auto" w:fill="CCEEFF"/>
          </w:tcPr>
          <w:p>
            <w:pPr>
              <w:jc w:val="right"/>
              <w:ind w:right="137"/>
              <w:spacing w:after="0" w:line="129" w:lineRule="exact"/>
              <w:rPr>
                <w:sz w:val="20"/>
                <w:szCs w:val="20"/>
                <w:color w:val="auto"/>
              </w:rPr>
            </w:pPr>
            <w:r>
              <w:rPr>
                <w:rFonts w:ascii="Arial" w:cs="Arial" w:eastAsia="Arial" w:hAnsi="Arial"/>
                <w:sz w:val="13"/>
                <w:szCs w:val="13"/>
                <w:b w:val="1"/>
                <w:bCs w:val="1"/>
                <w:color w:val="auto"/>
              </w:rPr>
              <w:t>$</w:t>
            </w:r>
          </w:p>
        </w:tc>
        <w:tc>
          <w:tcPr>
            <w:tcW w:w="3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825</w:t>
            </w:r>
          </w:p>
        </w:tc>
        <w:tc>
          <w:tcPr>
            <w:tcW w:w="20" w:type="dxa"/>
            <w:vAlign w:val="bottom"/>
            <w:shd w:val="clear" w:color="auto" w:fill="CCEEFF"/>
          </w:tcPr>
          <w:p>
            <w:pPr>
              <w:spacing w:after="0"/>
              <w:rPr>
                <w:sz w:val="11"/>
                <w:szCs w:val="11"/>
                <w:color w:val="auto"/>
              </w:rPr>
            </w:pPr>
          </w:p>
        </w:tc>
        <w:tc>
          <w:tcPr>
            <w:tcW w:w="620" w:type="dxa"/>
            <w:vAlign w:val="bottom"/>
            <w:gridSpan w:val="4"/>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(3,579)</w:t>
            </w:r>
          </w:p>
        </w:tc>
        <w:tc>
          <w:tcPr>
            <w:tcW w:w="300" w:type="dxa"/>
            <w:vAlign w:val="bottom"/>
            <w:shd w:val="clear" w:color="auto" w:fill="CCEEFF"/>
          </w:tcPr>
          <w:p>
            <w:pPr>
              <w:jc w:val="right"/>
              <w:ind w:right="17"/>
              <w:spacing w:after="0" w:line="129" w:lineRule="exact"/>
              <w:rPr>
                <w:sz w:val="20"/>
                <w:szCs w:val="20"/>
                <w:color w:val="auto"/>
              </w:rPr>
            </w:pPr>
            <w:r>
              <w:rPr>
                <w:rFonts w:ascii="Arial" w:cs="Arial" w:eastAsia="Arial" w:hAnsi="Arial"/>
                <w:sz w:val="13"/>
                <w:szCs w:val="13"/>
                <w:b w:val="1"/>
                <w:bCs w:val="1"/>
                <w:color w:val="auto"/>
              </w:rPr>
              <w:t>$</w:t>
            </w:r>
          </w:p>
        </w:tc>
        <w:tc>
          <w:tcPr>
            <w:tcW w:w="400" w:type="dxa"/>
            <w:vAlign w:val="bottom"/>
            <w:gridSpan w:val="3"/>
            <w:shd w:val="clear" w:color="auto" w:fill="CCEEFF"/>
          </w:tcPr>
          <w:p>
            <w:pPr>
              <w:jc w:val="right"/>
              <w:ind w:right="20"/>
              <w:spacing w:after="0" w:line="129" w:lineRule="exact"/>
              <w:rPr>
                <w:sz w:val="20"/>
                <w:szCs w:val="20"/>
                <w:color w:val="auto"/>
              </w:rPr>
            </w:pPr>
            <w:r>
              <w:rPr>
                <w:rFonts w:ascii="Arial" w:cs="Arial" w:eastAsia="Arial" w:hAnsi="Arial"/>
                <w:sz w:val="13"/>
                <w:szCs w:val="13"/>
                <w:b w:val="1"/>
                <w:bCs w:val="1"/>
                <w:color w:val="auto"/>
              </w:rPr>
              <w:t>(155)</w:t>
            </w:r>
          </w:p>
        </w:tc>
        <w:tc>
          <w:tcPr>
            <w:tcW w:w="280" w:type="dxa"/>
            <w:vAlign w:val="bottom"/>
            <w:gridSpan w:val="2"/>
            <w:shd w:val="clear" w:color="auto" w:fill="CCEEFF"/>
          </w:tcPr>
          <w:p>
            <w:pPr>
              <w:jc w:val="right"/>
              <w:ind w:right="60"/>
              <w:spacing w:after="0" w:line="129" w:lineRule="exact"/>
              <w:rPr>
                <w:sz w:val="20"/>
                <w:szCs w:val="20"/>
                <w:color w:val="auto"/>
              </w:rPr>
            </w:pPr>
            <w:r>
              <w:rPr>
                <w:rFonts w:ascii="Arial" w:cs="Arial" w:eastAsia="Arial" w:hAnsi="Arial"/>
                <w:sz w:val="13"/>
                <w:szCs w:val="13"/>
                <w:b w:val="1"/>
                <w:bCs w:val="1"/>
                <w:color w:val="auto"/>
              </w:rPr>
              <w:t>$</w:t>
            </w:r>
          </w:p>
        </w:tc>
        <w:tc>
          <w:tcPr>
            <w:tcW w:w="620" w:type="dxa"/>
            <w:vAlign w:val="bottom"/>
            <w:gridSpan w:val="2"/>
            <w:shd w:val="clear" w:color="auto" w:fill="CCEEFF"/>
          </w:tcPr>
          <w:p>
            <w:pPr>
              <w:jc w:val="right"/>
              <w:ind w:right="137"/>
              <w:spacing w:after="0" w:line="129" w:lineRule="exact"/>
              <w:rPr>
                <w:sz w:val="20"/>
                <w:szCs w:val="20"/>
                <w:color w:val="auto"/>
              </w:rPr>
            </w:pPr>
            <w:r>
              <w:rPr>
                <w:rFonts w:ascii="Arial" w:cs="Arial" w:eastAsia="Arial" w:hAnsi="Arial"/>
                <w:sz w:val="13"/>
                <w:szCs w:val="13"/>
                <w:b w:val="1"/>
                <w:bCs w:val="1"/>
                <w:color w:val="auto"/>
              </w:rPr>
              <w:t>2,226</w:t>
            </w: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82"/>
              </w:rPr>
              <w:t>$</w:t>
            </w: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jc w:val="right"/>
              <w:ind w:right="77"/>
              <w:spacing w:after="0" w:line="129" w:lineRule="exact"/>
              <w:rPr>
                <w:sz w:val="20"/>
                <w:szCs w:val="20"/>
                <w:color w:val="auto"/>
              </w:rPr>
            </w:pPr>
            <w:r>
              <w:rPr>
                <w:rFonts w:ascii="Arial" w:cs="Arial" w:eastAsia="Arial" w:hAnsi="Arial"/>
                <w:sz w:val="13"/>
                <w:szCs w:val="13"/>
                <w:b w:val="1"/>
                <w:bCs w:val="1"/>
                <w:color w:val="auto"/>
              </w:rPr>
              <w:t>(384)</w:t>
            </w:r>
          </w:p>
        </w:tc>
        <w:tc>
          <w:tcPr>
            <w:tcW w:w="240" w:type="dxa"/>
            <w:vAlign w:val="bottom"/>
            <w:shd w:val="clear" w:color="auto" w:fill="CCEEFF"/>
          </w:tcPr>
          <w:p>
            <w:pPr>
              <w:ind w:left="60"/>
              <w:spacing w:after="0" w:line="129" w:lineRule="exact"/>
              <w:rPr>
                <w:sz w:val="20"/>
                <w:szCs w:val="20"/>
                <w:color w:val="auto"/>
              </w:rPr>
            </w:pPr>
            <w:r>
              <w:rPr>
                <w:rFonts w:ascii="Arial" w:cs="Arial" w:eastAsia="Arial" w:hAnsi="Arial"/>
                <w:sz w:val="13"/>
                <w:szCs w:val="13"/>
                <w:b w:val="1"/>
                <w:bCs w:val="1"/>
                <w:color w:val="auto"/>
              </w:rPr>
              <w:t>$</w:t>
            </w:r>
          </w:p>
        </w:tc>
        <w:tc>
          <w:tcPr>
            <w:tcW w:w="7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2,512</w:t>
            </w:r>
          </w:p>
        </w:tc>
      </w:tr>
      <w:tr>
        <w:trPr>
          <w:trHeight w:val="135"/>
        </w:trPr>
        <w:tc>
          <w:tcPr>
            <w:tcW w:w="3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gridSpan w:val="2"/>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35"/>
        </w:trPr>
        <w:tc>
          <w:tcPr>
            <w:tcW w:w="338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Balance at May 5, 2018</w:t>
            </w:r>
          </w:p>
        </w:tc>
        <w:tc>
          <w:tcPr>
            <w:tcW w:w="6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121,342</w:t>
            </w:r>
          </w:p>
        </w:tc>
        <w:tc>
          <w:tcPr>
            <w:tcW w:w="32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b w:val="1"/>
                <w:bCs w:val="1"/>
                <w:color w:val="auto"/>
              </w:rPr>
              <w:t>$</w:t>
            </w: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848</w:t>
            </w:r>
          </w:p>
        </w:tc>
        <w:tc>
          <w:tcPr>
            <w:tcW w:w="20" w:type="dxa"/>
            <w:vAlign w:val="bottom"/>
            <w:shd w:val="clear" w:color="auto" w:fill="CCEEFF"/>
          </w:tcPr>
          <w:p>
            <w:pPr>
              <w:spacing w:after="0"/>
              <w:rPr>
                <w:sz w:val="11"/>
                <w:szCs w:val="11"/>
                <w:color w:val="auto"/>
              </w:rPr>
            </w:pPr>
          </w:p>
        </w:tc>
        <w:tc>
          <w:tcPr>
            <w:tcW w:w="620" w:type="dxa"/>
            <w:vAlign w:val="bottom"/>
            <w:gridSpan w:val="4"/>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(4,081)</w:t>
            </w:r>
          </w:p>
        </w:tc>
        <w:tc>
          <w:tcPr>
            <w:tcW w:w="3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b w:val="1"/>
                <w:bCs w:val="1"/>
                <w:color w:val="auto"/>
              </w:rPr>
              <w:t>$</w:t>
            </w:r>
          </w:p>
        </w:tc>
        <w:tc>
          <w:tcPr>
            <w:tcW w:w="400" w:type="dxa"/>
            <w:vAlign w:val="bottom"/>
            <w:gridSpan w:val="3"/>
            <w:shd w:val="clear" w:color="auto" w:fill="CCEEFF"/>
          </w:tcPr>
          <w:p>
            <w:pPr>
              <w:jc w:val="right"/>
              <w:ind w:right="20"/>
              <w:spacing w:after="0" w:line="135" w:lineRule="exact"/>
              <w:rPr>
                <w:sz w:val="20"/>
                <w:szCs w:val="20"/>
                <w:color w:val="auto"/>
              </w:rPr>
            </w:pPr>
            <w:r>
              <w:rPr>
                <w:rFonts w:ascii="Arial" w:cs="Arial" w:eastAsia="Arial" w:hAnsi="Arial"/>
                <w:sz w:val="13"/>
                <w:szCs w:val="13"/>
                <w:b w:val="1"/>
                <w:bCs w:val="1"/>
                <w:color w:val="auto"/>
              </w:rPr>
              <w:t>(176)</w:t>
            </w:r>
          </w:p>
        </w:tc>
        <w:tc>
          <w:tcPr>
            <w:tcW w:w="2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b w:val="1"/>
                <w:bCs w:val="1"/>
                <w:color w:val="auto"/>
              </w:rPr>
              <w:t>$</w:t>
            </w:r>
          </w:p>
        </w:tc>
        <w:tc>
          <w:tcPr>
            <w:tcW w:w="620" w:type="dxa"/>
            <w:vAlign w:val="bottom"/>
            <w:gridSpan w:val="2"/>
            <w:shd w:val="clear" w:color="auto" w:fill="CCEEFF"/>
          </w:tcPr>
          <w:p>
            <w:pPr>
              <w:jc w:val="right"/>
              <w:ind w:right="137"/>
              <w:spacing w:after="0" w:line="135" w:lineRule="exact"/>
              <w:rPr>
                <w:sz w:val="20"/>
                <w:szCs w:val="20"/>
                <w:color w:val="auto"/>
              </w:rPr>
            </w:pPr>
            <w:r>
              <w:rPr>
                <w:rFonts w:ascii="Arial" w:cs="Arial" w:eastAsia="Arial" w:hAnsi="Arial"/>
                <w:sz w:val="13"/>
                <w:szCs w:val="13"/>
                <w:b w:val="1"/>
                <w:bCs w:val="1"/>
                <w:color w:val="auto"/>
              </w:rPr>
              <w:t>2,184</w:t>
            </w:r>
          </w:p>
        </w:tc>
        <w:tc>
          <w:tcPr>
            <w:tcW w:w="1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w w:val="82"/>
              </w:rPr>
              <w:t>$</w:t>
            </w: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b w:val="1"/>
                <w:bCs w:val="1"/>
                <w:color w:val="auto"/>
              </w:rPr>
              <w:t>(313)</w:t>
            </w:r>
          </w:p>
        </w:tc>
        <w:tc>
          <w:tcPr>
            <w:tcW w:w="24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b w:val="1"/>
                <w:bCs w:val="1"/>
                <w:color w:val="auto"/>
              </w:rPr>
              <w:t>$</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2,543</w:t>
            </w:r>
          </w:p>
        </w:tc>
      </w:tr>
      <w:tr>
        <w:trPr>
          <w:trHeight w:val="135"/>
        </w:trPr>
        <w:tc>
          <w:tcPr>
            <w:tcW w:w="3380" w:type="dxa"/>
            <w:vAlign w:val="bottom"/>
          </w:tcPr>
          <w:p>
            <w:pPr>
              <w:spacing w:after="0" w:line="135" w:lineRule="exact"/>
              <w:rPr>
                <w:sz w:val="20"/>
                <w:szCs w:val="20"/>
                <w:color w:val="auto"/>
              </w:rPr>
            </w:pPr>
            <w:r>
              <w:rPr>
                <w:rFonts w:ascii="Arial" w:cs="Arial" w:eastAsia="Arial" w:hAnsi="Arial"/>
                <w:sz w:val="13"/>
                <w:szCs w:val="13"/>
                <w:color w:val="auto"/>
              </w:rPr>
              <w:t>Restricted stock issued</w:t>
            </w:r>
          </w:p>
        </w:tc>
        <w:tc>
          <w:tcPr>
            <w:tcW w:w="6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13</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33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Issued under director and stock plans</w:t>
            </w:r>
          </w:p>
        </w:tc>
        <w:tc>
          <w:tcPr>
            <w:tcW w:w="6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142</w:t>
            </w:r>
          </w:p>
        </w:tc>
        <w:tc>
          <w:tcPr>
            <w:tcW w:w="32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w:t>
            </w:r>
          </w:p>
        </w:tc>
      </w:tr>
      <w:tr>
        <w:trPr>
          <w:trHeight w:val="135"/>
        </w:trPr>
        <w:tc>
          <w:tcPr>
            <w:tcW w:w="3380" w:type="dxa"/>
            <w:vAlign w:val="bottom"/>
          </w:tcPr>
          <w:p>
            <w:pPr>
              <w:spacing w:after="0" w:line="135" w:lineRule="exact"/>
              <w:rPr>
                <w:sz w:val="20"/>
                <w:szCs w:val="20"/>
                <w:color w:val="auto"/>
              </w:rPr>
            </w:pPr>
            <w:r>
              <w:rPr>
                <w:rFonts w:ascii="Arial" w:cs="Arial" w:eastAsia="Arial" w:hAnsi="Arial"/>
                <w:sz w:val="13"/>
                <w:szCs w:val="13"/>
                <w:color w:val="auto"/>
              </w:rPr>
              <w:t>Share-based compensation expense</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3</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3</w:t>
            </w:r>
          </w:p>
        </w:tc>
      </w:tr>
      <w:tr>
        <w:trPr>
          <w:trHeight w:val="129"/>
        </w:trPr>
        <w:tc>
          <w:tcPr>
            <w:tcW w:w="338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Shares of common stock used to satisfy tax withholding</w:t>
            </w:r>
          </w:p>
        </w:tc>
        <w:tc>
          <w:tcPr>
            <w:tcW w:w="3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r>
      <w:tr>
        <w:trPr>
          <w:trHeight w:val="141"/>
        </w:trPr>
        <w:tc>
          <w:tcPr>
            <w:tcW w:w="3380" w:type="dxa"/>
            <w:vAlign w:val="bottom"/>
            <w:shd w:val="clear" w:color="auto" w:fill="CCEEFF"/>
          </w:tcPr>
          <w:p>
            <w:pPr>
              <w:ind w:left="180"/>
              <w:spacing w:after="0" w:line="141" w:lineRule="exact"/>
              <w:rPr>
                <w:sz w:val="20"/>
                <w:szCs w:val="20"/>
                <w:color w:val="auto"/>
              </w:rPr>
            </w:pPr>
            <w:r>
              <w:rPr>
                <w:rFonts w:ascii="Arial" w:cs="Arial" w:eastAsia="Arial" w:hAnsi="Arial"/>
                <w:sz w:val="13"/>
                <w:szCs w:val="13"/>
                <w:color w:val="auto"/>
              </w:rPr>
              <w:t>obligations</w:t>
            </w: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rPr>
              <w:t>(1)</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r>
      <w:tr>
        <w:trPr>
          <w:trHeight w:val="135"/>
        </w:trPr>
        <w:tc>
          <w:tcPr>
            <w:tcW w:w="3380" w:type="dxa"/>
            <w:vAlign w:val="bottom"/>
          </w:tcPr>
          <w:p>
            <w:pPr>
              <w:spacing w:after="0" w:line="135" w:lineRule="exact"/>
              <w:rPr>
                <w:sz w:val="20"/>
                <w:szCs w:val="20"/>
                <w:color w:val="auto"/>
              </w:rPr>
            </w:pPr>
            <w:r>
              <w:rPr>
                <w:rFonts w:ascii="Arial" w:cs="Arial" w:eastAsia="Arial" w:hAnsi="Arial"/>
                <w:sz w:val="13"/>
                <w:szCs w:val="13"/>
                <w:color w:val="auto"/>
              </w:rPr>
              <w:t>Share repurchases</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4"/>
          </w:tcPr>
          <w:p>
            <w:pPr>
              <w:jc w:val="right"/>
              <w:spacing w:after="0" w:line="135" w:lineRule="exact"/>
              <w:rPr>
                <w:sz w:val="20"/>
                <w:szCs w:val="20"/>
                <w:color w:val="auto"/>
              </w:rPr>
            </w:pPr>
            <w:r>
              <w:rPr>
                <w:rFonts w:ascii="Arial" w:cs="Arial" w:eastAsia="Arial" w:hAnsi="Arial"/>
                <w:sz w:val="13"/>
                <w:szCs w:val="13"/>
                <w:color w:val="auto"/>
              </w:rPr>
              <w:t>(1,835)</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w w:val="86"/>
              </w:rPr>
              <w:t>(93)</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(93)</w:t>
            </w:r>
          </w:p>
        </w:tc>
      </w:tr>
      <w:tr>
        <w:trPr>
          <w:trHeight w:val="135"/>
        </w:trPr>
        <w:tc>
          <w:tcPr>
            <w:tcW w:w="33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Reissued - Employee Stock Purchase Plan</w:t>
            </w:r>
          </w:p>
        </w:tc>
        <w:tc>
          <w:tcPr>
            <w:tcW w:w="3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48</w:t>
            </w: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r>
      <w:tr>
        <w:trPr>
          <w:trHeight w:val="135"/>
        </w:trPr>
        <w:tc>
          <w:tcPr>
            <w:tcW w:w="3380" w:type="dxa"/>
            <w:vAlign w:val="bottom"/>
          </w:tcPr>
          <w:p>
            <w:pPr>
              <w:spacing w:after="0" w:line="135" w:lineRule="exact"/>
              <w:rPr>
                <w:sz w:val="20"/>
                <w:szCs w:val="20"/>
                <w:color w:val="auto"/>
              </w:rPr>
            </w:pPr>
            <w:r>
              <w:rPr>
                <w:rFonts w:ascii="Arial" w:cs="Arial" w:eastAsia="Arial" w:hAnsi="Arial"/>
                <w:sz w:val="13"/>
                <w:szCs w:val="13"/>
                <w:color w:val="auto"/>
              </w:rPr>
              <w:t>Net income</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88</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88</w:t>
            </w:r>
          </w:p>
        </w:tc>
      </w:tr>
      <w:tr>
        <w:trPr>
          <w:trHeight w:val="129"/>
        </w:trPr>
        <w:tc>
          <w:tcPr>
            <w:tcW w:w="338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Cash dividends declared on common stock ($0.345 per</w:t>
            </w:r>
          </w:p>
        </w:tc>
        <w:tc>
          <w:tcPr>
            <w:tcW w:w="3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r>
      <w:tr>
        <w:trPr>
          <w:trHeight w:val="141"/>
        </w:trPr>
        <w:tc>
          <w:tcPr>
            <w:tcW w:w="3380" w:type="dxa"/>
            <w:vAlign w:val="bottom"/>
            <w:shd w:val="clear" w:color="auto" w:fill="CCEEFF"/>
          </w:tcPr>
          <w:p>
            <w:pPr>
              <w:ind w:left="180"/>
              <w:spacing w:after="0" w:line="141" w:lineRule="exact"/>
              <w:rPr>
                <w:sz w:val="20"/>
                <w:szCs w:val="20"/>
                <w:color w:val="auto"/>
              </w:rPr>
            </w:pPr>
            <w:r>
              <w:rPr>
                <w:rFonts w:ascii="Arial" w:cs="Arial" w:eastAsia="Arial" w:hAnsi="Arial"/>
                <w:sz w:val="13"/>
                <w:szCs w:val="13"/>
                <w:color w:val="auto"/>
              </w:rPr>
              <w:t>share)</w:t>
            </w: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97"/>
              <w:spacing w:after="0" w:line="141" w:lineRule="exact"/>
              <w:rPr>
                <w:sz w:val="20"/>
                <w:szCs w:val="20"/>
                <w:color w:val="auto"/>
              </w:rPr>
            </w:pPr>
            <w:r>
              <w:rPr>
                <w:rFonts w:ascii="Arial" w:cs="Arial" w:eastAsia="Arial" w:hAnsi="Arial"/>
                <w:sz w:val="13"/>
                <w:szCs w:val="13"/>
                <w:color w:val="auto"/>
              </w:rPr>
              <w:t>(40)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(40)</w:t>
            </w:r>
          </w:p>
        </w:tc>
      </w:tr>
      <w:tr>
        <w:trPr>
          <w:trHeight w:val="135"/>
        </w:trPr>
        <w:tc>
          <w:tcPr>
            <w:tcW w:w="3380" w:type="dxa"/>
            <w:vAlign w:val="bottom"/>
          </w:tcPr>
          <w:p>
            <w:pPr>
              <w:spacing w:after="0" w:line="135" w:lineRule="exact"/>
              <w:rPr>
                <w:sz w:val="20"/>
                <w:szCs w:val="20"/>
                <w:color w:val="auto"/>
              </w:rPr>
            </w:pPr>
            <w:r>
              <w:rPr>
                <w:rFonts w:ascii="Arial" w:cs="Arial" w:eastAsia="Arial" w:hAnsi="Arial"/>
                <w:sz w:val="13"/>
                <w:szCs w:val="13"/>
                <w:color w:val="auto"/>
              </w:rPr>
              <w:t>Translation adjustment, net of tax</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right"/>
              <w:ind w:right="77"/>
              <w:spacing w:after="0" w:line="135" w:lineRule="exact"/>
              <w:rPr>
                <w:sz w:val="20"/>
                <w:szCs w:val="20"/>
                <w:color w:val="auto"/>
              </w:rPr>
            </w:pPr>
            <w:r>
              <w:rPr>
                <w:rFonts w:ascii="Arial" w:cs="Arial" w:eastAsia="Arial" w:hAnsi="Arial"/>
                <w:sz w:val="13"/>
                <w:szCs w:val="13"/>
                <w:color w:val="auto"/>
              </w:rPr>
              <w:t>(20)</w:t>
            </w:r>
          </w:p>
        </w:tc>
        <w:tc>
          <w:tcPr>
            <w:tcW w:w="2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(20)</w:t>
            </w:r>
          </w:p>
        </w:tc>
      </w:tr>
      <w:tr>
        <w:trPr>
          <w:trHeight w:val="135"/>
        </w:trPr>
        <w:tc>
          <w:tcPr>
            <w:tcW w:w="3380" w:type="dxa"/>
            <w:vAlign w:val="bottom"/>
            <w:tcBorders>
              <w:bottom w:val="single" w:sz="8" w:color="auto"/>
            </w:tcBorders>
            <w:shd w:val="clear" w:color="auto" w:fill="CCEEFF"/>
          </w:tcPr>
          <w:p>
            <w:pPr>
              <w:spacing w:after="0" w:line="135" w:lineRule="exact"/>
              <w:rPr>
                <w:sz w:val="20"/>
                <w:szCs w:val="20"/>
                <w:color w:val="auto"/>
              </w:rPr>
            </w:pPr>
            <w:r>
              <w:rPr>
                <w:rFonts w:ascii="Arial" w:cs="Arial" w:eastAsia="Arial" w:hAnsi="Arial"/>
                <w:sz w:val="13"/>
                <w:szCs w:val="13"/>
                <w:color w:val="auto"/>
              </w:rPr>
              <w:t>Pension and postretirement adjustments, net of tax</w:t>
            </w:r>
          </w:p>
        </w:tc>
        <w:tc>
          <w:tcPr>
            <w:tcW w:w="360" w:type="dxa"/>
            <w:vAlign w:val="bottom"/>
            <w:tcBorders>
              <w:bottom w:val="single" w:sz="8" w:color="auto"/>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spacing w:after="0"/>
              <w:rPr>
                <w:sz w:val="11"/>
                <w:szCs w:val="11"/>
                <w:color w:val="auto"/>
              </w:rPr>
            </w:pPr>
          </w:p>
        </w:tc>
        <w:tc>
          <w:tcPr>
            <w:tcW w:w="20" w:type="dxa"/>
            <w:vAlign w:val="bottom"/>
            <w:tcBorders>
              <w:bottom w:val="single" w:sz="8" w:color="auto"/>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20" w:type="dxa"/>
            <w:vAlign w:val="bottom"/>
            <w:tcBorders>
              <w:bottom w:val="single" w:sz="8" w:color="auto"/>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(7)</w:t>
            </w:r>
          </w:p>
        </w:tc>
        <w:tc>
          <w:tcPr>
            <w:tcW w:w="24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(7)</w:t>
            </w:r>
          </w:p>
        </w:tc>
      </w:tr>
      <w:tr>
        <w:trPr>
          <w:trHeight w:val="162"/>
        </w:trPr>
        <w:tc>
          <w:tcPr>
            <w:tcW w:w="3380" w:type="dxa"/>
            <w:vAlign w:val="bottom"/>
          </w:tcPr>
          <w:p>
            <w:pPr>
              <w:spacing w:after="0"/>
              <w:rPr>
                <w:sz w:val="20"/>
                <w:szCs w:val="20"/>
                <w:color w:val="auto"/>
              </w:rPr>
            </w:pPr>
            <w:r>
              <w:rPr>
                <w:rFonts w:ascii="Arial" w:cs="Arial" w:eastAsia="Arial" w:hAnsi="Arial"/>
                <w:sz w:val="13"/>
                <w:szCs w:val="13"/>
                <w:b w:val="1"/>
                <w:bCs w:val="1"/>
                <w:color w:val="auto"/>
              </w:rPr>
              <w:t>Balance at August 4, 2018</w:t>
            </w:r>
          </w:p>
        </w:tc>
        <w:tc>
          <w:tcPr>
            <w:tcW w:w="600" w:type="dxa"/>
            <w:vAlign w:val="bottom"/>
            <w:gridSpan w:val="2"/>
          </w:tcPr>
          <w:p>
            <w:pPr>
              <w:jc w:val="right"/>
              <w:spacing w:after="0"/>
              <w:rPr>
                <w:sz w:val="20"/>
                <w:szCs w:val="20"/>
                <w:color w:val="auto"/>
              </w:rPr>
            </w:pPr>
            <w:r>
              <w:rPr>
                <w:rFonts w:ascii="Arial" w:cs="Arial" w:eastAsia="Arial" w:hAnsi="Arial"/>
                <w:sz w:val="13"/>
                <w:szCs w:val="13"/>
                <w:b w:val="1"/>
                <w:bCs w:val="1"/>
                <w:color w:val="auto"/>
              </w:rPr>
              <w:t>121,497</w:t>
            </w:r>
          </w:p>
        </w:tc>
        <w:tc>
          <w:tcPr>
            <w:tcW w:w="320" w:type="dxa"/>
            <w:vAlign w:val="bottom"/>
          </w:tcPr>
          <w:p>
            <w:pPr>
              <w:jc w:val="right"/>
              <w:ind w:right="137"/>
              <w:spacing w:after="0"/>
              <w:rPr>
                <w:sz w:val="20"/>
                <w:szCs w:val="20"/>
                <w:color w:val="auto"/>
              </w:rPr>
            </w:pPr>
            <w:r>
              <w:rPr>
                <w:rFonts w:ascii="Arial" w:cs="Arial" w:eastAsia="Arial" w:hAnsi="Arial"/>
                <w:sz w:val="13"/>
                <w:szCs w:val="13"/>
                <w:b w:val="1"/>
                <w:bCs w:val="1"/>
                <w:color w:val="auto"/>
              </w:rPr>
              <w:t>$</w:t>
            </w:r>
          </w:p>
        </w:tc>
        <w:tc>
          <w:tcPr>
            <w:tcW w:w="340" w:type="dxa"/>
            <w:vAlign w:val="bottom"/>
          </w:tcPr>
          <w:p>
            <w:pPr>
              <w:jc w:val="right"/>
              <w:spacing w:after="0"/>
              <w:rPr>
                <w:sz w:val="20"/>
                <w:szCs w:val="20"/>
                <w:color w:val="auto"/>
              </w:rPr>
            </w:pPr>
            <w:r>
              <w:rPr>
                <w:rFonts w:ascii="Arial" w:cs="Arial" w:eastAsia="Arial" w:hAnsi="Arial"/>
                <w:sz w:val="13"/>
                <w:szCs w:val="13"/>
                <w:b w:val="1"/>
                <w:bCs w:val="1"/>
                <w:color w:val="auto"/>
              </w:rPr>
              <w:t>857</w:t>
            </w:r>
          </w:p>
        </w:tc>
        <w:tc>
          <w:tcPr>
            <w:tcW w:w="20" w:type="dxa"/>
            <w:vAlign w:val="bottom"/>
          </w:tcPr>
          <w:p>
            <w:pPr>
              <w:spacing w:after="0"/>
              <w:rPr>
                <w:sz w:val="14"/>
                <w:szCs w:val="14"/>
                <w:color w:val="auto"/>
              </w:rPr>
            </w:pPr>
          </w:p>
        </w:tc>
        <w:tc>
          <w:tcPr>
            <w:tcW w:w="620" w:type="dxa"/>
            <w:vAlign w:val="bottom"/>
            <w:gridSpan w:val="4"/>
          </w:tcPr>
          <w:p>
            <w:pPr>
              <w:jc w:val="right"/>
              <w:spacing w:after="0"/>
              <w:rPr>
                <w:sz w:val="20"/>
                <w:szCs w:val="20"/>
                <w:color w:val="auto"/>
              </w:rPr>
            </w:pPr>
            <w:r>
              <w:rPr>
                <w:rFonts w:ascii="Arial" w:cs="Arial" w:eastAsia="Arial" w:hAnsi="Arial"/>
                <w:sz w:val="13"/>
                <w:szCs w:val="13"/>
                <w:b w:val="1"/>
                <w:bCs w:val="1"/>
                <w:color w:val="auto"/>
              </w:rPr>
              <w:t>(5,869)</w:t>
            </w:r>
          </w:p>
        </w:tc>
        <w:tc>
          <w:tcPr>
            <w:tcW w:w="300" w:type="dxa"/>
            <w:vAlign w:val="bottom"/>
          </w:tcPr>
          <w:p>
            <w:pPr>
              <w:jc w:val="right"/>
              <w:ind w:right="17"/>
              <w:spacing w:after="0"/>
              <w:rPr>
                <w:sz w:val="20"/>
                <w:szCs w:val="20"/>
                <w:color w:val="auto"/>
              </w:rPr>
            </w:pPr>
            <w:r>
              <w:rPr>
                <w:rFonts w:ascii="Arial" w:cs="Arial" w:eastAsia="Arial" w:hAnsi="Arial"/>
                <w:sz w:val="13"/>
                <w:szCs w:val="13"/>
                <w:b w:val="1"/>
                <w:bCs w:val="1"/>
                <w:color w:val="auto"/>
              </w:rPr>
              <w:t>$</w:t>
            </w:r>
          </w:p>
        </w:tc>
        <w:tc>
          <w:tcPr>
            <w:tcW w:w="400" w:type="dxa"/>
            <w:vAlign w:val="bottom"/>
            <w:gridSpan w:val="3"/>
          </w:tcPr>
          <w:p>
            <w:pPr>
              <w:jc w:val="right"/>
              <w:ind w:right="20"/>
              <w:spacing w:after="0"/>
              <w:rPr>
                <w:sz w:val="20"/>
                <w:szCs w:val="20"/>
                <w:color w:val="auto"/>
              </w:rPr>
            </w:pPr>
            <w:r>
              <w:rPr>
                <w:rFonts w:ascii="Arial" w:cs="Arial" w:eastAsia="Arial" w:hAnsi="Arial"/>
                <w:sz w:val="13"/>
                <w:szCs w:val="13"/>
                <w:b w:val="1"/>
                <w:bCs w:val="1"/>
                <w:color w:val="auto"/>
              </w:rPr>
              <w:t>(267)</w:t>
            </w:r>
          </w:p>
        </w:tc>
        <w:tc>
          <w:tcPr>
            <w:tcW w:w="28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w:t>
            </w:r>
          </w:p>
        </w:tc>
        <w:tc>
          <w:tcPr>
            <w:tcW w:w="620" w:type="dxa"/>
            <w:vAlign w:val="bottom"/>
            <w:gridSpan w:val="2"/>
          </w:tcPr>
          <w:p>
            <w:pPr>
              <w:jc w:val="right"/>
              <w:ind w:right="137"/>
              <w:spacing w:after="0"/>
              <w:rPr>
                <w:sz w:val="20"/>
                <w:szCs w:val="20"/>
                <w:color w:val="auto"/>
              </w:rPr>
            </w:pPr>
            <w:r>
              <w:rPr>
                <w:rFonts w:ascii="Arial" w:cs="Arial" w:eastAsia="Arial" w:hAnsi="Arial"/>
                <w:sz w:val="13"/>
                <w:szCs w:val="13"/>
                <w:b w:val="1"/>
                <w:bCs w:val="1"/>
                <w:color w:val="auto"/>
              </w:rPr>
              <w:t>2,232</w:t>
            </w:r>
          </w:p>
        </w:tc>
        <w:tc>
          <w:tcPr>
            <w:tcW w:w="10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140" w:type="dxa"/>
            <w:vAlign w:val="bottom"/>
          </w:tcPr>
          <w:p>
            <w:pPr>
              <w:spacing w:after="0"/>
              <w:rPr>
                <w:sz w:val="14"/>
                <w:szCs w:val="14"/>
                <w:color w:val="auto"/>
              </w:rPr>
            </w:pPr>
          </w:p>
        </w:tc>
        <w:tc>
          <w:tcPr>
            <w:tcW w:w="980" w:type="dxa"/>
            <w:vAlign w:val="bottom"/>
          </w:tcPr>
          <w:p>
            <w:pPr>
              <w:jc w:val="right"/>
              <w:ind w:right="77"/>
              <w:spacing w:after="0"/>
              <w:rPr>
                <w:sz w:val="20"/>
                <w:szCs w:val="20"/>
                <w:color w:val="auto"/>
              </w:rPr>
            </w:pPr>
            <w:r>
              <w:rPr>
                <w:rFonts w:ascii="Arial" w:cs="Arial" w:eastAsia="Arial" w:hAnsi="Arial"/>
                <w:sz w:val="13"/>
                <w:szCs w:val="13"/>
                <w:b w:val="1"/>
                <w:bCs w:val="1"/>
                <w:color w:val="auto"/>
              </w:rPr>
              <w:t>(340)</w:t>
            </w:r>
          </w:p>
        </w:tc>
        <w:tc>
          <w:tcPr>
            <w:tcW w:w="240" w:type="dxa"/>
            <w:vAlign w:val="bottom"/>
          </w:tcPr>
          <w:p>
            <w:pPr>
              <w:ind w:left="60"/>
              <w:spacing w:after="0"/>
              <w:rPr>
                <w:sz w:val="20"/>
                <w:szCs w:val="20"/>
                <w:color w:val="auto"/>
              </w:rPr>
            </w:pPr>
            <w:r>
              <w:rPr>
                <w:rFonts w:ascii="Arial" w:cs="Arial" w:eastAsia="Arial" w:hAnsi="Arial"/>
                <w:sz w:val="13"/>
                <w:szCs w:val="13"/>
                <w:b w:val="1"/>
                <w:bCs w:val="1"/>
                <w:color w:val="auto"/>
              </w:rPr>
              <w:t>$</w:t>
            </w: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2,482</w:t>
            </w:r>
          </w:p>
        </w:tc>
      </w:tr>
      <w:tr>
        <w:trPr>
          <w:trHeight w:val="269"/>
        </w:trPr>
        <w:tc>
          <w:tcPr>
            <w:tcW w:w="33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gridSpan w:val="6"/>
          </w:tcPr>
          <w:p>
            <w:pPr>
              <w:jc w:val="center"/>
              <w:spacing w:after="0"/>
              <w:rPr>
                <w:sz w:val="20"/>
                <w:szCs w:val="20"/>
                <w:color w:val="auto"/>
              </w:rPr>
            </w:pPr>
            <w:r>
              <w:rPr>
                <w:rFonts w:ascii="Arial" w:cs="Arial" w:eastAsia="Arial" w:hAnsi="Arial"/>
                <w:sz w:val="13"/>
                <w:szCs w:val="13"/>
                <w:b w:val="1"/>
                <w:bCs w:val="1"/>
                <w:color w:val="auto"/>
                <w:w w:val="97"/>
              </w:rPr>
              <w:t>Additional Paid-In</w:t>
            </w: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center"/>
              <w:ind w:right="97"/>
              <w:spacing w:after="0"/>
              <w:rPr>
                <w:sz w:val="20"/>
                <w:szCs w:val="20"/>
                <w:color w:val="auto"/>
              </w:rPr>
            </w:pPr>
            <w:r>
              <w:rPr>
                <w:rFonts w:ascii="Arial" w:cs="Arial" w:eastAsia="Arial" w:hAnsi="Arial"/>
                <w:sz w:val="13"/>
                <w:szCs w:val="13"/>
                <w:b w:val="1"/>
                <w:bCs w:val="1"/>
                <w:color w:val="auto"/>
                <w:w w:val="95"/>
              </w:rPr>
              <w:t>Accumulated</w:t>
            </w: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135"/>
        </w:trPr>
        <w:tc>
          <w:tcPr>
            <w:tcW w:w="3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95"/>
              </w:rPr>
              <w:t>Capital &amp;</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97"/>
              </w:rPr>
              <w:t>Other</w:t>
            </w:r>
          </w:p>
        </w:tc>
        <w:tc>
          <w:tcPr>
            <w:tcW w:w="240" w:type="dxa"/>
            <w:vAlign w:val="bottom"/>
          </w:tcPr>
          <w:p>
            <w:pPr>
              <w:spacing w:after="0"/>
              <w:rPr>
                <w:sz w:val="11"/>
                <w:szCs w:val="11"/>
                <w:color w:val="auto"/>
              </w:rPr>
            </w:pPr>
          </w:p>
        </w:tc>
        <w:tc>
          <w:tcPr>
            <w:tcW w:w="720" w:type="dxa"/>
            <w:vAlign w:val="bottom"/>
          </w:tcPr>
          <w:p>
            <w:pPr>
              <w:jc w:val="right"/>
              <w:ind w:right="237"/>
              <w:spacing w:after="0" w:line="135" w:lineRule="exact"/>
              <w:rPr>
                <w:sz w:val="20"/>
                <w:szCs w:val="20"/>
                <w:color w:val="auto"/>
              </w:rPr>
            </w:pPr>
            <w:r>
              <w:rPr>
                <w:rFonts w:ascii="Arial" w:cs="Arial" w:eastAsia="Arial" w:hAnsi="Arial"/>
                <w:sz w:val="13"/>
                <w:szCs w:val="13"/>
                <w:b w:val="1"/>
                <w:bCs w:val="1"/>
                <w:color w:val="auto"/>
              </w:rPr>
              <w:t>Total</w:t>
            </w:r>
          </w:p>
        </w:tc>
      </w:tr>
      <w:tr>
        <w:trPr>
          <w:trHeight w:val="157"/>
        </w:trPr>
        <w:tc>
          <w:tcPr>
            <w:tcW w:w="3380" w:type="dxa"/>
            <w:vAlign w:val="bottom"/>
          </w:tcPr>
          <w:p>
            <w:pPr>
              <w:spacing w:after="0"/>
              <w:rPr>
                <w:sz w:val="20"/>
                <w:szCs w:val="20"/>
                <w:color w:val="auto"/>
              </w:rPr>
            </w:pPr>
            <w:r>
              <w:rPr>
                <w:rFonts w:ascii="Arial" w:cs="Arial" w:eastAsia="Arial" w:hAnsi="Arial"/>
                <w:sz w:val="13"/>
                <w:szCs w:val="13"/>
                <w:color w:val="auto"/>
              </w:rPr>
              <w:t>Twenty-six weeks ended</w:t>
            </w:r>
          </w:p>
        </w:tc>
        <w:tc>
          <w:tcPr>
            <w:tcW w:w="360" w:type="dxa"/>
            <w:vAlign w:val="bottom"/>
          </w:tcPr>
          <w:p>
            <w:pPr>
              <w:spacing w:after="0"/>
              <w:rPr>
                <w:sz w:val="13"/>
                <w:szCs w:val="13"/>
                <w:color w:val="auto"/>
              </w:rPr>
            </w:pPr>
          </w:p>
        </w:tc>
        <w:tc>
          <w:tcPr>
            <w:tcW w:w="1160" w:type="dxa"/>
            <w:vAlign w:val="bottom"/>
            <w:gridSpan w:val="6"/>
          </w:tcPr>
          <w:p>
            <w:pPr>
              <w:jc w:val="center"/>
              <w:spacing w:after="0"/>
              <w:rPr>
                <w:sz w:val="20"/>
                <w:szCs w:val="20"/>
                <w:color w:val="auto"/>
              </w:rPr>
            </w:pPr>
            <w:r>
              <w:rPr>
                <w:rFonts w:ascii="Arial" w:cs="Arial" w:eastAsia="Arial" w:hAnsi="Arial"/>
                <w:sz w:val="13"/>
                <w:szCs w:val="13"/>
                <w:b w:val="1"/>
                <w:bCs w:val="1"/>
                <w:color w:val="auto"/>
                <w:w w:val="96"/>
              </w:rPr>
              <w:t>Common Stock</w:t>
            </w:r>
          </w:p>
        </w:tc>
        <w:tc>
          <w:tcPr>
            <w:tcW w:w="160" w:type="dxa"/>
            <w:vAlign w:val="bottom"/>
          </w:tcPr>
          <w:p>
            <w:pPr>
              <w:spacing w:after="0"/>
              <w:rPr>
                <w:sz w:val="13"/>
                <w:szCs w:val="13"/>
                <w:color w:val="auto"/>
              </w:rPr>
            </w:pPr>
          </w:p>
        </w:tc>
        <w:tc>
          <w:tcPr>
            <w:tcW w:w="1200" w:type="dxa"/>
            <w:vAlign w:val="bottom"/>
            <w:gridSpan w:val="7"/>
          </w:tcPr>
          <w:p>
            <w:pPr>
              <w:jc w:val="right"/>
              <w:ind w:right="200"/>
              <w:spacing w:after="0"/>
              <w:rPr>
                <w:sz w:val="20"/>
                <w:szCs w:val="20"/>
                <w:color w:val="auto"/>
              </w:rPr>
            </w:pPr>
            <w:r>
              <w:rPr>
                <w:rFonts w:ascii="Arial" w:cs="Arial" w:eastAsia="Arial" w:hAnsi="Arial"/>
                <w:sz w:val="13"/>
                <w:szCs w:val="13"/>
                <w:b w:val="1"/>
                <w:bCs w:val="1"/>
                <w:color w:val="auto"/>
              </w:rPr>
              <w:t>Treasury Stock</w:t>
            </w:r>
          </w:p>
        </w:tc>
        <w:tc>
          <w:tcPr>
            <w:tcW w:w="620" w:type="dxa"/>
            <w:vAlign w:val="bottom"/>
            <w:gridSpan w:val="2"/>
          </w:tcPr>
          <w:p>
            <w:pPr>
              <w:ind w:left="80"/>
              <w:spacing w:after="0"/>
              <w:rPr>
                <w:sz w:val="20"/>
                <w:szCs w:val="20"/>
                <w:color w:val="auto"/>
              </w:rPr>
            </w:pPr>
            <w:r>
              <w:rPr>
                <w:rFonts w:ascii="Arial" w:cs="Arial" w:eastAsia="Arial" w:hAnsi="Arial"/>
                <w:sz w:val="13"/>
                <w:szCs w:val="13"/>
                <w:b w:val="1"/>
                <w:bCs w:val="1"/>
                <w:color w:val="auto"/>
                <w:w w:val="94"/>
              </w:rPr>
              <w:t>Retained</w:t>
            </w:r>
          </w:p>
        </w:tc>
        <w:tc>
          <w:tcPr>
            <w:tcW w:w="100" w:type="dxa"/>
            <w:vAlign w:val="bottom"/>
          </w:tcPr>
          <w:p>
            <w:pPr>
              <w:spacing w:after="0"/>
              <w:rPr>
                <w:sz w:val="13"/>
                <w:szCs w:val="13"/>
                <w:color w:val="auto"/>
              </w:rPr>
            </w:pPr>
          </w:p>
        </w:tc>
        <w:tc>
          <w:tcPr>
            <w:tcW w:w="11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Comprehensive</w:t>
            </w:r>
          </w:p>
        </w:tc>
        <w:tc>
          <w:tcPr>
            <w:tcW w:w="960" w:type="dxa"/>
            <w:vAlign w:val="bottom"/>
            <w:gridSpan w:val="2"/>
          </w:tcPr>
          <w:p>
            <w:pPr>
              <w:ind w:left="100"/>
              <w:spacing w:after="0"/>
              <w:rPr>
                <w:sz w:val="20"/>
                <w:szCs w:val="20"/>
                <w:color w:val="auto"/>
              </w:rPr>
            </w:pPr>
            <w:r>
              <w:rPr>
                <w:rFonts w:ascii="Arial" w:cs="Arial" w:eastAsia="Arial" w:hAnsi="Arial"/>
                <w:sz w:val="13"/>
                <w:szCs w:val="13"/>
                <w:b w:val="1"/>
                <w:bCs w:val="1"/>
                <w:color w:val="auto"/>
                <w:w w:val="97"/>
              </w:rPr>
              <w:t>Shareholders'</w:t>
            </w:r>
          </w:p>
        </w:tc>
      </w:tr>
      <w:tr>
        <w:trPr>
          <w:trHeight w:val="129"/>
        </w:trPr>
        <w:tc>
          <w:tcPr>
            <w:tcW w:w="338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(shares in thousands, amounts in millions)</w:t>
            </w:r>
          </w:p>
        </w:tc>
        <w:tc>
          <w:tcPr>
            <w:tcW w:w="360" w:type="dxa"/>
            <w:vAlign w:val="bottom"/>
            <w:tcBorders>
              <w:bottom w:val="single" w:sz="8" w:color="auto"/>
            </w:tcBorders>
          </w:tcPr>
          <w:p>
            <w:pPr>
              <w:spacing w:after="0"/>
              <w:rPr>
                <w:sz w:val="11"/>
                <w:szCs w:val="11"/>
                <w:color w:val="auto"/>
              </w:rPr>
            </w:pPr>
          </w:p>
        </w:tc>
        <w:tc>
          <w:tcPr>
            <w:tcW w:w="560" w:type="dxa"/>
            <w:vAlign w:val="bottom"/>
            <w:tcBorders>
              <w:top w:val="single" w:sz="8" w:color="auto"/>
              <w:bottom w:val="single" w:sz="8" w:color="auto"/>
            </w:tcBorders>
            <w:gridSpan w:val="2"/>
          </w:tcPr>
          <w:p>
            <w:pPr>
              <w:jc w:val="center"/>
              <w:spacing w:after="0" w:line="129" w:lineRule="exact"/>
              <w:rPr>
                <w:sz w:val="20"/>
                <w:szCs w:val="20"/>
                <w:color w:val="auto"/>
              </w:rPr>
            </w:pPr>
            <w:r>
              <w:rPr>
                <w:rFonts w:ascii="Arial" w:cs="Arial" w:eastAsia="Arial" w:hAnsi="Arial"/>
                <w:sz w:val="13"/>
                <w:szCs w:val="13"/>
                <w:b w:val="1"/>
                <w:bCs w:val="1"/>
                <w:color w:val="auto"/>
                <w:w w:val="96"/>
              </w:rPr>
              <w:t>Shares</w:t>
            </w:r>
          </w:p>
        </w:tc>
        <w:tc>
          <w:tcPr>
            <w:tcW w:w="600" w:type="dxa"/>
            <w:vAlign w:val="bottom"/>
            <w:tcBorders>
              <w:top w:val="single" w:sz="8" w:color="auto"/>
              <w:bottom w:val="single" w:sz="8" w:color="auto"/>
            </w:tcBorders>
            <w:gridSpan w:val="4"/>
          </w:tcPr>
          <w:p>
            <w:pPr>
              <w:jc w:val="right"/>
              <w:spacing w:after="0" w:line="129" w:lineRule="exact"/>
              <w:rPr>
                <w:sz w:val="20"/>
                <w:szCs w:val="20"/>
                <w:color w:val="auto"/>
              </w:rPr>
            </w:pPr>
            <w:r>
              <w:rPr>
                <w:rFonts w:ascii="Arial" w:cs="Arial" w:eastAsia="Arial" w:hAnsi="Arial"/>
                <w:sz w:val="13"/>
                <w:szCs w:val="13"/>
                <w:b w:val="1"/>
                <w:bCs w:val="1"/>
                <w:color w:val="auto"/>
              </w:rPr>
              <w:t>Amount</w:t>
            </w:r>
          </w:p>
        </w:tc>
        <w:tc>
          <w:tcPr>
            <w:tcW w:w="160" w:type="dxa"/>
            <w:vAlign w:val="bottom"/>
            <w:tcBorders>
              <w:bottom w:val="single" w:sz="8" w:color="auto"/>
            </w:tcBorders>
          </w:tcPr>
          <w:p>
            <w:pPr>
              <w:spacing w:after="0"/>
              <w:rPr>
                <w:sz w:val="11"/>
                <w:szCs w:val="11"/>
                <w:color w:val="auto"/>
              </w:rPr>
            </w:pPr>
          </w:p>
        </w:tc>
        <w:tc>
          <w:tcPr>
            <w:tcW w:w="520" w:type="dxa"/>
            <w:vAlign w:val="bottom"/>
            <w:tcBorders>
              <w:top w:val="single" w:sz="8" w:color="auto"/>
              <w:bottom w:val="single" w:sz="8" w:color="auto"/>
            </w:tcBorders>
            <w:gridSpan w:val="2"/>
          </w:tcPr>
          <w:p>
            <w:pPr>
              <w:jc w:val="right"/>
              <w:ind w:right="17"/>
              <w:spacing w:after="0" w:line="129" w:lineRule="exact"/>
              <w:rPr>
                <w:sz w:val="20"/>
                <w:szCs w:val="20"/>
                <w:color w:val="auto"/>
              </w:rPr>
            </w:pPr>
            <w:r>
              <w:rPr>
                <w:rFonts w:ascii="Arial" w:cs="Arial" w:eastAsia="Arial" w:hAnsi="Arial"/>
                <w:sz w:val="13"/>
                <w:szCs w:val="13"/>
                <w:b w:val="1"/>
                <w:bCs w:val="1"/>
                <w:color w:val="auto"/>
                <w:w w:val="96"/>
              </w:rPr>
              <w:t>Shares</w:t>
            </w:r>
          </w:p>
        </w:tc>
        <w:tc>
          <w:tcPr>
            <w:tcW w:w="580" w:type="dxa"/>
            <w:vAlign w:val="bottom"/>
            <w:tcBorders>
              <w:top w:val="single" w:sz="8" w:color="auto"/>
              <w:bottom w:val="single" w:sz="8" w:color="auto"/>
            </w:tcBorders>
            <w:gridSpan w:val="4"/>
          </w:tcPr>
          <w:p>
            <w:pPr>
              <w:ind w:left="100"/>
              <w:spacing w:after="0" w:line="129" w:lineRule="exact"/>
              <w:rPr>
                <w:sz w:val="20"/>
                <w:szCs w:val="20"/>
                <w:color w:val="auto"/>
              </w:rPr>
            </w:pPr>
            <w:r>
              <w:rPr>
                <w:rFonts w:ascii="Arial" w:cs="Arial" w:eastAsia="Arial" w:hAnsi="Arial"/>
                <w:sz w:val="13"/>
                <w:szCs w:val="13"/>
                <w:b w:val="1"/>
                <w:bCs w:val="1"/>
                <w:color w:val="auto"/>
                <w:w w:val="93"/>
              </w:rPr>
              <w:t>Amount</w:t>
            </w: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gridSpan w:val="2"/>
          </w:tcPr>
          <w:p>
            <w:pPr>
              <w:ind w:left="80"/>
              <w:spacing w:after="0" w:line="129" w:lineRule="exact"/>
              <w:rPr>
                <w:sz w:val="20"/>
                <w:szCs w:val="20"/>
                <w:color w:val="auto"/>
              </w:rPr>
            </w:pPr>
            <w:r>
              <w:rPr>
                <w:rFonts w:ascii="Arial" w:cs="Arial" w:eastAsia="Arial" w:hAnsi="Arial"/>
                <w:sz w:val="13"/>
                <w:szCs w:val="13"/>
                <w:b w:val="1"/>
                <w:bCs w:val="1"/>
                <w:color w:val="auto"/>
                <w:w w:val="93"/>
              </w:rPr>
              <w:t>Earnings</w:t>
            </w:r>
          </w:p>
        </w:tc>
        <w:tc>
          <w:tcPr>
            <w:tcW w:w="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center"/>
              <w:ind w:right="97"/>
              <w:spacing w:after="0" w:line="129" w:lineRule="exact"/>
              <w:rPr>
                <w:sz w:val="20"/>
                <w:szCs w:val="20"/>
                <w:color w:val="auto"/>
              </w:rPr>
            </w:pPr>
            <w:r>
              <w:rPr>
                <w:rFonts w:ascii="Arial" w:cs="Arial" w:eastAsia="Arial" w:hAnsi="Arial"/>
                <w:sz w:val="13"/>
                <w:szCs w:val="13"/>
                <w:b w:val="1"/>
                <w:bCs w:val="1"/>
                <w:color w:val="auto"/>
                <w:w w:val="98"/>
              </w:rPr>
              <w:t>Loss</w:t>
            </w:r>
          </w:p>
        </w:tc>
        <w:tc>
          <w:tcPr>
            <w:tcW w:w="2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177"/>
              <w:spacing w:after="0" w:line="129" w:lineRule="exact"/>
              <w:rPr>
                <w:sz w:val="20"/>
                <w:szCs w:val="20"/>
                <w:color w:val="auto"/>
              </w:rPr>
            </w:pPr>
            <w:r>
              <w:rPr>
                <w:rFonts w:ascii="Arial" w:cs="Arial" w:eastAsia="Arial" w:hAnsi="Arial"/>
                <w:sz w:val="13"/>
                <w:szCs w:val="13"/>
                <w:b w:val="1"/>
                <w:bCs w:val="1"/>
                <w:color w:val="auto"/>
              </w:rPr>
              <w:t>Equity</w:t>
            </w:r>
          </w:p>
        </w:tc>
      </w:tr>
      <w:tr>
        <w:trPr>
          <w:trHeight w:val="129"/>
        </w:trPr>
        <w:tc>
          <w:tcPr>
            <w:tcW w:w="3380" w:type="dxa"/>
            <w:vAlign w:val="bottom"/>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Balance at February 2, 2019</w:t>
            </w:r>
          </w:p>
        </w:tc>
        <w:tc>
          <w:tcPr>
            <w:tcW w:w="920" w:type="dxa"/>
            <w:vAlign w:val="bottom"/>
            <w:gridSpan w:val="3"/>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112,933</w:t>
            </w:r>
          </w:p>
        </w:tc>
        <w:tc>
          <w:tcPr>
            <w:tcW w:w="3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92"/>
              </w:rPr>
              <w:t>809</w:t>
            </w:r>
          </w:p>
        </w:tc>
        <w:tc>
          <w:tcPr>
            <w:tcW w:w="680" w:type="dxa"/>
            <w:vAlign w:val="bottom"/>
            <w:gridSpan w:val="3"/>
            <w:shd w:val="clear" w:color="auto" w:fill="CCEEFF"/>
          </w:tcPr>
          <w:p>
            <w:pPr>
              <w:jc w:val="right"/>
              <w:ind w:right="17"/>
              <w:spacing w:after="0" w:line="129" w:lineRule="exact"/>
              <w:rPr>
                <w:sz w:val="20"/>
                <w:szCs w:val="20"/>
                <w:color w:val="auto"/>
              </w:rPr>
            </w:pPr>
            <w:r>
              <w:rPr>
                <w:rFonts w:ascii="Arial" w:cs="Arial" w:eastAsia="Arial" w:hAnsi="Arial"/>
                <w:sz w:val="13"/>
                <w:szCs w:val="13"/>
                <w:b w:val="1"/>
                <w:bCs w:val="1"/>
                <w:color w:val="auto"/>
              </w:rPr>
              <w:t>(711)</w:t>
            </w:r>
          </w:p>
        </w:tc>
        <w:tc>
          <w:tcPr>
            <w:tcW w:w="160" w:type="dxa"/>
            <w:vAlign w:val="bottom"/>
            <w:shd w:val="clear" w:color="auto" w:fill="CCEEFF"/>
          </w:tcPr>
          <w:p>
            <w:pPr>
              <w:spacing w:after="0"/>
              <w:rPr>
                <w:sz w:val="11"/>
                <w:szCs w:val="11"/>
                <w:color w:val="auto"/>
              </w:rPr>
            </w:pPr>
          </w:p>
        </w:tc>
        <w:tc>
          <w:tcPr>
            <w:tcW w:w="520" w:type="dxa"/>
            <w:vAlign w:val="bottom"/>
            <w:gridSpan w:val="4"/>
            <w:shd w:val="clear" w:color="auto" w:fill="CCEEFF"/>
          </w:tcPr>
          <w:p>
            <w:pPr>
              <w:jc w:val="right"/>
              <w:ind w:right="100"/>
              <w:spacing w:after="0" w:line="129" w:lineRule="exact"/>
              <w:rPr>
                <w:sz w:val="20"/>
                <w:szCs w:val="20"/>
                <w:color w:val="auto"/>
              </w:rPr>
            </w:pPr>
            <w:r>
              <w:rPr>
                <w:rFonts w:ascii="Arial" w:cs="Arial" w:eastAsia="Arial" w:hAnsi="Arial"/>
                <w:sz w:val="13"/>
                <w:szCs w:val="13"/>
                <w:b w:val="1"/>
                <w:bCs w:val="1"/>
                <w:color w:val="auto"/>
              </w:rPr>
              <w:t>(37)</w:t>
            </w: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2,104</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(370)</w:t>
            </w: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2,506</w:t>
            </w:r>
          </w:p>
        </w:tc>
      </w:tr>
      <w:tr>
        <w:trPr>
          <w:trHeight w:val="135"/>
        </w:trPr>
        <w:tc>
          <w:tcPr>
            <w:tcW w:w="3380" w:type="dxa"/>
            <w:vAlign w:val="bottom"/>
          </w:tcPr>
          <w:p>
            <w:pPr>
              <w:spacing w:after="0" w:line="135" w:lineRule="exact"/>
              <w:rPr>
                <w:sz w:val="20"/>
                <w:szCs w:val="20"/>
                <w:color w:val="auto"/>
              </w:rPr>
            </w:pPr>
            <w:r>
              <w:rPr>
                <w:rFonts w:ascii="Arial" w:cs="Arial" w:eastAsia="Arial" w:hAnsi="Arial"/>
                <w:sz w:val="13"/>
                <w:szCs w:val="13"/>
                <w:color w:val="auto"/>
              </w:rPr>
              <w:t>Restricted stock issued</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88</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33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Issued under director and stock plans</w:t>
            </w:r>
          </w:p>
        </w:tc>
        <w:tc>
          <w:tcPr>
            <w:tcW w:w="3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179</w:t>
            </w:r>
          </w:p>
        </w:tc>
        <w:tc>
          <w:tcPr>
            <w:tcW w:w="3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r>
      <w:tr>
        <w:trPr>
          <w:trHeight w:val="135"/>
        </w:trPr>
        <w:tc>
          <w:tcPr>
            <w:tcW w:w="3380" w:type="dxa"/>
            <w:vAlign w:val="bottom"/>
          </w:tcPr>
          <w:p>
            <w:pPr>
              <w:spacing w:after="0" w:line="135" w:lineRule="exact"/>
              <w:rPr>
                <w:sz w:val="20"/>
                <w:szCs w:val="20"/>
                <w:color w:val="auto"/>
              </w:rPr>
            </w:pPr>
            <w:r>
              <w:rPr>
                <w:rFonts w:ascii="Arial" w:cs="Arial" w:eastAsia="Arial" w:hAnsi="Arial"/>
                <w:sz w:val="13"/>
                <w:szCs w:val="13"/>
                <w:color w:val="auto"/>
              </w:rPr>
              <w:t>Share-based compensation expense</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13</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13</w:t>
            </w:r>
          </w:p>
        </w:tc>
      </w:tr>
      <w:tr>
        <w:trPr>
          <w:trHeight w:val="129"/>
        </w:trPr>
        <w:tc>
          <w:tcPr>
            <w:tcW w:w="338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Shares of common stock used to satisfy tax withholding</w:t>
            </w:r>
          </w:p>
        </w:tc>
        <w:tc>
          <w:tcPr>
            <w:tcW w:w="3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r>
      <w:tr>
        <w:trPr>
          <w:trHeight w:val="141"/>
        </w:trPr>
        <w:tc>
          <w:tcPr>
            <w:tcW w:w="338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obligations</w:t>
            </w: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7"/>
              <w:spacing w:after="0" w:line="141" w:lineRule="exact"/>
              <w:rPr>
                <w:sz w:val="20"/>
                <w:szCs w:val="20"/>
                <w:color w:val="auto"/>
              </w:rPr>
            </w:pPr>
            <w:r>
              <w:rPr>
                <w:rFonts w:ascii="Arial" w:cs="Arial" w:eastAsia="Arial" w:hAnsi="Arial"/>
                <w:sz w:val="13"/>
                <w:szCs w:val="13"/>
                <w:color w:val="auto"/>
                <w:w w:val="86"/>
              </w:rPr>
              <w:t>(32)</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3"/>
                <w:szCs w:val="13"/>
                <w:color w:val="auto"/>
              </w:rPr>
              <w:t>(2)</w:t>
            </w: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(2)</w:t>
            </w:r>
          </w:p>
        </w:tc>
      </w:tr>
      <w:tr>
        <w:trPr>
          <w:trHeight w:val="135"/>
        </w:trPr>
        <w:tc>
          <w:tcPr>
            <w:tcW w:w="3380" w:type="dxa"/>
            <w:vAlign w:val="bottom"/>
          </w:tcPr>
          <w:p>
            <w:pPr>
              <w:spacing w:after="0" w:line="135" w:lineRule="exact"/>
              <w:rPr>
                <w:sz w:val="20"/>
                <w:szCs w:val="20"/>
                <w:color w:val="auto"/>
              </w:rPr>
            </w:pPr>
            <w:r>
              <w:rPr>
                <w:rFonts w:ascii="Arial" w:cs="Arial" w:eastAsia="Arial" w:hAnsi="Arial"/>
                <w:sz w:val="13"/>
                <w:szCs w:val="13"/>
                <w:color w:val="auto"/>
              </w:rPr>
              <w:t>Share repurchases</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3"/>
          </w:tcPr>
          <w:p>
            <w:pPr>
              <w:jc w:val="right"/>
              <w:ind w:right="17"/>
              <w:spacing w:after="0" w:line="135" w:lineRule="exact"/>
              <w:rPr>
                <w:sz w:val="20"/>
                <w:szCs w:val="20"/>
                <w:color w:val="auto"/>
              </w:rPr>
            </w:pPr>
            <w:r>
              <w:rPr>
                <w:rFonts w:ascii="Arial" w:cs="Arial" w:eastAsia="Arial" w:hAnsi="Arial"/>
                <w:sz w:val="13"/>
                <w:szCs w:val="13"/>
                <w:color w:val="auto"/>
              </w:rPr>
              <w:t>(2,932)</w:t>
            </w:r>
          </w:p>
        </w:tc>
        <w:tc>
          <w:tcPr>
            <w:tcW w:w="160" w:type="dxa"/>
            <w:vAlign w:val="bottom"/>
          </w:tcPr>
          <w:p>
            <w:pPr>
              <w:spacing w:after="0"/>
              <w:rPr>
                <w:sz w:val="11"/>
                <w:szCs w:val="11"/>
                <w:color w:val="auto"/>
              </w:rPr>
            </w:pPr>
          </w:p>
        </w:tc>
        <w:tc>
          <w:tcPr>
            <w:tcW w:w="520" w:type="dxa"/>
            <w:vAlign w:val="bottom"/>
            <w:gridSpan w:val="4"/>
          </w:tcPr>
          <w:p>
            <w:pPr>
              <w:jc w:val="right"/>
              <w:ind w:right="100"/>
              <w:spacing w:after="0" w:line="135" w:lineRule="exact"/>
              <w:rPr>
                <w:sz w:val="20"/>
                <w:szCs w:val="20"/>
                <w:color w:val="auto"/>
              </w:rPr>
            </w:pPr>
            <w:r>
              <w:rPr>
                <w:rFonts w:ascii="Arial" w:cs="Arial" w:eastAsia="Arial" w:hAnsi="Arial"/>
                <w:sz w:val="13"/>
                <w:szCs w:val="13"/>
                <w:color w:val="auto"/>
              </w:rPr>
              <w:t>(122)</w:t>
            </w: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(122)</w:t>
            </w:r>
          </w:p>
        </w:tc>
      </w:tr>
      <w:tr>
        <w:trPr>
          <w:trHeight w:val="135"/>
        </w:trPr>
        <w:tc>
          <w:tcPr>
            <w:tcW w:w="33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Reissued - Employee Stock Purchase Plan</w:t>
            </w:r>
          </w:p>
        </w:tc>
        <w:tc>
          <w:tcPr>
            <w:tcW w:w="3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96</w:t>
            </w: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w:t>
            </w:r>
          </w:p>
        </w:tc>
      </w:tr>
      <w:tr>
        <w:trPr>
          <w:trHeight w:val="135"/>
        </w:trPr>
        <w:tc>
          <w:tcPr>
            <w:tcW w:w="3380" w:type="dxa"/>
            <w:vAlign w:val="bottom"/>
          </w:tcPr>
          <w:p>
            <w:pPr>
              <w:spacing w:after="0" w:line="135" w:lineRule="exact"/>
              <w:rPr>
                <w:sz w:val="20"/>
                <w:szCs w:val="20"/>
                <w:color w:val="auto"/>
              </w:rPr>
            </w:pPr>
            <w:r>
              <w:rPr>
                <w:rFonts w:ascii="Arial" w:cs="Arial" w:eastAsia="Arial" w:hAnsi="Arial"/>
                <w:sz w:val="13"/>
                <w:szCs w:val="13"/>
                <w:color w:val="auto"/>
              </w:rPr>
              <w:t>Net income</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232</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232</w:t>
            </w:r>
          </w:p>
        </w:tc>
      </w:tr>
      <w:tr>
        <w:trPr>
          <w:trHeight w:val="135"/>
        </w:trPr>
        <w:tc>
          <w:tcPr>
            <w:tcW w:w="33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Cash dividends declared on common stock</w:t>
            </w:r>
          </w:p>
        </w:tc>
        <w:tc>
          <w:tcPr>
            <w:tcW w:w="3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(84)</w:t>
            </w: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(84)</w:t>
            </w:r>
          </w:p>
        </w:tc>
      </w:tr>
      <w:tr>
        <w:trPr>
          <w:trHeight w:val="135"/>
        </w:trPr>
        <w:tc>
          <w:tcPr>
            <w:tcW w:w="3380" w:type="dxa"/>
            <w:vAlign w:val="bottom"/>
          </w:tcPr>
          <w:p>
            <w:pPr>
              <w:spacing w:after="0" w:line="135" w:lineRule="exact"/>
              <w:rPr>
                <w:sz w:val="20"/>
                <w:szCs w:val="20"/>
                <w:color w:val="auto"/>
              </w:rPr>
            </w:pPr>
            <w:r>
              <w:rPr>
                <w:rFonts w:ascii="Arial" w:cs="Arial" w:eastAsia="Arial" w:hAnsi="Arial"/>
                <w:sz w:val="13"/>
                <w:szCs w:val="13"/>
                <w:color w:val="auto"/>
              </w:rPr>
              <w:t>Translation adjustment, net of tax</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Arial" w:cs="Arial" w:eastAsia="Arial" w:hAnsi="Arial"/>
                <w:sz w:val="13"/>
                <w:szCs w:val="13"/>
                <w:color w:val="auto"/>
              </w:rPr>
              <w:t>(21)</w:t>
            </w:r>
          </w:p>
        </w:tc>
        <w:tc>
          <w:tcPr>
            <w:tcW w:w="2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(21)</w:t>
            </w:r>
          </w:p>
        </w:tc>
      </w:tr>
      <w:tr>
        <w:trPr>
          <w:trHeight w:val="135"/>
        </w:trPr>
        <w:tc>
          <w:tcPr>
            <w:tcW w:w="33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Change in cash flow hedges, net of tax</w:t>
            </w:r>
          </w:p>
        </w:tc>
        <w:tc>
          <w:tcPr>
            <w:tcW w:w="3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3</w:t>
            </w: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r>
      <w:tr>
        <w:trPr>
          <w:trHeight w:val="135"/>
        </w:trPr>
        <w:tc>
          <w:tcPr>
            <w:tcW w:w="3380" w:type="dxa"/>
            <w:vAlign w:val="bottom"/>
          </w:tcPr>
          <w:p>
            <w:pPr>
              <w:spacing w:after="0" w:line="135" w:lineRule="exact"/>
              <w:rPr>
                <w:sz w:val="20"/>
                <w:szCs w:val="20"/>
                <w:color w:val="auto"/>
              </w:rPr>
            </w:pPr>
            <w:r>
              <w:rPr>
                <w:rFonts w:ascii="Arial" w:cs="Arial" w:eastAsia="Arial" w:hAnsi="Arial"/>
                <w:sz w:val="13"/>
                <w:szCs w:val="13"/>
                <w:color w:val="auto"/>
              </w:rPr>
              <w:t>Pension and postretirement adjustments, net of tax</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4</w:t>
            </w:r>
          </w:p>
        </w:tc>
        <w:tc>
          <w:tcPr>
            <w:tcW w:w="2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4</w:t>
            </w:r>
          </w:p>
        </w:tc>
      </w:tr>
      <w:tr>
        <w:trPr>
          <w:trHeight w:val="135"/>
        </w:trPr>
        <w:tc>
          <w:tcPr>
            <w:tcW w:w="3380" w:type="dxa"/>
            <w:vAlign w:val="bottom"/>
            <w:tcBorders>
              <w:bottom w:val="single" w:sz="8" w:color="auto"/>
            </w:tcBorders>
            <w:shd w:val="clear" w:color="auto" w:fill="CCEEFF"/>
          </w:tcPr>
          <w:p>
            <w:pPr>
              <w:spacing w:after="0" w:line="135" w:lineRule="exact"/>
              <w:rPr>
                <w:sz w:val="20"/>
                <w:szCs w:val="20"/>
                <w:color w:val="auto"/>
              </w:rPr>
            </w:pPr>
            <w:r>
              <w:rPr>
                <w:rFonts w:ascii="Arial" w:cs="Arial" w:eastAsia="Arial" w:hAnsi="Arial"/>
                <w:sz w:val="13"/>
                <w:szCs w:val="13"/>
                <w:color w:val="auto"/>
              </w:rPr>
              <w:t>Cumulative effect of the adoption of Topic 842</w:t>
            </w:r>
          </w:p>
        </w:tc>
        <w:tc>
          <w:tcPr>
            <w:tcW w:w="360" w:type="dxa"/>
            <w:vAlign w:val="bottom"/>
            <w:tcBorders>
              <w:bottom w:val="single" w:sz="8" w:color="auto"/>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spacing w:after="0"/>
              <w:rPr>
                <w:sz w:val="11"/>
                <w:szCs w:val="11"/>
                <w:color w:val="auto"/>
              </w:rPr>
            </w:pPr>
          </w:p>
        </w:tc>
        <w:tc>
          <w:tcPr>
            <w:tcW w:w="20" w:type="dxa"/>
            <w:vAlign w:val="bottom"/>
            <w:tcBorders>
              <w:bottom w:val="single" w:sz="8" w:color="auto"/>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20" w:type="dxa"/>
            <w:vAlign w:val="bottom"/>
            <w:tcBorders>
              <w:bottom w:val="single" w:sz="8" w:color="auto"/>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gridSpan w:val="2"/>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(26)</w:t>
            </w:r>
          </w:p>
        </w:tc>
        <w:tc>
          <w:tcPr>
            <w:tcW w:w="14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(26)</w:t>
            </w:r>
          </w:p>
        </w:tc>
      </w:tr>
      <w:tr>
        <w:trPr>
          <w:trHeight w:val="129"/>
        </w:trPr>
        <w:tc>
          <w:tcPr>
            <w:tcW w:w="3380" w:type="dxa"/>
            <w:vAlign w:val="bottom"/>
          </w:tcPr>
          <w:p>
            <w:pPr>
              <w:spacing w:after="0" w:line="129" w:lineRule="exact"/>
              <w:rPr>
                <w:sz w:val="20"/>
                <w:szCs w:val="20"/>
                <w:color w:val="auto"/>
              </w:rPr>
            </w:pPr>
            <w:r>
              <w:rPr>
                <w:rFonts w:ascii="Arial" w:cs="Arial" w:eastAsia="Arial" w:hAnsi="Arial"/>
                <w:sz w:val="13"/>
                <w:szCs w:val="13"/>
                <w:b w:val="1"/>
                <w:bCs w:val="1"/>
                <w:color w:val="auto"/>
              </w:rPr>
              <w:t>Balance at August 3, 2019</w:t>
            </w:r>
          </w:p>
        </w:tc>
        <w:tc>
          <w:tcPr>
            <w:tcW w:w="920" w:type="dxa"/>
            <w:vAlign w:val="bottom"/>
            <w:gridSpan w:val="3"/>
          </w:tcPr>
          <w:p>
            <w:pPr>
              <w:jc w:val="right"/>
              <w:spacing w:after="0" w:line="129" w:lineRule="exact"/>
              <w:rPr>
                <w:sz w:val="20"/>
                <w:szCs w:val="20"/>
                <w:color w:val="auto"/>
              </w:rPr>
            </w:pPr>
            <w:r>
              <w:rPr>
                <w:rFonts w:ascii="Arial" w:cs="Arial" w:eastAsia="Arial" w:hAnsi="Arial"/>
                <w:sz w:val="13"/>
                <w:szCs w:val="13"/>
                <w:b w:val="1"/>
                <w:bCs w:val="1"/>
                <w:color w:val="auto"/>
              </w:rPr>
              <w:t>113,200</w:t>
            </w:r>
          </w:p>
        </w:tc>
        <w:tc>
          <w:tcPr>
            <w:tcW w:w="340" w:type="dxa"/>
            <w:vAlign w:val="bottom"/>
          </w:tcPr>
          <w:p>
            <w:pPr>
              <w:jc w:val="right"/>
              <w:ind w:right="177"/>
              <w:spacing w:after="0" w:line="129" w:lineRule="exact"/>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11"/>
                <w:szCs w:val="11"/>
                <w:color w:val="auto"/>
              </w:rPr>
            </w:pPr>
          </w:p>
        </w:tc>
        <w:tc>
          <w:tcPr>
            <w:tcW w:w="240" w:type="dxa"/>
            <w:vAlign w:val="bottom"/>
            <w:gridSpan w:val="2"/>
          </w:tcPr>
          <w:p>
            <w:pPr>
              <w:jc w:val="right"/>
              <w:spacing w:after="0" w:line="129" w:lineRule="exact"/>
              <w:rPr>
                <w:sz w:val="20"/>
                <w:szCs w:val="20"/>
                <w:color w:val="auto"/>
              </w:rPr>
            </w:pPr>
            <w:r>
              <w:rPr>
                <w:rFonts w:ascii="Arial" w:cs="Arial" w:eastAsia="Arial" w:hAnsi="Arial"/>
                <w:sz w:val="13"/>
                <w:szCs w:val="13"/>
                <w:b w:val="1"/>
                <w:bCs w:val="1"/>
                <w:color w:val="auto"/>
                <w:w w:val="92"/>
              </w:rPr>
              <w:t>825</w:t>
            </w:r>
          </w:p>
        </w:tc>
        <w:tc>
          <w:tcPr>
            <w:tcW w:w="680" w:type="dxa"/>
            <w:vAlign w:val="bottom"/>
            <w:gridSpan w:val="3"/>
          </w:tcPr>
          <w:p>
            <w:pPr>
              <w:jc w:val="right"/>
              <w:ind w:right="17"/>
              <w:spacing w:after="0" w:line="129" w:lineRule="exact"/>
              <w:rPr>
                <w:sz w:val="20"/>
                <w:szCs w:val="20"/>
                <w:color w:val="auto"/>
              </w:rPr>
            </w:pPr>
            <w:r>
              <w:rPr>
                <w:rFonts w:ascii="Arial" w:cs="Arial" w:eastAsia="Arial" w:hAnsi="Arial"/>
                <w:sz w:val="13"/>
                <w:szCs w:val="13"/>
                <w:b w:val="1"/>
                <w:bCs w:val="1"/>
                <w:color w:val="auto"/>
              </w:rPr>
              <w:t>(3,579)</w:t>
            </w:r>
          </w:p>
        </w:tc>
        <w:tc>
          <w:tcPr>
            <w:tcW w:w="160" w:type="dxa"/>
            <w:vAlign w:val="bottom"/>
          </w:tcPr>
          <w:p>
            <w:pPr>
              <w:ind w:left="80"/>
              <w:spacing w:after="0" w:line="129" w:lineRule="exact"/>
              <w:rPr>
                <w:sz w:val="20"/>
                <w:szCs w:val="20"/>
                <w:color w:val="auto"/>
              </w:rPr>
            </w:pPr>
            <w:r>
              <w:rPr>
                <w:rFonts w:ascii="Arial" w:cs="Arial" w:eastAsia="Arial" w:hAnsi="Arial"/>
                <w:sz w:val="13"/>
                <w:szCs w:val="13"/>
                <w:b w:val="1"/>
                <w:bCs w:val="1"/>
                <w:color w:val="auto"/>
                <w:w w:val="82"/>
              </w:rPr>
              <w:t>$</w:t>
            </w:r>
          </w:p>
        </w:tc>
        <w:tc>
          <w:tcPr>
            <w:tcW w:w="520" w:type="dxa"/>
            <w:vAlign w:val="bottom"/>
            <w:gridSpan w:val="4"/>
          </w:tcPr>
          <w:p>
            <w:pPr>
              <w:jc w:val="right"/>
              <w:ind w:right="100"/>
              <w:spacing w:after="0" w:line="129" w:lineRule="exact"/>
              <w:rPr>
                <w:sz w:val="20"/>
                <w:szCs w:val="20"/>
                <w:color w:val="auto"/>
              </w:rPr>
            </w:pPr>
            <w:r>
              <w:rPr>
                <w:rFonts w:ascii="Arial" w:cs="Arial" w:eastAsia="Arial" w:hAnsi="Arial"/>
                <w:sz w:val="13"/>
                <w:szCs w:val="13"/>
                <w:b w:val="1"/>
                <w:bCs w:val="1"/>
                <w:color w:val="auto"/>
              </w:rPr>
              <w:t>(155)</w:t>
            </w:r>
          </w:p>
        </w:tc>
        <w:tc>
          <w:tcPr>
            <w:tcW w:w="180" w:type="dxa"/>
            <w:vAlign w:val="bottom"/>
          </w:tcPr>
          <w:p>
            <w:pPr>
              <w:ind w:left="60"/>
              <w:spacing w:after="0" w:line="129" w:lineRule="exact"/>
              <w:rPr>
                <w:sz w:val="20"/>
                <w:szCs w:val="20"/>
                <w:color w:val="auto"/>
              </w:rPr>
            </w:pPr>
            <w:r>
              <w:rPr>
                <w:rFonts w:ascii="Arial" w:cs="Arial" w:eastAsia="Arial" w:hAnsi="Arial"/>
                <w:sz w:val="13"/>
                <w:szCs w:val="13"/>
                <w:b w:val="1"/>
                <w:bCs w:val="1"/>
                <w:color w:val="auto"/>
              </w:rPr>
              <w:t>$</w:t>
            </w:r>
          </w:p>
        </w:tc>
        <w:tc>
          <w:tcPr>
            <w:tcW w:w="44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2,226</w:t>
            </w:r>
          </w:p>
        </w:tc>
        <w:tc>
          <w:tcPr>
            <w:tcW w:w="100" w:type="dxa"/>
            <w:vAlign w:val="bottom"/>
          </w:tcPr>
          <w:p>
            <w:pPr>
              <w:spacing w:after="0"/>
              <w:rPr>
                <w:sz w:val="11"/>
                <w:szCs w:val="11"/>
                <w:color w:val="auto"/>
              </w:rPr>
            </w:pPr>
          </w:p>
        </w:tc>
        <w:tc>
          <w:tcPr>
            <w:tcW w:w="14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98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(384)</w:t>
            </w:r>
          </w:p>
        </w:tc>
        <w:tc>
          <w:tcPr>
            <w:tcW w:w="240" w:type="dxa"/>
            <w:vAlign w:val="bottom"/>
          </w:tcPr>
          <w:p>
            <w:pPr>
              <w:ind w:left="120"/>
              <w:spacing w:after="0" w:line="129" w:lineRule="exact"/>
              <w:rPr>
                <w:sz w:val="20"/>
                <w:szCs w:val="20"/>
                <w:color w:val="auto"/>
              </w:rPr>
            </w:pPr>
            <w:r>
              <w:rPr>
                <w:rFonts w:ascii="Arial" w:cs="Arial" w:eastAsia="Arial" w:hAnsi="Arial"/>
                <w:sz w:val="13"/>
                <w:szCs w:val="13"/>
                <w:b w:val="1"/>
                <w:bCs w:val="1"/>
                <w:color w:val="auto"/>
              </w:rPr>
              <w:t>$</w:t>
            </w:r>
          </w:p>
        </w:tc>
        <w:tc>
          <w:tcPr>
            <w:tcW w:w="72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2,512</w:t>
            </w:r>
          </w:p>
        </w:tc>
      </w:tr>
      <w:tr>
        <w:trPr>
          <w:trHeight w:val="135"/>
        </w:trPr>
        <w:tc>
          <w:tcPr>
            <w:tcW w:w="33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gridSpan w:val="2"/>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gridSpan w:val="3"/>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r>
      <w:tr>
        <w:trPr>
          <w:trHeight w:val="135"/>
        </w:trPr>
        <w:tc>
          <w:tcPr>
            <w:tcW w:w="3380" w:type="dxa"/>
            <w:vAlign w:val="bottom"/>
          </w:tcPr>
          <w:p>
            <w:pPr>
              <w:spacing w:after="0" w:line="135" w:lineRule="exact"/>
              <w:rPr>
                <w:sz w:val="20"/>
                <w:szCs w:val="20"/>
                <w:color w:val="auto"/>
              </w:rPr>
            </w:pPr>
            <w:r>
              <w:rPr>
                <w:rFonts w:ascii="Arial" w:cs="Arial" w:eastAsia="Arial" w:hAnsi="Arial"/>
                <w:sz w:val="13"/>
                <w:szCs w:val="13"/>
                <w:b w:val="1"/>
                <w:bCs w:val="1"/>
                <w:color w:val="auto"/>
              </w:rPr>
              <w:t>Balance at February 3, 2018</w:t>
            </w:r>
          </w:p>
        </w:tc>
        <w:tc>
          <w:tcPr>
            <w:tcW w:w="920" w:type="dxa"/>
            <w:vAlign w:val="bottom"/>
            <w:gridSpan w:val="3"/>
          </w:tcPr>
          <w:p>
            <w:pPr>
              <w:jc w:val="right"/>
              <w:spacing w:after="0" w:line="135" w:lineRule="exact"/>
              <w:rPr>
                <w:sz w:val="20"/>
                <w:szCs w:val="20"/>
                <w:color w:val="auto"/>
              </w:rPr>
            </w:pPr>
            <w:r>
              <w:rPr>
                <w:rFonts w:ascii="Arial" w:cs="Arial" w:eastAsia="Arial" w:hAnsi="Arial"/>
                <w:sz w:val="13"/>
                <w:szCs w:val="13"/>
                <w:b w:val="1"/>
                <w:bCs w:val="1"/>
                <w:color w:val="auto"/>
              </w:rPr>
              <w:t>121,262</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w w:val="92"/>
              </w:rPr>
              <w:t>842</w:t>
            </w:r>
          </w:p>
        </w:tc>
        <w:tc>
          <w:tcPr>
            <w:tcW w:w="680" w:type="dxa"/>
            <w:vAlign w:val="bottom"/>
            <w:gridSpan w:val="3"/>
          </w:tcPr>
          <w:p>
            <w:pPr>
              <w:jc w:val="right"/>
              <w:ind w:right="17"/>
              <w:spacing w:after="0" w:line="135" w:lineRule="exact"/>
              <w:rPr>
                <w:sz w:val="20"/>
                <w:szCs w:val="20"/>
                <w:color w:val="auto"/>
              </w:rPr>
            </w:pPr>
            <w:r>
              <w:rPr>
                <w:rFonts w:ascii="Arial" w:cs="Arial" w:eastAsia="Arial" w:hAnsi="Arial"/>
                <w:sz w:val="13"/>
                <w:szCs w:val="13"/>
                <w:b w:val="1"/>
                <w:bCs w:val="1"/>
                <w:color w:val="auto"/>
              </w:rPr>
              <w:t>(1,433)</w:t>
            </w:r>
          </w:p>
        </w:tc>
        <w:tc>
          <w:tcPr>
            <w:tcW w:w="160" w:type="dxa"/>
            <w:vAlign w:val="bottom"/>
          </w:tcPr>
          <w:p>
            <w:pPr>
              <w:spacing w:after="0"/>
              <w:rPr>
                <w:sz w:val="11"/>
                <w:szCs w:val="11"/>
                <w:color w:val="auto"/>
              </w:rPr>
            </w:pPr>
          </w:p>
        </w:tc>
        <w:tc>
          <w:tcPr>
            <w:tcW w:w="520" w:type="dxa"/>
            <w:vAlign w:val="bottom"/>
            <w:gridSpan w:val="4"/>
          </w:tcPr>
          <w:p>
            <w:pPr>
              <w:jc w:val="right"/>
              <w:ind w:right="100"/>
              <w:spacing w:after="0" w:line="135" w:lineRule="exact"/>
              <w:rPr>
                <w:sz w:val="20"/>
                <w:szCs w:val="20"/>
                <w:color w:val="auto"/>
              </w:rPr>
            </w:pPr>
            <w:r>
              <w:rPr>
                <w:rFonts w:ascii="Arial" w:cs="Arial" w:eastAsia="Arial" w:hAnsi="Arial"/>
                <w:sz w:val="13"/>
                <w:szCs w:val="13"/>
                <w:b w:val="1"/>
                <w:bCs w:val="1"/>
                <w:color w:val="auto"/>
              </w:rPr>
              <w:t>(63)</w:t>
            </w:r>
          </w:p>
        </w:tc>
        <w:tc>
          <w:tcPr>
            <w:tcW w:w="1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(279)</w:t>
            </w:r>
          </w:p>
        </w:tc>
        <w:tc>
          <w:tcPr>
            <w:tcW w:w="2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2,519</w:t>
            </w:r>
          </w:p>
        </w:tc>
      </w:tr>
      <w:tr>
        <w:trPr>
          <w:trHeight w:val="135"/>
        </w:trPr>
        <w:tc>
          <w:tcPr>
            <w:tcW w:w="33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Restricted stock issued</w:t>
            </w:r>
          </w:p>
        </w:tc>
        <w:tc>
          <w:tcPr>
            <w:tcW w:w="3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89</w:t>
            </w:r>
          </w:p>
        </w:tc>
        <w:tc>
          <w:tcPr>
            <w:tcW w:w="3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3380" w:type="dxa"/>
            <w:vAlign w:val="bottom"/>
          </w:tcPr>
          <w:p>
            <w:pPr>
              <w:spacing w:after="0" w:line="135" w:lineRule="exact"/>
              <w:rPr>
                <w:sz w:val="20"/>
                <w:szCs w:val="20"/>
                <w:color w:val="auto"/>
              </w:rPr>
            </w:pPr>
            <w:r>
              <w:rPr>
                <w:rFonts w:ascii="Arial" w:cs="Arial" w:eastAsia="Arial" w:hAnsi="Arial"/>
                <w:sz w:val="13"/>
                <w:szCs w:val="13"/>
                <w:color w:val="auto"/>
              </w:rPr>
              <w:t>Issued under director and stock plans</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146</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6</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6</w:t>
            </w:r>
          </w:p>
        </w:tc>
      </w:tr>
      <w:tr>
        <w:trPr>
          <w:trHeight w:val="135"/>
        </w:trPr>
        <w:tc>
          <w:tcPr>
            <w:tcW w:w="33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Share-based compensation expense</w:t>
            </w:r>
          </w:p>
        </w:tc>
        <w:tc>
          <w:tcPr>
            <w:tcW w:w="3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9</w:t>
            </w: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w:t>
            </w:r>
          </w:p>
        </w:tc>
      </w:tr>
      <w:tr>
        <w:trPr>
          <w:trHeight w:val="129"/>
        </w:trPr>
        <w:tc>
          <w:tcPr>
            <w:tcW w:w="3380" w:type="dxa"/>
            <w:vAlign w:val="bottom"/>
          </w:tcPr>
          <w:p>
            <w:pPr>
              <w:spacing w:after="0" w:line="129" w:lineRule="exact"/>
              <w:rPr>
                <w:sz w:val="20"/>
                <w:szCs w:val="20"/>
                <w:color w:val="auto"/>
              </w:rPr>
            </w:pPr>
            <w:r>
              <w:rPr>
                <w:rFonts w:ascii="Arial" w:cs="Arial" w:eastAsia="Arial" w:hAnsi="Arial"/>
                <w:sz w:val="13"/>
                <w:szCs w:val="13"/>
                <w:color w:val="auto"/>
              </w:rPr>
              <w:t>Shares of common stock used to satisfy tax withholding</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41"/>
        </w:trPr>
        <w:tc>
          <w:tcPr>
            <w:tcW w:w="3380" w:type="dxa"/>
            <w:vAlign w:val="bottom"/>
          </w:tcPr>
          <w:p>
            <w:pPr>
              <w:spacing w:after="0" w:line="141" w:lineRule="exact"/>
              <w:rPr>
                <w:sz w:val="20"/>
                <w:szCs w:val="20"/>
                <w:color w:val="auto"/>
              </w:rPr>
            </w:pPr>
            <w:r>
              <w:rPr>
                <w:rFonts w:ascii="Arial" w:cs="Arial" w:eastAsia="Arial" w:hAnsi="Arial"/>
                <w:sz w:val="13"/>
                <w:szCs w:val="13"/>
                <w:color w:val="auto"/>
              </w:rPr>
              <w:t>obligations</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jc w:val="right"/>
              <w:ind w:right="17"/>
              <w:spacing w:after="0" w:line="141" w:lineRule="exact"/>
              <w:rPr>
                <w:sz w:val="20"/>
                <w:szCs w:val="20"/>
                <w:color w:val="auto"/>
              </w:rPr>
            </w:pPr>
            <w:r>
              <w:rPr>
                <w:rFonts w:ascii="Arial" w:cs="Arial" w:eastAsia="Arial" w:hAnsi="Arial"/>
                <w:sz w:val="13"/>
                <w:szCs w:val="13"/>
                <w:color w:val="auto"/>
                <w:w w:val="86"/>
              </w:rPr>
              <w:t>(32)</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(1)</w:t>
            </w: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jc w:val="right"/>
              <w:spacing w:after="0" w:line="141" w:lineRule="exact"/>
              <w:rPr>
                <w:sz w:val="20"/>
                <w:szCs w:val="20"/>
                <w:color w:val="auto"/>
              </w:rPr>
            </w:pPr>
            <w:r>
              <w:rPr>
                <w:rFonts w:ascii="Arial" w:cs="Arial" w:eastAsia="Arial" w:hAnsi="Arial"/>
                <w:sz w:val="13"/>
                <w:szCs w:val="13"/>
                <w:color w:val="auto"/>
              </w:rPr>
              <w:t>(1)</w:t>
            </w:r>
          </w:p>
        </w:tc>
      </w:tr>
      <w:tr>
        <w:trPr>
          <w:trHeight w:val="135"/>
        </w:trPr>
        <w:tc>
          <w:tcPr>
            <w:tcW w:w="33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Share repurchases</w:t>
            </w:r>
          </w:p>
        </w:tc>
        <w:tc>
          <w:tcPr>
            <w:tcW w:w="3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(4,452)</w:t>
            </w:r>
          </w:p>
        </w:tc>
        <w:tc>
          <w:tcPr>
            <w:tcW w:w="160" w:type="dxa"/>
            <w:vAlign w:val="bottom"/>
            <w:shd w:val="clear" w:color="auto" w:fill="CCEEFF"/>
          </w:tcPr>
          <w:p>
            <w:pPr>
              <w:spacing w:after="0"/>
              <w:rPr>
                <w:sz w:val="11"/>
                <w:szCs w:val="11"/>
                <w:color w:val="auto"/>
              </w:rPr>
            </w:pPr>
          </w:p>
        </w:tc>
        <w:tc>
          <w:tcPr>
            <w:tcW w:w="520" w:type="dxa"/>
            <w:vAlign w:val="bottom"/>
            <w:gridSpan w:val="4"/>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(205)</w:t>
            </w: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(205)</w:t>
            </w:r>
          </w:p>
        </w:tc>
      </w:tr>
      <w:tr>
        <w:trPr>
          <w:trHeight w:val="135"/>
        </w:trPr>
        <w:tc>
          <w:tcPr>
            <w:tcW w:w="3380" w:type="dxa"/>
            <w:vAlign w:val="bottom"/>
          </w:tcPr>
          <w:p>
            <w:pPr>
              <w:spacing w:after="0" w:line="135" w:lineRule="exact"/>
              <w:rPr>
                <w:sz w:val="20"/>
                <w:szCs w:val="20"/>
                <w:color w:val="auto"/>
              </w:rPr>
            </w:pPr>
            <w:r>
              <w:rPr>
                <w:rFonts w:ascii="Arial" w:cs="Arial" w:eastAsia="Arial" w:hAnsi="Arial"/>
                <w:sz w:val="13"/>
                <w:szCs w:val="13"/>
                <w:color w:val="auto"/>
              </w:rPr>
              <w:t>Reissued - Employee Stock Purchase Plan</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48</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Arial" w:cs="Arial" w:eastAsia="Arial" w:hAnsi="Arial"/>
                <w:sz w:val="13"/>
                <w:szCs w:val="13"/>
                <w:color w:val="auto"/>
              </w:rPr>
              <w:t>2</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2</w:t>
            </w:r>
          </w:p>
        </w:tc>
      </w:tr>
      <w:tr>
        <w:trPr>
          <w:trHeight w:val="135"/>
        </w:trPr>
        <w:tc>
          <w:tcPr>
            <w:tcW w:w="33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income</w:t>
            </w:r>
          </w:p>
        </w:tc>
        <w:tc>
          <w:tcPr>
            <w:tcW w:w="3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253</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253</w:t>
            </w:r>
          </w:p>
        </w:tc>
      </w:tr>
      <w:tr>
        <w:trPr>
          <w:trHeight w:val="135"/>
        </w:trPr>
        <w:tc>
          <w:tcPr>
            <w:tcW w:w="3380" w:type="dxa"/>
            <w:vAlign w:val="bottom"/>
          </w:tcPr>
          <w:p>
            <w:pPr>
              <w:spacing w:after="0" w:line="135" w:lineRule="exact"/>
              <w:rPr>
                <w:sz w:val="20"/>
                <w:szCs w:val="20"/>
                <w:color w:val="auto"/>
              </w:rPr>
            </w:pPr>
            <w:r>
              <w:rPr>
                <w:rFonts w:ascii="Arial" w:cs="Arial" w:eastAsia="Arial" w:hAnsi="Arial"/>
                <w:sz w:val="13"/>
                <w:szCs w:val="13"/>
                <w:color w:val="auto"/>
              </w:rPr>
              <w:t>Cash dividends declared on common stock</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gridSpan w:val="2"/>
          </w:tcPr>
          <w:p>
            <w:pPr>
              <w:jc w:val="right"/>
              <w:ind w:right="37"/>
              <w:spacing w:after="0" w:line="135" w:lineRule="exact"/>
              <w:rPr>
                <w:sz w:val="20"/>
                <w:szCs w:val="20"/>
                <w:color w:val="auto"/>
              </w:rPr>
            </w:pPr>
            <w:r>
              <w:rPr>
                <w:rFonts w:ascii="Arial" w:cs="Arial" w:eastAsia="Arial" w:hAnsi="Arial"/>
                <w:sz w:val="13"/>
                <w:szCs w:val="13"/>
                <w:color w:val="auto"/>
              </w:rPr>
              <w:t>(81)</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(81)</w:t>
            </w:r>
          </w:p>
        </w:tc>
      </w:tr>
      <w:tr>
        <w:trPr>
          <w:trHeight w:val="135"/>
        </w:trPr>
        <w:tc>
          <w:tcPr>
            <w:tcW w:w="33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Translation adjustment, net of tax</w:t>
            </w:r>
          </w:p>
        </w:tc>
        <w:tc>
          <w:tcPr>
            <w:tcW w:w="3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(58)</w:t>
            </w: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(58)</w:t>
            </w:r>
          </w:p>
        </w:tc>
      </w:tr>
      <w:tr>
        <w:trPr>
          <w:trHeight w:val="135"/>
        </w:trPr>
        <w:tc>
          <w:tcPr>
            <w:tcW w:w="3380" w:type="dxa"/>
            <w:vAlign w:val="bottom"/>
          </w:tcPr>
          <w:p>
            <w:pPr>
              <w:spacing w:after="0" w:line="135" w:lineRule="exact"/>
              <w:rPr>
                <w:sz w:val="20"/>
                <w:szCs w:val="20"/>
                <w:color w:val="auto"/>
              </w:rPr>
            </w:pPr>
            <w:r>
              <w:rPr>
                <w:rFonts w:ascii="Arial" w:cs="Arial" w:eastAsia="Arial" w:hAnsi="Arial"/>
                <w:sz w:val="13"/>
                <w:szCs w:val="13"/>
                <w:color w:val="auto"/>
              </w:rPr>
              <w:t>Change in cash flow hedges, net of tax</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w:t>
            </w:r>
          </w:p>
        </w:tc>
        <w:tc>
          <w:tcPr>
            <w:tcW w:w="2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r>
      <w:tr>
        <w:trPr>
          <w:trHeight w:val="135"/>
        </w:trPr>
        <w:tc>
          <w:tcPr>
            <w:tcW w:w="33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Pension and postretirement adjustments, net of tax</w:t>
            </w:r>
          </w:p>
        </w:tc>
        <w:tc>
          <w:tcPr>
            <w:tcW w:w="3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w:t>
            </w: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w:t>
            </w:r>
          </w:p>
        </w:tc>
      </w:tr>
      <w:tr>
        <w:trPr>
          <w:trHeight w:val="135"/>
        </w:trPr>
        <w:tc>
          <w:tcPr>
            <w:tcW w:w="3380" w:type="dxa"/>
            <w:vAlign w:val="bottom"/>
          </w:tcPr>
          <w:p>
            <w:pPr>
              <w:spacing w:after="0" w:line="135" w:lineRule="exact"/>
              <w:rPr>
                <w:sz w:val="20"/>
                <w:szCs w:val="20"/>
                <w:color w:val="auto"/>
              </w:rPr>
            </w:pPr>
            <w:r>
              <w:rPr>
                <w:rFonts w:ascii="Arial" w:cs="Arial" w:eastAsia="Arial" w:hAnsi="Arial"/>
                <w:sz w:val="13"/>
                <w:szCs w:val="13"/>
                <w:color w:val="auto"/>
              </w:rPr>
              <w:t>Cumulative effect of the adoption of ASU 2014-09</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4</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4</w:t>
            </w:r>
          </w:p>
        </w:tc>
      </w:tr>
      <w:tr>
        <w:trPr>
          <w:trHeight w:val="135"/>
        </w:trPr>
        <w:tc>
          <w:tcPr>
            <w:tcW w:w="3380" w:type="dxa"/>
            <w:vAlign w:val="bottom"/>
            <w:tcBorders>
              <w:bottom w:val="single" w:sz="8" w:color="auto"/>
            </w:tcBorders>
            <w:shd w:val="clear" w:color="auto" w:fill="CCEEFF"/>
          </w:tcPr>
          <w:p>
            <w:pPr>
              <w:spacing w:after="0" w:line="135" w:lineRule="exact"/>
              <w:rPr>
                <w:sz w:val="20"/>
                <w:szCs w:val="20"/>
                <w:color w:val="auto"/>
              </w:rPr>
            </w:pPr>
            <w:r>
              <w:rPr>
                <w:rFonts w:ascii="Arial" w:cs="Arial" w:eastAsia="Arial" w:hAnsi="Arial"/>
                <w:sz w:val="13"/>
                <w:szCs w:val="13"/>
                <w:color w:val="auto"/>
              </w:rPr>
              <w:t>Cumulative effect of the adoption of ASU 2016-16</w:t>
            </w:r>
          </w:p>
        </w:tc>
        <w:tc>
          <w:tcPr>
            <w:tcW w:w="360" w:type="dxa"/>
            <w:vAlign w:val="bottom"/>
            <w:tcBorders>
              <w:bottom w:val="single" w:sz="8" w:color="auto"/>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spacing w:after="0"/>
              <w:rPr>
                <w:sz w:val="11"/>
                <w:szCs w:val="11"/>
                <w:color w:val="auto"/>
              </w:rPr>
            </w:pPr>
          </w:p>
        </w:tc>
        <w:tc>
          <w:tcPr>
            <w:tcW w:w="20" w:type="dxa"/>
            <w:vAlign w:val="bottom"/>
            <w:tcBorders>
              <w:bottom w:val="single" w:sz="8" w:color="auto"/>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20" w:type="dxa"/>
            <w:vAlign w:val="bottom"/>
            <w:tcBorders>
              <w:bottom w:val="single" w:sz="8" w:color="auto"/>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37</w:t>
            </w:r>
          </w:p>
        </w:tc>
        <w:tc>
          <w:tcPr>
            <w:tcW w:w="100" w:type="dxa"/>
            <w:vAlign w:val="bottom"/>
            <w:tcBorders>
              <w:bottom w:val="single" w:sz="8" w:color="auto"/>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37</w:t>
            </w:r>
          </w:p>
        </w:tc>
      </w:tr>
      <w:tr>
        <w:trPr>
          <w:trHeight w:val="162"/>
        </w:trPr>
        <w:tc>
          <w:tcPr>
            <w:tcW w:w="3380" w:type="dxa"/>
            <w:vAlign w:val="bottom"/>
          </w:tcPr>
          <w:p>
            <w:pPr>
              <w:spacing w:after="0"/>
              <w:rPr>
                <w:sz w:val="20"/>
                <w:szCs w:val="20"/>
                <w:color w:val="auto"/>
              </w:rPr>
            </w:pPr>
            <w:r>
              <w:rPr>
                <w:rFonts w:ascii="Arial" w:cs="Arial" w:eastAsia="Arial" w:hAnsi="Arial"/>
                <w:sz w:val="13"/>
                <w:szCs w:val="13"/>
                <w:b w:val="1"/>
                <w:bCs w:val="1"/>
                <w:color w:val="auto"/>
              </w:rPr>
              <w:t>Balance at August 4, 2018</w:t>
            </w:r>
          </w:p>
        </w:tc>
        <w:tc>
          <w:tcPr>
            <w:tcW w:w="920" w:type="dxa"/>
            <w:vAlign w:val="bottom"/>
            <w:gridSpan w:val="3"/>
          </w:tcPr>
          <w:p>
            <w:pPr>
              <w:jc w:val="right"/>
              <w:spacing w:after="0"/>
              <w:rPr>
                <w:sz w:val="20"/>
                <w:szCs w:val="20"/>
                <w:color w:val="auto"/>
              </w:rPr>
            </w:pPr>
            <w:r>
              <w:rPr>
                <w:rFonts w:ascii="Arial" w:cs="Arial" w:eastAsia="Arial" w:hAnsi="Arial"/>
                <w:sz w:val="13"/>
                <w:szCs w:val="13"/>
                <w:b w:val="1"/>
                <w:bCs w:val="1"/>
                <w:color w:val="auto"/>
              </w:rPr>
              <w:t>121,497</w:t>
            </w:r>
          </w:p>
        </w:tc>
        <w:tc>
          <w:tcPr>
            <w:tcW w:w="340" w:type="dxa"/>
            <w:vAlign w:val="bottom"/>
          </w:tcPr>
          <w:p>
            <w:pPr>
              <w:jc w:val="right"/>
              <w:ind w:right="177"/>
              <w:spacing w:after="0"/>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14"/>
                <w:szCs w:val="14"/>
                <w:color w:val="auto"/>
              </w:rPr>
            </w:pPr>
          </w:p>
        </w:tc>
        <w:tc>
          <w:tcPr>
            <w:tcW w:w="240" w:type="dxa"/>
            <w:vAlign w:val="bottom"/>
            <w:gridSpan w:val="2"/>
          </w:tcPr>
          <w:p>
            <w:pPr>
              <w:jc w:val="right"/>
              <w:spacing w:after="0"/>
              <w:rPr>
                <w:sz w:val="20"/>
                <w:szCs w:val="20"/>
                <w:color w:val="auto"/>
              </w:rPr>
            </w:pPr>
            <w:r>
              <w:rPr>
                <w:rFonts w:ascii="Arial" w:cs="Arial" w:eastAsia="Arial" w:hAnsi="Arial"/>
                <w:sz w:val="13"/>
                <w:szCs w:val="13"/>
                <w:b w:val="1"/>
                <w:bCs w:val="1"/>
                <w:color w:val="auto"/>
                <w:w w:val="92"/>
              </w:rPr>
              <w:t>857</w:t>
            </w:r>
          </w:p>
        </w:tc>
        <w:tc>
          <w:tcPr>
            <w:tcW w:w="680" w:type="dxa"/>
            <w:vAlign w:val="bottom"/>
            <w:gridSpan w:val="3"/>
          </w:tcPr>
          <w:p>
            <w:pPr>
              <w:jc w:val="right"/>
              <w:ind w:right="17"/>
              <w:spacing w:after="0"/>
              <w:rPr>
                <w:sz w:val="20"/>
                <w:szCs w:val="20"/>
                <w:color w:val="auto"/>
              </w:rPr>
            </w:pPr>
            <w:r>
              <w:rPr>
                <w:rFonts w:ascii="Arial" w:cs="Arial" w:eastAsia="Arial" w:hAnsi="Arial"/>
                <w:sz w:val="13"/>
                <w:szCs w:val="13"/>
                <w:b w:val="1"/>
                <w:bCs w:val="1"/>
                <w:color w:val="auto"/>
              </w:rPr>
              <w:t>(5,869)</w:t>
            </w:r>
          </w:p>
        </w:tc>
        <w:tc>
          <w:tcPr>
            <w:tcW w:w="160" w:type="dxa"/>
            <w:vAlign w:val="bottom"/>
          </w:tcPr>
          <w:p>
            <w:pPr>
              <w:ind w:left="80"/>
              <w:spacing w:after="0"/>
              <w:rPr>
                <w:sz w:val="20"/>
                <w:szCs w:val="20"/>
                <w:color w:val="auto"/>
              </w:rPr>
            </w:pPr>
            <w:r>
              <w:rPr>
                <w:rFonts w:ascii="Arial" w:cs="Arial" w:eastAsia="Arial" w:hAnsi="Arial"/>
                <w:sz w:val="13"/>
                <w:szCs w:val="13"/>
                <w:b w:val="1"/>
                <w:bCs w:val="1"/>
                <w:color w:val="auto"/>
                <w:w w:val="82"/>
              </w:rPr>
              <w:t>$</w:t>
            </w:r>
          </w:p>
        </w:tc>
        <w:tc>
          <w:tcPr>
            <w:tcW w:w="520" w:type="dxa"/>
            <w:vAlign w:val="bottom"/>
            <w:gridSpan w:val="4"/>
          </w:tcPr>
          <w:p>
            <w:pPr>
              <w:jc w:val="right"/>
              <w:ind w:right="100"/>
              <w:spacing w:after="0"/>
              <w:rPr>
                <w:sz w:val="20"/>
                <w:szCs w:val="20"/>
                <w:color w:val="auto"/>
              </w:rPr>
            </w:pPr>
            <w:r>
              <w:rPr>
                <w:rFonts w:ascii="Arial" w:cs="Arial" w:eastAsia="Arial" w:hAnsi="Arial"/>
                <w:sz w:val="13"/>
                <w:szCs w:val="13"/>
                <w:b w:val="1"/>
                <w:bCs w:val="1"/>
                <w:color w:val="auto"/>
              </w:rPr>
              <w:t>(267)</w:t>
            </w:r>
          </w:p>
        </w:tc>
        <w:tc>
          <w:tcPr>
            <w:tcW w:w="180" w:type="dxa"/>
            <w:vAlign w:val="bottom"/>
          </w:tcPr>
          <w:p>
            <w:pPr>
              <w:ind w:left="60"/>
              <w:spacing w:after="0"/>
              <w:rPr>
                <w:sz w:val="20"/>
                <w:szCs w:val="20"/>
                <w:color w:val="auto"/>
              </w:rPr>
            </w:pPr>
            <w:r>
              <w:rPr>
                <w:rFonts w:ascii="Arial" w:cs="Arial" w:eastAsia="Arial" w:hAnsi="Arial"/>
                <w:sz w:val="13"/>
                <w:szCs w:val="13"/>
                <w:b w:val="1"/>
                <w:bCs w:val="1"/>
                <w:color w:val="auto"/>
              </w:rPr>
              <w:t>$</w:t>
            </w:r>
          </w:p>
        </w:tc>
        <w:tc>
          <w:tcPr>
            <w:tcW w:w="440" w:type="dxa"/>
            <w:vAlign w:val="bottom"/>
          </w:tcPr>
          <w:p>
            <w:pPr>
              <w:jc w:val="right"/>
              <w:spacing w:after="0"/>
              <w:rPr>
                <w:sz w:val="20"/>
                <w:szCs w:val="20"/>
                <w:color w:val="auto"/>
              </w:rPr>
            </w:pPr>
            <w:r>
              <w:rPr>
                <w:rFonts w:ascii="Arial" w:cs="Arial" w:eastAsia="Arial" w:hAnsi="Arial"/>
                <w:sz w:val="13"/>
                <w:szCs w:val="13"/>
                <w:b w:val="1"/>
                <w:bCs w:val="1"/>
                <w:color w:val="auto"/>
              </w:rPr>
              <w:t>2,232</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(340)</w:t>
            </w:r>
          </w:p>
        </w:tc>
        <w:tc>
          <w:tcPr>
            <w:tcW w:w="240" w:type="dxa"/>
            <w:vAlign w:val="bottom"/>
          </w:tcPr>
          <w:p>
            <w:pPr>
              <w:ind w:left="120"/>
              <w:spacing w:after="0"/>
              <w:rPr>
                <w:sz w:val="20"/>
                <w:szCs w:val="20"/>
                <w:color w:val="auto"/>
              </w:rPr>
            </w:pPr>
            <w:r>
              <w:rPr>
                <w:rFonts w:ascii="Arial" w:cs="Arial" w:eastAsia="Arial" w:hAnsi="Arial"/>
                <w:sz w:val="13"/>
                <w:szCs w:val="13"/>
                <w:b w:val="1"/>
                <w:bCs w:val="1"/>
                <w:color w:val="auto"/>
              </w:rPr>
              <w:t>$</w:t>
            </w: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2,482</w:t>
            </w:r>
          </w:p>
        </w:tc>
      </w:tr>
    </w:tbl>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line="234" w:lineRule="auto"/>
        <w:rPr>
          <w:sz w:val="20"/>
          <w:szCs w:val="20"/>
          <w:color w:val="auto"/>
        </w:rPr>
      </w:pPr>
      <w:r>
        <w:rPr>
          <w:rFonts w:ascii="Arial" w:cs="Arial" w:eastAsia="Arial" w:hAnsi="Arial"/>
          <w:sz w:val="18"/>
          <w:szCs w:val="18"/>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in millions)</w:t>
      </w:r>
    </w:p>
    <w:p>
      <w:pPr>
        <w:spacing w:after="0" w:line="200" w:lineRule="exact"/>
        <w:rPr>
          <w:sz w:val="20"/>
          <w:szCs w:val="20"/>
          <w:color w:val="auto"/>
        </w:rPr>
      </w:pPr>
    </w:p>
    <w:p>
      <w:pPr>
        <w:ind w:left="6580"/>
        <w:spacing w:after="0"/>
        <w:rPr>
          <w:sz w:val="20"/>
          <w:szCs w:val="20"/>
          <w:color w:val="auto"/>
        </w:rPr>
      </w:pPr>
      <w:r>
        <w:rPr>
          <w:rFonts w:ascii="Arial" w:cs="Arial" w:eastAsia="Arial" w:hAnsi="Arial"/>
          <w:sz w:val="17"/>
          <w:szCs w:val="17"/>
          <w:b w:val="1"/>
          <w:bCs w:val="1"/>
          <w:color w:val="auto"/>
        </w:rPr>
        <w:t>Twenty-six weeks ended</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594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ind w:right="315"/>
              <w:spacing w:after="0" w:line="157" w:lineRule="exact"/>
              <w:rPr>
                <w:sz w:val="20"/>
                <w:szCs w:val="20"/>
                <w:color w:val="auto"/>
              </w:rPr>
            </w:pPr>
            <w:r>
              <w:rPr>
                <w:rFonts w:ascii="Arial" w:cs="Arial" w:eastAsia="Arial" w:hAnsi="Arial"/>
                <w:sz w:val="17"/>
                <w:szCs w:val="17"/>
                <w:b w:val="1"/>
                <w:bCs w:val="1"/>
                <w:color w:val="auto"/>
              </w:rPr>
              <w:t>August 3,</w:t>
            </w:r>
          </w:p>
        </w:tc>
        <w:tc>
          <w:tcPr>
            <w:tcW w:w="3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215"/>
              <w:spacing w:after="0" w:line="157" w:lineRule="exact"/>
              <w:rPr>
                <w:sz w:val="20"/>
                <w:szCs w:val="20"/>
                <w:color w:val="auto"/>
              </w:rPr>
            </w:pPr>
            <w:r>
              <w:rPr>
                <w:rFonts w:ascii="Arial" w:cs="Arial" w:eastAsia="Arial" w:hAnsi="Arial"/>
                <w:sz w:val="17"/>
                <w:szCs w:val="17"/>
                <w:b w:val="1"/>
                <w:bCs w:val="1"/>
                <w:color w:val="auto"/>
              </w:rPr>
              <w:t>August 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b w:val="1"/>
                <w:bCs w:val="1"/>
                <w:color w:val="auto"/>
              </w:rPr>
              <w:t>2019</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b w:val="1"/>
                <w:bCs w:val="1"/>
                <w:color w:val="auto"/>
              </w:rPr>
              <w:t>2018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60" w:type="dxa"/>
            <w:vAlign w:val="bottom"/>
            <w:gridSpan w:val="3"/>
          </w:tcPr>
          <w:p>
            <w:pPr>
              <w:jc w:val="right"/>
              <w:ind w:right="775"/>
              <w:spacing w:after="0" w:line="183" w:lineRule="exact"/>
              <w:rPr>
                <w:sz w:val="20"/>
                <w:szCs w:val="20"/>
                <w:color w:val="auto"/>
              </w:rPr>
            </w:pPr>
            <w:r>
              <w:rPr>
                <w:rFonts w:ascii="Arial" w:cs="Arial" w:eastAsia="Arial" w:hAnsi="Arial"/>
                <w:sz w:val="17"/>
                <w:szCs w:val="17"/>
                <w:color w:val="auto"/>
              </w:rPr>
              <w:t>($ in millions)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4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From operating activities:</w:t>
            </w:r>
          </w:p>
        </w:tc>
        <w:tc>
          <w:tcPr>
            <w:tcW w:w="3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40" w:type="dxa"/>
            <w:vAlign w:val="bottom"/>
          </w:tcPr>
          <w:p>
            <w:pPr>
              <w:ind w:left="100"/>
              <w:spacing w:after="0" w:line="189" w:lineRule="exact"/>
              <w:rPr>
                <w:sz w:val="20"/>
                <w:szCs w:val="20"/>
                <w:color w:val="auto"/>
              </w:rPr>
            </w:pPr>
            <w:r>
              <w:rPr>
                <w:rFonts w:ascii="Arial" w:cs="Arial" w:eastAsia="Arial" w:hAnsi="Arial"/>
                <w:sz w:val="17"/>
                <w:szCs w:val="17"/>
                <w:color w:val="auto"/>
              </w:rPr>
              <w:t>Net income</w:t>
            </w:r>
          </w:p>
        </w:tc>
        <w:tc>
          <w:tcPr>
            <w:tcW w:w="340" w:type="dxa"/>
            <w:vAlign w:val="bottom"/>
          </w:tcPr>
          <w:p>
            <w:pPr>
              <w:jc w:val="right"/>
              <w:ind w:right="15"/>
              <w:spacing w:after="0" w:line="189" w:lineRule="exact"/>
              <w:rPr>
                <w:sz w:val="20"/>
                <w:szCs w:val="20"/>
                <w:color w:val="auto"/>
              </w:rPr>
            </w:pPr>
            <w:r>
              <w:rPr>
                <w:rFonts w:ascii="Arial" w:cs="Arial" w:eastAsia="Arial" w:hAnsi="Arial"/>
                <w:sz w:val="17"/>
                <w:szCs w:val="17"/>
                <w:b w:val="1"/>
                <w:bCs w:val="1"/>
                <w:color w:val="auto"/>
              </w:rPr>
              <w:t>$</w:t>
            </w:r>
          </w:p>
        </w:tc>
        <w:tc>
          <w:tcPr>
            <w:tcW w:w="126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232</w:t>
            </w:r>
          </w:p>
        </w:tc>
        <w:tc>
          <w:tcPr>
            <w:tcW w:w="320" w:type="dxa"/>
            <w:vAlign w:val="bottom"/>
          </w:tcPr>
          <w:p>
            <w:pPr>
              <w:jc w:val="right"/>
              <w:ind w:right="15"/>
              <w:spacing w:after="0" w:line="189" w:lineRule="exact"/>
              <w:rPr>
                <w:sz w:val="20"/>
                <w:szCs w:val="20"/>
                <w:color w:val="auto"/>
              </w:rPr>
            </w:pPr>
            <w:r>
              <w:rPr>
                <w:rFonts w:ascii="Arial" w:cs="Arial" w:eastAsia="Arial" w:hAnsi="Arial"/>
                <w:sz w:val="17"/>
                <w:szCs w:val="17"/>
                <w:color w:val="auto"/>
              </w:rPr>
              <w:t>$</w:t>
            </w:r>
          </w:p>
        </w:tc>
        <w:tc>
          <w:tcPr>
            <w:tcW w:w="1180" w:type="dxa"/>
            <w:vAlign w:val="bottom"/>
          </w:tcPr>
          <w:p>
            <w:pPr>
              <w:jc w:val="right"/>
              <w:spacing w:after="0" w:line="189" w:lineRule="exact"/>
              <w:rPr>
                <w:sz w:val="20"/>
                <w:szCs w:val="20"/>
                <w:color w:val="auto"/>
              </w:rPr>
            </w:pPr>
            <w:r>
              <w:rPr>
                <w:rFonts w:ascii="Arial" w:cs="Arial" w:eastAsia="Arial" w:hAnsi="Arial"/>
                <w:sz w:val="17"/>
                <w:szCs w:val="17"/>
                <w:color w:val="auto"/>
              </w:rPr>
              <w:t>253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940" w:type="dxa"/>
            <w:vAlign w:val="bottom"/>
            <w:shd w:val="clear" w:color="auto" w:fill="CCEEFF"/>
          </w:tcPr>
          <w:p>
            <w:pPr>
              <w:ind w:left="100"/>
              <w:spacing w:after="0" w:line="183" w:lineRule="exact"/>
              <w:rPr>
                <w:sz w:val="20"/>
                <w:szCs w:val="20"/>
                <w:color w:val="auto"/>
              </w:rPr>
            </w:pPr>
            <w:r>
              <w:rPr>
                <w:rFonts w:ascii="Arial" w:cs="Arial" w:eastAsia="Arial" w:hAnsi="Arial"/>
                <w:sz w:val="17"/>
                <w:szCs w:val="17"/>
                <w:color w:val="auto"/>
              </w:rPr>
              <w:t>Adjustments to reconcile net income to net cash provided by operating</w:t>
            </w:r>
          </w:p>
        </w:tc>
        <w:tc>
          <w:tcPr>
            <w:tcW w:w="3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940" w:type="dxa"/>
            <w:vAlign w:val="bottom"/>
            <w:shd w:val="clear" w:color="auto" w:fill="CCEEFF"/>
          </w:tcPr>
          <w:p>
            <w:pPr>
              <w:ind w:left="100"/>
              <w:spacing w:after="0"/>
              <w:rPr>
                <w:sz w:val="20"/>
                <w:szCs w:val="20"/>
                <w:color w:val="auto"/>
              </w:rPr>
            </w:pPr>
            <w:r>
              <w:rPr>
                <w:rFonts w:ascii="Arial" w:cs="Arial" w:eastAsia="Arial" w:hAnsi="Arial"/>
                <w:sz w:val="17"/>
                <w:szCs w:val="17"/>
                <w:color w:val="auto"/>
              </w:rPr>
              <w:t>activities:</w:t>
            </w:r>
          </w:p>
        </w:tc>
        <w:tc>
          <w:tcPr>
            <w:tcW w:w="3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40" w:type="dxa"/>
            <w:vAlign w:val="bottom"/>
          </w:tcPr>
          <w:p>
            <w:pPr>
              <w:ind w:left="200"/>
              <w:spacing w:after="0" w:line="189" w:lineRule="exact"/>
              <w:rPr>
                <w:sz w:val="20"/>
                <w:szCs w:val="20"/>
                <w:color w:val="auto"/>
              </w:rPr>
            </w:pPr>
            <w:r>
              <w:rPr>
                <w:rFonts w:ascii="Arial" w:cs="Arial" w:eastAsia="Arial" w:hAnsi="Arial"/>
                <w:sz w:val="17"/>
                <w:szCs w:val="17"/>
                <w:color w:val="auto"/>
              </w:rPr>
              <w:t>Depreciation and amortization</w:t>
            </w:r>
          </w:p>
        </w:tc>
        <w:tc>
          <w:tcPr>
            <w:tcW w:w="340" w:type="dxa"/>
            <w:vAlign w:val="bottom"/>
          </w:tcPr>
          <w:p>
            <w:pPr>
              <w:spacing w:after="0"/>
              <w:rPr>
                <w:sz w:val="16"/>
                <w:szCs w:val="16"/>
                <w:color w:val="auto"/>
              </w:rPr>
            </w:pPr>
          </w:p>
        </w:tc>
        <w:tc>
          <w:tcPr>
            <w:tcW w:w="126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90</w:t>
            </w:r>
          </w:p>
        </w:tc>
        <w:tc>
          <w:tcPr>
            <w:tcW w:w="32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Arial" w:cs="Arial" w:eastAsia="Arial" w:hAnsi="Arial"/>
                <w:sz w:val="17"/>
                <w:szCs w:val="17"/>
                <w:color w:val="auto"/>
              </w:rPr>
              <w:t>89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4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color w:val="auto"/>
              </w:rPr>
              <w:t>Share-based compensation expense</w:t>
            </w:r>
          </w:p>
        </w:tc>
        <w:tc>
          <w:tcPr>
            <w:tcW w:w="34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13</w:t>
            </w:r>
          </w:p>
        </w:tc>
        <w:tc>
          <w:tcPr>
            <w:tcW w:w="32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40" w:type="dxa"/>
            <w:vAlign w:val="bottom"/>
          </w:tcPr>
          <w:p>
            <w:pPr>
              <w:ind w:left="200"/>
              <w:spacing w:after="0" w:line="189" w:lineRule="exact"/>
              <w:rPr>
                <w:sz w:val="20"/>
                <w:szCs w:val="20"/>
                <w:color w:val="auto"/>
              </w:rPr>
            </w:pPr>
            <w:r>
              <w:rPr>
                <w:rFonts w:ascii="Arial" w:cs="Arial" w:eastAsia="Arial" w:hAnsi="Arial"/>
                <w:sz w:val="17"/>
                <w:szCs w:val="17"/>
                <w:color w:val="auto"/>
              </w:rPr>
              <w:t>Qualified pension plan contributions</w:t>
            </w:r>
          </w:p>
        </w:tc>
        <w:tc>
          <w:tcPr>
            <w:tcW w:w="340" w:type="dxa"/>
            <w:vAlign w:val="bottom"/>
          </w:tcPr>
          <w:p>
            <w:pPr>
              <w:spacing w:after="0"/>
              <w:rPr>
                <w:sz w:val="16"/>
                <w:szCs w:val="16"/>
                <w:color w:val="auto"/>
              </w:rPr>
            </w:pPr>
          </w:p>
        </w:tc>
        <w:tc>
          <w:tcPr>
            <w:tcW w:w="1260" w:type="dxa"/>
            <w:vAlign w:val="bottom"/>
          </w:tcPr>
          <w:p>
            <w:pPr>
              <w:jc w:val="right"/>
              <w:ind w:right="15"/>
              <w:spacing w:after="0" w:line="189" w:lineRule="exact"/>
              <w:rPr>
                <w:sz w:val="20"/>
                <w:szCs w:val="20"/>
                <w:color w:val="auto"/>
              </w:rPr>
            </w:pPr>
            <w:r>
              <w:rPr>
                <w:rFonts w:ascii="Arial" w:cs="Arial" w:eastAsia="Arial" w:hAnsi="Arial"/>
                <w:sz w:val="17"/>
                <w:szCs w:val="17"/>
                <w:b w:val="1"/>
                <w:bCs w:val="1"/>
                <w:color w:val="auto"/>
              </w:rPr>
              <w:t>(55)</w:t>
            </w:r>
          </w:p>
        </w:tc>
        <w:tc>
          <w:tcPr>
            <w:tcW w:w="32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4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color w:val="auto"/>
              </w:rPr>
              <w:t>Change in assets and liabilities:</w:t>
            </w:r>
          </w:p>
        </w:tc>
        <w:tc>
          <w:tcPr>
            <w:tcW w:w="3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40" w:type="dxa"/>
            <w:vAlign w:val="bottom"/>
          </w:tcPr>
          <w:p>
            <w:pPr>
              <w:ind w:left="320"/>
              <w:spacing w:after="0" w:line="189" w:lineRule="exact"/>
              <w:rPr>
                <w:sz w:val="20"/>
                <w:szCs w:val="20"/>
                <w:color w:val="auto"/>
              </w:rPr>
            </w:pPr>
            <w:r>
              <w:rPr>
                <w:rFonts w:ascii="Arial" w:cs="Arial" w:eastAsia="Arial" w:hAnsi="Arial"/>
                <w:sz w:val="17"/>
                <w:szCs w:val="17"/>
                <w:color w:val="auto"/>
              </w:rPr>
              <w:t>Merchandise inventories</w:t>
            </w:r>
          </w:p>
        </w:tc>
        <w:tc>
          <w:tcPr>
            <w:tcW w:w="340" w:type="dxa"/>
            <w:vAlign w:val="bottom"/>
          </w:tcPr>
          <w:p>
            <w:pPr>
              <w:spacing w:after="0"/>
              <w:rPr>
                <w:sz w:val="16"/>
                <w:szCs w:val="16"/>
                <w:color w:val="auto"/>
              </w:rPr>
            </w:pPr>
          </w:p>
        </w:tc>
        <w:tc>
          <w:tcPr>
            <w:tcW w:w="126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32</w:t>
            </w:r>
          </w:p>
        </w:tc>
        <w:tc>
          <w:tcPr>
            <w:tcW w:w="32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40" w:type="dxa"/>
            <w:vAlign w:val="bottom"/>
            <w:shd w:val="clear" w:color="auto" w:fill="CCEEFF"/>
          </w:tcPr>
          <w:p>
            <w:pPr>
              <w:ind w:left="320"/>
              <w:spacing w:after="0" w:line="189" w:lineRule="exact"/>
              <w:rPr>
                <w:sz w:val="20"/>
                <w:szCs w:val="20"/>
                <w:color w:val="auto"/>
              </w:rPr>
            </w:pPr>
            <w:r>
              <w:rPr>
                <w:rFonts w:ascii="Arial" w:cs="Arial" w:eastAsia="Arial" w:hAnsi="Arial"/>
                <w:sz w:val="17"/>
                <w:szCs w:val="17"/>
                <w:color w:val="auto"/>
              </w:rPr>
              <w:t>Accounts payable</w:t>
            </w:r>
          </w:p>
        </w:tc>
        <w:tc>
          <w:tcPr>
            <w:tcW w:w="34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37</w:t>
            </w:r>
          </w:p>
        </w:tc>
        <w:tc>
          <w:tcPr>
            <w:tcW w:w="32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155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40" w:type="dxa"/>
            <w:vAlign w:val="bottom"/>
          </w:tcPr>
          <w:p>
            <w:pPr>
              <w:ind w:left="320"/>
              <w:spacing w:after="0" w:line="189" w:lineRule="exact"/>
              <w:rPr>
                <w:sz w:val="20"/>
                <w:szCs w:val="20"/>
                <w:color w:val="auto"/>
              </w:rPr>
            </w:pPr>
            <w:r>
              <w:rPr>
                <w:rFonts w:ascii="Arial" w:cs="Arial" w:eastAsia="Arial" w:hAnsi="Arial"/>
                <w:sz w:val="17"/>
                <w:szCs w:val="17"/>
                <w:color w:val="auto"/>
              </w:rPr>
              <w:t>Accrued and other liabilities</w:t>
            </w:r>
          </w:p>
        </w:tc>
        <w:tc>
          <w:tcPr>
            <w:tcW w:w="340" w:type="dxa"/>
            <w:vAlign w:val="bottom"/>
          </w:tcPr>
          <w:p>
            <w:pPr>
              <w:spacing w:after="0"/>
              <w:rPr>
                <w:sz w:val="16"/>
                <w:szCs w:val="16"/>
                <w:color w:val="auto"/>
              </w:rPr>
            </w:pPr>
          </w:p>
        </w:tc>
        <w:tc>
          <w:tcPr>
            <w:tcW w:w="1260" w:type="dxa"/>
            <w:vAlign w:val="bottom"/>
          </w:tcPr>
          <w:p>
            <w:pPr>
              <w:jc w:val="right"/>
              <w:ind w:right="15"/>
              <w:spacing w:after="0" w:line="189" w:lineRule="exact"/>
              <w:rPr>
                <w:sz w:val="20"/>
                <w:szCs w:val="20"/>
                <w:color w:val="auto"/>
              </w:rPr>
            </w:pPr>
            <w:r>
              <w:rPr>
                <w:rFonts w:ascii="Arial" w:cs="Arial" w:eastAsia="Arial" w:hAnsi="Arial"/>
                <w:sz w:val="17"/>
                <w:szCs w:val="17"/>
                <w:b w:val="1"/>
                <w:bCs w:val="1"/>
                <w:color w:val="auto"/>
              </w:rPr>
              <w:t>(40)</w:t>
            </w:r>
          </w:p>
        </w:tc>
        <w:tc>
          <w:tcPr>
            <w:tcW w:w="32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40" w:type="dxa"/>
            <w:vAlign w:val="bottom"/>
            <w:shd w:val="clear" w:color="auto" w:fill="CCEEFF"/>
          </w:tcPr>
          <w:p>
            <w:pPr>
              <w:ind w:left="320"/>
              <w:spacing w:after="0" w:line="189" w:lineRule="exact"/>
              <w:rPr>
                <w:sz w:val="20"/>
                <w:szCs w:val="20"/>
                <w:color w:val="auto"/>
              </w:rPr>
            </w:pPr>
            <w:r>
              <w:rPr>
                <w:rFonts w:ascii="Arial" w:cs="Arial" w:eastAsia="Arial" w:hAnsi="Arial"/>
                <w:sz w:val="17"/>
                <w:szCs w:val="17"/>
                <w:color w:val="auto"/>
              </w:rPr>
              <w:t>Pension litigation accrual</w:t>
            </w:r>
          </w:p>
        </w:tc>
        <w:tc>
          <w:tcPr>
            <w:tcW w:w="34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w:t>
            </w:r>
          </w:p>
        </w:tc>
        <w:tc>
          <w:tcPr>
            <w:tcW w:w="32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40" w:type="dxa"/>
            <w:vAlign w:val="bottom"/>
          </w:tcPr>
          <w:p>
            <w:pPr>
              <w:ind w:left="320"/>
              <w:spacing w:after="0" w:line="189" w:lineRule="exact"/>
              <w:rPr>
                <w:sz w:val="20"/>
                <w:szCs w:val="20"/>
                <w:color w:val="auto"/>
              </w:rPr>
            </w:pPr>
            <w:r>
              <w:rPr>
                <w:rFonts w:ascii="Arial" w:cs="Arial" w:eastAsia="Arial" w:hAnsi="Arial"/>
                <w:sz w:val="17"/>
                <w:szCs w:val="17"/>
                <w:color w:val="auto"/>
              </w:rPr>
              <w:t>Class counsel fees paid in connection with pension litigation</w:t>
            </w:r>
          </w:p>
        </w:tc>
        <w:tc>
          <w:tcPr>
            <w:tcW w:w="340" w:type="dxa"/>
            <w:vAlign w:val="bottom"/>
          </w:tcPr>
          <w:p>
            <w:pPr>
              <w:spacing w:after="0"/>
              <w:rPr>
                <w:sz w:val="16"/>
                <w:szCs w:val="16"/>
                <w:color w:val="auto"/>
              </w:rPr>
            </w:pPr>
          </w:p>
        </w:tc>
        <w:tc>
          <w:tcPr>
            <w:tcW w:w="126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Arial" w:cs="Arial" w:eastAsia="Arial" w:hAnsi="Arial"/>
                <w:sz w:val="17"/>
                <w:szCs w:val="17"/>
                <w:color w:val="auto"/>
              </w:rPr>
              <w:t>(97)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40" w:type="dxa"/>
            <w:vAlign w:val="bottom"/>
            <w:tcBorders>
              <w:bottom w:val="single" w:sz="8" w:color="auto"/>
            </w:tcBorders>
            <w:shd w:val="clear" w:color="auto" w:fill="CCEEFF"/>
          </w:tcPr>
          <w:p>
            <w:pPr>
              <w:ind w:left="320"/>
              <w:spacing w:after="0" w:line="189" w:lineRule="exact"/>
              <w:rPr>
                <w:sz w:val="20"/>
                <w:szCs w:val="20"/>
                <w:color w:val="auto"/>
              </w:rPr>
            </w:pPr>
            <w:r>
              <w:rPr>
                <w:rFonts w:ascii="Arial" w:cs="Arial" w:eastAsia="Arial" w:hAnsi="Arial"/>
                <w:sz w:val="17"/>
                <w:szCs w:val="17"/>
                <w:color w:val="auto"/>
              </w:rPr>
              <w:t>Other, net</w:t>
            </w:r>
          </w:p>
        </w:tc>
        <w:tc>
          <w:tcPr>
            <w:tcW w:w="34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19</w:t>
            </w:r>
          </w:p>
        </w:tc>
        <w:tc>
          <w:tcPr>
            <w:tcW w:w="32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94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Net cash provided by operating activities</w:t>
            </w:r>
          </w:p>
        </w:tc>
        <w:tc>
          <w:tcPr>
            <w:tcW w:w="3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b w:val="1"/>
                <w:bCs w:val="1"/>
                <w:color w:val="auto"/>
              </w:rPr>
              <w:t>328</w:t>
            </w: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427</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9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940" w:type="dxa"/>
            <w:vAlign w:val="bottom"/>
          </w:tcPr>
          <w:p>
            <w:pPr>
              <w:spacing w:after="0" w:line="189" w:lineRule="exact"/>
              <w:rPr>
                <w:sz w:val="20"/>
                <w:szCs w:val="20"/>
                <w:color w:val="auto"/>
              </w:rPr>
            </w:pPr>
            <w:r>
              <w:rPr>
                <w:rFonts w:ascii="Arial" w:cs="Arial" w:eastAsia="Arial" w:hAnsi="Arial"/>
                <w:sz w:val="17"/>
                <w:szCs w:val="17"/>
                <w:b w:val="1"/>
                <w:bCs w:val="1"/>
                <w:color w:val="auto"/>
              </w:rPr>
              <w:t>From investing activities:</w:t>
            </w: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40" w:type="dxa"/>
            <w:vAlign w:val="bottom"/>
            <w:shd w:val="clear" w:color="auto" w:fill="CCEEFF"/>
          </w:tcPr>
          <w:p>
            <w:pPr>
              <w:ind w:left="100"/>
              <w:spacing w:after="0" w:line="189" w:lineRule="exact"/>
              <w:rPr>
                <w:sz w:val="20"/>
                <w:szCs w:val="20"/>
                <w:color w:val="auto"/>
              </w:rPr>
            </w:pPr>
            <w:r>
              <w:rPr>
                <w:rFonts w:ascii="Arial" w:cs="Arial" w:eastAsia="Arial" w:hAnsi="Arial"/>
                <w:sz w:val="17"/>
                <w:szCs w:val="17"/>
                <w:color w:val="auto"/>
              </w:rPr>
              <w:t>Capital expenditures</w:t>
            </w:r>
          </w:p>
        </w:tc>
        <w:tc>
          <w:tcPr>
            <w:tcW w:w="34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b w:val="1"/>
                <w:bCs w:val="1"/>
                <w:color w:val="auto"/>
              </w:rPr>
              <w:t>(81)</w:t>
            </w:r>
          </w:p>
        </w:tc>
        <w:tc>
          <w:tcPr>
            <w:tcW w:w="32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(115)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40" w:type="dxa"/>
            <w:vAlign w:val="bottom"/>
          </w:tcPr>
          <w:p>
            <w:pPr>
              <w:ind w:left="100"/>
              <w:spacing w:after="0" w:line="189" w:lineRule="exact"/>
              <w:rPr>
                <w:sz w:val="20"/>
                <w:szCs w:val="20"/>
                <w:color w:val="auto"/>
              </w:rPr>
            </w:pPr>
            <w:r>
              <w:rPr>
                <w:rFonts w:ascii="Arial" w:cs="Arial" w:eastAsia="Arial" w:hAnsi="Arial"/>
                <w:sz w:val="17"/>
                <w:szCs w:val="17"/>
                <w:color w:val="auto"/>
              </w:rPr>
              <w:t>Minority investments</w:t>
            </w:r>
          </w:p>
        </w:tc>
        <w:tc>
          <w:tcPr>
            <w:tcW w:w="340" w:type="dxa"/>
            <w:vAlign w:val="bottom"/>
          </w:tcPr>
          <w:p>
            <w:pPr>
              <w:spacing w:after="0"/>
              <w:rPr>
                <w:sz w:val="16"/>
                <w:szCs w:val="16"/>
                <w:color w:val="auto"/>
              </w:rPr>
            </w:pPr>
          </w:p>
        </w:tc>
        <w:tc>
          <w:tcPr>
            <w:tcW w:w="1260" w:type="dxa"/>
            <w:vAlign w:val="bottom"/>
          </w:tcPr>
          <w:p>
            <w:pPr>
              <w:jc w:val="right"/>
              <w:ind w:right="15"/>
              <w:spacing w:after="0" w:line="189" w:lineRule="exact"/>
              <w:rPr>
                <w:sz w:val="20"/>
                <w:szCs w:val="20"/>
                <w:color w:val="auto"/>
              </w:rPr>
            </w:pPr>
            <w:r>
              <w:rPr>
                <w:rFonts w:ascii="Arial" w:cs="Arial" w:eastAsia="Arial" w:hAnsi="Arial"/>
                <w:sz w:val="17"/>
                <w:szCs w:val="17"/>
                <w:b w:val="1"/>
                <w:bCs w:val="1"/>
                <w:color w:val="auto"/>
              </w:rPr>
              <w:t>(45)</w:t>
            </w:r>
          </w:p>
        </w:tc>
        <w:tc>
          <w:tcPr>
            <w:tcW w:w="32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40" w:type="dxa"/>
            <w:vAlign w:val="bottom"/>
            <w:tcBorders>
              <w:bottom w:val="single" w:sz="8" w:color="auto"/>
            </w:tcBorders>
            <w:shd w:val="clear" w:color="auto" w:fill="CCEEFF"/>
          </w:tcPr>
          <w:p>
            <w:pPr>
              <w:ind w:left="100"/>
              <w:spacing w:after="0" w:line="189" w:lineRule="exact"/>
              <w:rPr>
                <w:sz w:val="20"/>
                <w:szCs w:val="20"/>
                <w:color w:val="auto"/>
              </w:rPr>
            </w:pPr>
            <w:r>
              <w:rPr>
                <w:rFonts w:ascii="Arial" w:cs="Arial" w:eastAsia="Arial" w:hAnsi="Arial"/>
                <w:sz w:val="17"/>
                <w:szCs w:val="17"/>
                <w:color w:val="auto"/>
              </w:rPr>
              <w:t>Insurance proceeds related to loss on property and equipment</w:t>
            </w:r>
          </w:p>
        </w:tc>
        <w:tc>
          <w:tcPr>
            <w:tcW w:w="34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w:t>
            </w:r>
          </w:p>
        </w:tc>
        <w:tc>
          <w:tcPr>
            <w:tcW w:w="32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94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Net cash used in investing activities</w:t>
            </w:r>
          </w:p>
        </w:tc>
        <w:tc>
          <w:tcPr>
            <w:tcW w:w="3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5"/>
              <w:spacing w:after="0" w:line="183" w:lineRule="exact"/>
              <w:rPr>
                <w:sz w:val="20"/>
                <w:szCs w:val="20"/>
                <w:color w:val="auto"/>
              </w:rPr>
            </w:pPr>
            <w:r>
              <w:rPr>
                <w:rFonts w:ascii="Arial" w:cs="Arial" w:eastAsia="Arial" w:hAnsi="Arial"/>
                <w:sz w:val="17"/>
                <w:szCs w:val="17"/>
                <w:b w:val="1"/>
                <w:bCs w:val="1"/>
                <w:color w:val="auto"/>
              </w:rPr>
              <w:t>(126)</w:t>
            </w: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(113)</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9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940" w:type="dxa"/>
            <w:vAlign w:val="bottom"/>
          </w:tcPr>
          <w:p>
            <w:pPr>
              <w:spacing w:after="0" w:line="189" w:lineRule="exact"/>
              <w:rPr>
                <w:sz w:val="20"/>
                <w:szCs w:val="20"/>
                <w:color w:val="auto"/>
              </w:rPr>
            </w:pPr>
            <w:r>
              <w:rPr>
                <w:rFonts w:ascii="Arial" w:cs="Arial" w:eastAsia="Arial" w:hAnsi="Arial"/>
                <w:sz w:val="17"/>
                <w:szCs w:val="17"/>
                <w:b w:val="1"/>
                <w:bCs w:val="1"/>
                <w:color w:val="auto"/>
              </w:rPr>
              <w:t>From financing activities:</w:t>
            </w: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40" w:type="dxa"/>
            <w:vAlign w:val="bottom"/>
            <w:shd w:val="clear" w:color="auto" w:fill="CCEEFF"/>
          </w:tcPr>
          <w:p>
            <w:pPr>
              <w:ind w:left="100"/>
              <w:spacing w:after="0" w:line="189" w:lineRule="exact"/>
              <w:rPr>
                <w:sz w:val="20"/>
                <w:szCs w:val="20"/>
                <w:color w:val="auto"/>
              </w:rPr>
            </w:pPr>
            <w:r>
              <w:rPr>
                <w:rFonts w:ascii="Arial" w:cs="Arial" w:eastAsia="Arial" w:hAnsi="Arial"/>
                <w:sz w:val="17"/>
                <w:szCs w:val="17"/>
                <w:color w:val="auto"/>
              </w:rPr>
              <w:t>Purchase of treasury shares</w:t>
            </w:r>
          </w:p>
        </w:tc>
        <w:tc>
          <w:tcPr>
            <w:tcW w:w="34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b w:val="1"/>
                <w:bCs w:val="1"/>
                <w:color w:val="auto"/>
              </w:rPr>
              <w:t>(122)</w:t>
            </w:r>
          </w:p>
        </w:tc>
        <w:tc>
          <w:tcPr>
            <w:tcW w:w="32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(205)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40" w:type="dxa"/>
            <w:vAlign w:val="bottom"/>
          </w:tcPr>
          <w:p>
            <w:pPr>
              <w:ind w:left="100"/>
              <w:spacing w:after="0" w:line="189" w:lineRule="exact"/>
              <w:rPr>
                <w:sz w:val="20"/>
                <w:szCs w:val="20"/>
                <w:color w:val="auto"/>
              </w:rPr>
            </w:pPr>
            <w:r>
              <w:rPr>
                <w:rFonts w:ascii="Arial" w:cs="Arial" w:eastAsia="Arial" w:hAnsi="Arial"/>
                <w:sz w:val="17"/>
                <w:szCs w:val="17"/>
                <w:color w:val="auto"/>
              </w:rPr>
              <w:t>Dividends paid on common stock</w:t>
            </w:r>
          </w:p>
        </w:tc>
        <w:tc>
          <w:tcPr>
            <w:tcW w:w="340" w:type="dxa"/>
            <w:vAlign w:val="bottom"/>
          </w:tcPr>
          <w:p>
            <w:pPr>
              <w:spacing w:after="0"/>
              <w:rPr>
                <w:sz w:val="16"/>
                <w:szCs w:val="16"/>
                <w:color w:val="auto"/>
              </w:rPr>
            </w:pPr>
          </w:p>
        </w:tc>
        <w:tc>
          <w:tcPr>
            <w:tcW w:w="1260" w:type="dxa"/>
            <w:vAlign w:val="bottom"/>
          </w:tcPr>
          <w:p>
            <w:pPr>
              <w:jc w:val="right"/>
              <w:ind w:right="15"/>
              <w:spacing w:after="0" w:line="189" w:lineRule="exact"/>
              <w:rPr>
                <w:sz w:val="20"/>
                <w:szCs w:val="20"/>
                <w:color w:val="auto"/>
              </w:rPr>
            </w:pPr>
            <w:r>
              <w:rPr>
                <w:rFonts w:ascii="Arial" w:cs="Arial" w:eastAsia="Arial" w:hAnsi="Arial"/>
                <w:sz w:val="17"/>
                <w:szCs w:val="17"/>
                <w:b w:val="1"/>
                <w:bCs w:val="1"/>
                <w:color w:val="auto"/>
              </w:rPr>
              <w:t>(84)</w:t>
            </w:r>
          </w:p>
        </w:tc>
        <w:tc>
          <w:tcPr>
            <w:tcW w:w="32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Arial" w:cs="Arial" w:eastAsia="Arial" w:hAnsi="Arial"/>
                <w:sz w:val="17"/>
                <w:szCs w:val="17"/>
                <w:color w:val="auto"/>
              </w:rPr>
              <w:t>(81)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40" w:type="dxa"/>
            <w:vAlign w:val="bottom"/>
            <w:shd w:val="clear" w:color="auto" w:fill="CCEEFF"/>
          </w:tcPr>
          <w:p>
            <w:pPr>
              <w:ind w:left="100"/>
              <w:spacing w:after="0" w:line="189" w:lineRule="exact"/>
              <w:rPr>
                <w:sz w:val="20"/>
                <w:szCs w:val="20"/>
                <w:color w:val="auto"/>
              </w:rPr>
            </w:pPr>
            <w:r>
              <w:rPr>
                <w:rFonts w:ascii="Arial" w:cs="Arial" w:eastAsia="Arial" w:hAnsi="Arial"/>
                <w:sz w:val="17"/>
                <w:szCs w:val="17"/>
                <w:color w:val="auto"/>
              </w:rPr>
              <w:t>Issuance of common stock</w:t>
            </w:r>
          </w:p>
        </w:tc>
        <w:tc>
          <w:tcPr>
            <w:tcW w:w="34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4</w:t>
            </w:r>
          </w:p>
        </w:tc>
        <w:tc>
          <w:tcPr>
            <w:tcW w:w="32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40" w:type="dxa"/>
            <w:vAlign w:val="bottom"/>
          </w:tcPr>
          <w:p>
            <w:pPr>
              <w:ind w:left="100"/>
              <w:spacing w:after="0" w:line="189" w:lineRule="exact"/>
              <w:rPr>
                <w:sz w:val="20"/>
                <w:szCs w:val="20"/>
                <w:color w:val="auto"/>
              </w:rPr>
            </w:pPr>
            <w:r>
              <w:rPr>
                <w:rFonts w:ascii="Arial" w:cs="Arial" w:eastAsia="Arial" w:hAnsi="Arial"/>
                <w:sz w:val="17"/>
                <w:szCs w:val="17"/>
                <w:color w:val="auto"/>
              </w:rPr>
              <w:t>Proceeds from exercise of stock options</w:t>
            </w:r>
          </w:p>
        </w:tc>
        <w:tc>
          <w:tcPr>
            <w:tcW w:w="340" w:type="dxa"/>
            <w:vAlign w:val="bottom"/>
          </w:tcPr>
          <w:p>
            <w:pPr>
              <w:spacing w:after="0"/>
              <w:rPr>
                <w:sz w:val="16"/>
                <w:szCs w:val="16"/>
                <w:color w:val="auto"/>
              </w:rPr>
            </w:pPr>
          </w:p>
        </w:tc>
        <w:tc>
          <w:tcPr>
            <w:tcW w:w="126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40" w:type="dxa"/>
            <w:vAlign w:val="bottom"/>
            <w:shd w:val="clear" w:color="auto" w:fill="CCEEFF"/>
          </w:tcPr>
          <w:p>
            <w:pPr>
              <w:ind w:left="100"/>
              <w:spacing w:after="0" w:line="189" w:lineRule="exact"/>
              <w:rPr>
                <w:sz w:val="20"/>
                <w:szCs w:val="20"/>
                <w:color w:val="auto"/>
              </w:rPr>
            </w:pPr>
            <w:r>
              <w:rPr>
                <w:rFonts w:ascii="Arial" w:cs="Arial" w:eastAsia="Arial" w:hAnsi="Arial"/>
                <w:sz w:val="17"/>
                <w:szCs w:val="17"/>
                <w:color w:val="auto"/>
              </w:rPr>
              <w:t>Treasury stock reissued under employee stock plan</w:t>
            </w:r>
          </w:p>
        </w:tc>
        <w:tc>
          <w:tcPr>
            <w:tcW w:w="34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3</w:t>
            </w:r>
          </w:p>
        </w:tc>
        <w:tc>
          <w:tcPr>
            <w:tcW w:w="32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40" w:type="dxa"/>
            <w:vAlign w:val="bottom"/>
            <w:tcBorders>
              <w:bottom w:val="single" w:sz="8" w:color="auto"/>
            </w:tcBorders>
          </w:tcPr>
          <w:p>
            <w:pPr>
              <w:ind w:left="100"/>
              <w:spacing w:after="0" w:line="189" w:lineRule="exact"/>
              <w:rPr>
                <w:sz w:val="20"/>
                <w:szCs w:val="20"/>
                <w:color w:val="auto"/>
              </w:rPr>
            </w:pPr>
            <w:r>
              <w:rPr>
                <w:rFonts w:ascii="Arial" w:cs="Arial" w:eastAsia="Arial" w:hAnsi="Arial"/>
                <w:sz w:val="17"/>
                <w:szCs w:val="17"/>
                <w:color w:val="auto"/>
              </w:rPr>
              <w:t>Shares of common stock repurchased to satisfy tax withholding obligations</w:t>
            </w: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5"/>
              <w:spacing w:after="0" w:line="189" w:lineRule="exact"/>
              <w:rPr>
                <w:sz w:val="20"/>
                <w:szCs w:val="20"/>
                <w:color w:val="auto"/>
              </w:rPr>
            </w:pPr>
            <w:r>
              <w:rPr>
                <w:rFonts w:ascii="Arial" w:cs="Arial" w:eastAsia="Arial" w:hAnsi="Arial"/>
                <w:sz w:val="17"/>
                <w:szCs w:val="17"/>
                <w:b w:val="1"/>
                <w:bCs w:val="1"/>
                <w:color w:val="auto"/>
              </w:rPr>
              <w:t>(2)</w:t>
            </w: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94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Net cash used in financing activities</w:t>
            </w:r>
          </w:p>
        </w:tc>
        <w:tc>
          <w:tcPr>
            <w:tcW w:w="34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b w:val="1"/>
                <w:bCs w:val="1"/>
                <w:color w:val="auto"/>
              </w:rPr>
              <w:t>(201)</w:t>
            </w:r>
          </w:p>
        </w:tc>
        <w:tc>
          <w:tcPr>
            <w:tcW w:w="32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(281)</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59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Effect of exchange rate fluctuations on cash, cash equivalents, and restricted</w:t>
            </w:r>
          </w:p>
        </w:tc>
        <w:tc>
          <w:tcPr>
            <w:tcW w:w="34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(8)</w:t>
            </w:r>
          </w:p>
        </w:tc>
        <w:tc>
          <w:tcPr>
            <w:tcW w:w="3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9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7"/>
                <w:szCs w:val="17"/>
                <w:color w:val="auto"/>
              </w:rPr>
              <w:t>cash</w:t>
            </w:r>
          </w:p>
        </w:tc>
        <w:tc>
          <w:tcPr>
            <w:tcW w:w="34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vMerge w:val="continue"/>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940" w:type="dxa"/>
            <w:vAlign w:val="bottom"/>
          </w:tcPr>
          <w:p>
            <w:pPr>
              <w:spacing w:after="0" w:line="183" w:lineRule="exact"/>
              <w:rPr>
                <w:sz w:val="20"/>
                <w:szCs w:val="20"/>
                <w:color w:val="auto"/>
              </w:rPr>
            </w:pPr>
            <w:r>
              <w:rPr>
                <w:rFonts w:ascii="Arial" w:cs="Arial" w:eastAsia="Arial" w:hAnsi="Arial"/>
                <w:sz w:val="17"/>
                <w:szCs w:val="17"/>
                <w:color w:val="auto"/>
              </w:rPr>
              <w:t>Net change in cash, cash equivalents, and restricted cash</w:t>
            </w:r>
          </w:p>
        </w:tc>
        <w:tc>
          <w:tcPr>
            <w:tcW w:w="340" w:type="dxa"/>
            <w:vAlign w:val="bottom"/>
          </w:tcPr>
          <w:p>
            <w:pPr>
              <w:spacing w:after="0"/>
              <w:rPr>
                <w:sz w:val="15"/>
                <w:szCs w:val="15"/>
                <w:color w:val="auto"/>
              </w:rPr>
            </w:pPr>
          </w:p>
        </w:tc>
        <w:tc>
          <w:tcPr>
            <w:tcW w:w="1260" w:type="dxa"/>
            <w:vAlign w:val="bottom"/>
          </w:tcPr>
          <w:p>
            <w:pPr>
              <w:jc w:val="right"/>
              <w:ind w:right="15"/>
              <w:spacing w:after="0" w:line="183" w:lineRule="exact"/>
              <w:rPr>
                <w:sz w:val="20"/>
                <w:szCs w:val="20"/>
                <w:color w:val="auto"/>
              </w:rPr>
            </w:pPr>
            <w:r>
              <w:rPr>
                <w:rFonts w:ascii="Arial" w:cs="Arial" w:eastAsia="Arial" w:hAnsi="Arial"/>
                <w:sz w:val="17"/>
                <w:szCs w:val="17"/>
                <w:b w:val="1"/>
                <w:bCs w:val="1"/>
                <w:color w:val="auto"/>
              </w:rPr>
              <w:t>(7)</w:t>
            </w:r>
          </w:p>
        </w:tc>
        <w:tc>
          <w:tcPr>
            <w:tcW w:w="320" w:type="dxa"/>
            <w:vAlign w:val="bottom"/>
          </w:tcPr>
          <w:p>
            <w:pPr>
              <w:spacing w:after="0"/>
              <w:rPr>
                <w:sz w:val="15"/>
                <w:szCs w:val="15"/>
                <w:color w:val="auto"/>
              </w:rPr>
            </w:pPr>
          </w:p>
        </w:tc>
        <w:tc>
          <w:tcPr>
            <w:tcW w:w="1180" w:type="dxa"/>
            <w:vAlign w:val="bottom"/>
          </w:tcPr>
          <w:p>
            <w:pPr>
              <w:jc w:val="right"/>
              <w:spacing w:after="0" w:line="183" w:lineRule="exact"/>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4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Cash, cash equivalents, and restricted cash at beginning of year</w:t>
            </w:r>
          </w:p>
        </w:tc>
        <w:tc>
          <w:tcPr>
            <w:tcW w:w="34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981</w:t>
            </w:r>
          </w:p>
        </w:tc>
        <w:tc>
          <w:tcPr>
            <w:tcW w:w="32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1,031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b w:val="1"/>
                <w:bCs w:val="1"/>
                <w:color w:val="auto"/>
              </w:rPr>
              <w:t>Cash, cash equivalents, and restricted cash at end of period</w:t>
            </w:r>
          </w:p>
        </w:tc>
        <w:tc>
          <w:tcPr>
            <w:tcW w:w="340" w:type="dxa"/>
            <w:vAlign w:val="bottom"/>
            <w:tcBorders>
              <w:bottom w:val="single" w:sz="8" w:color="auto"/>
            </w:tcBorders>
          </w:tcPr>
          <w:p>
            <w:pPr>
              <w:jc w:val="right"/>
              <w:ind w:right="15"/>
              <w:spacing w:after="0" w:line="183" w:lineRule="exact"/>
              <w:rPr>
                <w:sz w:val="20"/>
                <w:szCs w:val="20"/>
                <w:color w:val="auto"/>
              </w:rPr>
            </w:pPr>
            <w:r>
              <w:rPr>
                <w:rFonts w:ascii="Arial" w:cs="Arial" w:eastAsia="Arial" w:hAnsi="Arial"/>
                <w:sz w:val="17"/>
                <w:szCs w:val="17"/>
                <w:b w:val="1"/>
                <w:bCs w:val="1"/>
                <w:color w:val="auto"/>
              </w:rPr>
              <w:t>$</w:t>
            </w:r>
          </w:p>
        </w:tc>
        <w:tc>
          <w:tcPr>
            <w:tcW w:w="126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b w:val="1"/>
                <w:bCs w:val="1"/>
                <w:color w:val="auto"/>
              </w:rPr>
              <w:t>974</w:t>
            </w:r>
          </w:p>
        </w:tc>
        <w:tc>
          <w:tcPr>
            <w:tcW w:w="320" w:type="dxa"/>
            <w:vAlign w:val="bottom"/>
            <w:tcBorders>
              <w:bottom w:val="single" w:sz="8" w:color="auto"/>
            </w:tcBorders>
          </w:tcPr>
          <w:p>
            <w:pPr>
              <w:jc w:val="right"/>
              <w:ind w:right="15"/>
              <w:spacing w:after="0" w:line="183" w:lineRule="exact"/>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1,039</w:t>
            </w:r>
          </w:p>
        </w:tc>
        <w:tc>
          <w:tcPr>
            <w:tcW w:w="0" w:type="dxa"/>
            <w:vAlign w:val="bottom"/>
          </w:tcPr>
          <w:p>
            <w:pPr>
              <w:spacing w:after="0"/>
              <w:rPr>
                <w:sz w:val="1"/>
                <w:szCs w:val="1"/>
                <w:color w:val="auto"/>
              </w:rPr>
            </w:pPr>
          </w:p>
        </w:tc>
      </w:tr>
      <w:tr>
        <w:trPr>
          <w:trHeight w:val="170"/>
        </w:trPr>
        <w:tc>
          <w:tcPr>
            <w:tcW w:w="20" w:type="dxa"/>
            <w:vAlign w:val="bottom"/>
            <w:vMerge w:val="restart"/>
          </w:tcPr>
          <w:p>
            <w:pPr>
              <w:spacing w:after="0"/>
              <w:rPr>
                <w:sz w:val="14"/>
                <w:szCs w:val="14"/>
                <w:color w:val="auto"/>
              </w:rPr>
            </w:pPr>
          </w:p>
        </w:tc>
        <w:tc>
          <w:tcPr>
            <w:tcW w:w="59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940" w:type="dxa"/>
            <w:vAlign w:val="bottom"/>
          </w:tcPr>
          <w:p>
            <w:pPr>
              <w:spacing w:after="0" w:line="189" w:lineRule="exact"/>
              <w:rPr>
                <w:sz w:val="20"/>
                <w:szCs w:val="20"/>
                <w:color w:val="auto"/>
              </w:rPr>
            </w:pPr>
            <w:r>
              <w:rPr>
                <w:rFonts w:ascii="Arial" w:cs="Arial" w:eastAsia="Arial" w:hAnsi="Arial"/>
                <w:sz w:val="17"/>
                <w:szCs w:val="17"/>
                <w:b w:val="1"/>
                <w:bCs w:val="1"/>
                <w:color w:val="auto"/>
              </w:rPr>
              <w:t>Cash paid during the year:</w:t>
            </w: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40" w:type="dxa"/>
            <w:vAlign w:val="bottom"/>
            <w:shd w:val="clear" w:color="auto" w:fill="CCEEFF"/>
          </w:tcPr>
          <w:p>
            <w:pPr>
              <w:ind w:left="100"/>
              <w:spacing w:after="0" w:line="189" w:lineRule="exact"/>
              <w:rPr>
                <w:sz w:val="20"/>
                <w:szCs w:val="20"/>
                <w:color w:val="auto"/>
              </w:rPr>
            </w:pPr>
            <w:r>
              <w:rPr>
                <w:rFonts w:ascii="Arial" w:cs="Arial" w:eastAsia="Arial" w:hAnsi="Arial"/>
                <w:sz w:val="17"/>
                <w:szCs w:val="17"/>
                <w:color w:val="auto"/>
              </w:rPr>
              <w:t>Interest</w:t>
            </w:r>
          </w:p>
        </w:tc>
        <w:tc>
          <w:tcPr>
            <w:tcW w:w="34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b w:val="1"/>
                <w:bCs w:val="1"/>
                <w:color w:val="auto"/>
              </w:rPr>
              <w:t>$</w:t>
            </w:r>
          </w:p>
        </w:tc>
        <w:tc>
          <w:tcPr>
            <w:tcW w:w="126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5</w:t>
            </w:r>
          </w:p>
        </w:tc>
        <w:tc>
          <w:tcPr>
            <w:tcW w:w="32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40" w:type="dxa"/>
            <w:vAlign w:val="bottom"/>
            <w:tcBorders>
              <w:bottom w:val="single" w:sz="8" w:color="auto"/>
            </w:tcBorders>
          </w:tcPr>
          <w:p>
            <w:pPr>
              <w:ind w:left="100"/>
              <w:spacing w:after="0" w:line="189" w:lineRule="exact"/>
              <w:rPr>
                <w:sz w:val="20"/>
                <w:szCs w:val="20"/>
                <w:color w:val="auto"/>
              </w:rPr>
            </w:pPr>
            <w:r>
              <w:rPr>
                <w:rFonts w:ascii="Arial" w:cs="Arial" w:eastAsia="Arial" w:hAnsi="Arial"/>
                <w:sz w:val="17"/>
                <w:szCs w:val="17"/>
                <w:color w:val="auto"/>
              </w:rPr>
              <w:t>Income taxes</w:t>
            </w:r>
          </w:p>
        </w:tc>
        <w:tc>
          <w:tcPr>
            <w:tcW w:w="340" w:type="dxa"/>
            <w:vAlign w:val="bottom"/>
            <w:tcBorders>
              <w:bottom w:val="single" w:sz="8" w:color="auto"/>
            </w:tcBorders>
          </w:tcPr>
          <w:p>
            <w:pPr>
              <w:jc w:val="right"/>
              <w:ind w:right="15"/>
              <w:spacing w:after="0" w:line="189" w:lineRule="exact"/>
              <w:rPr>
                <w:sz w:val="20"/>
                <w:szCs w:val="20"/>
                <w:color w:val="auto"/>
              </w:rPr>
            </w:pPr>
            <w:r>
              <w:rPr>
                <w:rFonts w:ascii="Arial" w:cs="Arial" w:eastAsia="Arial" w:hAnsi="Arial"/>
                <w:sz w:val="17"/>
                <w:szCs w:val="17"/>
                <w:b w:val="1"/>
                <w:bCs w:val="1"/>
                <w:color w:val="auto"/>
              </w:rPr>
              <w:t>$</w:t>
            </w:r>
          </w:p>
        </w:tc>
        <w:tc>
          <w:tcPr>
            <w:tcW w:w="126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111</w:t>
            </w:r>
          </w:p>
        </w:tc>
        <w:tc>
          <w:tcPr>
            <w:tcW w:w="320" w:type="dxa"/>
            <w:vAlign w:val="bottom"/>
            <w:tcBorders>
              <w:bottom w:val="single" w:sz="8" w:color="auto"/>
            </w:tcBorders>
          </w:tcPr>
          <w:p>
            <w:pPr>
              <w:jc w:val="right"/>
              <w:ind w:right="15"/>
              <w:spacing w:after="0" w:line="189" w:lineRule="exact"/>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129</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3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accompanying condensed consolidated financial statements contained in this report are unaudited. In the opinion of management, the condensed consolidated financial statements include all normal, recurring adjustments necessary for a fair presentation of the results for the interim periods of the fiscal year ending February 1, 2020 and of the fiscal year ended February 2, 2019. Certain items included in these statements are based on management’s estimates. Actual results may differ from those estimates. The results of operations for any interim period are not necessarily indicative of the results expected for the year. The accompanying unaudited condensed consolidated financial statements should be read in conjunction with the Notes to Consolidated Financial Statements contained in Foot Locker, Inc.’s (the “Company”) Form 10-K for the year ended February 2, 2019, as filed with the U.S. Securities and Exchange Commission (the “SEC”) on April 2, 2019.</w:t>
      </w:r>
    </w:p>
    <w:p>
      <w:pPr>
        <w:spacing w:after="0" w:line="18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Other than the changes to the </w:t>
      </w:r>
      <w:r>
        <w:rPr>
          <w:rFonts w:ascii="Arial" w:cs="Arial" w:eastAsia="Arial" w:hAnsi="Arial"/>
          <w:sz w:val="18"/>
          <w:szCs w:val="18"/>
          <w:i w:val="1"/>
          <w:iCs w:val="1"/>
          <w:color w:val="auto"/>
        </w:rPr>
        <w:t>Leases</w:t>
      </w:r>
      <w:r>
        <w:rPr>
          <w:rFonts w:ascii="Arial" w:cs="Arial" w:eastAsia="Arial" w:hAnsi="Arial"/>
          <w:sz w:val="18"/>
          <w:szCs w:val="18"/>
          <w:color w:val="auto"/>
        </w:rPr>
        <w:t xml:space="preserve"> policies as a result of the recently adopted accounting standards discussed below, there were no significant changes to the policies disclosed in Note 1, </w:t>
      </w:r>
      <w:r>
        <w:rPr>
          <w:rFonts w:ascii="Arial" w:cs="Arial" w:eastAsia="Arial" w:hAnsi="Arial"/>
          <w:sz w:val="18"/>
          <w:szCs w:val="18"/>
          <w:i w:val="1"/>
          <w:iCs w:val="1"/>
          <w:color w:val="auto"/>
        </w:rPr>
        <w:t>Summary of Significant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Policies </w:t>
      </w:r>
      <w:r>
        <w:rPr>
          <w:rFonts w:ascii="Arial" w:cs="Arial" w:eastAsia="Arial" w:hAnsi="Arial"/>
          <w:sz w:val="18"/>
          <w:szCs w:val="18"/>
          <w:color w:val="auto"/>
        </w:rPr>
        <w:t>of our Annual Report on Form 10-K for the year ended February 2, 2019.</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1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This ASU requires lessees to recognize a lease liability, on a discounted basis, and a right-of-use asset for substantially all leases, as well as additional disclosures regarding leasing arrangements. In July 2018, the FASB issued ASU 2018-11,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Targeted improvements, </w:t>
      </w:r>
      <w:r>
        <w:rPr>
          <w:rFonts w:ascii="Arial" w:cs="Arial" w:eastAsia="Arial" w:hAnsi="Arial"/>
          <w:sz w:val="18"/>
          <w:szCs w:val="18"/>
          <w:color w:val="auto"/>
        </w:rPr>
        <w:t>which provides an optional transition method of applying the new lease standard. Topic</w:t>
      </w:r>
      <w:r>
        <w:rPr>
          <w:rFonts w:ascii="Arial" w:cs="Arial" w:eastAsia="Arial" w:hAnsi="Arial"/>
          <w:sz w:val="18"/>
          <w:szCs w:val="18"/>
          <w:i w:val="1"/>
          <w:iCs w:val="1"/>
          <w:color w:val="auto"/>
        </w:rPr>
        <w:t xml:space="preserve"> </w:t>
      </w:r>
      <w:r>
        <w:rPr>
          <w:rFonts w:ascii="Arial" w:cs="Arial" w:eastAsia="Arial" w:hAnsi="Arial"/>
          <w:sz w:val="18"/>
          <w:szCs w:val="18"/>
          <w:color w:val="auto"/>
        </w:rPr>
        <w:t>842 can be applied using either a modified retrospective approach at the beginning of the earliest period presented, or as permitted by ASU 2018-11, at the beginning of the period in which it is adopted.</w:t>
      </w:r>
    </w:p>
    <w:p>
      <w:pPr>
        <w:spacing w:after="0" w:line="20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Company adopted Topic 842 on February 3, 2019 (the “effective date”) using the optional transition method, which applies Topic 842 at the beginning of the period in which it is adopted. Prior period amounts have not been adjusted in connection with the adoption of this standard. The Company elected the package of practical expedients under the new standard, which permits companies to not reassess lease classification, lease identification, or initial direct costs for existing or expired leases prior to the effective date. We have lease agreements with non-lease components that relate to the lease components. The Company elected the practical expedient to account for non-lease components and the lease components to which they relate, as a single lease component for all classes of underlying assets. Also, the Company elected to keep short-term leases with an initial term of twelve months or less off the balance sheet.</w:t>
      </w:r>
    </w:p>
    <w:p>
      <w:pPr>
        <w:spacing w:after="0" w:line="20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Upon adoption of this new standard, the Company recorded right-of-use assets and lease obligations on the Condensed Consolidated Balance Sheet for our operating leases of $3,148 million and $3,422 million, respectively, as of February 3, 2019. As part of adopting the standard, previously recognized liabilities for deferred rent and lease incentives were reclassified as a component of the right-of-use assets. Additionally upon adoption, we evaluated right-to-use assets for impairment and determined that approximately $29 million of impairment was required related to newly recognized right-of-use assets that would have been impaired in previous periods. This impairment of the right-to-use asset as of February 3, 2019 was recorded, net of related income tax effects, as a $26 million reduction of beginning retained earnings. The standard did not significantly affect our Condensed Consolidated Statements of Operations, Comprehensive Income, or Cash Flows.</w:t>
      </w:r>
    </w:p>
    <w:p>
      <w:pPr>
        <w:spacing w:after="0" w:line="207"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Other recently issued accounting pronouncements did not, or are not believed by management to, have a material effect on the Company’s present or future consolidated financial statements.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w:t>
      </w:r>
    </w:p>
    <w:p>
      <w:pPr>
        <w:spacing w:after="0" w:line="23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Store revenue is recognized at the point of sale and includes merchandise, net of returns, and excludes taxes. Revenue from layaway sales is recognized when the customer receives the product, rather than when the initial deposit is paid. Revenue for merchandise that is shipped to our customers from our distribution centers and stores is recognized upon shipment date.</w:t>
      </w:r>
    </w:p>
    <w:p>
      <w:pPr>
        <w:spacing w:after="0" w:line="20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Total revenue recognized includes shipping and handling fees. We have determined that control of the promised good is passed to the customer upon shipment date since the customer has legal title, the rewards of ownership, and has paid for the merchandise as of the shipment date. Shipping and handling is accounted for as a fulfillment activity. The Company accrues the cost and recognized revenue for these activities upon shipment date.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Sales disaggregated based upon sales channel is presented below.</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6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3"/>
          </w:tcPr>
          <w:p>
            <w:pPr>
              <w:jc w:val="right"/>
              <w:ind w:right="355"/>
              <w:spacing w:after="0"/>
              <w:rPr>
                <w:sz w:val="20"/>
                <w:szCs w:val="20"/>
                <w:color w:val="auto"/>
              </w:rPr>
            </w:pPr>
            <w:r>
              <w:rPr>
                <w:rFonts w:ascii="Arial" w:cs="Arial" w:eastAsia="Arial" w:hAnsi="Arial"/>
                <w:sz w:val="17"/>
                <w:szCs w:val="17"/>
                <w:b w:val="1"/>
                <w:bCs w:val="1"/>
                <w:color w:val="auto"/>
              </w:rPr>
              <w:t>Thirteen weeks ended</w:t>
            </w:r>
          </w:p>
        </w:tc>
        <w:tc>
          <w:tcPr>
            <w:tcW w:w="28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3"/>
          </w:tcPr>
          <w:p>
            <w:pPr>
              <w:jc w:val="right"/>
              <w:ind w:right="215"/>
              <w:spacing w:after="0"/>
              <w:rPr>
                <w:sz w:val="20"/>
                <w:szCs w:val="20"/>
                <w:color w:val="auto"/>
              </w:rPr>
            </w:pPr>
            <w:r>
              <w:rPr>
                <w:rFonts w:ascii="Arial" w:cs="Arial" w:eastAsia="Arial" w:hAnsi="Arial"/>
                <w:sz w:val="17"/>
                <w:szCs w:val="17"/>
                <w:b w:val="1"/>
                <w:bCs w:val="1"/>
                <w:color w:val="auto"/>
              </w:rPr>
              <w:t>Twenty-six weeks ended</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80" w:type="dxa"/>
            <w:vAlign w:val="bottom"/>
          </w:tcPr>
          <w:p>
            <w:pPr>
              <w:jc w:val="right"/>
              <w:ind w:right="175"/>
              <w:spacing w:after="0" w:line="157" w:lineRule="exact"/>
              <w:rPr>
                <w:sz w:val="20"/>
                <w:szCs w:val="20"/>
                <w:color w:val="auto"/>
              </w:rPr>
            </w:pPr>
            <w:r>
              <w:rPr>
                <w:rFonts w:ascii="Arial" w:cs="Arial" w:eastAsia="Arial" w:hAnsi="Arial"/>
                <w:sz w:val="17"/>
                <w:szCs w:val="17"/>
                <w:b w:val="1"/>
                <w:bCs w:val="1"/>
                <w:color w:val="auto"/>
              </w:rPr>
              <w:t>August 3,</w:t>
            </w:r>
          </w:p>
        </w:tc>
        <w:tc>
          <w:tcPr>
            <w:tcW w:w="280" w:type="dxa"/>
            <w:vAlign w:val="bottom"/>
          </w:tcPr>
          <w:p>
            <w:pPr>
              <w:spacing w:after="0"/>
              <w:rPr>
                <w:sz w:val="13"/>
                <w:szCs w:val="13"/>
                <w:color w:val="auto"/>
              </w:rPr>
            </w:pPr>
          </w:p>
        </w:tc>
        <w:tc>
          <w:tcPr>
            <w:tcW w:w="1100" w:type="dxa"/>
            <w:vAlign w:val="bottom"/>
          </w:tcPr>
          <w:p>
            <w:pPr>
              <w:jc w:val="right"/>
              <w:ind w:right="175"/>
              <w:spacing w:after="0" w:line="157" w:lineRule="exact"/>
              <w:rPr>
                <w:sz w:val="20"/>
                <w:szCs w:val="20"/>
                <w:color w:val="auto"/>
              </w:rPr>
            </w:pPr>
            <w:r>
              <w:rPr>
                <w:rFonts w:ascii="Arial" w:cs="Arial" w:eastAsia="Arial" w:hAnsi="Arial"/>
                <w:sz w:val="17"/>
                <w:szCs w:val="17"/>
                <w:b w:val="1"/>
                <w:bCs w:val="1"/>
                <w:color w:val="auto"/>
              </w:rPr>
              <w:t>August 4,</w:t>
            </w:r>
          </w:p>
        </w:tc>
        <w:tc>
          <w:tcPr>
            <w:tcW w:w="280" w:type="dxa"/>
            <w:vAlign w:val="bottom"/>
          </w:tcPr>
          <w:p>
            <w:pPr>
              <w:spacing w:after="0"/>
              <w:rPr>
                <w:sz w:val="13"/>
                <w:szCs w:val="13"/>
                <w:color w:val="auto"/>
              </w:rPr>
            </w:pPr>
          </w:p>
        </w:tc>
        <w:tc>
          <w:tcPr>
            <w:tcW w:w="1100" w:type="dxa"/>
            <w:vAlign w:val="bottom"/>
          </w:tcPr>
          <w:p>
            <w:pPr>
              <w:jc w:val="right"/>
              <w:ind w:right="195"/>
              <w:spacing w:after="0" w:line="157" w:lineRule="exact"/>
              <w:rPr>
                <w:sz w:val="20"/>
                <w:szCs w:val="20"/>
                <w:color w:val="auto"/>
              </w:rPr>
            </w:pPr>
            <w:r>
              <w:rPr>
                <w:rFonts w:ascii="Arial" w:cs="Arial" w:eastAsia="Arial" w:hAnsi="Arial"/>
                <w:sz w:val="17"/>
                <w:szCs w:val="17"/>
                <w:b w:val="1"/>
                <w:bCs w:val="1"/>
                <w:color w:val="auto"/>
              </w:rPr>
              <w:t>August 3,</w:t>
            </w:r>
          </w:p>
        </w:tc>
        <w:tc>
          <w:tcPr>
            <w:tcW w:w="280" w:type="dxa"/>
            <w:vAlign w:val="bottom"/>
          </w:tcPr>
          <w:p>
            <w:pPr>
              <w:spacing w:after="0"/>
              <w:rPr>
                <w:sz w:val="13"/>
                <w:szCs w:val="13"/>
                <w:color w:val="auto"/>
              </w:rPr>
            </w:pPr>
          </w:p>
        </w:tc>
        <w:tc>
          <w:tcPr>
            <w:tcW w:w="1040" w:type="dxa"/>
            <w:vAlign w:val="bottom"/>
          </w:tcPr>
          <w:p>
            <w:pPr>
              <w:jc w:val="right"/>
              <w:ind w:right="115"/>
              <w:spacing w:after="0" w:line="157" w:lineRule="exact"/>
              <w:rPr>
                <w:sz w:val="20"/>
                <w:szCs w:val="20"/>
                <w:color w:val="auto"/>
              </w:rPr>
            </w:pPr>
            <w:r>
              <w:rPr>
                <w:rFonts w:ascii="Arial" w:cs="Arial" w:eastAsia="Arial" w:hAnsi="Arial"/>
                <w:sz w:val="17"/>
                <w:szCs w:val="17"/>
                <w:b w:val="1"/>
                <w:bCs w:val="1"/>
                <w:color w:val="auto"/>
              </w:rPr>
              <w:t>August 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2019</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2018</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2019</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2018</w:t>
            </w:r>
          </w:p>
        </w:tc>
        <w:tc>
          <w:tcPr>
            <w:tcW w:w="0" w:type="dxa"/>
            <w:vAlign w:val="bottom"/>
          </w:tcPr>
          <w:p>
            <w:pPr>
              <w:spacing w:after="0"/>
              <w:rPr>
                <w:sz w:val="1"/>
                <w:szCs w:val="1"/>
                <w:color w:val="auto"/>
              </w:rPr>
            </w:pPr>
          </w:p>
        </w:tc>
      </w:tr>
      <w:tr>
        <w:trPr>
          <w:trHeight w:val="198"/>
        </w:trPr>
        <w:tc>
          <w:tcPr>
            <w:tcW w:w="262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Sales by Channel</w:t>
            </w:r>
          </w:p>
        </w:tc>
        <w:tc>
          <w:tcPr>
            <w:tcW w:w="1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80" w:type="dxa"/>
            <w:vAlign w:val="bottom"/>
            <w:gridSpan w:val="3"/>
          </w:tcPr>
          <w:p>
            <w:pPr>
              <w:jc w:val="right"/>
              <w:ind w:right="755"/>
              <w:spacing w:after="0"/>
              <w:rPr>
                <w:sz w:val="20"/>
                <w:szCs w:val="20"/>
                <w:color w:val="auto"/>
              </w:rPr>
            </w:pPr>
            <w:r>
              <w:rPr>
                <w:rFonts w:ascii="Arial" w:cs="Arial" w:eastAsia="Arial" w:hAnsi="Arial"/>
                <w:sz w:val="17"/>
                <w:szCs w:val="17"/>
                <w:color w:val="auto"/>
              </w:rPr>
              <w:t>($ in millions)</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2620" w:type="dxa"/>
            <w:vAlign w:val="bottom"/>
            <w:gridSpan w:val="2"/>
            <w:vMerge w:val="continue"/>
          </w:tcPr>
          <w:p>
            <w:pPr>
              <w:spacing w:after="0"/>
              <w:rPr>
                <w:sz w:val="15"/>
                <w:szCs w:val="15"/>
                <w:color w:val="auto"/>
              </w:rPr>
            </w:pPr>
          </w:p>
        </w:tc>
        <w:tc>
          <w:tcPr>
            <w:tcW w:w="1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Stores</w:t>
            </w:r>
          </w:p>
        </w:tc>
        <w:tc>
          <w:tcPr>
            <w:tcW w:w="12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08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1,521</w:t>
            </w:r>
          </w:p>
        </w:tc>
        <w:tc>
          <w:tcPr>
            <w:tcW w:w="2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1,542</w:t>
            </w:r>
          </w:p>
        </w:tc>
        <w:tc>
          <w:tcPr>
            <w:tcW w:w="2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10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3,279</w:t>
            </w:r>
          </w:p>
        </w:tc>
        <w:tc>
          <w:tcPr>
            <w:tcW w:w="2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3,285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0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Direct-to-customers</w:t>
            </w:r>
          </w:p>
        </w:tc>
        <w:tc>
          <w:tcPr>
            <w:tcW w:w="1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b w:val="1"/>
                <w:bCs w:val="1"/>
                <w:color w:val="auto"/>
              </w:rPr>
              <w:t>253</w:t>
            </w: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color w:val="auto"/>
              </w:rPr>
              <w:t>240</w:t>
            </w: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b w:val="1"/>
                <w:bCs w:val="1"/>
                <w:color w:val="auto"/>
              </w:rPr>
              <w:t>573</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522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60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Total sales</w:t>
            </w:r>
          </w:p>
        </w:tc>
        <w:tc>
          <w:tcPr>
            <w:tcW w:w="12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1,774</w:t>
            </w:r>
          </w:p>
        </w:tc>
        <w:tc>
          <w:tcPr>
            <w:tcW w:w="2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1,782</w:t>
            </w:r>
          </w:p>
        </w:tc>
        <w:tc>
          <w:tcPr>
            <w:tcW w:w="2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3,852</w:t>
            </w:r>
          </w:p>
        </w:tc>
        <w:tc>
          <w:tcPr>
            <w:tcW w:w="2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3,807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Sales disaggregated based upon geographic area is presented in the below table. Sales are attributable to the geographic area in which the sales transaction is fulfilled.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6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3"/>
          </w:tcPr>
          <w:p>
            <w:pPr>
              <w:jc w:val="right"/>
              <w:ind w:right="355"/>
              <w:spacing w:after="0"/>
              <w:rPr>
                <w:sz w:val="20"/>
                <w:szCs w:val="20"/>
                <w:color w:val="auto"/>
              </w:rPr>
            </w:pPr>
            <w:r>
              <w:rPr>
                <w:rFonts w:ascii="Arial" w:cs="Arial" w:eastAsia="Arial" w:hAnsi="Arial"/>
                <w:sz w:val="17"/>
                <w:szCs w:val="17"/>
                <w:b w:val="1"/>
                <w:bCs w:val="1"/>
                <w:color w:val="auto"/>
              </w:rPr>
              <w:t>Thirteen weeks ended</w:t>
            </w:r>
          </w:p>
        </w:tc>
        <w:tc>
          <w:tcPr>
            <w:tcW w:w="28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3"/>
          </w:tcPr>
          <w:p>
            <w:pPr>
              <w:jc w:val="right"/>
              <w:ind w:right="215"/>
              <w:spacing w:after="0"/>
              <w:rPr>
                <w:sz w:val="20"/>
                <w:szCs w:val="20"/>
                <w:color w:val="auto"/>
              </w:rPr>
            </w:pPr>
            <w:r>
              <w:rPr>
                <w:rFonts w:ascii="Arial" w:cs="Arial" w:eastAsia="Arial" w:hAnsi="Arial"/>
                <w:sz w:val="17"/>
                <w:szCs w:val="17"/>
                <w:b w:val="1"/>
                <w:bCs w:val="1"/>
                <w:color w:val="auto"/>
              </w:rPr>
              <w:t>Twenty-six weeks ended</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80" w:type="dxa"/>
            <w:vAlign w:val="bottom"/>
          </w:tcPr>
          <w:p>
            <w:pPr>
              <w:jc w:val="right"/>
              <w:ind w:right="175"/>
              <w:spacing w:after="0" w:line="157" w:lineRule="exact"/>
              <w:rPr>
                <w:sz w:val="20"/>
                <w:szCs w:val="20"/>
                <w:color w:val="auto"/>
              </w:rPr>
            </w:pPr>
            <w:r>
              <w:rPr>
                <w:rFonts w:ascii="Arial" w:cs="Arial" w:eastAsia="Arial" w:hAnsi="Arial"/>
                <w:sz w:val="17"/>
                <w:szCs w:val="17"/>
                <w:b w:val="1"/>
                <w:bCs w:val="1"/>
                <w:color w:val="auto"/>
              </w:rPr>
              <w:t>August 3,</w:t>
            </w:r>
          </w:p>
        </w:tc>
        <w:tc>
          <w:tcPr>
            <w:tcW w:w="280" w:type="dxa"/>
            <w:vAlign w:val="bottom"/>
          </w:tcPr>
          <w:p>
            <w:pPr>
              <w:spacing w:after="0"/>
              <w:rPr>
                <w:sz w:val="13"/>
                <w:szCs w:val="13"/>
                <w:color w:val="auto"/>
              </w:rPr>
            </w:pPr>
          </w:p>
        </w:tc>
        <w:tc>
          <w:tcPr>
            <w:tcW w:w="1100" w:type="dxa"/>
            <w:vAlign w:val="bottom"/>
          </w:tcPr>
          <w:p>
            <w:pPr>
              <w:jc w:val="right"/>
              <w:ind w:right="175"/>
              <w:spacing w:after="0" w:line="157" w:lineRule="exact"/>
              <w:rPr>
                <w:sz w:val="20"/>
                <w:szCs w:val="20"/>
                <w:color w:val="auto"/>
              </w:rPr>
            </w:pPr>
            <w:r>
              <w:rPr>
                <w:rFonts w:ascii="Arial" w:cs="Arial" w:eastAsia="Arial" w:hAnsi="Arial"/>
                <w:sz w:val="17"/>
                <w:szCs w:val="17"/>
                <w:b w:val="1"/>
                <w:bCs w:val="1"/>
                <w:color w:val="auto"/>
              </w:rPr>
              <w:t>August 4,</w:t>
            </w:r>
          </w:p>
        </w:tc>
        <w:tc>
          <w:tcPr>
            <w:tcW w:w="280" w:type="dxa"/>
            <w:vAlign w:val="bottom"/>
          </w:tcPr>
          <w:p>
            <w:pPr>
              <w:spacing w:after="0"/>
              <w:rPr>
                <w:sz w:val="13"/>
                <w:szCs w:val="13"/>
                <w:color w:val="auto"/>
              </w:rPr>
            </w:pPr>
          </w:p>
        </w:tc>
        <w:tc>
          <w:tcPr>
            <w:tcW w:w="1100" w:type="dxa"/>
            <w:vAlign w:val="bottom"/>
          </w:tcPr>
          <w:p>
            <w:pPr>
              <w:jc w:val="right"/>
              <w:ind w:right="195"/>
              <w:spacing w:after="0" w:line="157" w:lineRule="exact"/>
              <w:rPr>
                <w:sz w:val="20"/>
                <w:szCs w:val="20"/>
                <w:color w:val="auto"/>
              </w:rPr>
            </w:pPr>
            <w:r>
              <w:rPr>
                <w:rFonts w:ascii="Arial" w:cs="Arial" w:eastAsia="Arial" w:hAnsi="Arial"/>
                <w:sz w:val="17"/>
                <w:szCs w:val="17"/>
                <w:b w:val="1"/>
                <w:bCs w:val="1"/>
                <w:color w:val="auto"/>
              </w:rPr>
              <w:t>August 3,</w:t>
            </w:r>
          </w:p>
        </w:tc>
        <w:tc>
          <w:tcPr>
            <w:tcW w:w="280" w:type="dxa"/>
            <w:vAlign w:val="bottom"/>
          </w:tcPr>
          <w:p>
            <w:pPr>
              <w:spacing w:after="0"/>
              <w:rPr>
                <w:sz w:val="13"/>
                <w:szCs w:val="13"/>
                <w:color w:val="auto"/>
              </w:rPr>
            </w:pPr>
          </w:p>
        </w:tc>
        <w:tc>
          <w:tcPr>
            <w:tcW w:w="1040" w:type="dxa"/>
            <w:vAlign w:val="bottom"/>
          </w:tcPr>
          <w:p>
            <w:pPr>
              <w:jc w:val="right"/>
              <w:ind w:right="115"/>
              <w:spacing w:after="0" w:line="157" w:lineRule="exact"/>
              <w:rPr>
                <w:sz w:val="20"/>
                <w:szCs w:val="20"/>
                <w:color w:val="auto"/>
              </w:rPr>
            </w:pPr>
            <w:r>
              <w:rPr>
                <w:rFonts w:ascii="Arial" w:cs="Arial" w:eastAsia="Arial" w:hAnsi="Arial"/>
                <w:sz w:val="17"/>
                <w:szCs w:val="17"/>
                <w:b w:val="1"/>
                <w:bCs w:val="1"/>
                <w:color w:val="auto"/>
              </w:rPr>
              <w:t>August 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2019</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2018</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2019</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2018</w:t>
            </w:r>
          </w:p>
        </w:tc>
        <w:tc>
          <w:tcPr>
            <w:tcW w:w="0" w:type="dxa"/>
            <w:vAlign w:val="bottom"/>
          </w:tcPr>
          <w:p>
            <w:pPr>
              <w:spacing w:after="0"/>
              <w:rPr>
                <w:sz w:val="1"/>
                <w:szCs w:val="1"/>
                <w:color w:val="auto"/>
              </w:rPr>
            </w:pPr>
          </w:p>
        </w:tc>
      </w:tr>
      <w:tr>
        <w:trPr>
          <w:trHeight w:val="198"/>
        </w:trPr>
        <w:tc>
          <w:tcPr>
            <w:tcW w:w="270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Sales by Geography</w:t>
            </w:r>
          </w:p>
        </w:tc>
        <w:tc>
          <w:tcPr>
            <w:tcW w:w="1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80" w:type="dxa"/>
            <w:vAlign w:val="bottom"/>
            <w:gridSpan w:val="3"/>
          </w:tcPr>
          <w:p>
            <w:pPr>
              <w:jc w:val="right"/>
              <w:ind w:right="755"/>
              <w:spacing w:after="0"/>
              <w:rPr>
                <w:sz w:val="20"/>
                <w:szCs w:val="20"/>
                <w:color w:val="auto"/>
              </w:rPr>
            </w:pPr>
            <w:r>
              <w:rPr>
                <w:rFonts w:ascii="Arial" w:cs="Arial" w:eastAsia="Arial" w:hAnsi="Arial"/>
                <w:sz w:val="17"/>
                <w:szCs w:val="17"/>
                <w:color w:val="auto"/>
              </w:rPr>
              <w:t>($ in millions)</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2700" w:type="dxa"/>
            <w:vAlign w:val="bottom"/>
            <w:gridSpan w:val="2"/>
            <w:vMerge w:val="continue"/>
          </w:tcPr>
          <w:p>
            <w:pPr>
              <w:spacing w:after="0"/>
              <w:rPr>
                <w:sz w:val="15"/>
                <w:szCs w:val="15"/>
                <w:color w:val="auto"/>
              </w:rPr>
            </w:pPr>
          </w:p>
        </w:tc>
        <w:tc>
          <w:tcPr>
            <w:tcW w:w="1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United States</w:t>
            </w: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08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1,209</w:t>
            </w:r>
          </w:p>
        </w:tc>
        <w:tc>
          <w:tcPr>
            <w:tcW w:w="2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1,220</w:t>
            </w:r>
          </w:p>
        </w:tc>
        <w:tc>
          <w:tcPr>
            <w:tcW w:w="2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10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2,761</w:t>
            </w:r>
          </w:p>
        </w:tc>
        <w:tc>
          <w:tcPr>
            <w:tcW w:w="2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2,721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8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International</w:t>
            </w:r>
          </w:p>
        </w:tc>
        <w:tc>
          <w:tcPr>
            <w:tcW w:w="1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b w:val="1"/>
                <w:bCs w:val="1"/>
                <w:color w:val="auto"/>
              </w:rPr>
              <w:t>565</w:t>
            </w: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color w:val="auto"/>
              </w:rPr>
              <w:t>562</w:t>
            </w: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b w:val="1"/>
                <w:bCs w:val="1"/>
                <w:color w:val="auto"/>
              </w:rPr>
              <w:t>1,091</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1,086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68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Total sales</w:t>
            </w:r>
          </w:p>
        </w:tc>
        <w:tc>
          <w:tcPr>
            <w:tcW w:w="12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1,774</w:t>
            </w:r>
          </w:p>
        </w:tc>
        <w:tc>
          <w:tcPr>
            <w:tcW w:w="2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1,782</w:t>
            </w:r>
          </w:p>
        </w:tc>
        <w:tc>
          <w:tcPr>
            <w:tcW w:w="2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3,852</w:t>
            </w:r>
          </w:p>
        </w:tc>
        <w:tc>
          <w:tcPr>
            <w:tcW w:w="2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3,807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Liabilities</w:t>
      </w:r>
    </w:p>
    <w:p>
      <w:pPr>
        <w:spacing w:after="0" w:line="230"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Company sells gift cards which do not have expiration dates. Revenue from gift card sales is recorded when the gift cards are redeemed by customers. Breakage income is reported as part of sales. The table below presents the activity of our gift card liability balance: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492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in millions)</w:t>
            </w:r>
          </w:p>
        </w:tc>
      </w:tr>
      <w:tr>
        <w:trPr>
          <w:trHeight w:val="183"/>
        </w:trPr>
        <w:tc>
          <w:tcPr>
            <w:tcW w:w="20" w:type="dxa"/>
            <w:vAlign w:val="bottom"/>
          </w:tcPr>
          <w:p>
            <w:pPr>
              <w:spacing w:after="0"/>
              <w:rPr>
                <w:sz w:val="15"/>
                <w:szCs w:val="15"/>
                <w:color w:val="auto"/>
              </w:rPr>
            </w:pPr>
          </w:p>
        </w:tc>
        <w:tc>
          <w:tcPr>
            <w:tcW w:w="4920" w:type="dxa"/>
            <w:vAlign w:val="bottom"/>
          </w:tcPr>
          <w:p>
            <w:pPr>
              <w:spacing w:after="0" w:line="183" w:lineRule="exact"/>
              <w:rPr>
                <w:sz w:val="20"/>
                <w:szCs w:val="20"/>
                <w:color w:val="auto"/>
              </w:rPr>
            </w:pPr>
            <w:r>
              <w:rPr>
                <w:rFonts w:ascii="Arial" w:cs="Arial" w:eastAsia="Arial" w:hAnsi="Arial"/>
                <w:sz w:val="17"/>
                <w:szCs w:val="17"/>
                <w:color w:val="auto"/>
              </w:rPr>
              <w:t>Balance at February 3, 2019</w:t>
            </w:r>
          </w:p>
        </w:tc>
        <w:tc>
          <w:tcPr>
            <w:tcW w:w="3040" w:type="dxa"/>
            <w:vAlign w:val="bottom"/>
          </w:tcPr>
          <w:p>
            <w:pPr>
              <w:jc w:val="right"/>
              <w:ind w:right="395"/>
              <w:spacing w:after="0" w:line="183" w:lineRule="exact"/>
              <w:rPr>
                <w:sz w:val="20"/>
                <w:szCs w:val="20"/>
                <w:color w:val="auto"/>
              </w:rPr>
            </w:pPr>
            <w:r>
              <w:rPr>
                <w:rFonts w:ascii="Arial" w:cs="Arial" w:eastAsia="Arial" w:hAnsi="Arial"/>
                <w:sz w:val="17"/>
                <w:szCs w:val="17"/>
                <w:color w:val="auto"/>
              </w:rPr>
              <w:t>$</w:t>
            </w:r>
          </w:p>
        </w:tc>
        <w:tc>
          <w:tcPr>
            <w:tcW w:w="1080" w:type="dxa"/>
            <w:vAlign w:val="bottom"/>
          </w:tcPr>
          <w:p>
            <w:pPr>
              <w:jc w:val="right"/>
              <w:spacing w:after="0" w:line="183" w:lineRule="exact"/>
              <w:rPr>
                <w:sz w:val="20"/>
                <w:szCs w:val="20"/>
                <w:color w:val="auto"/>
              </w:rPr>
            </w:pPr>
            <w:r>
              <w:rPr>
                <w:rFonts w:ascii="Arial" w:cs="Arial" w:eastAsia="Arial" w:hAnsi="Arial"/>
                <w:sz w:val="17"/>
                <w:szCs w:val="17"/>
                <w:color w:val="auto"/>
              </w:rPr>
              <w:t>35</w:t>
            </w:r>
          </w:p>
        </w:tc>
      </w:tr>
      <w:tr>
        <w:trPr>
          <w:trHeight w:val="189"/>
        </w:trPr>
        <w:tc>
          <w:tcPr>
            <w:tcW w:w="20" w:type="dxa"/>
            <w:vAlign w:val="bottom"/>
          </w:tcPr>
          <w:p>
            <w:pPr>
              <w:spacing w:after="0"/>
              <w:rPr>
                <w:sz w:val="16"/>
                <w:szCs w:val="16"/>
                <w:color w:val="auto"/>
              </w:rPr>
            </w:pPr>
          </w:p>
        </w:tc>
        <w:tc>
          <w:tcPr>
            <w:tcW w:w="492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color w:val="auto"/>
              </w:rPr>
              <w:t>Redemptions</w:t>
            </w:r>
          </w:p>
        </w:tc>
        <w:tc>
          <w:tcPr>
            <w:tcW w:w="30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(47)</w:t>
            </w:r>
          </w:p>
        </w:tc>
      </w:tr>
      <w:tr>
        <w:trPr>
          <w:trHeight w:val="189"/>
        </w:trPr>
        <w:tc>
          <w:tcPr>
            <w:tcW w:w="20" w:type="dxa"/>
            <w:vAlign w:val="bottom"/>
          </w:tcPr>
          <w:p>
            <w:pPr>
              <w:spacing w:after="0"/>
              <w:rPr>
                <w:sz w:val="16"/>
                <w:szCs w:val="16"/>
                <w:color w:val="auto"/>
              </w:rPr>
            </w:pPr>
          </w:p>
        </w:tc>
        <w:tc>
          <w:tcPr>
            <w:tcW w:w="4920" w:type="dxa"/>
            <w:vAlign w:val="bottom"/>
          </w:tcPr>
          <w:p>
            <w:pPr>
              <w:ind w:left="200"/>
              <w:spacing w:after="0" w:line="189" w:lineRule="exact"/>
              <w:rPr>
                <w:sz w:val="20"/>
                <w:szCs w:val="20"/>
                <w:color w:val="auto"/>
              </w:rPr>
            </w:pPr>
            <w:r>
              <w:rPr>
                <w:rFonts w:ascii="Arial" w:cs="Arial" w:eastAsia="Arial" w:hAnsi="Arial"/>
                <w:sz w:val="17"/>
                <w:szCs w:val="17"/>
                <w:color w:val="auto"/>
              </w:rPr>
              <w:t>Breakage recognized in sales</w:t>
            </w:r>
          </w:p>
        </w:tc>
        <w:tc>
          <w:tcPr>
            <w:tcW w:w="304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(3)</w:t>
            </w:r>
          </w:p>
        </w:tc>
      </w:tr>
      <w:tr>
        <w:trPr>
          <w:trHeight w:val="189"/>
        </w:trPr>
        <w:tc>
          <w:tcPr>
            <w:tcW w:w="20" w:type="dxa"/>
            <w:vAlign w:val="bottom"/>
          </w:tcPr>
          <w:p>
            <w:pPr>
              <w:spacing w:after="0"/>
              <w:rPr>
                <w:sz w:val="16"/>
                <w:szCs w:val="16"/>
                <w:color w:val="auto"/>
              </w:rPr>
            </w:pPr>
          </w:p>
        </w:tc>
        <w:tc>
          <w:tcPr>
            <w:tcW w:w="4920" w:type="dxa"/>
            <w:vAlign w:val="bottom"/>
            <w:tcBorders>
              <w:bottom w:val="single" w:sz="8" w:color="auto"/>
            </w:tcBorders>
            <w:shd w:val="clear" w:color="auto" w:fill="CCEEFF"/>
          </w:tcPr>
          <w:p>
            <w:pPr>
              <w:ind w:left="200"/>
              <w:spacing w:after="0" w:line="189" w:lineRule="exact"/>
              <w:rPr>
                <w:sz w:val="20"/>
                <w:szCs w:val="20"/>
                <w:color w:val="auto"/>
              </w:rPr>
            </w:pPr>
            <w:r>
              <w:rPr>
                <w:rFonts w:ascii="Arial" w:cs="Arial" w:eastAsia="Arial" w:hAnsi="Arial"/>
                <w:sz w:val="17"/>
                <w:szCs w:val="17"/>
                <w:color w:val="auto"/>
              </w:rPr>
              <w:t>Activations</w:t>
            </w:r>
          </w:p>
        </w:tc>
        <w:tc>
          <w:tcPr>
            <w:tcW w:w="30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43</w:t>
            </w:r>
          </w:p>
        </w:tc>
      </w:tr>
      <w:tr>
        <w:trPr>
          <w:trHeight w:val="183"/>
        </w:trPr>
        <w:tc>
          <w:tcPr>
            <w:tcW w:w="20" w:type="dxa"/>
            <w:vAlign w:val="bottom"/>
            <w:tcBorders>
              <w:bottom w:val="single" w:sz="8" w:color="auto"/>
            </w:tcBorders>
          </w:tcPr>
          <w:p>
            <w:pPr>
              <w:spacing w:after="0"/>
              <w:rPr>
                <w:sz w:val="15"/>
                <w:szCs w:val="15"/>
                <w:color w:val="auto"/>
              </w:rPr>
            </w:pPr>
          </w:p>
        </w:tc>
        <w:tc>
          <w:tcPr>
            <w:tcW w:w="492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b w:val="1"/>
                <w:bCs w:val="1"/>
                <w:color w:val="auto"/>
              </w:rPr>
              <w:t>Balance at August 3, 2019</w:t>
            </w:r>
          </w:p>
        </w:tc>
        <w:tc>
          <w:tcPr>
            <w:tcW w:w="3040" w:type="dxa"/>
            <w:vAlign w:val="bottom"/>
            <w:tcBorders>
              <w:bottom w:val="single" w:sz="8" w:color="auto"/>
            </w:tcBorders>
          </w:tcPr>
          <w:p>
            <w:pPr>
              <w:jc w:val="right"/>
              <w:ind w:right="395"/>
              <w:spacing w:after="0" w:line="183" w:lineRule="exact"/>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28</w:t>
            </w:r>
          </w:p>
        </w:tc>
      </w:tr>
      <w:tr>
        <w:trPr>
          <w:trHeight w:val="20"/>
        </w:trPr>
        <w:tc>
          <w:tcPr>
            <w:tcW w:w="20" w:type="dxa"/>
            <w:vAlign w:val="bottom"/>
          </w:tcPr>
          <w:p>
            <w:pPr>
              <w:spacing w:after="0" w:line="20" w:lineRule="exact"/>
              <w:rPr>
                <w:sz w:val="1"/>
                <w:szCs w:val="1"/>
                <w:color w:val="auto"/>
              </w:rPr>
            </w:pPr>
          </w:p>
        </w:tc>
        <w:tc>
          <w:tcPr>
            <w:tcW w:w="4920" w:type="dxa"/>
            <w:vAlign w:val="bottom"/>
            <w:tcBorders>
              <w:bottom w:val="single" w:sz="8" w:color="auto"/>
            </w:tcBorders>
          </w:tcPr>
          <w:p>
            <w:pPr>
              <w:spacing w:after="0" w:line="20" w:lineRule="exact"/>
              <w:rPr>
                <w:sz w:val="1"/>
                <w:szCs w:val="1"/>
                <w:color w:val="auto"/>
              </w:rPr>
            </w:pPr>
          </w:p>
        </w:tc>
        <w:tc>
          <w:tcPr>
            <w:tcW w:w="30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Company elected not to disclose the information about remaining performance obligations since the amount of gift cards redeemed after 12 months is not significant.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Segment Information</w:t>
      </w:r>
    </w:p>
    <w:p>
      <w:pPr>
        <w:spacing w:after="0" w:line="23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Company has integrated all available shopping channels including stores, websites, apps, social channels, and catalogs. Store sales are primarily fulfilled from the store’s inventory but may also be shipped from any of our distribution centers or from a different store location if an item is not available at the original store. Direct-to-customer orders are primarily shipped to our customers through our distribution centers but may also be shipped from any store or a combination of our distribution centers and stores depending on the availability of particular items.</w:t>
      </w:r>
    </w:p>
    <w:p>
      <w:pPr>
        <w:spacing w:after="0" w:line="20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operating segments are identified according to how our business activities are managed and evaluated by our chief operating decision maker, our CEO. During 2018, the Company expanded into Asia and launched our digital channels across Singapore, Hong Kong, and Malaysia. During the first quarter of 2019, the Company changed its organizational and internal reporting structure in order to support an accelerated growth strategy for the region. We opened an Asian headquarters in Singapore and realigned our organization into three distinct geographic regions: Europe, Middle East and Africa (“EMEA”), Asia Pacific, and North America.</w:t>
      </w:r>
    </w:p>
    <w:p>
      <w:pPr>
        <w:spacing w:after="0" w:line="20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light of these changes, the Company has re-evaluated its operating segments. The Company has determined that it has three operating segments, North America, EMEA, and Asia Pacific. Our North America operating segment includes the results of the following banners operating in the U.S. and Canada: Foot Locker, Kids Foot Locker, Lady Foot Locker, Champs Sports, Footaction, and SIX:02, including each of their related e-commerce businesses, as well as our Eastbay business that includes internet, catalog, and team sales. Our EMEA operating segment includes the results of the following banners operating in Europe: Foot Locker, Runners Point, Sidestep, and Kids Foot Locker, including each of their related e-commerce businesses. Our Asia Pacific operating segment includes the results of Foot Locker and Kids Foot Locker and the related e-commerce businesses operating in Australia, New Zealand, and Asia. We have further aggregated these operating segments into one reportable segment based upon their shared customer base and similar economic characteristics.</w:t>
      </w:r>
    </w:p>
    <w:p>
      <w:pPr>
        <w:spacing w:after="0" w:line="207"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Company evaluates performance based on several factors, of which the primary financial measure is the banner’s financial results referred to as division profit. Division profit reflects income before income taxes, pension litigation charges, corporate expense, non-operating income, and net interest income.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3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3"/>
          </w:tcPr>
          <w:p>
            <w:pPr>
              <w:jc w:val="right"/>
              <w:ind w:right="315"/>
              <w:spacing w:after="0"/>
              <w:rPr>
                <w:sz w:val="20"/>
                <w:szCs w:val="20"/>
                <w:color w:val="auto"/>
              </w:rPr>
            </w:pPr>
            <w:r>
              <w:rPr>
                <w:rFonts w:ascii="Arial" w:cs="Arial" w:eastAsia="Arial" w:hAnsi="Arial"/>
                <w:sz w:val="17"/>
                <w:szCs w:val="17"/>
                <w:b w:val="1"/>
                <w:bCs w:val="1"/>
                <w:color w:val="auto"/>
              </w:rPr>
              <w:t>Thirteen weeks ended</w:t>
            </w:r>
          </w:p>
        </w:tc>
        <w:tc>
          <w:tcPr>
            <w:tcW w:w="26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3"/>
          </w:tcPr>
          <w:p>
            <w:pPr>
              <w:jc w:val="right"/>
              <w:ind w:right="155"/>
              <w:spacing w:after="0"/>
              <w:rPr>
                <w:sz w:val="20"/>
                <w:szCs w:val="20"/>
                <w:color w:val="auto"/>
              </w:rPr>
            </w:pPr>
            <w:r>
              <w:rPr>
                <w:rFonts w:ascii="Arial" w:cs="Arial" w:eastAsia="Arial" w:hAnsi="Arial"/>
                <w:sz w:val="17"/>
                <w:szCs w:val="17"/>
                <w:b w:val="1"/>
                <w:bCs w:val="1"/>
                <w:color w:val="auto"/>
              </w:rPr>
              <w:t>Twenty-six weeks ended</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40" w:type="dxa"/>
            <w:vAlign w:val="bottom"/>
          </w:tcPr>
          <w:p>
            <w:pPr>
              <w:jc w:val="right"/>
              <w:ind w:right="155"/>
              <w:spacing w:after="0" w:line="157" w:lineRule="exact"/>
              <w:rPr>
                <w:sz w:val="20"/>
                <w:szCs w:val="20"/>
                <w:color w:val="auto"/>
              </w:rPr>
            </w:pPr>
            <w:r>
              <w:rPr>
                <w:rFonts w:ascii="Arial" w:cs="Arial" w:eastAsia="Arial" w:hAnsi="Arial"/>
                <w:sz w:val="17"/>
                <w:szCs w:val="17"/>
                <w:b w:val="1"/>
                <w:bCs w:val="1"/>
                <w:color w:val="auto"/>
              </w:rPr>
              <w:t>August 3,</w:t>
            </w:r>
          </w:p>
        </w:tc>
        <w:tc>
          <w:tcPr>
            <w:tcW w:w="280" w:type="dxa"/>
            <w:vAlign w:val="bottom"/>
          </w:tcPr>
          <w:p>
            <w:pPr>
              <w:spacing w:after="0"/>
              <w:rPr>
                <w:sz w:val="13"/>
                <w:szCs w:val="13"/>
                <w:color w:val="auto"/>
              </w:rPr>
            </w:pPr>
          </w:p>
        </w:tc>
        <w:tc>
          <w:tcPr>
            <w:tcW w:w="1040" w:type="dxa"/>
            <w:vAlign w:val="bottom"/>
          </w:tcPr>
          <w:p>
            <w:pPr>
              <w:jc w:val="right"/>
              <w:ind w:right="155"/>
              <w:spacing w:after="0" w:line="157" w:lineRule="exact"/>
              <w:rPr>
                <w:sz w:val="20"/>
                <w:szCs w:val="20"/>
                <w:color w:val="auto"/>
              </w:rPr>
            </w:pPr>
            <w:r>
              <w:rPr>
                <w:rFonts w:ascii="Arial" w:cs="Arial" w:eastAsia="Arial" w:hAnsi="Arial"/>
                <w:sz w:val="17"/>
                <w:szCs w:val="17"/>
                <w:b w:val="1"/>
                <w:bCs w:val="1"/>
                <w:color w:val="auto"/>
              </w:rPr>
              <w:t>August 4,</w:t>
            </w:r>
          </w:p>
        </w:tc>
        <w:tc>
          <w:tcPr>
            <w:tcW w:w="260" w:type="dxa"/>
            <w:vAlign w:val="bottom"/>
          </w:tcPr>
          <w:p>
            <w:pPr>
              <w:spacing w:after="0"/>
              <w:rPr>
                <w:sz w:val="13"/>
                <w:szCs w:val="13"/>
                <w:color w:val="auto"/>
              </w:rPr>
            </w:pPr>
          </w:p>
        </w:tc>
        <w:tc>
          <w:tcPr>
            <w:tcW w:w="1060" w:type="dxa"/>
            <w:vAlign w:val="bottom"/>
          </w:tcPr>
          <w:p>
            <w:pPr>
              <w:jc w:val="right"/>
              <w:ind w:right="155"/>
              <w:spacing w:after="0" w:line="157" w:lineRule="exact"/>
              <w:rPr>
                <w:sz w:val="20"/>
                <w:szCs w:val="20"/>
                <w:color w:val="auto"/>
              </w:rPr>
            </w:pPr>
            <w:r>
              <w:rPr>
                <w:rFonts w:ascii="Arial" w:cs="Arial" w:eastAsia="Arial" w:hAnsi="Arial"/>
                <w:sz w:val="17"/>
                <w:szCs w:val="17"/>
                <w:b w:val="1"/>
                <w:bCs w:val="1"/>
                <w:color w:val="auto"/>
              </w:rPr>
              <w:t>August 3,</w:t>
            </w:r>
          </w:p>
        </w:tc>
        <w:tc>
          <w:tcPr>
            <w:tcW w:w="280" w:type="dxa"/>
            <w:vAlign w:val="bottom"/>
          </w:tcPr>
          <w:p>
            <w:pPr>
              <w:spacing w:after="0"/>
              <w:rPr>
                <w:sz w:val="13"/>
                <w:szCs w:val="13"/>
                <w:color w:val="auto"/>
              </w:rPr>
            </w:pPr>
          </w:p>
        </w:tc>
        <w:tc>
          <w:tcPr>
            <w:tcW w:w="980" w:type="dxa"/>
            <w:vAlign w:val="bottom"/>
          </w:tcPr>
          <w:p>
            <w:pPr>
              <w:jc w:val="right"/>
              <w:ind w:right="95"/>
              <w:spacing w:after="0" w:line="157" w:lineRule="exact"/>
              <w:rPr>
                <w:sz w:val="20"/>
                <w:szCs w:val="20"/>
                <w:color w:val="auto"/>
              </w:rPr>
            </w:pPr>
            <w:r>
              <w:rPr>
                <w:rFonts w:ascii="Arial" w:cs="Arial" w:eastAsia="Arial" w:hAnsi="Arial"/>
                <w:sz w:val="17"/>
                <w:szCs w:val="17"/>
                <w:b w:val="1"/>
                <w:bCs w:val="1"/>
                <w:color w:val="auto"/>
              </w:rPr>
              <w:t>August 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2019</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2018</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2019</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2018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60" w:type="dxa"/>
            <w:vAlign w:val="bottom"/>
            <w:gridSpan w:val="3"/>
          </w:tcPr>
          <w:p>
            <w:pPr>
              <w:jc w:val="right"/>
              <w:ind w:right="695"/>
              <w:spacing w:after="0" w:line="183" w:lineRule="exact"/>
              <w:rPr>
                <w:sz w:val="20"/>
                <w:szCs w:val="20"/>
                <w:color w:val="auto"/>
              </w:rPr>
            </w:pPr>
            <w:r>
              <w:rPr>
                <w:rFonts w:ascii="Arial" w:cs="Arial" w:eastAsia="Arial" w:hAnsi="Arial"/>
                <w:sz w:val="17"/>
                <w:szCs w:val="17"/>
                <w:color w:val="auto"/>
              </w:rPr>
              <w:t>($ in millions)</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8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Sales</w:t>
            </w:r>
          </w:p>
        </w:tc>
        <w:tc>
          <w:tcPr>
            <w:tcW w:w="7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04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1,774</w:t>
            </w:r>
          </w:p>
        </w:tc>
        <w:tc>
          <w:tcPr>
            <w:tcW w:w="2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1,782</w:t>
            </w:r>
          </w:p>
        </w:tc>
        <w:tc>
          <w:tcPr>
            <w:tcW w:w="2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06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3,852</w:t>
            </w:r>
          </w:p>
        </w:tc>
        <w:tc>
          <w:tcPr>
            <w:tcW w:w="2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3,807</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3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38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Operating Results</w:t>
            </w:r>
          </w:p>
        </w:tc>
        <w:tc>
          <w:tcPr>
            <w:tcW w:w="7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80" w:type="dxa"/>
            <w:vAlign w:val="bottom"/>
          </w:tcPr>
          <w:p>
            <w:pPr>
              <w:spacing w:after="0" w:line="189" w:lineRule="exact"/>
              <w:rPr>
                <w:sz w:val="20"/>
                <w:szCs w:val="20"/>
                <w:color w:val="auto"/>
              </w:rPr>
            </w:pPr>
            <w:r>
              <w:rPr>
                <w:rFonts w:ascii="Arial" w:cs="Arial" w:eastAsia="Arial" w:hAnsi="Arial"/>
                <w:sz w:val="17"/>
                <w:szCs w:val="17"/>
                <w:color w:val="auto"/>
              </w:rPr>
              <w:t>Division profit</w:t>
            </w:r>
          </w:p>
        </w:tc>
        <w:tc>
          <w:tcPr>
            <w:tcW w:w="720" w:type="dxa"/>
            <w:vAlign w:val="bottom"/>
          </w:tcPr>
          <w:p>
            <w:pPr>
              <w:spacing w:after="0"/>
              <w:rPr>
                <w:sz w:val="16"/>
                <w:szCs w:val="16"/>
                <w:color w:val="auto"/>
              </w:rPr>
            </w:pPr>
          </w:p>
        </w:tc>
        <w:tc>
          <w:tcPr>
            <w:tcW w:w="1040" w:type="dxa"/>
            <w:vAlign w:val="bottom"/>
          </w:tcPr>
          <w:p>
            <w:pPr>
              <w:jc w:val="right"/>
              <w:ind w:right="35"/>
              <w:spacing w:after="0" w:line="189" w:lineRule="exact"/>
              <w:rPr>
                <w:sz w:val="20"/>
                <w:szCs w:val="20"/>
                <w:color w:val="auto"/>
              </w:rPr>
            </w:pPr>
            <w:r>
              <w:rPr>
                <w:rFonts w:ascii="Arial" w:cs="Arial" w:eastAsia="Arial" w:hAnsi="Arial"/>
                <w:sz w:val="17"/>
                <w:szCs w:val="17"/>
                <w:b w:val="1"/>
                <w:bCs w:val="1"/>
                <w:color w:val="auto"/>
              </w:rPr>
              <w:t>115</w:t>
            </w:r>
          </w:p>
        </w:tc>
        <w:tc>
          <w:tcPr>
            <w:tcW w:w="280" w:type="dxa"/>
            <w:vAlign w:val="bottom"/>
          </w:tcPr>
          <w:p>
            <w:pPr>
              <w:spacing w:after="0"/>
              <w:rPr>
                <w:sz w:val="16"/>
                <w:szCs w:val="16"/>
                <w:color w:val="auto"/>
              </w:rPr>
            </w:pPr>
          </w:p>
        </w:tc>
        <w:tc>
          <w:tcPr>
            <w:tcW w:w="1040" w:type="dxa"/>
            <w:vAlign w:val="bottom"/>
          </w:tcPr>
          <w:p>
            <w:pPr>
              <w:jc w:val="right"/>
              <w:ind w:right="55"/>
              <w:spacing w:after="0" w:line="189" w:lineRule="exact"/>
              <w:rPr>
                <w:sz w:val="20"/>
                <w:szCs w:val="20"/>
                <w:color w:val="auto"/>
              </w:rPr>
            </w:pPr>
            <w:r>
              <w:rPr>
                <w:rFonts w:ascii="Arial" w:cs="Arial" w:eastAsia="Arial" w:hAnsi="Arial"/>
                <w:sz w:val="17"/>
                <w:szCs w:val="17"/>
                <w:color w:val="auto"/>
              </w:rPr>
              <w:t>131</w:t>
            </w:r>
          </w:p>
        </w:tc>
        <w:tc>
          <w:tcPr>
            <w:tcW w:w="260" w:type="dxa"/>
            <w:vAlign w:val="bottom"/>
          </w:tcPr>
          <w:p>
            <w:pPr>
              <w:spacing w:after="0"/>
              <w:rPr>
                <w:sz w:val="16"/>
                <w:szCs w:val="16"/>
                <w:color w:val="auto"/>
              </w:rPr>
            </w:pPr>
          </w:p>
        </w:tc>
        <w:tc>
          <w:tcPr>
            <w:tcW w:w="106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365</w:t>
            </w:r>
          </w:p>
        </w:tc>
        <w:tc>
          <w:tcPr>
            <w:tcW w:w="28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7"/>
                <w:szCs w:val="17"/>
                <w:color w:val="auto"/>
              </w:rPr>
              <w:t>378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 xml:space="preserve">Less: Litigation and other charges </w:t>
            </w:r>
            <w:r>
              <w:rPr>
                <w:rFonts w:ascii="Arial" w:cs="Arial" w:eastAsia="Arial" w:hAnsi="Arial"/>
                <w:sz w:val="12"/>
                <w:szCs w:val="12"/>
                <w:color w:val="auto"/>
              </w:rPr>
              <w:t>(1)</w:t>
            </w:r>
          </w:p>
        </w:tc>
        <w:tc>
          <w:tcPr>
            <w:tcW w:w="7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14</w:t>
            </w: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3</w:t>
            </w: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15</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8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 xml:space="preserve">Less: Corporate expense </w:t>
            </w:r>
            <w:r>
              <w:rPr>
                <w:rFonts w:ascii="Arial" w:cs="Arial" w:eastAsia="Arial" w:hAnsi="Arial"/>
                <w:sz w:val="12"/>
                <w:szCs w:val="12"/>
                <w:color w:val="auto"/>
              </w:rPr>
              <w:t>(2)</w:t>
            </w:r>
          </w:p>
        </w:tc>
        <w:tc>
          <w:tcPr>
            <w:tcW w:w="7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b w:val="1"/>
                <w:bCs w:val="1"/>
                <w:color w:val="auto"/>
              </w:rPr>
              <w:t>20</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color w:val="auto"/>
              </w:rPr>
              <w:t>16</w:t>
            </w: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b w:val="1"/>
                <w:bCs w:val="1"/>
                <w:color w:val="auto"/>
              </w:rPr>
              <w:t>41</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3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Income from operations</w:t>
            </w:r>
          </w:p>
        </w:tc>
        <w:tc>
          <w:tcPr>
            <w:tcW w:w="7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81</w:t>
            </w: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112</w:t>
            </w: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309</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336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80" w:type="dxa"/>
            <w:vAlign w:val="bottom"/>
          </w:tcPr>
          <w:p>
            <w:pPr>
              <w:spacing w:after="0" w:line="189" w:lineRule="exact"/>
              <w:rPr>
                <w:sz w:val="20"/>
                <w:szCs w:val="20"/>
                <w:color w:val="auto"/>
              </w:rPr>
            </w:pPr>
            <w:r>
              <w:rPr>
                <w:rFonts w:ascii="Arial" w:cs="Arial" w:eastAsia="Arial" w:hAnsi="Arial"/>
                <w:sz w:val="17"/>
                <w:szCs w:val="17"/>
                <w:color w:val="auto"/>
              </w:rPr>
              <w:t>Interest income, net</w:t>
            </w:r>
          </w:p>
        </w:tc>
        <w:tc>
          <w:tcPr>
            <w:tcW w:w="720" w:type="dxa"/>
            <w:vAlign w:val="bottom"/>
          </w:tcPr>
          <w:p>
            <w:pPr>
              <w:spacing w:after="0"/>
              <w:rPr>
                <w:sz w:val="16"/>
                <w:szCs w:val="16"/>
                <w:color w:val="auto"/>
              </w:rPr>
            </w:pPr>
          </w:p>
        </w:tc>
        <w:tc>
          <w:tcPr>
            <w:tcW w:w="1040" w:type="dxa"/>
            <w:vAlign w:val="bottom"/>
          </w:tcPr>
          <w:p>
            <w:pPr>
              <w:jc w:val="right"/>
              <w:ind w:right="35"/>
              <w:spacing w:after="0" w:line="189" w:lineRule="exact"/>
              <w:rPr>
                <w:sz w:val="20"/>
                <w:szCs w:val="20"/>
                <w:color w:val="auto"/>
              </w:rPr>
            </w:pPr>
            <w:r>
              <w:rPr>
                <w:rFonts w:ascii="Arial" w:cs="Arial" w:eastAsia="Arial" w:hAnsi="Arial"/>
                <w:sz w:val="17"/>
                <w:szCs w:val="17"/>
                <w:b w:val="1"/>
                <w:bCs w:val="1"/>
                <w:color w:val="auto"/>
              </w:rPr>
              <w:t>2</w:t>
            </w:r>
          </w:p>
        </w:tc>
        <w:tc>
          <w:tcPr>
            <w:tcW w:w="280" w:type="dxa"/>
            <w:vAlign w:val="bottom"/>
          </w:tcPr>
          <w:p>
            <w:pPr>
              <w:spacing w:after="0"/>
              <w:rPr>
                <w:sz w:val="16"/>
                <w:szCs w:val="16"/>
                <w:color w:val="auto"/>
              </w:rPr>
            </w:pPr>
          </w:p>
        </w:tc>
        <w:tc>
          <w:tcPr>
            <w:tcW w:w="1040" w:type="dxa"/>
            <w:vAlign w:val="bottom"/>
          </w:tcPr>
          <w:p>
            <w:pPr>
              <w:jc w:val="right"/>
              <w:ind w:right="55"/>
              <w:spacing w:after="0" w:line="189" w:lineRule="exact"/>
              <w:rPr>
                <w:sz w:val="20"/>
                <w:szCs w:val="20"/>
                <w:color w:val="auto"/>
              </w:rPr>
            </w:pPr>
            <w:r>
              <w:rPr>
                <w:rFonts w:ascii="Arial" w:cs="Arial" w:eastAsia="Arial" w:hAnsi="Arial"/>
                <w:sz w:val="17"/>
                <w:szCs w:val="17"/>
                <w:color w:val="auto"/>
              </w:rPr>
              <w:t>1</w:t>
            </w:r>
          </w:p>
        </w:tc>
        <w:tc>
          <w:tcPr>
            <w:tcW w:w="260" w:type="dxa"/>
            <w:vAlign w:val="bottom"/>
          </w:tcPr>
          <w:p>
            <w:pPr>
              <w:spacing w:after="0"/>
              <w:rPr>
                <w:sz w:val="16"/>
                <w:szCs w:val="16"/>
                <w:color w:val="auto"/>
              </w:rPr>
            </w:pPr>
          </w:p>
        </w:tc>
        <w:tc>
          <w:tcPr>
            <w:tcW w:w="106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6</w:t>
            </w:r>
          </w:p>
        </w:tc>
        <w:tc>
          <w:tcPr>
            <w:tcW w:w="28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8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Other income</w:t>
            </w:r>
          </w:p>
        </w:tc>
        <w:tc>
          <w:tcPr>
            <w:tcW w:w="7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2</w:t>
            </w:r>
          </w:p>
        </w:tc>
        <w:tc>
          <w:tcPr>
            <w:tcW w:w="28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2</w:t>
            </w:r>
          </w:p>
        </w:tc>
        <w:tc>
          <w:tcPr>
            <w:tcW w:w="26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4</w:t>
            </w: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338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Income before income taxes</w:t>
            </w:r>
          </w:p>
        </w:tc>
        <w:tc>
          <w:tcPr>
            <w:tcW w:w="7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b w:val="1"/>
                <w:bCs w:val="1"/>
                <w:color w:val="auto"/>
              </w:rPr>
              <w:t>85</w:t>
            </w:r>
          </w:p>
        </w:tc>
        <w:tc>
          <w:tcPr>
            <w:tcW w:w="2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color w:val="auto"/>
              </w:rPr>
              <w:t>115</w:t>
            </w:r>
          </w:p>
        </w:tc>
        <w:tc>
          <w:tcPr>
            <w:tcW w:w="2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06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b w:val="1"/>
                <w:bCs w:val="1"/>
                <w:color w:val="auto"/>
              </w:rPr>
              <w:t>319</w:t>
            </w:r>
          </w:p>
        </w:tc>
        <w:tc>
          <w:tcPr>
            <w:tcW w:w="2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344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190" w:lineRule="exact"/>
        <w:rPr>
          <w:sz w:val="20"/>
          <w:szCs w:val="20"/>
          <w:color w:val="auto"/>
        </w:rPr>
      </w:pPr>
    </w:p>
    <w:p>
      <w:pPr>
        <w:jc w:val="both"/>
        <w:ind w:left="340" w:hanging="331"/>
        <w:spacing w:after="0" w:line="245"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Company recorded pre-tax charges of $1 million and $3 million for the thirteen weeks ended August 3, 2019 and August 4, 2018, respectively, related to a pension litigation matter and related plan reformation. For the twenty-six weeks ended August 3, 2019 and August 4, 2018, the Company recorded pre-tax charges of $2 million and $15 million, respectively. The charges in the current periods reflect professional fees in connection with the plan reformation. The prior year charges reflected adjustments to the value of the judgment and interest that continued to accrue, as required by the provisions of the required plan reformation.</w:t>
      </w:r>
    </w:p>
    <w:p>
      <w:pPr>
        <w:spacing w:after="0" w:line="96" w:lineRule="exact"/>
        <w:rPr>
          <w:rFonts w:ascii="Arial" w:cs="Arial" w:eastAsia="Arial" w:hAnsi="Arial"/>
          <w:sz w:val="14"/>
          <w:szCs w:val="14"/>
          <w:color w:val="auto"/>
        </w:rPr>
      </w:pPr>
    </w:p>
    <w:p>
      <w:pPr>
        <w:ind w:left="340"/>
        <w:spacing w:after="0" w:line="258" w:lineRule="auto"/>
        <w:rPr>
          <w:rFonts w:ascii="Arial" w:cs="Arial" w:eastAsia="Arial" w:hAnsi="Arial"/>
          <w:sz w:val="14"/>
          <w:szCs w:val="14"/>
          <w:color w:val="auto"/>
        </w:rPr>
      </w:pPr>
      <w:r>
        <w:rPr>
          <w:rFonts w:ascii="Arial" w:cs="Arial" w:eastAsia="Arial" w:hAnsi="Arial"/>
          <w:sz w:val="14"/>
          <w:szCs w:val="14"/>
          <w:color w:val="auto"/>
        </w:rPr>
        <w:t>For the thirteen weeks ended August 3, 2019, the Company incurred $13 million of lease termination costs related to the closure of certain of its SIX:02 locations.</w:t>
      </w:r>
    </w:p>
    <w:p>
      <w:pPr>
        <w:spacing w:after="0" w:line="45" w:lineRule="exact"/>
        <w:rPr>
          <w:rFonts w:ascii="Arial" w:cs="Arial" w:eastAsia="Arial" w:hAnsi="Arial"/>
          <w:sz w:val="14"/>
          <w:szCs w:val="14"/>
          <w:color w:val="auto"/>
        </w:rPr>
      </w:pPr>
    </w:p>
    <w:p>
      <w:pPr>
        <w:jc w:val="both"/>
        <w:ind w:left="340" w:right="20" w:hanging="331"/>
        <w:spacing w:after="0" w:line="250"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Corporate expense consists of unallocated selling, general and administrative expenses as well as depreciation and amortization related to the Company’s corporate headquarters, centrally managed departments, unallocated insurance and benefit programs, certain foreign exchange transaction gains and losses, and other items.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Cash, Cash Equivalents, and Restricted Cash</w:t>
      </w:r>
    </w:p>
    <w:p>
      <w:pPr>
        <w:spacing w:after="0" w:line="234"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following table provides a reconciliation of cash and cash equivalents, as reported on our condensed consolidated balance sheets, to cash, cash equivalents, and restricted cash, as reported on our condensed consolidated statements of cash flows.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40" w:type="dxa"/>
            <w:vAlign w:val="bottom"/>
          </w:tcPr>
          <w:p>
            <w:pPr>
              <w:jc w:val="right"/>
              <w:ind w:right="295"/>
              <w:spacing w:after="0"/>
              <w:rPr>
                <w:sz w:val="20"/>
                <w:szCs w:val="20"/>
                <w:color w:val="auto"/>
              </w:rPr>
            </w:pPr>
            <w:r>
              <w:rPr>
                <w:rFonts w:ascii="Arial" w:cs="Arial" w:eastAsia="Arial" w:hAnsi="Arial"/>
                <w:sz w:val="17"/>
                <w:szCs w:val="17"/>
                <w:b w:val="1"/>
                <w:bCs w:val="1"/>
                <w:color w:val="auto"/>
              </w:rPr>
              <w:t>August 3,</w:t>
            </w:r>
          </w:p>
        </w:tc>
        <w:tc>
          <w:tcPr>
            <w:tcW w:w="280" w:type="dxa"/>
            <w:vAlign w:val="bottom"/>
          </w:tcPr>
          <w:p>
            <w:pPr>
              <w:spacing w:after="0"/>
              <w:rPr>
                <w:sz w:val="16"/>
                <w:szCs w:val="16"/>
                <w:color w:val="auto"/>
              </w:rPr>
            </w:pPr>
          </w:p>
        </w:tc>
        <w:tc>
          <w:tcPr>
            <w:tcW w:w="1300" w:type="dxa"/>
            <w:vAlign w:val="bottom"/>
          </w:tcPr>
          <w:p>
            <w:pPr>
              <w:jc w:val="center"/>
              <w:ind w:right="155"/>
              <w:spacing w:after="0"/>
              <w:rPr>
                <w:sz w:val="20"/>
                <w:szCs w:val="20"/>
                <w:color w:val="auto"/>
              </w:rPr>
            </w:pPr>
            <w:r>
              <w:rPr>
                <w:rFonts w:ascii="Arial" w:cs="Arial" w:eastAsia="Arial" w:hAnsi="Arial"/>
                <w:sz w:val="17"/>
                <w:szCs w:val="17"/>
                <w:b w:val="1"/>
                <w:bCs w:val="1"/>
                <w:color w:val="auto"/>
              </w:rPr>
              <w:t>August 4,</w:t>
            </w:r>
          </w:p>
        </w:tc>
        <w:tc>
          <w:tcPr>
            <w:tcW w:w="300" w:type="dxa"/>
            <w:vAlign w:val="bottom"/>
          </w:tcPr>
          <w:p>
            <w:pPr>
              <w:spacing w:after="0"/>
              <w:rPr>
                <w:sz w:val="16"/>
                <w:szCs w:val="16"/>
                <w:color w:val="auto"/>
              </w:rPr>
            </w:pPr>
          </w:p>
        </w:tc>
        <w:tc>
          <w:tcPr>
            <w:tcW w:w="1180" w:type="dxa"/>
            <w:vAlign w:val="bottom"/>
          </w:tcPr>
          <w:p>
            <w:pPr>
              <w:jc w:val="right"/>
              <w:ind w:right="115"/>
              <w:spacing w:after="0"/>
              <w:rPr>
                <w:sz w:val="20"/>
                <w:szCs w:val="20"/>
                <w:color w:val="auto"/>
              </w:rPr>
            </w:pPr>
            <w:r>
              <w:rPr>
                <w:rFonts w:ascii="Arial" w:cs="Arial" w:eastAsia="Arial" w:hAnsi="Arial"/>
                <w:sz w:val="17"/>
                <w:szCs w:val="17"/>
                <w:b w:val="1"/>
                <w:bCs w:val="1"/>
                <w:color w:val="auto"/>
              </w:rPr>
              <w:t>February 2,</w:t>
            </w:r>
          </w:p>
        </w:tc>
      </w:tr>
      <w:tr>
        <w:trPr>
          <w:trHeight w:val="215"/>
        </w:trPr>
        <w:tc>
          <w:tcPr>
            <w:tcW w:w="20" w:type="dxa"/>
            <w:vAlign w:val="bottom"/>
          </w:tcPr>
          <w:p>
            <w:pPr>
              <w:spacing w:after="0"/>
              <w:rPr>
                <w:sz w:val="18"/>
                <w:szCs w:val="18"/>
                <w:color w:val="auto"/>
              </w:rPr>
            </w:pPr>
          </w:p>
        </w:tc>
        <w:tc>
          <w:tcPr>
            <w:tcW w:w="42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95"/>
              <w:spacing w:after="0"/>
              <w:rPr>
                <w:sz w:val="20"/>
                <w:szCs w:val="20"/>
                <w:color w:val="auto"/>
              </w:rPr>
            </w:pPr>
            <w:r>
              <w:rPr>
                <w:rFonts w:ascii="Arial" w:cs="Arial" w:eastAsia="Arial" w:hAnsi="Arial"/>
                <w:sz w:val="17"/>
                <w:szCs w:val="17"/>
                <w:b w:val="1"/>
                <w:bCs w:val="1"/>
                <w:color w:val="auto"/>
              </w:rPr>
              <w:t>2019</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55"/>
              <w:spacing w:after="0"/>
              <w:rPr>
                <w:sz w:val="20"/>
                <w:szCs w:val="20"/>
                <w:color w:val="auto"/>
              </w:rPr>
            </w:pPr>
            <w:r>
              <w:rPr>
                <w:rFonts w:ascii="Arial" w:cs="Arial" w:eastAsia="Arial" w:hAnsi="Arial"/>
                <w:sz w:val="17"/>
                <w:szCs w:val="17"/>
                <w:b w:val="1"/>
                <w:bCs w:val="1"/>
                <w:color w:val="auto"/>
              </w:rPr>
              <w:t>2018</w:t>
            </w: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2019</w:t>
            </w:r>
          </w:p>
        </w:tc>
      </w:tr>
      <w:tr>
        <w:trPr>
          <w:trHeight w:val="183"/>
        </w:trPr>
        <w:tc>
          <w:tcPr>
            <w:tcW w:w="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center"/>
              <w:ind w:right="155"/>
              <w:spacing w:after="0" w:line="183" w:lineRule="exact"/>
              <w:rPr>
                <w:sz w:val="20"/>
                <w:szCs w:val="20"/>
                <w:color w:val="auto"/>
              </w:rPr>
            </w:pPr>
            <w:r>
              <w:rPr>
                <w:rFonts w:ascii="Arial" w:cs="Arial" w:eastAsia="Arial" w:hAnsi="Arial"/>
                <w:sz w:val="17"/>
                <w:szCs w:val="17"/>
                <w:color w:val="auto"/>
              </w:rPr>
              <w:t>($ in millions)</w:t>
            </w: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42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Cash and cash equivalents</w:t>
            </w:r>
          </w:p>
        </w:tc>
        <w:tc>
          <w:tcPr>
            <w:tcW w:w="50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b w:val="1"/>
                <w:bCs w:val="1"/>
                <w:color w:val="auto"/>
              </w:rPr>
              <w:t>$</w:t>
            </w:r>
          </w:p>
        </w:tc>
        <w:tc>
          <w:tcPr>
            <w:tcW w:w="124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939</w:t>
            </w:r>
          </w:p>
        </w:tc>
        <w:tc>
          <w:tcPr>
            <w:tcW w:w="2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950</w:t>
            </w:r>
          </w:p>
        </w:tc>
        <w:tc>
          <w:tcPr>
            <w:tcW w:w="3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891</w:t>
            </w:r>
          </w:p>
        </w:tc>
      </w:tr>
      <w:tr>
        <w:trPr>
          <w:trHeight w:val="189"/>
        </w:trPr>
        <w:tc>
          <w:tcPr>
            <w:tcW w:w="20" w:type="dxa"/>
            <w:vAlign w:val="bottom"/>
          </w:tcPr>
          <w:p>
            <w:pPr>
              <w:spacing w:after="0"/>
              <w:rPr>
                <w:sz w:val="16"/>
                <w:szCs w:val="16"/>
                <w:color w:val="auto"/>
              </w:rPr>
            </w:pPr>
          </w:p>
        </w:tc>
        <w:tc>
          <w:tcPr>
            <w:tcW w:w="4240" w:type="dxa"/>
            <w:vAlign w:val="bottom"/>
          </w:tcPr>
          <w:p>
            <w:pPr>
              <w:spacing w:after="0" w:line="189" w:lineRule="exact"/>
              <w:rPr>
                <w:sz w:val="20"/>
                <w:szCs w:val="20"/>
                <w:color w:val="auto"/>
              </w:rPr>
            </w:pPr>
            <w:r>
              <w:rPr>
                <w:rFonts w:ascii="Arial" w:cs="Arial" w:eastAsia="Arial" w:hAnsi="Arial"/>
                <w:sz w:val="17"/>
                <w:szCs w:val="17"/>
                <w:color w:val="auto"/>
              </w:rPr>
              <w:t>Restricted cash included in other current assets</w:t>
            </w:r>
          </w:p>
        </w:tc>
        <w:tc>
          <w:tcPr>
            <w:tcW w:w="500" w:type="dxa"/>
            <w:vAlign w:val="bottom"/>
          </w:tcPr>
          <w:p>
            <w:pPr>
              <w:spacing w:after="0"/>
              <w:rPr>
                <w:sz w:val="16"/>
                <w:szCs w:val="16"/>
                <w:color w:val="auto"/>
              </w:rPr>
            </w:pPr>
          </w:p>
        </w:tc>
        <w:tc>
          <w:tcPr>
            <w:tcW w:w="124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5</w:t>
            </w:r>
          </w:p>
        </w:tc>
        <w:tc>
          <w:tcPr>
            <w:tcW w:w="280" w:type="dxa"/>
            <w:vAlign w:val="bottom"/>
          </w:tcPr>
          <w:p>
            <w:pPr>
              <w:spacing w:after="0"/>
              <w:rPr>
                <w:sz w:val="16"/>
                <w:szCs w:val="16"/>
                <w:color w:val="auto"/>
              </w:rPr>
            </w:pPr>
          </w:p>
        </w:tc>
        <w:tc>
          <w:tcPr>
            <w:tcW w:w="1300" w:type="dxa"/>
            <w:vAlign w:val="bottom"/>
          </w:tcPr>
          <w:p>
            <w:pPr>
              <w:jc w:val="right"/>
              <w:ind w:right="55"/>
              <w:spacing w:after="0" w:line="189" w:lineRule="exact"/>
              <w:rPr>
                <w:sz w:val="20"/>
                <w:szCs w:val="20"/>
                <w:color w:val="auto"/>
              </w:rPr>
            </w:pPr>
            <w:r>
              <w:rPr>
                <w:rFonts w:ascii="Arial" w:cs="Arial" w:eastAsia="Arial" w:hAnsi="Arial"/>
                <w:sz w:val="17"/>
                <w:szCs w:val="17"/>
                <w:color w:val="auto"/>
              </w:rPr>
              <w:t>1</w:t>
            </w:r>
          </w:p>
        </w:tc>
        <w:tc>
          <w:tcPr>
            <w:tcW w:w="30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Arial" w:cs="Arial" w:eastAsia="Arial" w:hAnsi="Arial"/>
                <w:sz w:val="17"/>
                <w:szCs w:val="17"/>
                <w:color w:val="auto"/>
              </w:rPr>
              <w:t>59</w:t>
            </w:r>
          </w:p>
        </w:tc>
      </w:tr>
      <w:tr>
        <w:trPr>
          <w:trHeight w:val="189"/>
        </w:trPr>
        <w:tc>
          <w:tcPr>
            <w:tcW w:w="20" w:type="dxa"/>
            <w:vAlign w:val="bottom"/>
          </w:tcPr>
          <w:p>
            <w:pPr>
              <w:spacing w:after="0"/>
              <w:rPr>
                <w:sz w:val="16"/>
                <w:szCs w:val="16"/>
                <w:color w:val="auto"/>
              </w:rPr>
            </w:pPr>
          </w:p>
        </w:tc>
        <w:tc>
          <w:tcPr>
            <w:tcW w:w="424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Restricted cash included in other non-current assets</w:t>
            </w:r>
          </w:p>
        </w:tc>
        <w:tc>
          <w:tcPr>
            <w:tcW w:w="5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30</w:t>
            </w:r>
          </w:p>
        </w:tc>
        <w:tc>
          <w:tcPr>
            <w:tcW w:w="28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88</w:t>
            </w:r>
          </w:p>
        </w:tc>
        <w:tc>
          <w:tcPr>
            <w:tcW w:w="30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31</w:t>
            </w:r>
          </w:p>
        </w:tc>
      </w:tr>
      <w:tr>
        <w:trPr>
          <w:trHeight w:val="183"/>
        </w:trPr>
        <w:tc>
          <w:tcPr>
            <w:tcW w:w="20" w:type="dxa"/>
            <w:vAlign w:val="bottom"/>
            <w:tcBorders>
              <w:bottom w:val="single" w:sz="8" w:color="auto"/>
            </w:tcBorders>
          </w:tcPr>
          <w:p>
            <w:pPr>
              <w:spacing w:after="0"/>
              <w:rPr>
                <w:sz w:val="15"/>
                <w:szCs w:val="15"/>
                <w:color w:val="auto"/>
              </w:rPr>
            </w:pPr>
          </w:p>
        </w:tc>
        <w:tc>
          <w:tcPr>
            <w:tcW w:w="424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Cash, cash equivalents, and restricted cash</w:t>
            </w:r>
          </w:p>
        </w:tc>
        <w:tc>
          <w:tcPr>
            <w:tcW w:w="500" w:type="dxa"/>
            <w:vAlign w:val="bottom"/>
            <w:tcBorders>
              <w:bottom w:val="single" w:sz="8" w:color="auto"/>
            </w:tcBorders>
          </w:tcPr>
          <w:p>
            <w:pPr>
              <w:jc w:val="right"/>
              <w:ind w:right="15"/>
              <w:spacing w:after="0" w:line="183" w:lineRule="exact"/>
              <w:rPr>
                <w:sz w:val="20"/>
                <w:szCs w:val="20"/>
                <w:color w:val="auto"/>
              </w:rPr>
            </w:pPr>
            <w:r>
              <w:rPr>
                <w:rFonts w:ascii="Arial" w:cs="Arial" w:eastAsia="Arial" w:hAnsi="Arial"/>
                <w:sz w:val="17"/>
                <w:szCs w:val="17"/>
                <w:b w:val="1"/>
                <w:bCs w:val="1"/>
                <w:color w:val="auto"/>
              </w:rPr>
              <w:t>$</w:t>
            </w:r>
          </w:p>
        </w:tc>
        <w:tc>
          <w:tcPr>
            <w:tcW w:w="124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b w:val="1"/>
                <w:bCs w:val="1"/>
                <w:color w:val="auto"/>
              </w:rPr>
              <w:t>974</w:t>
            </w:r>
          </w:p>
        </w:tc>
        <w:tc>
          <w:tcPr>
            <w:tcW w:w="2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color w:val="auto"/>
              </w:rPr>
              <w:t>1,039</w:t>
            </w:r>
          </w:p>
        </w:tc>
        <w:tc>
          <w:tcPr>
            <w:tcW w:w="3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981</w:t>
            </w:r>
          </w:p>
        </w:tc>
      </w:tr>
      <w:tr>
        <w:trPr>
          <w:trHeight w:val="20"/>
        </w:trPr>
        <w:tc>
          <w:tcPr>
            <w:tcW w:w="20" w:type="dxa"/>
            <w:vAlign w:val="bottom"/>
          </w:tcPr>
          <w:p>
            <w:pPr>
              <w:spacing w:after="0" w:line="20" w:lineRule="exact"/>
              <w:rPr>
                <w:sz w:val="1"/>
                <w:szCs w:val="1"/>
                <w:color w:val="auto"/>
              </w:rPr>
            </w:pPr>
          </w:p>
        </w:tc>
        <w:tc>
          <w:tcPr>
            <w:tcW w:w="4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During 2017 in connection with the pension litigation matter, the Company deposited $150 million in a qualified settlement fund. At August 4, 2018, the amount remaining in the fund was $54 million and was classified as part of non-current assets. At February 2, 2019, the fund was classified as a current asset due to our intention to use it to contribute to the pension plan. During 2018 and in March 2019, the Company used substantially all of the fund to pay class counsel fees and to make a contribution to the pension plan.</w:t>
      </w:r>
    </w:p>
    <w:p>
      <w:pPr>
        <w:spacing w:after="0" w:line="203" w:lineRule="exact"/>
        <w:rPr>
          <w:sz w:val="20"/>
          <w:szCs w:val="20"/>
          <w:color w:val="auto"/>
        </w:rPr>
      </w:pPr>
    </w:p>
    <w:p>
      <w:pPr>
        <w:jc w:val="both"/>
        <w:spacing w:after="0"/>
        <w:rPr>
          <w:sz w:val="20"/>
          <w:szCs w:val="20"/>
          <w:color w:val="auto"/>
        </w:rPr>
      </w:pPr>
      <w:r>
        <w:rPr>
          <w:rFonts w:ascii="Arial" w:cs="Arial" w:eastAsia="Arial" w:hAnsi="Arial"/>
          <w:sz w:val="18"/>
          <w:szCs w:val="18"/>
          <w:color w:val="auto"/>
        </w:rPr>
        <w:t>Other amounts included in restricted cash primarily relate to amounts held in escrow in connection with various leasing arrangements in Europe and deposits held in insurance trusts in order to satisfy the requirement to collateralize part of the self-insured workers’ compensation and liability claims.</w:t>
      </w:r>
    </w:p>
    <w:p>
      <w:pPr>
        <w:spacing w:after="0" w:line="20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Company has elected to present book overdrafts, representing checks issued but still outstanding in excess of bank balances, as part of accounts payable.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w:t>
      </w:r>
    </w:p>
    <w:p>
      <w:pPr>
        <w:spacing w:after="0" w:line="23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Annually during the first quarter, or more frequently if impairment indicators arise, the Company reviews goodwill and intangible assets with indefinite lives for impairment.</w:t>
      </w:r>
    </w:p>
    <w:p>
      <w:pPr>
        <w:spacing w:after="0" w:line="197"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In light of the change in our organizational and internal reporting structure in the first quarter of 2019, we have reassessed our reporting units and have determined that the collective omni-channel banners in North America, EMEA, and Asia Pacific are the three reporting units at which goodwill is tested.</w:t>
      </w:r>
    </w:p>
    <w:p>
      <w:pPr>
        <w:spacing w:after="0" w:line="203" w:lineRule="exact"/>
        <w:rPr>
          <w:sz w:val="20"/>
          <w:szCs w:val="20"/>
          <w:color w:val="auto"/>
        </w:rPr>
      </w:pPr>
    </w:p>
    <w:p>
      <w:pPr>
        <w:jc w:val="both"/>
        <w:spacing w:after="0"/>
        <w:rPr>
          <w:sz w:val="20"/>
          <w:szCs w:val="20"/>
          <w:color w:val="auto"/>
        </w:rPr>
      </w:pPr>
      <w:r>
        <w:rPr>
          <w:rFonts w:ascii="Arial" w:cs="Arial" w:eastAsia="Arial" w:hAnsi="Arial"/>
          <w:sz w:val="18"/>
          <w:szCs w:val="18"/>
          <w:color w:val="auto"/>
        </w:rPr>
        <w:t>Accordingly, goodwill was re-allocated between the affected reporting units based on their relative fair values. As required, we conducted the annual impairment review both before and after this change. Neither review resulted in the recognition of impairment, as the fair value of each reporting unit exceeded its carrying value.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Other Intangible Assets, net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finite-lived intangible assets and intangible assets not subject to amortization are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8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5"/>
          </w:tcPr>
          <w:p>
            <w:pPr>
              <w:jc w:val="right"/>
              <w:ind w:right="255"/>
              <w:spacing w:after="0"/>
              <w:rPr>
                <w:sz w:val="20"/>
                <w:szCs w:val="20"/>
                <w:color w:val="auto"/>
              </w:rPr>
            </w:pPr>
            <w:r>
              <w:rPr>
                <w:rFonts w:ascii="Arial" w:cs="Arial" w:eastAsia="Arial" w:hAnsi="Arial"/>
                <w:sz w:val="17"/>
                <w:szCs w:val="17"/>
                <w:b w:val="1"/>
                <w:bCs w:val="1"/>
                <w:color w:val="auto"/>
              </w:rPr>
              <w:t>August 3, 2019</w:t>
            </w:r>
          </w:p>
        </w:tc>
        <w:tc>
          <w:tcPr>
            <w:tcW w:w="2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5"/>
          </w:tcPr>
          <w:p>
            <w:pPr>
              <w:jc w:val="right"/>
              <w:ind w:right="315"/>
              <w:spacing w:after="0"/>
              <w:rPr>
                <w:sz w:val="20"/>
                <w:szCs w:val="20"/>
                <w:color w:val="auto"/>
              </w:rPr>
            </w:pPr>
            <w:r>
              <w:rPr>
                <w:rFonts w:ascii="Arial" w:cs="Arial" w:eastAsia="Arial" w:hAnsi="Arial"/>
                <w:sz w:val="17"/>
                <w:szCs w:val="17"/>
                <w:b w:val="1"/>
                <w:bCs w:val="1"/>
                <w:color w:val="auto"/>
              </w:rPr>
              <w:t>August 4, 2018</w:t>
            </w:r>
          </w:p>
        </w:tc>
        <w:tc>
          <w:tcPr>
            <w:tcW w:w="2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5"/>
          </w:tcPr>
          <w:p>
            <w:pPr>
              <w:jc w:val="right"/>
              <w:ind w:right="155"/>
              <w:spacing w:after="0"/>
              <w:rPr>
                <w:sz w:val="20"/>
                <w:szCs w:val="20"/>
                <w:color w:val="auto"/>
              </w:rPr>
            </w:pPr>
            <w:r>
              <w:rPr>
                <w:rFonts w:ascii="Arial" w:cs="Arial" w:eastAsia="Arial" w:hAnsi="Arial"/>
                <w:sz w:val="17"/>
                <w:szCs w:val="17"/>
                <w:b w:val="1"/>
                <w:bCs w:val="1"/>
                <w:color w:val="auto"/>
              </w:rPr>
              <w:t>February 2, 2019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660" w:type="dxa"/>
            <w:vAlign w:val="bottom"/>
            <w:gridSpan w:val="2"/>
          </w:tcPr>
          <w:p>
            <w:pPr>
              <w:jc w:val="right"/>
              <w:spacing w:after="0" w:line="157" w:lineRule="exact"/>
              <w:rPr>
                <w:sz w:val="20"/>
                <w:szCs w:val="20"/>
                <w:color w:val="auto"/>
              </w:rPr>
            </w:pPr>
            <w:r>
              <w:rPr>
                <w:rFonts w:ascii="Arial" w:cs="Arial" w:eastAsia="Arial" w:hAnsi="Arial"/>
                <w:sz w:val="17"/>
                <w:szCs w:val="17"/>
                <w:b w:val="1"/>
                <w:bCs w:val="1"/>
                <w:color w:val="auto"/>
              </w:rPr>
              <w:t>Gross</w:t>
            </w:r>
          </w:p>
        </w:tc>
        <w:tc>
          <w:tcPr>
            <w:tcW w:w="720" w:type="dxa"/>
            <w:vAlign w:val="bottom"/>
            <w:gridSpan w:val="2"/>
          </w:tcPr>
          <w:p>
            <w:pPr>
              <w:ind w:left="60"/>
              <w:spacing w:after="0" w:line="157" w:lineRule="exact"/>
              <w:rPr>
                <w:sz w:val="20"/>
                <w:szCs w:val="20"/>
                <w:color w:val="auto"/>
              </w:rPr>
            </w:pPr>
            <w:r>
              <w:rPr>
                <w:rFonts w:ascii="Arial" w:cs="Arial" w:eastAsia="Arial" w:hAnsi="Arial"/>
                <w:sz w:val="17"/>
                <w:szCs w:val="17"/>
                <w:b w:val="1"/>
                <w:bCs w:val="1"/>
                <w:color w:val="auto"/>
              </w:rPr>
              <w:t>Accum.</w:t>
            </w:r>
          </w:p>
        </w:tc>
        <w:tc>
          <w:tcPr>
            <w:tcW w:w="160" w:type="dxa"/>
            <w:vAlign w:val="bottom"/>
          </w:tcPr>
          <w:p>
            <w:pPr>
              <w:spacing w:after="0"/>
              <w:rPr>
                <w:sz w:val="13"/>
                <w:szCs w:val="13"/>
                <w:color w:val="auto"/>
              </w:rPr>
            </w:pPr>
          </w:p>
        </w:tc>
        <w:tc>
          <w:tcPr>
            <w:tcW w:w="480" w:type="dxa"/>
            <w:vAlign w:val="bottom"/>
          </w:tcPr>
          <w:p>
            <w:pPr>
              <w:jc w:val="right"/>
              <w:ind w:right="75"/>
              <w:spacing w:after="0" w:line="157" w:lineRule="exact"/>
              <w:rPr>
                <w:sz w:val="20"/>
                <w:szCs w:val="20"/>
                <w:color w:val="auto"/>
              </w:rPr>
            </w:pPr>
            <w:r>
              <w:rPr>
                <w:rFonts w:ascii="Arial" w:cs="Arial" w:eastAsia="Arial" w:hAnsi="Arial"/>
                <w:sz w:val="17"/>
                <w:szCs w:val="17"/>
                <w:b w:val="1"/>
                <w:bCs w:val="1"/>
                <w:color w:val="auto"/>
              </w:rPr>
              <w:t>Net</w:t>
            </w:r>
          </w:p>
        </w:tc>
        <w:tc>
          <w:tcPr>
            <w:tcW w:w="680" w:type="dxa"/>
            <w:vAlign w:val="bottom"/>
            <w:gridSpan w:val="2"/>
          </w:tcPr>
          <w:p>
            <w:pPr>
              <w:jc w:val="right"/>
              <w:spacing w:after="0" w:line="157" w:lineRule="exact"/>
              <w:rPr>
                <w:sz w:val="20"/>
                <w:szCs w:val="20"/>
                <w:color w:val="auto"/>
              </w:rPr>
            </w:pPr>
            <w:r>
              <w:rPr>
                <w:rFonts w:ascii="Arial" w:cs="Arial" w:eastAsia="Arial" w:hAnsi="Arial"/>
                <w:sz w:val="17"/>
                <w:szCs w:val="17"/>
                <w:b w:val="1"/>
                <w:bCs w:val="1"/>
                <w:color w:val="auto"/>
              </w:rPr>
              <w:t>Gross</w:t>
            </w:r>
          </w:p>
        </w:tc>
        <w:tc>
          <w:tcPr>
            <w:tcW w:w="740" w:type="dxa"/>
            <w:vAlign w:val="bottom"/>
            <w:gridSpan w:val="2"/>
          </w:tcPr>
          <w:p>
            <w:pPr>
              <w:ind w:left="80"/>
              <w:spacing w:after="0" w:line="157" w:lineRule="exact"/>
              <w:rPr>
                <w:sz w:val="20"/>
                <w:szCs w:val="20"/>
                <w:color w:val="auto"/>
              </w:rPr>
            </w:pPr>
            <w:r>
              <w:rPr>
                <w:rFonts w:ascii="Arial" w:cs="Arial" w:eastAsia="Arial" w:hAnsi="Arial"/>
                <w:sz w:val="17"/>
                <w:szCs w:val="17"/>
                <w:b w:val="1"/>
                <w:bCs w:val="1"/>
                <w:color w:val="auto"/>
              </w:rPr>
              <w:t>Accum.</w:t>
            </w:r>
          </w:p>
        </w:tc>
        <w:tc>
          <w:tcPr>
            <w:tcW w:w="160" w:type="dxa"/>
            <w:vAlign w:val="bottom"/>
          </w:tcPr>
          <w:p>
            <w:pPr>
              <w:spacing w:after="0"/>
              <w:rPr>
                <w:sz w:val="13"/>
                <w:szCs w:val="13"/>
                <w:color w:val="auto"/>
              </w:rPr>
            </w:pPr>
          </w:p>
        </w:tc>
        <w:tc>
          <w:tcPr>
            <w:tcW w:w="580" w:type="dxa"/>
            <w:vAlign w:val="bottom"/>
          </w:tcPr>
          <w:p>
            <w:pPr>
              <w:jc w:val="right"/>
              <w:ind w:right="135"/>
              <w:spacing w:after="0" w:line="157" w:lineRule="exact"/>
              <w:rPr>
                <w:sz w:val="20"/>
                <w:szCs w:val="20"/>
                <w:color w:val="auto"/>
              </w:rPr>
            </w:pPr>
            <w:r>
              <w:rPr>
                <w:rFonts w:ascii="Arial" w:cs="Arial" w:eastAsia="Arial" w:hAnsi="Arial"/>
                <w:sz w:val="17"/>
                <w:szCs w:val="17"/>
                <w:b w:val="1"/>
                <w:bCs w:val="1"/>
                <w:color w:val="auto"/>
              </w:rPr>
              <w:t>Net</w:t>
            </w:r>
          </w:p>
        </w:tc>
        <w:tc>
          <w:tcPr>
            <w:tcW w:w="680" w:type="dxa"/>
            <w:vAlign w:val="bottom"/>
            <w:gridSpan w:val="2"/>
          </w:tcPr>
          <w:p>
            <w:pPr>
              <w:jc w:val="right"/>
              <w:spacing w:after="0" w:line="157" w:lineRule="exact"/>
              <w:rPr>
                <w:sz w:val="20"/>
                <w:szCs w:val="20"/>
                <w:color w:val="auto"/>
              </w:rPr>
            </w:pPr>
            <w:r>
              <w:rPr>
                <w:rFonts w:ascii="Arial" w:cs="Arial" w:eastAsia="Arial" w:hAnsi="Arial"/>
                <w:sz w:val="17"/>
                <w:szCs w:val="17"/>
                <w:b w:val="1"/>
                <w:bCs w:val="1"/>
                <w:color w:val="auto"/>
              </w:rPr>
              <w:t>Gross</w:t>
            </w:r>
          </w:p>
        </w:tc>
        <w:tc>
          <w:tcPr>
            <w:tcW w:w="740" w:type="dxa"/>
            <w:vAlign w:val="bottom"/>
            <w:gridSpan w:val="2"/>
          </w:tcPr>
          <w:p>
            <w:pPr>
              <w:ind w:left="80"/>
              <w:spacing w:after="0" w:line="157" w:lineRule="exact"/>
              <w:rPr>
                <w:sz w:val="20"/>
                <w:szCs w:val="20"/>
                <w:color w:val="auto"/>
              </w:rPr>
            </w:pPr>
            <w:r>
              <w:rPr>
                <w:rFonts w:ascii="Arial" w:cs="Arial" w:eastAsia="Arial" w:hAnsi="Arial"/>
                <w:sz w:val="17"/>
                <w:szCs w:val="17"/>
                <w:b w:val="1"/>
                <w:bCs w:val="1"/>
                <w:color w:val="auto"/>
              </w:rPr>
              <w:t>Accum.</w:t>
            </w:r>
          </w:p>
        </w:tc>
        <w:tc>
          <w:tcPr>
            <w:tcW w:w="160" w:type="dxa"/>
            <w:vAlign w:val="bottom"/>
          </w:tcPr>
          <w:p>
            <w:pPr>
              <w:spacing w:after="0"/>
              <w:rPr>
                <w:sz w:val="13"/>
                <w:szCs w:val="13"/>
                <w:color w:val="auto"/>
              </w:rPr>
            </w:pPr>
          </w:p>
        </w:tc>
        <w:tc>
          <w:tcPr>
            <w:tcW w:w="420" w:type="dxa"/>
            <w:vAlign w:val="bottom"/>
          </w:tcPr>
          <w:p>
            <w:pPr>
              <w:jc w:val="right"/>
              <w:ind w:right="55"/>
              <w:spacing w:after="0" w:line="157" w:lineRule="exact"/>
              <w:rPr>
                <w:sz w:val="20"/>
                <w:szCs w:val="20"/>
                <w:color w:val="auto"/>
              </w:rPr>
            </w:pPr>
            <w:r>
              <w:rPr>
                <w:rFonts w:ascii="Arial" w:cs="Arial" w:eastAsia="Arial" w:hAnsi="Arial"/>
                <w:sz w:val="17"/>
                <w:szCs w:val="17"/>
                <w:b w:val="1"/>
                <w:bCs w:val="1"/>
                <w:color w:val="auto"/>
                <w:w w:val="94"/>
              </w:rPr>
              <w:t>Net</w:t>
            </w:r>
          </w:p>
        </w:tc>
        <w:tc>
          <w:tcPr>
            <w:tcW w:w="0" w:type="dxa"/>
            <w:vAlign w:val="bottom"/>
          </w:tcPr>
          <w:p>
            <w:pPr>
              <w:spacing w:after="0"/>
              <w:rPr>
                <w:sz w:val="1"/>
                <w:szCs w:val="1"/>
                <w:color w:val="auto"/>
              </w:rPr>
            </w:pPr>
          </w:p>
        </w:tc>
      </w:tr>
      <w:tr>
        <w:trPr>
          <w:trHeight w:val="215"/>
        </w:trPr>
        <w:tc>
          <w:tcPr>
            <w:tcW w:w="2880" w:type="dxa"/>
            <w:vAlign w:val="bottom"/>
            <w:gridSpan w:val="2"/>
          </w:tcPr>
          <w:p>
            <w:pPr>
              <w:spacing w:after="0"/>
              <w:rPr>
                <w:sz w:val="20"/>
                <w:szCs w:val="20"/>
                <w:color w:val="auto"/>
              </w:rPr>
            </w:pPr>
            <w:r>
              <w:rPr>
                <w:rFonts w:ascii="Arial" w:cs="Arial" w:eastAsia="Arial" w:hAnsi="Arial"/>
                <w:sz w:val="17"/>
                <w:szCs w:val="17"/>
                <w:color w:val="auto"/>
              </w:rPr>
              <w:t>($ in millions)</w:t>
            </w:r>
          </w:p>
        </w:tc>
        <w:tc>
          <w:tcPr>
            <w:tcW w:w="660" w:type="dxa"/>
            <w:vAlign w:val="bottom"/>
            <w:gridSpan w:val="2"/>
          </w:tcPr>
          <w:p>
            <w:pPr>
              <w:jc w:val="right"/>
              <w:ind w:right="15"/>
              <w:spacing w:after="0"/>
              <w:rPr>
                <w:sz w:val="20"/>
                <w:szCs w:val="20"/>
                <w:color w:val="auto"/>
              </w:rPr>
            </w:pPr>
            <w:r>
              <w:rPr>
                <w:rFonts w:ascii="Arial" w:cs="Arial" w:eastAsia="Arial" w:hAnsi="Arial"/>
                <w:sz w:val="17"/>
                <w:szCs w:val="17"/>
                <w:b w:val="1"/>
                <w:bCs w:val="1"/>
                <w:color w:val="auto"/>
              </w:rPr>
              <w:t>value</w:t>
            </w:r>
          </w:p>
        </w:tc>
        <w:tc>
          <w:tcPr>
            <w:tcW w:w="720" w:type="dxa"/>
            <w:vAlign w:val="bottom"/>
            <w:gridSpan w:val="2"/>
          </w:tcPr>
          <w:p>
            <w:pPr>
              <w:jc w:val="right"/>
              <w:ind w:right="15"/>
              <w:spacing w:after="0"/>
              <w:rPr>
                <w:sz w:val="20"/>
                <w:szCs w:val="20"/>
                <w:color w:val="auto"/>
              </w:rPr>
            </w:pPr>
            <w:r>
              <w:rPr>
                <w:rFonts w:ascii="Arial" w:cs="Arial" w:eastAsia="Arial" w:hAnsi="Arial"/>
                <w:sz w:val="17"/>
                <w:szCs w:val="17"/>
                <w:b w:val="1"/>
                <w:bCs w:val="1"/>
                <w:color w:val="auto"/>
              </w:rPr>
              <w:t>amort.</w:t>
            </w:r>
          </w:p>
        </w:tc>
        <w:tc>
          <w:tcPr>
            <w:tcW w:w="640" w:type="dxa"/>
            <w:vAlign w:val="bottom"/>
            <w:gridSpan w:val="2"/>
          </w:tcPr>
          <w:p>
            <w:pPr>
              <w:jc w:val="right"/>
              <w:spacing w:after="0"/>
              <w:rPr>
                <w:sz w:val="20"/>
                <w:szCs w:val="20"/>
                <w:color w:val="auto"/>
              </w:rPr>
            </w:pPr>
            <w:r>
              <w:rPr>
                <w:rFonts w:ascii="Arial" w:cs="Arial" w:eastAsia="Arial" w:hAnsi="Arial"/>
                <w:sz w:val="17"/>
                <w:szCs w:val="17"/>
                <w:b w:val="1"/>
                <w:bCs w:val="1"/>
                <w:color w:val="auto"/>
              </w:rPr>
              <w:t>value</w:t>
            </w:r>
          </w:p>
        </w:tc>
        <w:tc>
          <w:tcPr>
            <w:tcW w:w="680" w:type="dxa"/>
            <w:vAlign w:val="bottom"/>
            <w:gridSpan w:val="2"/>
          </w:tcPr>
          <w:p>
            <w:pPr>
              <w:jc w:val="right"/>
              <w:ind w:right="15"/>
              <w:spacing w:after="0"/>
              <w:rPr>
                <w:sz w:val="20"/>
                <w:szCs w:val="20"/>
                <w:color w:val="auto"/>
              </w:rPr>
            </w:pPr>
            <w:r>
              <w:rPr>
                <w:rFonts w:ascii="Arial" w:cs="Arial" w:eastAsia="Arial" w:hAnsi="Arial"/>
                <w:sz w:val="17"/>
                <w:szCs w:val="17"/>
                <w:b w:val="1"/>
                <w:bCs w:val="1"/>
                <w:color w:val="auto"/>
              </w:rPr>
              <w:t>value</w:t>
            </w:r>
          </w:p>
        </w:tc>
        <w:tc>
          <w:tcPr>
            <w:tcW w:w="740" w:type="dxa"/>
            <w:vAlign w:val="bottom"/>
            <w:gridSpan w:val="2"/>
          </w:tcPr>
          <w:p>
            <w:pPr>
              <w:jc w:val="right"/>
              <w:ind w:right="15"/>
              <w:spacing w:after="0"/>
              <w:rPr>
                <w:sz w:val="20"/>
                <w:szCs w:val="20"/>
                <w:color w:val="auto"/>
              </w:rPr>
            </w:pPr>
            <w:r>
              <w:rPr>
                <w:rFonts w:ascii="Arial" w:cs="Arial" w:eastAsia="Arial" w:hAnsi="Arial"/>
                <w:sz w:val="17"/>
                <w:szCs w:val="17"/>
                <w:b w:val="1"/>
                <w:bCs w:val="1"/>
                <w:color w:val="auto"/>
              </w:rPr>
              <w:t>amort.</w:t>
            </w:r>
          </w:p>
        </w:tc>
        <w:tc>
          <w:tcPr>
            <w:tcW w:w="160" w:type="dxa"/>
            <w:vAlign w:val="bottom"/>
          </w:tcPr>
          <w:p>
            <w:pPr>
              <w:spacing w:after="0"/>
              <w:rPr>
                <w:sz w:val="18"/>
                <w:szCs w:val="18"/>
                <w:color w:val="auto"/>
              </w:rPr>
            </w:pPr>
          </w:p>
        </w:tc>
        <w:tc>
          <w:tcPr>
            <w:tcW w:w="580" w:type="dxa"/>
            <w:vAlign w:val="bottom"/>
          </w:tcPr>
          <w:p>
            <w:pPr>
              <w:jc w:val="right"/>
              <w:ind w:right="55"/>
              <w:spacing w:after="0"/>
              <w:rPr>
                <w:sz w:val="20"/>
                <w:szCs w:val="20"/>
                <w:color w:val="auto"/>
              </w:rPr>
            </w:pPr>
            <w:r>
              <w:rPr>
                <w:rFonts w:ascii="Arial" w:cs="Arial" w:eastAsia="Arial" w:hAnsi="Arial"/>
                <w:sz w:val="17"/>
                <w:szCs w:val="17"/>
                <w:b w:val="1"/>
                <w:bCs w:val="1"/>
                <w:color w:val="auto"/>
                <w:w w:val="96"/>
              </w:rPr>
              <w:t>value</w:t>
            </w:r>
          </w:p>
        </w:tc>
        <w:tc>
          <w:tcPr>
            <w:tcW w:w="680" w:type="dxa"/>
            <w:vAlign w:val="bottom"/>
            <w:gridSpan w:val="2"/>
          </w:tcPr>
          <w:p>
            <w:pPr>
              <w:jc w:val="right"/>
              <w:ind w:right="15"/>
              <w:spacing w:after="0"/>
              <w:rPr>
                <w:sz w:val="20"/>
                <w:szCs w:val="20"/>
                <w:color w:val="auto"/>
              </w:rPr>
            </w:pPr>
            <w:r>
              <w:rPr>
                <w:rFonts w:ascii="Arial" w:cs="Arial" w:eastAsia="Arial" w:hAnsi="Arial"/>
                <w:sz w:val="17"/>
                <w:szCs w:val="17"/>
                <w:b w:val="1"/>
                <w:bCs w:val="1"/>
                <w:color w:val="auto"/>
              </w:rPr>
              <w:t>value</w:t>
            </w:r>
          </w:p>
        </w:tc>
        <w:tc>
          <w:tcPr>
            <w:tcW w:w="740" w:type="dxa"/>
            <w:vAlign w:val="bottom"/>
            <w:gridSpan w:val="2"/>
          </w:tcPr>
          <w:p>
            <w:pPr>
              <w:jc w:val="right"/>
              <w:ind w:right="15"/>
              <w:spacing w:after="0"/>
              <w:rPr>
                <w:sz w:val="20"/>
                <w:szCs w:val="20"/>
                <w:color w:val="auto"/>
              </w:rPr>
            </w:pPr>
            <w:r>
              <w:rPr>
                <w:rFonts w:ascii="Arial" w:cs="Arial" w:eastAsia="Arial" w:hAnsi="Arial"/>
                <w:sz w:val="17"/>
                <w:szCs w:val="17"/>
                <w:b w:val="1"/>
                <w:bCs w:val="1"/>
                <w:color w:val="auto"/>
              </w:rPr>
              <w:t>amort.</w:t>
            </w:r>
          </w:p>
        </w:tc>
        <w:tc>
          <w:tcPr>
            <w:tcW w:w="580" w:type="dxa"/>
            <w:vAlign w:val="bottom"/>
            <w:gridSpan w:val="2"/>
          </w:tcPr>
          <w:p>
            <w:pPr>
              <w:jc w:val="right"/>
              <w:spacing w:after="0"/>
              <w:rPr>
                <w:sz w:val="20"/>
                <w:szCs w:val="20"/>
                <w:color w:val="auto"/>
              </w:rPr>
            </w:pPr>
            <w:r>
              <w:rPr>
                <w:rFonts w:ascii="Arial" w:cs="Arial" w:eastAsia="Arial" w:hAnsi="Arial"/>
                <w:sz w:val="17"/>
                <w:szCs w:val="17"/>
                <w:b w:val="1"/>
                <w:bCs w:val="1"/>
                <w:color w:val="auto"/>
              </w:rPr>
              <w:t>value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86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 xml:space="preserve">Amortized intangible assets: </w:t>
            </w:r>
            <w:r>
              <w:rPr>
                <w:rFonts w:ascii="Arial" w:cs="Arial" w:eastAsia="Arial" w:hAnsi="Arial"/>
                <w:sz w:val="12"/>
                <w:szCs w:val="12"/>
                <w:color w:val="auto"/>
              </w:rPr>
              <w:t>(1)</w:t>
            </w:r>
          </w:p>
        </w:tc>
        <w:tc>
          <w:tcPr>
            <w:tcW w:w="22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60" w:type="dxa"/>
            <w:vAlign w:val="bottom"/>
          </w:tcPr>
          <w:p>
            <w:pPr>
              <w:ind w:left="200"/>
              <w:spacing w:after="0" w:line="189" w:lineRule="exact"/>
              <w:rPr>
                <w:sz w:val="20"/>
                <w:szCs w:val="20"/>
                <w:color w:val="auto"/>
              </w:rPr>
            </w:pPr>
            <w:r>
              <w:rPr>
                <w:rFonts w:ascii="Arial" w:cs="Arial" w:eastAsia="Arial" w:hAnsi="Arial"/>
                <w:sz w:val="17"/>
                <w:szCs w:val="17"/>
                <w:color w:val="auto"/>
              </w:rPr>
              <w:t>Lease acquisition costs</w:t>
            </w:r>
          </w:p>
        </w:tc>
        <w:tc>
          <w:tcPr>
            <w:tcW w:w="220" w:type="dxa"/>
            <w:vAlign w:val="bottom"/>
          </w:tcPr>
          <w:p>
            <w:pPr>
              <w:jc w:val="right"/>
              <w:ind w:right="15"/>
              <w:spacing w:after="0" w:line="189" w:lineRule="exact"/>
              <w:rPr>
                <w:sz w:val="20"/>
                <w:szCs w:val="20"/>
                <w:color w:val="auto"/>
              </w:rPr>
            </w:pPr>
            <w:r>
              <w:rPr>
                <w:rFonts w:ascii="Arial" w:cs="Arial" w:eastAsia="Arial" w:hAnsi="Arial"/>
                <w:sz w:val="17"/>
                <w:szCs w:val="17"/>
                <w:b w:val="1"/>
                <w:bCs w:val="1"/>
                <w:color w:val="auto"/>
              </w:rPr>
              <w:t>$</w:t>
            </w:r>
          </w:p>
        </w:tc>
        <w:tc>
          <w:tcPr>
            <w:tcW w:w="44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116</w:t>
            </w:r>
          </w:p>
        </w:tc>
        <w:tc>
          <w:tcPr>
            <w:tcW w:w="220" w:type="dxa"/>
            <w:vAlign w:val="bottom"/>
          </w:tcPr>
          <w:p>
            <w:pPr>
              <w:ind w:left="60"/>
              <w:spacing w:after="0" w:line="189" w:lineRule="exact"/>
              <w:rPr>
                <w:sz w:val="20"/>
                <w:szCs w:val="20"/>
                <w:color w:val="auto"/>
              </w:rPr>
            </w:pPr>
            <w:r>
              <w:rPr>
                <w:rFonts w:ascii="Arial" w:cs="Arial" w:eastAsia="Arial" w:hAnsi="Arial"/>
                <w:sz w:val="17"/>
                <w:szCs w:val="17"/>
                <w:b w:val="1"/>
                <w:bCs w:val="1"/>
                <w:color w:val="auto"/>
              </w:rPr>
              <w:t>$</w:t>
            </w:r>
          </w:p>
        </w:tc>
        <w:tc>
          <w:tcPr>
            <w:tcW w:w="50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(108)</w:t>
            </w:r>
          </w:p>
        </w:tc>
        <w:tc>
          <w:tcPr>
            <w:tcW w:w="16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48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8</w:t>
            </w:r>
          </w:p>
        </w:tc>
        <w:tc>
          <w:tcPr>
            <w:tcW w:w="24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440" w:type="dxa"/>
            <w:vAlign w:val="bottom"/>
          </w:tcPr>
          <w:p>
            <w:pPr>
              <w:jc w:val="right"/>
              <w:spacing w:after="0" w:line="189" w:lineRule="exact"/>
              <w:rPr>
                <w:sz w:val="20"/>
                <w:szCs w:val="20"/>
                <w:color w:val="auto"/>
              </w:rPr>
            </w:pPr>
            <w:r>
              <w:rPr>
                <w:rFonts w:ascii="Arial" w:cs="Arial" w:eastAsia="Arial" w:hAnsi="Arial"/>
                <w:sz w:val="17"/>
                <w:szCs w:val="17"/>
                <w:color w:val="auto"/>
              </w:rPr>
              <w:t>125</w:t>
            </w:r>
          </w:p>
        </w:tc>
        <w:tc>
          <w:tcPr>
            <w:tcW w:w="240" w:type="dxa"/>
            <w:vAlign w:val="bottom"/>
          </w:tcPr>
          <w:p>
            <w:pPr>
              <w:ind w:left="60"/>
              <w:spacing w:after="0" w:line="189" w:lineRule="exact"/>
              <w:rPr>
                <w:sz w:val="20"/>
                <w:szCs w:val="20"/>
                <w:color w:val="auto"/>
              </w:rPr>
            </w:pPr>
            <w:r>
              <w:rPr>
                <w:rFonts w:ascii="Arial" w:cs="Arial" w:eastAsia="Arial" w:hAnsi="Arial"/>
                <w:sz w:val="17"/>
                <w:szCs w:val="17"/>
                <w:color w:val="auto"/>
              </w:rPr>
              <w:t>$</w:t>
            </w:r>
          </w:p>
        </w:tc>
        <w:tc>
          <w:tcPr>
            <w:tcW w:w="500" w:type="dxa"/>
            <w:vAlign w:val="bottom"/>
          </w:tcPr>
          <w:p>
            <w:pPr>
              <w:jc w:val="right"/>
              <w:spacing w:after="0" w:line="189" w:lineRule="exact"/>
              <w:rPr>
                <w:sz w:val="20"/>
                <w:szCs w:val="20"/>
                <w:color w:val="auto"/>
              </w:rPr>
            </w:pPr>
            <w:r>
              <w:rPr>
                <w:rFonts w:ascii="Arial" w:cs="Arial" w:eastAsia="Arial" w:hAnsi="Arial"/>
                <w:sz w:val="17"/>
                <w:szCs w:val="17"/>
                <w:color w:val="auto"/>
              </w:rPr>
              <w:t>(115)</w:t>
            </w:r>
          </w:p>
        </w:tc>
        <w:tc>
          <w:tcPr>
            <w:tcW w:w="16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580" w:type="dxa"/>
            <w:vAlign w:val="bottom"/>
          </w:tcPr>
          <w:p>
            <w:pPr>
              <w:jc w:val="right"/>
              <w:spacing w:after="0" w:line="189" w:lineRule="exact"/>
              <w:rPr>
                <w:sz w:val="20"/>
                <w:szCs w:val="20"/>
                <w:color w:val="auto"/>
              </w:rPr>
            </w:pPr>
            <w:r>
              <w:rPr>
                <w:rFonts w:ascii="Arial" w:cs="Arial" w:eastAsia="Arial" w:hAnsi="Arial"/>
                <w:sz w:val="17"/>
                <w:szCs w:val="17"/>
                <w:color w:val="auto"/>
              </w:rPr>
              <w:t>10</w:t>
            </w:r>
          </w:p>
        </w:tc>
        <w:tc>
          <w:tcPr>
            <w:tcW w:w="240" w:type="dxa"/>
            <w:vAlign w:val="bottom"/>
          </w:tcPr>
          <w:p>
            <w:pPr>
              <w:jc w:val="right"/>
              <w:ind w:right="15"/>
              <w:spacing w:after="0" w:line="189" w:lineRule="exact"/>
              <w:rPr>
                <w:sz w:val="20"/>
                <w:szCs w:val="20"/>
                <w:color w:val="auto"/>
              </w:rPr>
            </w:pPr>
            <w:r>
              <w:rPr>
                <w:rFonts w:ascii="Arial" w:cs="Arial" w:eastAsia="Arial" w:hAnsi="Arial"/>
                <w:sz w:val="17"/>
                <w:szCs w:val="17"/>
                <w:color w:val="auto"/>
              </w:rPr>
              <w:t>$</w:t>
            </w:r>
          </w:p>
        </w:tc>
        <w:tc>
          <w:tcPr>
            <w:tcW w:w="440" w:type="dxa"/>
            <w:vAlign w:val="bottom"/>
          </w:tcPr>
          <w:p>
            <w:pPr>
              <w:jc w:val="right"/>
              <w:spacing w:after="0" w:line="189" w:lineRule="exact"/>
              <w:rPr>
                <w:sz w:val="20"/>
                <w:szCs w:val="20"/>
                <w:color w:val="auto"/>
              </w:rPr>
            </w:pPr>
            <w:r>
              <w:rPr>
                <w:rFonts w:ascii="Arial" w:cs="Arial" w:eastAsia="Arial" w:hAnsi="Arial"/>
                <w:sz w:val="17"/>
                <w:szCs w:val="17"/>
                <w:color w:val="auto"/>
              </w:rPr>
              <w:t>120</w:t>
            </w:r>
          </w:p>
        </w:tc>
        <w:tc>
          <w:tcPr>
            <w:tcW w:w="240" w:type="dxa"/>
            <w:vAlign w:val="bottom"/>
          </w:tcPr>
          <w:p>
            <w:pPr>
              <w:ind w:left="60"/>
              <w:spacing w:after="0" w:line="189" w:lineRule="exact"/>
              <w:rPr>
                <w:sz w:val="20"/>
                <w:szCs w:val="20"/>
                <w:color w:val="auto"/>
              </w:rPr>
            </w:pPr>
            <w:r>
              <w:rPr>
                <w:rFonts w:ascii="Arial" w:cs="Arial" w:eastAsia="Arial" w:hAnsi="Arial"/>
                <w:sz w:val="17"/>
                <w:szCs w:val="17"/>
                <w:color w:val="auto"/>
              </w:rPr>
              <w:t>$</w:t>
            </w:r>
          </w:p>
        </w:tc>
        <w:tc>
          <w:tcPr>
            <w:tcW w:w="500" w:type="dxa"/>
            <w:vAlign w:val="bottom"/>
          </w:tcPr>
          <w:p>
            <w:pPr>
              <w:jc w:val="right"/>
              <w:spacing w:after="0" w:line="189" w:lineRule="exact"/>
              <w:rPr>
                <w:sz w:val="20"/>
                <w:szCs w:val="20"/>
                <w:color w:val="auto"/>
              </w:rPr>
            </w:pPr>
            <w:r>
              <w:rPr>
                <w:rFonts w:ascii="Arial" w:cs="Arial" w:eastAsia="Arial" w:hAnsi="Arial"/>
                <w:sz w:val="17"/>
                <w:szCs w:val="17"/>
                <w:color w:val="auto"/>
              </w:rPr>
              <w:t>(111)</w:t>
            </w:r>
          </w:p>
        </w:tc>
        <w:tc>
          <w:tcPr>
            <w:tcW w:w="16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420" w:type="dxa"/>
            <w:vAlign w:val="bottom"/>
          </w:tcPr>
          <w:p>
            <w:pPr>
              <w:jc w:val="right"/>
              <w:spacing w:after="0" w:line="189" w:lineRule="exact"/>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6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color w:val="auto"/>
              </w:rPr>
              <w:t>Trademarks / trade names</w:t>
            </w:r>
          </w:p>
        </w:tc>
        <w:tc>
          <w:tcPr>
            <w:tcW w:w="22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20</w:t>
            </w: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(15)</w:t>
            </w: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5</w:t>
            </w:r>
          </w:p>
        </w:tc>
        <w:tc>
          <w:tcPr>
            <w:tcW w:w="24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20</w:t>
            </w:r>
          </w:p>
        </w:tc>
        <w:tc>
          <w:tcPr>
            <w:tcW w:w="24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(14)</w:t>
            </w: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6</w:t>
            </w:r>
          </w:p>
        </w:tc>
        <w:tc>
          <w:tcPr>
            <w:tcW w:w="24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20</w:t>
            </w:r>
          </w:p>
        </w:tc>
        <w:tc>
          <w:tcPr>
            <w:tcW w:w="24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(15)</w:t>
            </w: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60" w:type="dxa"/>
            <w:vAlign w:val="bottom"/>
            <w:tcBorders>
              <w:bottom w:val="single" w:sz="8" w:color="auto"/>
            </w:tcBorders>
          </w:tcPr>
          <w:p>
            <w:pPr>
              <w:ind w:left="200"/>
              <w:spacing w:after="0" w:line="189" w:lineRule="exact"/>
              <w:rPr>
                <w:sz w:val="20"/>
                <w:szCs w:val="20"/>
                <w:color w:val="auto"/>
              </w:rPr>
            </w:pPr>
            <w:r>
              <w:rPr>
                <w:rFonts w:ascii="Arial" w:cs="Arial" w:eastAsia="Arial" w:hAnsi="Arial"/>
                <w:sz w:val="17"/>
                <w:szCs w:val="17"/>
                <w:color w:val="auto"/>
              </w:rPr>
              <w:t>Favorable leases</w:t>
            </w:r>
          </w:p>
        </w:tc>
        <w:tc>
          <w:tcPr>
            <w:tcW w:w="2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2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15"/>
              <w:spacing w:after="0" w:line="189" w:lineRule="exact"/>
              <w:rPr>
                <w:sz w:val="20"/>
                <w:szCs w:val="20"/>
                <w:color w:val="auto"/>
              </w:rPr>
            </w:pPr>
            <w:r>
              <w:rPr>
                <w:rFonts w:ascii="Arial" w:cs="Arial" w:eastAsia="Arial" w:hAnsi="Arial"/>
                <w:sz w:val="17"/>
                <w:szCs w:val="17"/>
                <w:b w:val="1"/>
                <w:bCs w:val="1"/>
                <w:color w:val="auto"/>
              </w:rPr>
              <w:t>-</w:t>
            </w:r>
          </w:p>
        </w:tc>
        <w:tc>
          <w:tcPr>
            <w:tcW w:w="1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2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7</w:t>
            </w:r>
          </w:p>
        </w:tc>
        <w:tc>
          <w:tcPr>
            <w:tcW w:w="2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(6)</w:t>
            </w: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w:t>
            </w:r>
          </w:p>
        </w:tc>
        <w:tc>
          <w:tcPr>
            <w:tcW w:w="2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7</w:t>
            </w:r>
          </w:p>
        </w:tc>
        <w:tc>
          <w:tcPr>
            <w:tcW w:w="2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(6)</w:t>
            </w:r>
          </w:p>
        </w:tc>
        <w:tc>
          <w:tcPr>
            <w:tcW w:w="1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86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b w:val="1"/>
                <w:bCs w:val="1"/>
                <w:color w:val="auto"/>
              </w:rPr>
              <w:t>$</w:t>
            </w:r>
          </w:p>
        </w:tc>
        <w:tc>
          <w:tcPr>
            <w:tcW w:w="4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136</w:t>
            </w:r>
          </w:p>
        </w:tc>
        <w:tc>
          <w:tcPr>
            <w:tcW w:w="220" w:type="dxa"/>
            <w:vAlign w:val="bottom"/>
            <w:tcBorders>
              <w:bottom w:val="single" w:sz="8" w:color="auto"/>
            </w:tcBorders>
            <w:shd w:val="clear" w:color="auto" w:fill="CCEEFF"/>
          </w:tcPr>
          <w:p>
            <w:pPr>
              <w:ind w:left="60"/>
              <w:spacing w:after="0" w:line="183" w:lineRule="exact"/>
              <w:rPr>
                <w:sz w:val="20"/>
                <w:szCs w:val="20"/>
                <w:color w:val="auto"/>
              </w:rPr>
            </w:pPr>
            <w:r>
              <w:rPr>
                <w:rFonts w:ascii="Arial" w:cs="Arial" w:eastAsia="Arial" w:hAnsi="Arial"/>
                <w:sz w:val="17"/>
                <w:szCs w:val="17"/>
                <w:b w:val="1"/>
                <w:bCs w:val="1"/>
                <w:color w:val="auto"/>
              </w:rPr>
              <w:t>$</w:t>
            </w:r>
          </w:p>
        </w:tc>
        <w:tc>
          <w:tcPr>
            <w:tcW w:w="5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(123)</w:t>
            </w:r>
          </w:p>
        </w:tc>
        <w:tc>
          <w:tcPr>
            <w:tcW w:w="1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4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13</w:t>
            </w:r>
          </w:p>
        </w:tc>
        <w:tc>
          <w:tcPr>
            <w:tcW w:w="2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4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152</w:t>
            </w:r>
          </w:p>
        </w:tc>
        <w:tc>
          <w:tcPr>
            <w:tcW w:w="240" w:type="dxa"/>
            <w:vAlign w:val="bottom"/>
            <w:tcBorders>
              <w:bottom w:val="single" w:sz="8" w:color="auto"/>
            </w:tcBorders>
            <w:shd w:val="clear" w:color="auto" w:fill="CCEEFF"/>
          </w:tcPr>
          <w:p>
            <w:pPr>
              <w:ind w:left="60"/>
              <w:spacing w:after="0" w:line="183"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(135)</w:t>
            </w:r>
          </w:p>
        </w:tc>
        <w:tc>
          <w:tcPr>
            <w:tcW w:w="1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5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17</w:t>
            </w:r>
          </w:p>
        </w:tc>
        <w:tc>
          <w:tcPr>
            <w:tcW w:w="24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w:t>
            </w:r>
          </w:p>
        </w:tc>
        <w:tc>
          <w:tcPr>
            <w:tcW w:w="4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147</w:t>
            </w:r>
          </w:p>
        </w:tc>
        <w:tc>
          <w:tcPr>
            <w:tcW w:w="240" w:type="dxa"/>
            <w:vAlign w:val="bottom"/>
            <w:tcBorders>
              <w:bottom w:val="single" w:sz="8" w:color="auto"/>
            </w:tcBorders>
            <w:shd w:val="clear" w:color="auto" w:fill="CCEEFF"/>
          </w:tcPr>
          <w:p>
            <w:pPr>
              <w:ind w:left="60"/>
              <w:spacing w:after="0" w:line="183"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(132)</w:t>
            </w:r>
          </w:p>
        </w:tc>
        <w:tc>
          <w:tcPr>
            <w:tcW w:w="1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4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2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28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 xml:space="preserve">Indefinite life intangible assets: </w:t>
            </w:r>
            <w:r>
              <w:rPr>
                <w:rFonts w:ascii="Arial" w:cs="Arial" w:eastAsia="Arial" w:hAnsi="Arial"/>
                <w:sz w:val="12"/>
                <w:szCs w:val="12"/>
                <w:color w:val="auto"/>
              </w:rPr>
              <w:t>(1), (2)</w:t>
            </w:r>
          </w:p>
        </w:tc>
        <w:tc>
          <w:tcPr>
            <w:tcW w:w="2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860" w:type="dxa"/>
            <w:vAlign w:val="bottom"/>
          </w:tcPr>
          <w:p>
            <w:pPr>
              <w:ind w:left="220"/>
              <w:spacing w:after="0" w:line="183" w:lineRule="exact"/>
              <w:rPr>
                <w:sz w:val="20"/>
                <w:szCs w:val="20"/>
                <w:color w:val="auto"/>
              </w:rPr>
            </w:pPr>
            <w:r>
              <w:rPr>
                <w:rFonts w:ascii="Arial" w:cs="Arial" w:eastAsia="Arial" w:hAnsi="Arial"/>
                <w:sz w:val="17"/>
                <w:szCs w:val="17"/>
                <w:color w:val="auto"/>
              </w:rPr>
              <w:t>Runners Point Group trademarks /</w:t>
            </w: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4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8</w:t>
            </w: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860" w:type="dxa"/>
            <w:vAlign w:val="bottom"/>
            <w:tcBorders>
              <w:bottom w:val="single" w:sz="8" w:color="auto"/>
            </w:tcBorders>
          </w:tcPr>
          <w:p>
            <w:pPr>
              <w:ind w:left="380"/>
              <w:spacing w:after="0"/>
              <w:rPr>
                <w:sz w:val="20"/>
                <w:szCs w:val="20"/>
                <w:color w:val="auto"/>
              </w:rPr>
            </w:pPr>
            <w:r>
              <w:rPr>
                <w:rFonts w:ascii="Arial" w:cs="Arial" w:eastAsia="Arial" w:hAnsi="Arial"/>
                <w:sz w:val="17"/>
                <w:szCs w:val="17"/>
                <w:color w:val="auto"/>
              </w:rPr>
              <w:t>trade names</w:t>
            </w:r>
          </w:p>
        </w:tc>
        <w:tc>
          <w:tcPr>
            <w:tcW w:w="2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w:t>
            </w:r>
          </w:p>
        </w:tc>
        <w:tc>
          <w:tcPr>
            <w:tcW w:w="2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86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Other intangible assets, net</w:t>
            </w:r>
          </w:p>
        </w:tc>
        <w:tc>
          <w:tcPr>
            <w:tcW w:w="22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4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21</w:t>
            </w:r>
          </w:p>
        </w:tc>
        <w:tc>
          <w:tcPr>
            <w:tcW w:w="24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5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41</w:t>
            </w:r>
          </w:p>
        </w:tc>
        <w:tc>
          <w:tcPr>
            <w:tcW w:w="24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4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340" w:hanging="331"/>
        <w:spacing w:after="0" w:line="241" w:lineRule="auto"/>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change in the ending balances reflects the effect of foreign currency fluctuations due primarily to the movements of the euro in relation to the U.S. dollar.</w:t>
      </w:r>
    </w:p>
    <w:p>
      <w:pPr>
        <w:ind w:left="340" w:hanging="331"/>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During the fourth quarter of 2018, the Company recorded a non-cash impairment charge of $15 million related to these intangibles.</w:t>
      </w:r>
    </w:p>
    <w:p>
      <w:pPr>
        <w:spacing w:after="0" w:line="198"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The annual review of intangible assets with indefinite lives performed during the first quarter of 2019 did not result in the recognition of impairment. Amortization expense recorded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6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2"/>
          </w:tcPr>
          <w:p>
            <w:pPr>
              <w:jc w:val="right"/>
              <w:ind w:right="35"/>
              <w:spacing w:after="0"/>
              <w:rPr>
                <w:sz w:val="20"/>
                <w:szCs w:val="20"/>
                <w:color w:val="auto"/>
              </w:rPr>
            </w:pPr>
            <w:r>
              <w:rPr>
                <w:rFonts w:ascii="Arial" w:cs="Arial" w:eastAsia="Arial" w:hAnsi="Arial"/>
                <w:sz w:val="17"/>
                <w:szCs w:val="17"/>
                <w:b w:val="1"/>
                <w:bCs w:val="1"/>
                <w:color w:val="auto"/>
              </w:rPr>
              <w:t>Thirteen weeks ended</w:t>
            </w: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3"/>
          </w:tcPr>
          <w:p>
            <w:pPr>
              <w:jc w:val="right"/>
              <w:ind w:right="255"/>
              <w:spacing w:after="0"/>
              <w:rPr>
                <w:sz w:val="20"/>
                <w:szCs w:val="20"/>
                <w:color w:val="auto"/>
              </w:rPr>
            </w:pPr>
            <w:r>
              <w:rPr>
                <w:rFonts w:ascii="Arial" w:cs="Arial" w:eastAsia="Arial" w:hAnsi="Arial"/>
                <w:sz w:val="17"/>
                <w:szCs w:val="17"/>
                <w:b w:val="1"/>
                <w:bCs w:val="1"/>
                <w:color w:val="auto"/>
              </w:rPr>
              <w:t>Twenty-six weeks ended</w:t>
            </w:r>
          </w:p>
        </w:tc>
      </w:tr>
      <w:tr>
        <w:trPr>
          <w:trHeight w:val="183"/>
        </w:trPr>
        <w:tc>
          <w:tcPr>
            <w:tcW w:w="20" w:type="dxa"/>
            <w:vAlign w:val="bottom"/>
          </w:tcPr>
          <w:p>
            <w:pPr>
              <w:spacing w:after="0"/>
              <w:rPr>
                <w:sz w:val="15"/>
                <w:szCs w:val="15"/>
                <w:color w:val="auto"/>
              </w:rPr>
            </w:pPr>
          </w:p>
        </w:tc>
        <w:tc>
          <w:tcPr>
            <w:tcW w:w="262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 in millions)</w:t>
            </w:r>
          </w:p>
        </w:tc>
        <w:tc>
          <w:tcPr>
            <w:tcW w:w="2280" w:type="dxa"/>
            <w:vAlign w:val="bottom"/>
            <w:tcBorders>
              <w:bottom w:val="single" w:sz="8" w:color="auto"/>
            </w:tcBorders>
            <w:gridSpan w:val="2"/>
          </w:tcPr>
          <w:p>
            <w:pPr>
              <w:ind w:left="1000"/>
              <w:spacing w:after="0" w:line="183" w:lineRule="exact"/>
              <w:rPr>
                <w:sz w:val="20"/>
                <w:szCs w:val="20"/>
                <w:color w:val="auto"/>
              </w:rPr>
            </w:pPr>
            <w:r>
              <w:rPr>
                <w:rFonts w:ascii="Arial" w:cs="Arial" w:eastAsia="Arial" w:hAnsi="Arial"/>
                <w:sz w:val="17"/>
                <w:szCs w:val="17"/>
                <w:b w:val="1"/>
                <w:bCs w:val="1"/>
                <w:color w:val="auto"/>
              </w:rPr>
              <w:t>August 3, 2019</w:t>
            </w:r>
          </w:p>
        </w:tc>
        <w:tc>
          <w:tcPr>
            <w:tcW w:w="1340" w:type="dxa"/>
            <w:vAlign w:val="bottom"/>
            <w:tcBorders>
              <w:bottom w:val="single" w:sz="8" w:color="auto"/>
            </w:tcBorders>
            <w:gridSpan w:val="2"/>
          </w:tcPr>
          <w:p>
            <w:pPr>
              <w:jc w:val="right"/>
              <w:spacing w:after="0" w:line="183" w:lineRule="exact"/>
              <w:rPr>
                <w:sz w:val="20"/>
                <w:szCs w:val="20"/>
                <w:color w:val="auto"/>
              </w:rPr>
            </w:pPr>
            <w:r>
              <w:rPr>
                <w:rFonts w:ascii="Arial" w:cs="Arial" w:eastAsia="Arial" w:hAnsi="Arial"/>
                <w:sz w:val="17"/>
                <w:szCs w:val="17"/>
                <w:b w:val="1"/>
                <w:bCs w:val="1"/>
                <w:color w:val="auto"/>
              </w:rPr>
              <w:t>August 4, 2018</w:t>
            </w: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w w:val="99"/>
              </w:rPr>
              <w:t>August 3, 2019</w:t>
            </w:r>
          </w:p>
        </w:tc>
        <w:tc>
          <w:tcPr>
            <w:tcW w:w="1380" w:type="dxa"/>
            <w:vAlign w:val="bottom"/>
            <w:tcBorders>
              <w:bottom w:val="single" w:sz="8" w:color="auto"/>
            </w:tcBorders>
            <w:gridSpan w:val="2"/>
          </w:tcPr>
          <w:p>
            <w:pPr>
              <w:jc w:val="right"/>
              <w:spacing w:after="0" w:line="183" w:lineRule="exact"/>
              <w:rPr>
                <w:sz w:val="20"/>
                <w:szCs w:val="20"/>
                <w:color w:val="auto"/>
              </w:rPr>
            </w:pPr>
            <w:r>
              <w:rPr>
                <w:rFonts w:ascii="Arial" w:cs="Arial" w:eastAsia="Arial" w:hAnsi="Arial"/>
                <w:sz w:val="17"/>
                <w:szCs w:val="17"/>
                <w:b w:val="1"/>
                <w:bCs w:val="1"/>
                <w:color w:val="auto"/>
              </w:rPr>
              <w:t>August 4, 2018</w:t>
            </w:r>
          </w:p>
        </w:tc>
      </w:tr>
      <w:tr>
        <w:trPr>
          <w:trHeight w:val="183"/>
        </w:trPr>
        <w:tc>
          <w:tcPr>
            <w:tcW w:w="20" w:type="dxa"/>
            <w:vAlign w:val="bottom"/>
          </w:tcPr>
          <w:p>
            <w:pPr>
              <w:spacing w:after="0"/>
              <w:rPr>
                <w:sz w:val="15"/>
                <w:szCs w:val="15"/>
                <w:color w:val="auto"/>
              </w:rPr>
            </w:pPr>
          </w:p>
        </w:tc>
        <w:tc>
          <w:tcPr>
            <w:tcW w:w="262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Amortization expense</w:t>
            </w:r>
          </w:p>
        </w:tc>
        <w:tc>
          <w:tcPr>
            <w:tcW w:w="1240" w:type="dxa"/>
            <w:vAlign w:val="bottom"/>
            <w:tcBorders>
              <w:bottom w:val="single" w:sz="8" w:color="auto"/>
            </w:tcBorders>
            <w:shd w:val="clear" w:color="auto" w:fill="CCEEFF"/>
          </w:tcPr>
          <w:p>
            <w:pPr>
              <w:ind w:left="980"/>
              <w:spacing w:after="0" w:line="183" w:lineRule="exact"/>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b w:val="1"/>
                <w:bCs w:val="1"/>
                <w:color w:val="auto"/>
              </w:rPr>
              <w:t>1</w:t>
            </w:r>
          </w:p>
        </w:tc>
        <w:tc>
          <w:tcPr>
            <w:tcW w:w="1040" w:type="dxa"/>
            <w:vAlign w:val="bottom"/>
            <w:tcBorders>
              <w:bottom w:val="single" w:sz="8" w:color="auto"/>
            </w:tcBorders>
            <w:shd w:val="clear" w:color="auto" w:fill="CCEEFF"/>
          </w:tcPr>
          <w:p>
            <w:pPr>
              <w:jc w:val="right"/>
              <w:ind w:right="775"/>
              <w:spacing w:after="0" w:line="183" w:lineRule="exact"/>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w:t>
            </w:r>
          </w:p>
        </w:tc>
        <w:tc>
          <w:tcPr>
            <w:tcW w:w="1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w w:val="84"/>
              </w:rPr>
              <w:t>$</w:t>
            </w:r>
          </w:p>
        </w:tc>
        <w:tc>
          <w:tcPr>
            <w:tcW w:w="130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b w:val="1"/>
                <w:bCs w:val="1"/>
                <w:color w:val="auto"/>
              </w:rPr>
              <w:t>2</w:t>
            </w:r>
          </w:p>
        </w:tc>
        <w:tc>
          <w:tcPr>
            <w:tcW w:w="2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2</w:t>
            </w:r>
          </w:p>
        </w:tc>
      </w:tr>
      <w:tr>
        <w:trPr>
          <w:trHeight w:val="412"/>
        </w:trPr>
        <w:tc>
          <w:tcPr>
            <w:tcW w:w="20" w:type="dxa"/>
            <w:vAlign w:val="bottom"/>
          </w:tcPr>
          <w:p>
            <w:pPr>
              <w:spacing w:after="0"/>
              <w:rPr>
                <w:sz w:val="24"/>
                <w:szCs w:val="24"/>
                <w:color w:val="auto"/>
              </w:rPr>
            </w:pPr>
          </w:p>
        </w:tc>
        <w:tc>
          <w:tcPr>
            <w:tcW w:w="7660" w:type="dxa"/>
            <w:vAlign w:val="bottom"/>
            <w:gridSpan w:val="7"/>
          </w:tcPr>
          <w:p>
            <w:pPr>
              <w:spacing w:after="0"/>
              <w:rPr>
                <w:sz w:val="20"/>
                <w:szCs w:val="20"/>
                <w:color w:val="auto"/>
              </w:rPr>
            </w:pPr>
            <w:r>
              <w:rPr>
                <w:rFonts w:ascii="Arial" w:cs="Arial" w:eastAsia="Arial" w:hAnsi="Arial"/>
                <w:sz w:val="18"/>
                <w:szCs w:val="18"/>
                <w:color w:val="auto"/>
              </w:rPr>
              <w:t>Estimated future amortization expense for finite-life intangible assets is as follows:</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05"/>
        </w:trPr>
        <w:tc>
          <w:tcPr>
            <w:tcW w:w="20" w:type="dxa"/>
            <w:vAlign w:val="bottom"/>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color w:val="auto"/>
                <w:w w:val="99"/>
              </w:rPr>
              <w:t>in millions)</w:t>
            </w:r>
          </w:p>
        </w:tc>
      </w:tr>
      <w:tr>
        <w:trPr>
          <w:trHeight w:val="183"/>
        </w:trPr>
        <w:tc>
          <w:tcPr>
            <w:tcW w:w="20" w:type="dxa"/>
            <w:vAlign w:val="bottom"/>
          </w:tcPr>
          <w:p>
            <w:pPr>
              <w:spacing w:after="0"/>
              <w:rPr>
                <w:sz w:val="15"/>
                <w:szCs w:val="15"/>
                <w:color w:val="auto"/>
              </w:rPr>
            </w:pPr>
          </w:p>
        </w:tc>
        <w:tc>
          <w:tcPr>
            <w:tcW w:w="26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Remainder of 2019</w:t>
            </w:r>
          </w:p>
        </w:tc>
        <w:tc>
          <w:tcPr>
            <w:tcW w:w="12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2</w:t>
            </w:r>
          </w:p>
        </w:tc>
      </w:tr>
      <w:tr>
        <w:trPr>
          <w:trHeight w:val="189"/>
        </w:trPr>
        <w:tc>
          <w:tcPr>
            <w:tcW w:w="20" w:type="dxa"/>
            <w:vAlign w:val="bottom"/>
          </w:tcPr>
          <w:p>
            <w:pPr>
              <w:spacing w:after="0"/>
              <w:rPr>
                <w:sz w:val="16"/>
                <w:szCs w:val="16"/>
                <w:color w:val="auto"/>
              </w:rPr>
            </w:pPr>
          </w:p>
        </w:tc>
        <w:tc>
          <w:tcPr>
            <w:tcW w:w="2620" w:type="dxa"/>
            <w:vAlign w:val="bottom"/>
          </w:tcPr>
          <w:p>
            <w:pPr>
              <w:spacing w:after="0" w:line="189" w:lineRule="exact"/>
              <w:rPr>
                <w:sz w:val="20"/>
                <w:szCs w:val="20"/>
                <w:color w:val="auto"/>
              </w:rPr>
            </w:pPr>
            <w:r>
              <w:rPr>
                <w:rFonts w:ascii="Arial" w:cs="Arial" w:eastAsia="Arial" w:hAnsi="Arial"/>
                <w:sz w:val="17"/>
                <w:szCs w:val="17"/>
                <w:color w:val="auto"/>
              </w:rPr>
              <w:t>2020</w:t>
            </w:r>
          </w:p>
        </w:tc>
        <w:tc>
          <w:tcPr>
            <w:tcW w:w="1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Arial" w:cs="Arial" w:eastAsia="Arial" w:hAnsi="Arial"/>
                <w:sz w:val="17"/>
                <w:szCs w:val="17"/>
                <w:color w:val="auto"/>
              </w:rPr>
              <w:t>3</w:t>
            </w:r>
          </w:p>
        </w:tc>
      </w:tr>
      <w:tr>
        <w:trPr>
          <w:trHeight w:val="189"/>
        </w:trPr>
        <w:tc>
          <w:tcPr>
            <w:tcW w:w="20" w:type="dxa"/>
            <w:vAlign w:val="bottom"/>
          </w:tcPr>
          <w:p>
            <w:pPr>
              <w:spacing w:after="0"/>
              <w:rPr>
                <w:sz w:val="16"/>
                <w:szCs w:val="16"/>
                <w:color w:val="auto"/>
              </w:rPr>
            </w:pPr>
          </w:p>
        </w:tc>
        <w:tc>
          <w:tcPr>
            <w:tcW w:w="26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2021</w:t>
            </w:r>
          </w:p>
        </w:tc>
        <w:tc>
          <w:tcPr>
            <w:tcW w:w="12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w:t>
            </w:r>
          </w:p>
        </w:tc>
      </w:tr>
      <w:tr>
        <w:trPr>
          <w:trHeight w:val="189"/>
        </w:trPr>
        <w:tc>
          <w:tcPr>
            <w:tcW w:w="20" w:type="dxa"/>
            <w:vAlign w:val="bottom"/>
          </w:tcPr>
          <w:p>
            <w:pPr>
              <w:spacing w:after="0"/>
              <w:rPr>
                <w:sz w:val="16"/>
                <w:szCs w:val="16"/>
                <w:color w:val="auto"/>
              </w:rPr>
            </w:pPr>
          </w:p>
        </w:tc>
        <w:tc>
          <w:tcPr>
            <w:tcW w:w="2620" w:type="dxa"/>
            <w:vAlign w:val="bottom"/>
          </w:tcPr>
          <w:p>
            <w:pPr>
              <w:spacing w:after="0" w:line="189" w:lineRule="exact"/>
              <w:rPr>
                <w:sz w:val="20"/>
                <w:szCs w:val="20"/>
                <w:color w:val="auto"/>
              </w:rPr>
            </w:pPr>
            <w:r>
              <w:rPr>
                <w:rFonts w:ascii="Arial" w:cs="Arial" w:eastAsia="Arial" w:hAnsi="Arial"/>
                <w:sz w:val="17"/>
                <w:szCs w:val="17"/>
                <w:color w:val="auto"/>
              </w:rPr>
              <w:t>2022</w:t>
            </w:r>
          </w:p>
        </w:tc>
        <w:tc>
          <w:tcPr>
            <w:tcW w:w="1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Arial" w:cs="Arial" w:eastAsia="Arial" w:hAnsi="Arial"/>
                <w:sz w:val="17"/>
                <w:szCs w:val="17"/>
                <w:color w:val="auto"/>
              </w:rPr>
              <w:t>2</w:t>
            </w:r>
          </w:p>
        </w:tc>
      </w:tr>
      <w:tr>
        <w:trPr>
          <w:trHeight w:val="189"/>
        </w:trPr>
        <w:tc>
          <w:tcPr>
            <w:tcW w:w="20" w:type="dxa"/>
            <w:vAlign w:val="bottom"/>
          </w:tcPr>
          <w:p>
            <w:pPr>
              <w:spacing w:after="0"/>
              <w:rPr>
                <w:sz w:val="16"/>
                <w:szCs w:val="16"/>
                <w:color w:val="auto"/>
              </w:rPr>
            </w:pPr>
          </w:p>
        </w:tc>
        <w:tc>
          <w:tcPr>
            <w:tcW w:w="26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2023</w:t>
            </w:r>
          </w:p>
        </w:tc>
        <w:tc>
          <w:tcPr>
            <w:tcW w:w="12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w:t>
            </w:r>
          </w:p>
        </w:tc>
      </w:tr>
      <w:tr>
        <w:trPr>
          <w:trHeight w:val="189"/>
        </w:trPr>
        <w:tc>
          <w:tcPr>
            <w:tcW w:w="20" w:type="dxa"/>
            <w:vAlign w:val="bottom"/>
          </w:tcPr>
          <w:p>
            <w:pPr>
              <w:spacing w:after="0"/>
              <w:rPr>
                <w:sz w:val="16"/>
                <w:szCs w:val="16"/>
                <w:color w:val="auto"/>
              </w:rPr>
            </w:pPr>
          </w:p>
        </w:tc>
        <w:tc>
          <w:tcPr>
            <w:tcW w:w="262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2024</w:t>
            </w:r>
          </w:p>
        </w:tc>
        <w:tc>
          <w:tcPr>
            <w:tcW w:w="1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w:t>
      </w:r>
    </w:p>
    <w:p>
      <w:pPr>
        <w:spacing w:after="0" w:line="23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Company is obligated under operating leases for almost all of its store properties. In addition, the Company leases certain warehouse distribution centers. Operating lease periods generally range from 5 to 10 years and most store leases contain rent escalation provisions. For leases beginning in 2019 and later, the Company will combine lease components (e.g. rental payments) and non-lease components (e.g. common area maintenance costs and utilities). Leases with an initial term of 12 months or less are not recorded on the balance sheet. We recognize lease expense for these short-term leases on a straight-line basis over the lease term.</w:t>
      </w:r>
    </w:p>
    <w:p>
      <w:pPr>
        <w:spacing w:after="0" w:line="205" w:lineRule="exact"/>
        <w:rPr>
          <w:sz w:val="20"/>
          <w:szCs w:val="20"/>
          <w:color w:val="auto"/>
        </w:rPr>
      </w:pPr>
    </w:p>
    <w:p>
      <w:pPr>
        <w:jc w:val="both"/>
        <w:spacing w:after="0"/>
        <w:rPr>
          <w:sz w:val="20"/>
          <w:szCs w:val="20"/>
          <w:color w:val="auto"/>
        </w:rPr>
      </w:pPr>
      <w:r>
        <w:rPr>
          <w:rFonts w:ascii="Arial" w:cs="Arial" w:eastAsia="Arial" w:hAnsi="Arial"/>
          <w:sz w:val="18"/>
          <w:szCs w:val="18"/>
          <w:color w:val="auto"/>
        </w:rPr>
        <w:t>Right-of-use assets and liabilities are recognized at the commencement date based on the present value of lease payments over the lease term for those arrangements where there is an identified asset and the contract conveys the right to control its use.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18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Since the rates implicit in the leases are not readily determinable, the Company uses its incremental borrowing rates based on the remaining lease term to determine the present value of future lease payments. The Company's incremental borrowing rate for a lease is the rate of interest it would have to pay on a collateralized basis to borrow an amount equal to the lease payments under similar terms.</w:t>
      </w:r>
    </w:p>
    <w:p>
      <w:pPr>
        <w:spacing w:after="0" w:line="202"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Some of the store leases contain renewal options with varying terms and conditions. The Company’s lease term includes options to extend or terminate a lease only when it is reasonably certain that it will exercise that option.</w:t>
      </w:r>
    </w:p>
    <w:p>
      <w:pPr>
        <w:spacing w:after="0" w:line="19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majority of operating lease costs relate to retail stores and distribution centers and the expenses are classified within cost of sales. Operating lease costs for non-store rents are included in SG&amp;A.</w:t>
      </w:r>
    </w:p>
    <w:p>
      <w:pPr>
        <w:spacing w:after="0" w:line="197" w:lineRule="exact"/>
        <w:rPr>
          <w:sz w:val="20"/>
          <w:szCs w:val="20"/>
          <w:color w:val="auto"/>
        </w:rPr>
      </w:pPr>
    </w:p>
    <w:p>
      <w:pPr>
        <w:jc w:val="both"/>
        <w:spacing w:after="0"/>
        <w:rPr>
          <w:sz w:val="20"/>
          <w:szCs w:val="20"/>
          <w:color w:val="auto"/>
        </w:rPr>
      </w:pPr>
      <w:r>
        <w:rPr>
          <w:rFonts w:ascii="Arial" w:cs="Arial" w:eastAsia="Arial" w:hAnsi="Arial"/>
          <w:sz w:val="18"/>
          <w:szCs w:val="18"/>
          <w:color w:val="auto"/>
        </w:rPr>
        <w:t>Certain leases provide for variable lease costs, which primarily include rent payments based on a percentage of store sales, common area maintenance costs, and taxes. These costs are expensed as incurred and are included within cost of sales.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cost as of August 3, 2019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600" w:type="dxa"/>
            <w:vAlign w:val="bottom"/>
          </w:tcPr>
          <w:p>
            <w:pPr>
              <w:jc w:val="center"/>
              <w:ind w:right="175"/>
              <w:spacing w:after="0"/>
              <w:rPr>
                <w:sz w:val="20"/>
                <w:szCs w:val="20"/>
                <w:color w:val="auto"/>
              </w:rPr>
            </w:pPr>
            <w:r>
              <w:rPr>
                <w:rFonts w:ascii="Arial" w:cs="Arial" w:eastAsia="Arial" w:hAnsi="Arial"/>
                <w:sz w:val="17"/>
                <w:szCs w:val="17"/>
                <w:b w:val="1"/>
                <w:bCs w:val="1"/>
                <w:color w:val="auto"/>
                <w:w w:val="99"/>
              </w:rPr>
              <w:t>Thirteen weeks</w:t>
            </w:r>
          </w:p>
        </w:tc>
        <w:tc>
          <w:tcPr>
            <w:tcW w:w="300" w:type="dxa"/>
            <w:vAlign w:val="bottom"/>
          </w:tcPr>
          <w:p>
            <w:pPr>
              <w:spacing w:after="0"/>
              <w:rPr>
                <w:sz w:val="16"/>
                <w:szCs w:val="16"/>
                <w:color w:val="auto"/>
              </w:rPr>
            </w:pPr>
          </w:p>
        </w:tc>
        <w:tc>
          <w:tcPr>
            <w:tcW w:w="1580" w:type="dxa"/>
            <w:vAlign w:val="bottom"/>
          </w:tcPr>
          <w:p>
            <w:pPr>
              <w:jc w:val="center"/>
              <w:ind w:right="35"/>
              <w:spacing w:after="0"/>
              <w:rPr>
                <w:sz w:val="20"/>
                <w:szCs w:val="20"/>
                <w:color w:val="auto"/>
              </w:rPr>
            </w:pPr>
            <w:r>
              <w:rPr>
                <w:rFonts w:ascii="Arial" w:cs="Arial" w:eastAsia="Arial" w:hAnsi="Arial"/>
                <w:sz w:val="17"/>
                <w:szCs w:val="17"/>
                <w:b w:val="1"/>
                <w:bCs w:val="1"/>
                <w:color w:val="auto"/>
                <w:w w:val="98"/>
              </w:rPr>
              <w:t>Twenty-six weeks</w:t>
            </w:r>
          </w:p>
        </w:tc>
      </w:tr>
      <w:tr>
        <w:trPr>
          <w:trHeight w:val="215"/>
        </w:trPr>
        <w:tc>
          <w:tcPr>
            <w:tcW w:w="358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center"/>
              <w:ind w:right="175"/>
              <w:spacing w:after="0"/>
              <w:rPr>
                <w:sz w:val="20"/>
                <w:szCs w:val="20"/>
                <w:color w:val="auto"/>
              </w:rPr>
            </w:pPr>
            <w:r>
              <w:rPr>
                <w:rFonts w:ascii="Arial" w:cs="Arial" w:eastAsia="Arial" w:hAnsi="Arial"/>
                <w:sz w:val="17"/>
                <w:szCs w:val="17"/>
                <w:b w:val="1"/>
                <w:bCs w:val="1"/>
                <w:color w:val="auto"/>
                <w:w w:val="99"/>
              </w:rPr>
              <w:t>ended</w:t>
            </w:r>
          </w:p>
        </w:tc>
        <w:tc>
          <w:tcPr>
            <w:tcW w:w="3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center"/>
              <w:ind w:right="35"/>
              <w:spacing w:after="0"/>
              <w:rPr>
                <w:sz w:val="20"/>
                <w:szCs w:val="20"/>
                <w:color w:val="auto"/>
              </w:rPr>
            </w:pPr>
            <w:r>
              <w:rPr>
                <w:rFonts w:ascii="Arial" w:cs="Arial" w:eastAsia="Arial" w:hAnsi="Arial"/>
                <w:sz w:val="17"/>
                <w:szCs w:val="17"/>
                <w:b w:val="1"/>
                <w:bCs w:val="1"/>
                <w:color w:val="auto"/>
                <w:w w:val="99"/>
              </w:rPr>
              <w:t>ended</w:t>
            </w:r>
          </w:p>
        </w:tc>
      </w:tr>
      <w:tr>
        <w:trPr>
          <w:trHeight w:val="183"/>
        </w:trPr>
        <w:tc>
          <w:tcPr>
            <w:tcW w:w="358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 in millions)</w:t>
            </w:r>
          </w:p>
        </w:tc>
        <w:tc>
          <w:tcPr>
            <w:tcW w:w="20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center"/>
              <w:ind w:right="175"/>
              <w:spacing w:after="0" w:line="183" w:lineRule="exact"/>
              <w:rPr>
                <w:sz w:val="20"/>
                <w:szCs w:val="20"/>
                <w:color w:val="auto"/>
              </w:rPr>
            </w:pPr>
            <w:r>
              <w:rPr>
                <w:rFonts w:ascii="Arial" w:cs="Arial" w:eastAsia="Arial" w:hAnsi="Arial"/>
                <w:sz w:val="17"/>
                <w:szCs w:val="17"/>
                <w:b w:val="1"/>
                <w:bCs w:val="1"/>
                <w:color w:val="auto"/>
              </w:rPr>
              <w:t>August 3, 2019</w:t>
            </w:r>
          </w:p>
        </w:tc>
        <w:tc>
          <w:tcPr>
            <w:tcW w:w="3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center"/>
              <w:ind w:right="55"/>
              <w:spacing w:after="0" w:line="183" w:lineRule="exact"/>
              <w:rPr>
                <w:sz w:val="20"/>
                <w:szCs w:val="20"/>
                <w:color w:val="auto"/>
              </w:rPr>
            </w:pPr>
            <w:r>
              <w:rPr>
                <w:rFonts w:ascii="Arial" w:cs="Arial" w:eastAsia="Arial" w:hAnsi="Arial"/>
                <w:sz w:val="17"/>
                <w:szCs w:val="17"/>
                <w:b w:val="1"/>
                <w:bCs w:val="1"/>
                <w:color w:val="auto"/>
                <w:w w:val="99"/>
              </w:rPr>
              <w:t>August 3, 2019</w:t>
            </w:r>
          </w:p>
        </w:tc>
      </w:tr>
      <w:tr>
        <w:trPr>
          <w:trHeight w:val="183"/>
        </w:trPr>
        <w:tc>
          <w:tcPr>
            <w:tcW w:w="35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Operating lease costs</w:t>
            </w:r>
          </w:p>
        </w:tc>
        <w:tc>
          <w:tcPr>
            <w:tcW w:w="20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60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165</w:t>
            </w:r>
          </w:p>
        </w:tc>
        <w:tc>
          <w:tcPr>
            <w:tcW w:w="3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5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331</w:t>
            </w:r>
          </w:p>
        </w:tc>
      </w:tr>
      <w:tr>
        <w:trPr>
          <w:trHeight w:val="189"/>
        </w:trPr>
        <w:tc>
          <w:tcPr>
            <w:tcW w:w="3580" w:type="dxa"/>
            <w:vAlign w:val="bottom"/>
          </w:tcPr>
          <w:p>
            <w:pPr>
              <w:spacing w:after="0" w:line="189" w:lineRule="exact"/>
              <w:rPr>
                <w:sz w:val="20"/>
                <w:szCs w:val="20"/>
                <w:color w:val="auto"/>
              </w:rPr>
            </w:pPr>
            <w:r>
              <w:rPr>
                <w:rFonts w:ascii="Arial" w:cs="Arial" w:eastAsia="Arial" w:hAnsi="Arial"/>
                <w:sz w:val="17"/>
                <w:szCs w:val="17"/>
                <w:color w:val="auto"/>
              </w:rPr>
              <w:t>Variable lease costs</w:t>
            </w:r>
          </w:p>
        </w:tc>
        <w:tc>
          <w:tcPr>
            <w:tcW w:w="2000" w:type="dxa"/>
            <w:vAlign w:val="bottom"/>
          </w:tcPr>
          <w:p>
            <w:pPr>
              <w:spacing w:after="0"/>
              <w:rPr>
                <w:sz w:val="16"/>
                <w:szCs w:val="16"/>
                <w:color w:val="auto"/>
              </w:rPr>
            </w:pPr>
          </w:p>
        </w:tc>
        <w:tc>
          <w:tcPr>
            <w:tcW w:w="160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81</w:t>
            </w:r>
          </w:p>
        </w:tc>
        <w:tc>
          <w:tcPr>
            <w:tcW w:w="300" w:type="dxa"/>
            <w:vAlign w:val="bottom"/>
          </w:tcPr>
          <w:p>
            <w:pPr>
              <w:spacing w:after="0"/>
              <w:rPr>
                <w:sz w:val="16"/>
                <w:szCs w:val="16"/>
                <w:color w:val="auto"/>
              </w:rPr>
            </w:pPr>
          </w:p>
        </w:tc>
        <w:tc>
          <w:tcPr>
            <w:tcW w:w="158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165</w:t>
            </w:r>
          </w:p>
        </w:tc>
      </w:tr>
      <w:tr>
        <w:trPr>
          <w:trHeight w:val="189"/>
        </w:trPr>
        <w:tc>
          <w:tcPr>
            <w:tcW w:w="358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Short-term lease costs</w:t>
            </w:r>
          </w:p>
        </w:tc>
        <w:tc>
          <w:tcPr>
            <w:tcW w:w="2000" w:type="dxa"/>
            <w:vAlign w:val="bottom"/>
            <w:tcBorders>
              <w:bottom w:val="single" w:sz="8" w:color="auto"/>
            </w:tcBorders>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7</w:t>
            </w:r>
          </w:p>
        </w:tc>
        <w:tc>
          <w:tcPr>
            <w:tcW w:w="300" w:type="dxa"/>
            <w:vAlign w:val="bottom"/>
            <w:tcBorders>
              <w:bottom w:val="single" w:sz="8" w:color="auto"/>
            </w:tcBorders>
            <w:shd w:val="clear" w:color="auto" w:fill="CCEEFF"/>
          </w:tcPr>
          <w:p>
            <w:pPr>
              <w:spacing w:after="0"/>
              <w:rPr>
                <w:sz w:val="16"/>
                <w:szCs w:val="16"/>
                <w:color w:val="auto"/>
              </w:rPr>
            </w:pPr>
          </w:p>
        </w:tc>
        <w:tc>
          <w:tcPr>
            <w:tcW w:w="15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14</w:t>
            </w:r>
          </w:p>
        </w:tc>
      </w:tr>
      <w:tr>
        <w:trPr>
          <w:trHeight w:val="183"/>
        </w:trPr>
        <w:tc>
          <w:tcPr>
            <w:tcW w:w="358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Net lease cost</w:t>
            </w:r>
          </w:p>
        </w:tc>
        <w:tc>
          <w:tcPr>
            <w:tcW w:w="20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60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b w:val="1"/>
                <w:bCs w:val="1"/>
                <w:color w:val="auto"/>
              </w:rPr>
              <w:t>253</w:t>
            </w:r>
          </w:p>
        </w:tc>
        <w:tc>
          <w:tcPr>
            <w:tcW w:w="3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5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510</w:t>
            </w:r>
          </w:p>
        </w:tc>
      </w:tr>
      <w:tr>
        <w:trPr>
          <w:trHeight w:val="20"/>
        </w:trPr>
        <w:tc>
          <w:tcPr>
            <w:tcW w:w="35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Rent expense for the prior year comparative periods is accounted for under previous lease guidance. Rent expense for operating leases for the thirteen weeks ended August 4, 2018 amounted to $192 million and consisted of minimum and contingent rentals of $186 million and $6 million, respectively. For the twenty-six weeks ended August 4, 2018, rent expense for operating leases amounted to $377 million and consisted of minimum and contingent rentals of $365 million and $13 million, respectively, less sublease income of $1 million. Also, most of the Company’s leases require the payment of certain executory costs such as insurance, maintenance, and other costs in addition to the future minimum lease payments. These costs, including the amortization of lease rights, totaled $37 million and $74 million for the thirteen and twenty-six weeks ended August 4, 2018, respectively.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in  the  Condensed  Consolidated  Balance  Sheet  related  to  operating  leases  as  of</w:t>
      </w:r>
    </w:p>
    <w:p>
      <w:pPr>
        <w:spacing w:after="0"/>
        <w:rPr>
          <w:sz w:val="20"/>
          <w:szCs w:val="20"/>
          <w:color w:val="auto"/>
        </w:rPr>
      </w:pPr>
      <w:r>
        <w:rPr>
          <w:rFonts w:ascii="Arial" w:cs="Arial" w:eastAsia="Arial" w:hAnsi="Arial"/>
          <w:sz w:val="18"/>
          <w:szCs w:val="18"/>
          <w:color w:val="auto"/>
        </w:rPr>
        <w:t>August 3, 2019 were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color w:val="auto"/>
              </w:rPr>
              <w:t>in millions)</w:t>
            </w:r>
          </w:p>
        </w:tc>
      </w:tr>
      <w:tr>
        <w:trPr>
          <w:trHeight w:val="183"/>
        </w:trPr>
        <w:tc>
          <w:tcPr>
            <w:tcW w:w="4800" w:type="dxa"/>
            <w:vAlign w:val="bottom"/>
          </w:tcPr>
          <w:p>
            <w:pPr>
              <w:spacing w:after="0" w:line="183" w:lineRule="exact"/>
              <w:rPr>
                <w:sz w:val="20"/>
                <w:szCs w:val="20"/>
                <w:color w:val="auto"/>
              </w:rPr>
            </w:pPr>
            <w:r>
              <w:rPr>
                <w:rFonts w:ascii="Arial" w:cs="Arial" w:eastAsia="Arial" w:hAnsi="Arial"/>
                <w:sz w:val="17"/>
                <w:szCs w:val="17"/>
                <w:b w:val="1"/>
                <w:bCs w:val="1"/>
                <w:color w:val="auto"/>
              </w:rPr>
              <w:t>Assets</w:t>
            </w:r>
          </w:p>
        </w:tc>
        <w:tc>
          <w:tcPr>
            <w:tcW w:w="286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89"/>
        </w:trPr>
        <w:tc>
          <w:tcPr>
            <w:tcW w:w="48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Operating lease right-of-use assets</w:t>
            </w:r>
          </w:p>
        </w:tc>
        <w:tc>
          <w:tcPr>
            <w:tcW w:w="2860" w:type="dxa"/>
            <w:vAlign w:val="bottom"/>
            <w:shd w:val="clear" w:color="auto" w:fill="CCEEFF"/>
          </w:tcPr>
          <w:p>
            <w:pPr>
              <w:jc w:val="right"/>
              <w:ind w:right="535"/>
              <w:spacing w:after="0" w:line="189" w:lineRule="exact"/>
              <w:rPr>
                <w:sz w:val="20"/>
                <w:szCs w:val="20"/>
                <w:color w:val="auto"/>
              </w:rPr>
            </w:pPr>
            <w:r>
              <w:rPr>
                <w:rFonts w:ascii="Arial" w:cs="Arial" w:eastAsia="Arial" w:hAnsi="Arial"/>
                <w:sz w:val="17"/>
                <w:szCs w:val="17"/>
                <w:b w:val="1"/>
                <w:bCs w:val="1"/>
                <w:color w:val="auto"/>
              </w:rPr>
              <w:t>$</w:t>
            </w:r>
          </w:p>
        </w:tc>
        <w:tc>
          <w:tcPr>
            <w:tcW w:w="14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2,976</w:t>
            </w:r>
          </w:p>
        </w:tc>
      </w:tr>
      <w:tr>
        <w:trPr>
          <w:trHeight w:val="189"/>
        </w:trPr>
        <w:tc>
          <w:tcPr>
            <w:tcW w:w="480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9"/>
        </w:trPr>
        <w:tc>
          <w:tcPr>
            <w:tcW w:w="480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Liabilities</w:t>
            </w:r>
          </w:p>
        </w:tc>
        <w:tc>
          <w:tcPr>
            <w:tcW w:w="28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r>
      <w:tr>
        <w:trPr>
          <w:trHeight w:val="189"/>
        </w:trPr>
        <w:tc>
          <w:tcPr>
            <w:tcW w:w="4800" w:type="dxa"/>
            <w:vAlign w:val="bottom"/>
          </w:tcPr>
          <w:p>
            <w:pPr>
              <w:spacing w:after="0" w:line="189" w:lineRule="exact"/>
              <w:rPr>
                <w:sz w:val="20"/>
                <w:szCs w:val="20"/>
                <w:color w:val="auto"/>
              </w:rPr>
            </w:pPr>
            <w:r>
              <w:rPr>
                <w:rFonts w:ascii="Arial" w:cs="Arial" w:eastAsia="Arial" w:hAnsi="Arial"/>
                <w:sz w:val="17"/>
                <w:szCs w:val="17"/>
                <w:color w:val="auto"/>
              </w:rPr>
              <w:t>Current</w:t>
            </w:r>
          </w:p>
        </w:tc>
        <w:tc>
          <w:tcPr>
            <w:tcW w:w="286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9"/>
        </w:trPr>
        <w:tc>
          <w:tcPr>
            <w:tcW w:w="4800" w:type="dxa"/>
            <w:vAlign w:val="bottom"/>
            <w:shd w:val="clear" w:color="auto" w:fill="CCEEFF"/>
          </w:tcPr>
          <w:p>
            <w:pPr>
              <w:ind w:left="160"/>
              <w:spacing w:after="0" w:line="189" w:lineRule="exact"/>
              <w:rPr>
                <w:sz w:val="20"/>
                <w:szCs w:val="20"/>
                <w:color w:val="auto"/>
              </w:rPr>
            </w:pPr>
            <w:r>
              <w:rPr>
                <w:rFonts w:ascii="Arial" w:cs="Arial" w:eastAsia="Arial" w:hAnsi="Arial"/>
                <w:sz w:val="17"/>
                <w:szCs w:val="17"/>
                <w:color w:val="auto"/>
              </w:rPr>
              <w:t>Operating lease liabilities</w:t>
            </w:r>
          </w:p>
        </w:tc>
        <w:tc>
          <w:tcPr>
            <w:tcW w:w="286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497</w:t>
            </w:r>
          </w:p>
        </w:tc>
      </w:tr>
      <w:tr>
        <w:trPr>
          <w:trHeight w:val="189"/>
        </w:trPr>
        <w:tc>
          <w:tcPr>
            <w:tcW w:w="4800" w:type="dxa"/>
            <w:vAlign w:val="bottom"/>
          </w:tcPr>
          <w:p>
            <w:pPr>
              <w:spacing w:after="0" w:line="189" w:lineRule="exact"/>
              <w:rPr>
                <w:sz w:val="20"/>
                <w:szCs w:val="20"/>
                <w:color w:val="auto"/>
              </w:rPr>
            </w:pPr>
            <w:r>
              <w:rPr>
                <w:rFonts w:ascii="Arial" w:cs="Arial" w:eastAsia="Arial" w:hAnsi="Arial"/>
                <w:sz w:val="17"/>
                <w:szCs w:val="17"/>
                <w:color w:val="auto"/>
              </w:rPr>
              <w:t>Noncurrent</w:t>
            </w:r>
          </w:p>
        </w:tc>
        <w:tc>
          <w:tcPr>
            <w:tcW w:w="286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9"/>
        </w:trPr>
        <w:tc>
          <w:tcPr>
            <w:tcW w:w="4800" w:type="dxa"/>
            <w:vAlign w:val="bottom"/>
            <w:tcBorders>
              <w:bottom w:val="single" w:sz="8" w:color="auto"/>
            </w:tcBorders>
            <w:shd w:val="clear" w:color="auto" w:fill="CCEEFF"/>
          </w:tcPr>
          <w:p>
            <w:pPr>
              <w:ind w:left="160"/>
              <w:spacing w:after="0" w:line="189" w:lineRule="exact"/>
              <w:rPr>
                <w:sz w:val="20"/>
                <w:szCs w:val="20"/>
                <w:color w:val="auto"/>
              </w:rPr>
            </w:pPr>
            <w:r>
              <w:rPr>
                <w:rFonts w:ascii="Arial" w:cs="Arial" w:eastAsia="Arial" w:hAnsi="Arial"/>
                <w:sz w:val="17"/>
                <w:szCs w:val="17"/>
                <w:color w:val="auto"/>
              </w:rPr>
              <w:t>Operating lease liabilities</w:t>
            </w:r>
          </w:p>
        </w:tc>
        <w:tc>
          <w:tcPr>
            <w:tcW w:w="286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2,750</w:t>
            </w:r>
          </w:p>
        </w:tc>
      </w:tr>
      <w:tr>
        <w:trPr>
          <w:trHeight w:val="183"/>
        </w:trPr>
        <w:tc>
          <w:tcPr>
            <w:tcW w:w="480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Total lease liabilities</w:t>
            </w:r>
          </w:p>
        </w:tc>
        <w:tc>
          <w:tcPr>
            <w:tcW w:w="2860" w:type="dxa"/>
            <w:vAlign w:val="bottom"/>
            <w:tcBorders>
              <w:bottom w:val="single" w:sz="8" w:color="auto"/>
            </w:tcBorders>
          </w:tcPr>
          <w:p>
            <w:pPr>
              <w:jc w:val="right"/>
              <w:ind w:right="535"/>
              <w:spacing w:after="0" w:line="183" w:lineRule="exact"/>
              <w:rPr>
                <w:sz w:val="20"/>
                <w:szCs w:val="20"/>
                <w:color w:val="auto"/>
              </w:rPr>
            </w:pPr>
            <w:r>
              <w:rPr>
                <w:rFonts w:ascii="Arial" w:cs="Arial" w:eastAsia="Arial" w:hAnsi="Arial"/>
                <w:sz w:val="17"/>
                <w:szCs w:val="17"/>
                <w:b w:val="1"/>
                <w:bCs w:val="1"/>
                <w:color w:val="auto"/>
              </w:rPr>
              <w:t>$</w:t>
            </w:r>
          </w:p>
        </w:tc>
        <w:tc>
          <w:tcPr>
            <w:tcW w:w="14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3,247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Other information related to operating leases as of August 3, 2019 consisted of the following: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Weighted average remaining lease term (years)</w:t>
            </w:r>
          </w:p>
        </w:tc>
        <w:tc>
          <w:tcPr>
            <w:tcW w:w="3080" w:type="dxa"/>
            <w:vAlign w:val="bottom"/>
            <w:tcBorders>
              <w:top w:val="single" w:sz="8" w:color="auto"/>
            </w:tcBorders>
            <w:shd w:val="clear" w:color="auto" w:fill="CCEEFF"/>
          </w:tcPr>
          <w:p>
            <w:pPr>
              <w:ind w:left="2380"/>
              <w:spacing w:after="0"/>
              <w:rPr>
                <w:sz w:val="20"/>
                <w:szCs w:val="20"/>
                <w:color w:val="auto"/>
              </w:rPr>
            </w:pPr>
            <w:r>
              <w:rPr>
                <w:rFonts w:ascii="Arial" w:cs="Arial" w:eastAsia="Arial" w:hAnsi="Arial"/>
                <w:sz w:val="17"/>
                <w:szCs w:val="17"/>
                <w:b w:val="1"/>
                <w:bCs w:val="1"/>
                <w:color w:val="auto"/>
              </w:rPr>
              <w:t>7.3</w:t>
            </w:r>
          </w:p>
        </w:tc>
      </w:tr>
      <w:tr>
        <w:trPr>
          <w:trHeight w:val="189"/>
        </w:trPr>
        <w:tc>
          <w:tcPr>
            <w:tcW w:w="598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Weighted average discount rate</w:t>
            </w:r>
          </w:p>
        </w:tc>
        <w:tc>
          <w:tcPr>
            <w:tcW w:w="3080" w:type="dxa"/>
            <w:vAlign w:val="bottom"/>
            <w:tcBorders>
              <w:bottom w:val="single" w:sz="8" w:color="auto"/>
            </w:tcBorders>
          </w:tcPr>
          <w:p>
            <w:pPr>
              <w:ind w:left="2380"/>
              <w:spacing w:after="0" w:line="189" w:lineRule="exact"/>
              <w:rPr>
                <w:sz w:val="20"/>
                <w:szCs w:val="20"/>
                <w:color w:val="auto"/>
              </w:rPr>
            </w:pPr>
            <w:r>
              <w:rPr>
                <w:rFonts w:ascii="Arial" w:cs="Arial" w:eastAsia="Arial" w:hAnsi="Arial"/>
                <w:sz w:val="17"/>
                <w:szCs w:val="17"/>
                <w:b w:val="1"/>
                <w:bCs w:val="1"/>
                <w:color w:val="auto"/>
              </w:rPr>
              <w:t>5.4 %</w:t>
            </w:r>
          </w:p>
        </w:tc>
      </w:tr>
    </w:tbl>
    <w:p>
      <w:pPr>
        <w:spacing w:after="0" w:line="215"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Supplemental cash flow information related to leases for the twenty-six weeks ended August 3, 2019 was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2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color w:val="auto"/>
              </w:rPr>
              <w:t>in millions)</w:t>
            </w:r>
          </w:p>
        </w:tc>
      </w:tr>
      <w:tr>
        <w:trPr>
          <w:trHeight w:val="183"/>
        </w:trPr>
        <w:tc>
          <w:tcPr>
            <w:tcW w:w="6260" w:type="dxa"/>
            <w:vAlign w:val="bottom"/>
          </w:tcPr>
          <w:p>
            <w:pPr>
              <w:spacing w:after="0" w:line="183" w:lineRule="exact"/>
              <w:rPr>
                <w:sz w:val="20"/>
                <w:szCs w:val="20"/>
                <w:color w:val="auto"/>
              </w:rPr>
            </w:pPr>
            <w:r>
              <w:rPr>
                <w:rFonts w:ascii="Arial" w:cs="Arial" w:eastAsia="Arial" w:hAnsi="Arial"/>
                <w:sz w:val="17"/>
                <w:szCs w:val="17"/>
                <w:color w:val="auto"/>
              </w:rPr>
              <w:t>Cash paid for amounts included in measurement of lease liabilities:</w:t>
            </w:r>
          </w:p>
        </w:tc>
        <w:tc>
          <w:tcPr>
            <w:tcW w:w="16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9"/>
        </w:trPr>
        <w:tc>
          <w:tcPr>
            <w:tcW w:w="6260" w:type="dxa"/>
            <w:vAlign w:val="bottom"/>
            <w:shd w:val="clear" w:color="auto" w:fill="CCEEFF"/>
          </w:tcPr>
          <w:p>
            <w:pPr>
              <w:ind w:left="160"/>
              <w:spacing w:after="0" w:line="189" w:lineRule="exact"/>
              <w:rPr>
                <w:sz w:val="20"/>
                <w:szCs w:val="20"/>
                <w:color w:val="auto"/>
              </w:rPr>
            </w:pPr>
            <w:r>
              <w:rPr>
                <w:rFonts w:ascii="Arial" w:cs="Arial" w:eastAsia="Arial" w:hAnsi="Arial"/>
                <w:sz w:val="17"/>
                <w:szCs w:val="17"/>
                <w:color w:val="auto"/>
              </w:rPr>
              <w:t>Operating cash flows from operating leases</w:t>
            </w:r>
          </w:p>
        </w:tc>
        <w:tc>
          <w:tcPr>
            <w:tcW w:w="1640" w:type="dxa"/>
            <w:vAlign w:val="bottom"/>
            <w:shd w:val="clear" w:color="auto" w:fill="CCEEFF"/>
          </w:tcPr>
          <w:p>
            <w:pPr>
              <w:jc w:val="right"/>
              <w:ind w:right="315"/>
              <w:spacing w:after="0" w:line="189" w:lineRule="exact"/>
              <w:rPr>
                <w:sz w:val="20"/>
                <w:szCs w:val="20"/>
                <w:color w:val="auto"/>
              </w:rPr>
            </w:pPr>
            <w:r>
              <w:rPr>
                <w:rFonts w:ascii="Arial" w:cs="Arial" w:eastAsia="Arial" w:hAnsi="Arial"/>
                <w:sz w:val="17"/>
                <w:szCs w:val="17"/>
                <w:b w:val="1"/>
                <w:bCs w:val="1"/>
                <w:color w:val="auto"/>
              </w:rPr>
              <w:t>$</w:t>
            </w:r>
          </w:p>
        </w:tc>
        <w:tc>
          <w:tcPr>
            <w:tcW w:w="1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338</w:t>
            </w:r>
          </w:p>
        </w:tc>
      </w:tr>
      <w:tr>
        <w:trPr>
          <w:trHeight w:val="189"/>
        </w:trPr>
        <w:tc>
          <w:tcPr>
            <w:tcW w:w="6260" w:type="dxa"/>
            <w:vAlign w:val="bottom"/>
          </w:tcPr>
          <w:p>
            <w:pPr>
              <w:spacing w:after="0" w:line="189" w:lineRule="exact"/>
              <w:rPr>
                <w:sz w:val="20"/>
                <w:szCs w:val="20"/>
                <w:color w:val="auto"/>
              </w:rPr>
            </w:pPr>
            <w:r>
              <w:rPr>
                <w:rFonts w:ascii="Arial" w:cs="Arial" w:eastAsia="Arial" w:hAnsi="Arial"/>
                <w:sz w:val="17"/>
                <w:szCs w:val="17"/>
                <w:color w:val="auto"/>
              </w:rPr>
              <w:t>Right-of-use assets obtained in exchange for lease obligations:</w:t>
            </w:r>
          </w:p>
        </w:tc>
        <w:tc>
          <w:tcPr>
            <w:tcW w:w="16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9"/>
        </w:trPr>
        <w:tc>
          <w:tcPr>
            <w:tcW w:w="6260" w:type="dxa"/>
            <w:vAlign w:val="bottom"/>
            <w:tcBorders>
              <w:bottom w:val="single" w:sz="8" w:color="auto"/>
            </w:tcBorders>
            <w:shd w:val="clear" w:color="auto" w:fill="CCEEFF"/>
          </w:tcPr>
          <w:p>
            <w:pPr>
              <w:ind w:left="160"/>
              <w:spacing w:after="0" w:line="189" w:lineRule="exact"/>
              <w:rPr>
                <w:sz w:val="20"/>
                <w:szCs w:val="20"/>
                <w:color w:val="auto"/>
              </w:rPr>
            </w:pPr>
            <w:r>
              <w:rPr>
                <w:rFonts w:ascii="Arial" w:cs="Arial" w:eastAsia="Arial" w:hAnsi="Arial"/>
                <w:sz w:val="17"/>
                <w:szCs w:val="17"/>
                <w:color w:val="auto"/>
              </w:rPr>
              <w:t>Operating leases</w:t>
            </w:r>
          </w:p>
        </w:tc>
        <w:tc>
          <w:tcPr>
            <w:tcW w:w="16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114</w:t>
            </w:r>
          </w:p>
        </w:tc>
      </w:tr>
      <w:tr>
        <w:trPr>
          <w:trHeight w:val="412"/>
        </w:trPr>
        <w:tc>
          <w:tcPr>
            <w:tcW w:w="6260" w:type="dxa"/>
            <w:vAlign w:val="bottom"/>
          </w:tcPr>
          <w:p>
            <w:pPr>
              <w:spacing w:after="0"/>
              <w:rPr>
                <w:sz w:val="20"/>
                <w:szCs w:val="20"/>
                <w:color w:val="auto"/>
              </w:rPr>
            </w:pPr>
            <w:r>
              <w:rPr>
                <w:rFonts w:ascii="Arial" w:cs="Arial" w:eastAsia="Arial" w:hAnsi="Arial"/>
                <w:sz w:val="18"/>
                <w:szCs w:val="18"/>
                <w:color w:val="auto"/>
              </w:rPr>
              <w:t>Maturities of lease liabilities as of August 3, 2019 are as follows:</w:t>
            </w:r>
          </w:p>
        </w:tc>
        <w:tc>
          <w:tcPr>
            <w:tcW w:w="16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05"/>
        </w:trPr>
        <w:tc>
          <w:tcPr>
            <w:tcW w:w="62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color w:val="auto"/>
              </w:rPr>
              <w:t>in millions)</w:t>
            </w:r>
          </w:p>
        </w:tc>
      </w:tr>
      <w:tr>
        <w:trPr>
          <w:trHeight w:val="183"/>
        </w:trPr>
        <w:tc>
          <w:tcPr>
            <w:tcW w:w="62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Remainder of 2019</w:t>
            </w:r>
          </w:p>
        </w:tc>
        <w:tc>
          <w:tcPr>
            <w:tcW w:w="1640" w:type="dxa"/>
            <w:vAlign w:val="bottom"/>
            <w:shd w:val="clear" w:color="auto" w:fill="CCEEFF"/>
          </w:tcPr>
          <w:p>
            <w:pPr>
              <w:jc w:val="right"/>
              <w:ind w:right="315"/>
              <w:spacing w:after="0" w:line="183" w:lineRule="exact"/>
              <w:rPr>
                <w:sz w:val="20"/>
                <w:szCs w:val="20"/>
                <w:color w:val="auto"/>
              </w:rPr>
            </w:pPr>
            <w:r>
              <w:rPr>
                <w:rFonts w:ascii="Arial" w:cs="Arial" w:eastAsia="Arial" w:hAnsi="Arial"/>
                <w:sz w:val="17"/>
                <w:szCs w:val="17"/>
                <w:b w:val="1"/>
                <w:bCs w:val="1"/>
                <w:color w:val="auto"/>
              </w:rPr>
              <w:t>$</w:t>
            </w:r>
          </w:p>
        </w:tc>
        <w:tc>
          <w:tcPr>
            <w:tcW w:w="11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337</w:t>
            </w:r>
          </w:p>
        </w:tc>
      </w:tr>
      <w:tr>
        <w:trPr>
          <w:trHeight w:val="189"/>
        </w:trPr>
        <w:tc>
          <w:tcPr>
            <w:tcW w:w="6260" w:type="dxa"/>
            <w:vAlign w:val="bottom"/>
          </w:tcPr>
          <w:p>
            <w:pPr>
              <w:spacing w:after="0" w:line="189" w:lineRule="exact"/>
              <w:rPr>
                <w:sz w:val="20"/>
                <w:szCs w:val="20"/>
                <w:color w:val="auto"/>
              </w:rPr>
            </w:pPr>
            <w:r>
              <w:rPr>
                <w:rFonts w:ascii="Arial" w:cs="Arial" w:eastAsia="Arial" w:hAnsi="Arial"/>
                <w:sz w:val="17"/>
                <w:szCs w:val="17"/>
                <w:color w:val="auto"/>
              </w:rPr>
              <w:t>2020</w:t>
            </w:r>
          </w:p>
        </w:tc>
        <w:tc>
          <w:tcPr>
            <w:tcW w:w="164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637</w:t>
            </w:r>
          </w:p>
        </w:tc>
      </w:tr>
      <w:tr>
        <w:trPr>
          <w:trHeight w:val="189"/>
        </w:trPr>
        <w:tc>
          <w:tcPr>
            <w:tcW w:w="62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2021</w:t>
            </w:r>
          </w:p>
        </w:tc>
        <w:tc>
          <w:tcPr>
            <w:tcW w:w="16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588</w:t>
            </w:r>
          </w:p>
        </w:tc>
      </w:tr>
      <w:tr>
        <w:trPr>
          <w:trHeight w:val="189"/>
        </w:trPr>
        <w:tc>
          <w:tcPr>
            <w:tcW w:w="6260" w:type="dxa"/>
            <w:vAlign w:val="bottom"/>
          </w:tcPr>
          <w:p>
            <w:pPr>
              <w:spacing w:after="0" w:line="189" w:lineRule="exact"/>
              <w:rPr>
                <w:sz w:val="20"/>
                <w:szCs w:val="20"/>
                <w:color w:val="auto"/>
              </w:rPr>
            </w:pPr>
            <w:r>
              <w:rPr>
                <w:rFonts w:ascii="Arial" w:cs="Arial" w:eastAsia="Arial" w:hAnsi="Arial"/>
                <w:sz w:val="17"/>
                <w:szCs w:val="17"/>
                <w:color w:val="auto"/>
              </w:rPr>
              <w:t>2022</w:t>
            </w:r>
          </w:p>
        </w:tc>
        <w:tc>
          <w:tcPr>
            <w:tcW w:w="164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533</w:t>
            </w:r>
          </w:p>
        </w:tc>
      </w:tr>
      <w:tr>
        <w:trPr>
          <w:trHeight w:val="189"/>
        </w:trPr>
        <w:tc>
          <w:tcPr>
            <w:tcW w:w="62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2023</w:t>
            </w:r>
          </w:p>
        </w:tc>
        <w:tc>
          <w:tcPr>
            <w:tcW w:w="16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462</w:t>
            </w:r>
          </w:p>
        </w:tc>
      </w:tr>
      <w:tr>
        <w:trPr>
          <w:trHeight w:val="189"/>
        </w:trPr>
        <w:tc>
          <w:tcPr>
            <w:tcW w:w="626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Thereafter</w:t>
            </w:r>
          </w:p>
        </w:tc>
        <w:tc>
          <w:tcPr>
            <w:tcW w:w="16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1,431</w:t>
            </w:r>
          </w:p>
        </w:tc>
      </w:tr>
      <w:tr>
        <w:trPr>
          <w:trHeight w:val="183"/>
        </w:trPr>
        <w:tc>
          <w:tcPr>
            <w:tcW w:w="62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Total lease payments</w:t>
            </w:r>
          </w:p>
        </w:tc>
        <w:tc>
          <w:tcPr>
            <w:tcW w:w="16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3,988</w:t>
            </w:r>
          </w:p>
        </w:tc>
      </w:tr>
      <w:tr>
        <w:trPr>
          <w:trHeight w:val="189"/>
        </w:trPr>
        <w:tc>
          <w:tcPr>
            <w:tcW w:w="626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Less: Interest</w:t>
            </w:r>
          </w:p>
        </w:tc>
        <w:tc>
          <w:tcPr>
            <w:tcW w:w="16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741</w:t>
            </w:r>
          </w:p>
        </w:tc>
      </w:tr>
      <w:tr>
        <w:trPr>
          <w:trHeight w:val="183"/>
        </w:trPr>
        <w:tc>
          <w:tcPr>
            <w:tcW w:w="626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Total lease liabilities</w:t>
            </w:r>
          </w:p>
        </w:tc>
        <w:tc>
          <w:tcPr>
            <w:tcW w:w="1640" w:type="dxa"/>
            <w:vAlign w:val="bottom"/>
            <w:tcBorders>
              <w:bottom w:val="single" w:sz="8" w:color="auto"/>
            </w:tcBorders>
            <w:shd w:val="clear" w:color="auto" w:fill="CCEEFF"/>
          </w:tcPr>
          <w:p>
            <w:pPr>
              <w:jc w:val="right"/>
              <w:ind w:right="315"/>
              <w:spacing w:after="0" w:line="183" w:lineRule="exact"/>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3,247</w:t>
            </w:r>
          </w:p>
        </w:tc>
      </w:tr>
      <w:tr>
        <w:trPr>
          <w:trHeight w:val="20"/>
        </w:trPr>
        <w:tc>
          <w:tcPr>
            <w:tcW w:w="6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2, 2019, the estimated future minimum non-cancellable lease commitments were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4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color w:val="auto"/>
              </w:rPr>
              <w:t>in millions)</w:t>
            </w:r>
          </w:p>
        </w:tc>
      </w:tr>
      <w:tr>
        <w:trPr>
          <w:trHeight w:val="183"/>
        </w:trPr>
        <w:tc>
          <w:tcPr>
            <w:tcW w:w="50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2019</w:t>
            </w:r>
          </w:p>
        </w:tc>
        <w:tc>
          <w:tcPr>
            <w:tcW w:w="2860" w:type="dxa"/>
            <w:vAlign w:val="bottom"/>
            <w:shd w:val="clear" w:color="auto" w:fill="CCEEFF"/>
          </w:tcPr>
          <w:p>
            <w:pPr>
              <w:jc w:val="right"/>
              <w:ind w:right="315"/>
              <w:spacing w:after="0" w:line="183" w:lineRule="exact"/>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672</w:t>
            </w:r>
          </w:p>
        </w:tc>
      </w:tr>
      <w:tr>
        <w:trPr>
          <w:trHeight w:val="189"/>
        </w:trPr>
        <w:tc>
          <w:tcPr>
            <w:tcW w:w="5040" w:type="dxa"/>
            <w:vAlign w:val="bottom"/>
          </w:tcPr>
          <w:p>
            <w:pPr>
              <w:spacing w:after="0" w:line="189" w:lineRule="exact"/>
              <w:rPr>
                <w:sz w:val="20"/>
                <w:szCs w:val="20"/>
                <w:color w:val="auto"/>
              </w:rPr>
            </w:pPr>
            <w:r>
              <w:rPr>
                <w:rFonts w:ascii="Arial" w:cs="Arial" w:eastAsia="Arial" w:hAnsi="Arial"/>
                <w:sz w:val="17"/>
                <w:szCs w:val="17"/>
                <w:color w:val="auto"/>
              </w:rPr>
              <w:t>2020</w:t>
            </w:r>
          </w:p>
        </w:tc>
        <w:tc>
          <w:tcPr>
            <w:tcW w:w="286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Arial" w:cs="Arial" w:eastAsia="Arial" w:hAnsi="Arial"/>
                <w:sz w:val="17"/>
                <w:szCs w:val="17"/>
                <w:color w:val="auto"/>
              </w:rPr>
              <w:t>631</w:t>
            </w:r>
          </w:p>
        </w:tc>
      </w:tr>
      <w:tr>
        <w:trPr>
          <w:trHeight w:val="189"/>
        </w:trPr>
        <w:tc>
          <w:tcPr>
            <w:tcW w:w="50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2021</w:t>
            </w:r>
          </w:p>
        </w:tc>
        <w:tc>
          <w:tcPr>
            <w:tcW w:w="28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583</w:t>
            </w:r>
          </w:p>
        </w:tc>
      </w:tr>
      <w:tr>
        <w:trPr>
          <w:trHeight w:val="189"/>
        </w:trPr>
        <w:tc>
          <w:tcPr>
            <w:tcW w:w="5040" w:type="dxa"/>
            <w:vAlign w:val="bottom"/>
          </w:tcPr>
          <w:p>
            <w:pPr>
              <w:spacing w:after="0" w:line="189" w:lineRule="exact"/>
              <w:rPr>
                <w:sz w:val="20"/>
                <w:szCs w:val="20"/>
                <w:color w:val="auto"/>
              </w:rPr>
            </w:pPr>
            <w:r>
              <w:rPr>
                <w:rFonts w:ascii="Arial" w:cs="Arial" w:eastAsia="Arial" w:hAnsi="Arial"/>
                <w:sz w:val="17"/>
                <w:szCs w:val="17"/>
                <w:color w:val="auto"/>
              </w:rPr>
              <w:t>2022</w:t>
            </w:r>
          </w:p>
        </w:tc>
        <w:tc>
          <w:tcPr>
            <w:tcW w:w="286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Arial" w:cs="Arial" w:eastAsia="Arial" w:hAnsi="Arial"/>
                <w:sz w:val="17"/>
                <w:szCs w:val="17"/>
                <w:color w:val="auto"/>
              </w:rPr>
              <w:t>527</w:t>
            </w:r>
          </w:p>
        </w:tc>
      </w:tr>
      <w:tr>
        <w:trPr>
          <w:trHeight w:val="189"/>
        </w:trPr>
        <w:tc>
          <w:tcPr>
            <w:tcW w:w="50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2023</w:t>
            </w:r>
          </w:p>
        </w:tc>
        <w:tc>
          <w:tcPr>
            <w:tcW w:w="28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456</w:t>
            </w:r>
          </w:p>
        </w:tc>
      </w:tr>
      <w:tr>
        <w:trPr>
          <w:trHeight w:val="189"/>
        </w:trPr>
        <w:tc>
          <w:tcPr>
            <w:tcW w:w="504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Thereafter</w:t>
            </w:r>
          </w:p>
        </w:tc>
        <w:tc>
          <w:tcPr>
            <w:tcW w:w="28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1,408</w:t>
            </w:r>
          </w:p>
        </w:tc>
      </w:tr>
      <w:tr>
        <w:trPr>
          <w:trHeight w:val="183"/>
        </w:trPr>
        <w:tc>
          <w:tcPr>
            <w:tcW w:w="504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Total operating lease commitments</w:t>
            </w:r>
          </w:p>
        </w:tc>
        <w:tc>
          <w:tcPr>
            <w:tcW w:w="2860" w:type="dxa"/>
            <w:vAlign w:val="bottom"/>
            <w:tcBorders>
              <w:bottom w:val="single" w:sz="8" w:color="auto"/>
            </w:tcBorders>
            <w:shd w:val="clear" w:color="auto" w:fill="CCEEFF"/>
          </w:tcPr>
          <w:p>
            <w:pPr>
              <w:jc w:val="right"/>
              <w:ind w:right="315"/>
              <w:spacing w:after="0" w:line="183" w:lineRule="exact"/>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4,277</w:t>
            </w:r>
          </w:p>
        </w:tc>
      </w:tr>
      <w:tr>
        <w:trPr>
          <w:trHeight w:val="20"/>
        </w:trPr>
        <w:tc>
          <w:tcPr>
            <w:tcW w:w="504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Accumulated Other Comprehensive Loss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Accumulated other comprehensive loss (“AOCL”), net of tax, is comprised of the following:</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tcPr>
          <w:p>
            <w:pPr>
              <w:jc w:val="right"/>
              <w:ind w:right="335"/>
              <w:spacing w:after="0"/>
              <w:rPr>
                <w:sz w:val="20"/>
                <w:szCs w:val="20"/>
                <w:color w:val="auto"/>
              </w:rPr>
            </w:pPr>
            <w:r>
              <w:rPr>
                <w:rFonts w:ascii="Arial" w:cs="Arial" w:eastAsia="Arial" w:hAnsi="Arial"/>
                <w:sz w:val="17"/>
                <w:szCs w:val="17"/>
                <w:b w:val="1"/>
                <w:bCs w:val="1"/>
                <w:color w:val="auto"/>
              </w:rPr>
              <w:t>August 3,</w:t>
            </w:r>
          </w:p>
        </w:tc>
        <w:tc>
          <w:tcPr>
            <w:tcW w:w="280" w:type="dxa"/>
            <w:vAlign w:val="bottom"/>
          </w:tcPr>
          <w:p>
            <w:pPr>
              <w:spacing w:after="0"/>
              <w:rPr>
                <w:sz w:val="16"/>
                <w:szCs w:val="16"/>
                <w:color w:val="auto"/>
              </w:rPr>
            </w:pPr>
          </w:p>
        </w:tc>
        <w:tc>
          <w:tcPr>
            <w:tcW w:w="1340" w:type="dxa"/>
            <w:vAlign w:val="bottom"/>
          </w:tcPr>
          <w:p>
            <w:pPr>
              <w:jc w:val="center"/>
              <w:ind w:right="195"/>
              <w:spacing w:after="0"/>
              <w:rPr>
                <w:sz w:val="20"/>
                <w:szCs w:val="20"/>
                <w:color w:val="auto"/>
              </w:rPr>
            </w:pPr>
            <w:r>
              <w:rPr>
                <w:rFonts w:ascii="Arial" w:cs="Arial" w:eastAsia="Arial" w:hAnsi="Arial"/>
                <w:sz w:val="17"/>
                <w:szCs w:val="17"/>
                <w:b w:val="1"/>
                <w:bCs w:val="1"/>
                <w:color w:val="auto"/>
              </w:rPr>
              <w:t>August 4,</w:t>
            </w:r>
          </w:p>
        </w:tc>
        <w:tc>
          <w:tcPr>
            <w:tcW w:w="300" w:type="dxa"/>
            <w:vAlign w:val="bottom"/>
          </w:tcPr>
          <w:p>
            <w:pPr>
              <w:spacing w:after="0"/>
              <w:rPr>
                <w:sz w:val="16"/>
                <w:szCs w:val="16"/>
                <w:color w:val="auto"/>
              </w:rPr>
            </w:pPr>
          </w:p>
        </w:tc>
        <w:tc>
          <w:tcPr>
            <w:tcW w:w="1220" w:type="dxa"/>
            <w:vAlign w:val="bottom"/>
          </w:tcPr>
          <w:p>
            <w:pPr>
              <w:jc w:val="right"/>
              <w:ind w:right="155"/>
              <w:spacing w:after="0"/>
              <w:rPr>
                <w:sz w:val="20"/>
                <w:szCs w:val="20"/>
                <w:color w:val="auto"/>
              </w:rPr>
            </w:pPr>
            <w:r>
              <w:rPr>
                <w:rFonts w:ascii="Arial" w:cs="Arial" w:eastAsia="Arial" w:hAnsi="Arial"/>
                <w:sz w:val="17"/>
                <w:szCs w:val="17"/>
                <w:b w:val="1"/>
                <w:bCs w:val="1"/>
                <w:color w:val="auto"/>
              </w:rPr>
              <w:t>February 2,</w:t>
            </w:r>
          </w:p>
        </w:tc>
      </w:tr>
      <w:tr>
        <w:trPr>
          <w:trHeight w:val="215"/>
        </w:trPr>
        <w:tc>
          <w:tcPr>
            <w:tcW w:w="20" w:type="dxa"/>
            <w:vAlign w:val="bottom"/>
          </w:tcPr>
          <w:p>
            <w:pPr>
              <w:spacing w:after="0"/>
              <w:rPr>
                <w:sz w:val="18"/>
                <w:szCs w:val="18"/>
                <w:color w:val="auto"/>
              </w:rPr>
            </w:pPr>
          </w:p>
        </w:tc>
        <w:tc>
          <w:tcPr>
            <w:tcW w:w="42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35"/>
              <w:spacing w:after="0"/>
              <w:rPr>
                <w:sz w:val="20"/>
                <w:szCs w:val="20"/>
                <w:color w:val="auto"/>
              </w:rPr>
            </w:pPr>
            <w:r>
              <w:rPr>
                <w:rFonts w:ascii="Arial" w:cs="Arial" w:eastAsia="Arial" w:hAnsi="Arial"/>
                <w:sz w:val="17"/>
                <w:szCs w:val="17"/>
                <w:b w:val="1"/>
                <w:bCs w:val="1"/>
                <w:color w:val="auto"/>
              </w:rPr>
              <w:t>2019</w:t>
            </w: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195"/>
              <w:spacing w:after="0"/>
              <w:rPr>
                <w:sz w:val="20"/>
                <w:szCs w:val="20"/>
                <w:color w:val="auto"/>
              </w:rPr>
            </w:pPr>
            <w:r>
              <w:rPr>
                <w:rFonts w:ascii="Arial" w:cs="Arial" w:eastAsia="Arial" w:hAnsi="Arial"/>
                <w:sz w:val="17"/>
                <w:szCs w:val="17"/>
                <w:b w:val="1"/>
                <w:bCs w:val="1"/>
                <w:color w:val="auto"/>
              </w:rPr>
              <w:t>2018</w:t>
            </w: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b w:val="1"/>
                <w:bCs w:val="1"/>
                <w:color w:val="auto"/>
              </w:rPr>
              <w:t>2019</w:t>
            </w:r>
          </w:p>
        </w:tc>
      </w:tr>
      <w:tr>
        <w:trPr>
          <w:trHeight w:val="183"/>
        </w:trPr>
        <w:tc>
          <w:tcPr>
            <w:tcW w:w="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tcPr>
          <w:p>
            <w:pPr>
              <w:jc w:val="center"/>
              <w:ind w:right="175"/>
              <w:spacing w:after="0" w:line="183" w:lineRule="exact"/>
              <w:rPr>
                <w:sz w:val="20"/>
                <w:szCs w:val="20"/>
                <w:color w:val="auto"/>
              </w:rPr>
            </w:pPr>
            <w:r>
              <w:rPr>
                <w:rFonts w:ascii="Arial" w:cs="Arial" w:eastAsia="Arial" w:hAnsi="Arial"/>
                <w:sz w:val="17"/>
                <w:szCs w:val="17"/>
                <w:color w:val="auto"/>
                <w:w w:val="99"/>
              </w:rPr>
              <w:t>($ in millions)</w:t>
            </w: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42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Foreign currency translation adjustments</w:t>
            </w:r>
          </w:p>
        </w:tc>
        <w:tc>
          <w:tcPr>
            <w:tcW w:w="36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b w:val="1"/>
                <w:bCs w:val="1"/>
                <w:color w:val="auto"/>
              </w:rPr>
              <w:t>$</w:t>
            </w:r>
          </w:p>
        </w:tc>
        <w:tc>
          <w:tcPr>
            <w:tcW w:w="130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(105)</w:t>
            </w:r>
          </w:p>
        </w:tc>
        <w:tc>
          <w:tcPr>
            <w:tcW w:w="2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(67)</w:t>
            </w:r>
          </w:p>
        </w:tc>
        <w:tc>
          <w:tcPr>
            <w:tcW w:w="3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(84)</w:t>
            </w:r>
          </w:p>
        </w:tc>
      </w:tr>
      <w:tr>
        <w:trPr>
          <w:trHeight w:val="189"/>
        </w:trPr>
        <w:tc>
          <w:tcPr>
            <w:tcW w:w="20" w:type="dxa"/>
            <w:vAlign w:val="bottom"/>
          </w:tcPr>
          <w:p>
            <w:pPr>
              <w:spacing w:after="0"/>
              <w:rPr>
                <w:sz w:val="16"/>
                <w:szCs w:val="16"/>
                <w:color w:val="auto"/>
              </w:rPr>
            </w:pPr>
          </w:p>
        </w:tc>
        <w:tc>
          <w:tcPr>
            <w:tcW w:w="4240" w:type="dxa"/>
            <w:vAlign w:val="bottom"/>
          </w:tcPr>
          <w:p>
            <w:pPr>
              <w:spacing w:after="0" w:line="189" w:lineRule="exact"/>
              <w:rPr>
                <w:sz w:val="20"/>
                <w:szCs w:val="20"/>
                <w:color w:val="auto"/>
              </w:rPr>
            </w:pPr>
            <w:r>
              <w:rPr>
                <w:rFonts w:ascii="Arial" w:cs="Arial" w:eastAsia="Arial" w:hAnsi="Arial"/>
                <w:sz w:val="17"/>
                <w:szCs w:val="17"/>
                <w:color w:val="auto"/>
              </w:rPr>
              <w:t>Cash flow hedges</w:t>
            </w:r>
          </w:p>
        </w:tc>
        <w:tc>
          <w:tcPr>
            <w:tcW w:w="360" w:type="dxa"/>
            <w:vAlign w:val="bottom"/>
          </w:tcPr>
          <w:p>
            <w:pPr>
              <w:spacing w:after="0"/>
              <w:rPr>
                <w:sz w:val="16"/>
                <w:szCs w:val="16"/>
                <w:color w:val="auto"/>
              </w:rPr>
            </w:pPr>
          </w:p>
        </w:tc>
        <w:tc>
          <w:tcPr>
            <w:tcW w:w="1300" w:type="dxa"/>
            <w:vAlign w:val="bottom"/>
          </w:tcPr>
          <w:p>
            <w:pPr>
              <w:jc w:val="right"/>
              <w:ind w:right="95"/>
              <w:spacing w:after="0" w:line="189" w:lineRule="exact"/>
              <w:rPr>
                <w:sz w:val="20"/>
                <w:szCs w:val="20"/>
                <w:color w:val="auto"/>
              </w:rPr>
            </w:pPr>
            <w:r>
              <w:rPr>
                <w:rFonts w:ascii="Arial" w:cs="Arial" w:eastAsia="Arial" w:hAnsi="Arial"/>
                <w:sz w:val="17"/>
                <w:szCs w:val="17"/>
                <w:b w:val="1"/>
                <w:bCs w:val="1"/>
                <w:color w:val="auto"/>
              </w:rPr>
              <w:t>3</w:t>
            </w:r>
          </w:p>
        </w:tc>
        <w:tc>
          <w:tcPr>
            <w:tcW w:w="280" w:type="dxa"/>
            <w:vAlign w:val="bottom"/>
          </w:tcPr>
          <w:p>
            <w:pPr>
              <w:spacing w:after="0"/>
              <w:rPr>
                <w:sz w:val="16"/>
                <w:szCs w:val="16"/>
                <w:color w:val="auto"/>
              </w:rPr>
            </w:pPr>
          </w:p>
        </w:tc>
        <w:tc>
          <w:tcPr>
            <w:tcW w:w="1340" w:type="dxa"/>
            <w:vAlign w:val="bottom"/>
          </w:tcPr>
          <w:p>
            <w:pPr>
              <w:jc w:val="right"/>
              <w:ind w:right="75"/>
              <w:spacing w:after="0" w:line="189" w:lineRule="exact"/>
              <w:rPr>
                <w:sz w:val="20"/>
                <w:szCs w:val="20"/>
                <w:color w:val="auto"/>
              </w:rPr>
            </w:pPr>
            <w:r>
              <w:rPr>
                <w:rFonts w:ascii="Arial" w:cs="Arial" w:eastAsia="Arial" w:hAnsi="Arial"/>
                <w:sz w:val="17"/>
                <w:szCs w:val="17"/>
                <w:color w:val="auto"/>
              </w:rPr>
              <w:t>1</w:t>
            </w:r>
          </w:p>
        </w:tc>
        <w:tc>
          <w:tcPr>
            <w:tcW w:w="30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r>
      <w:tr>
        <w:trPr>
          <w:trHeight w:val="189"/>
        </w:trPr>
        <w:tc>
          <w:tcPr>
            <w:tcW w:w="20" w:type="dxa"/>
            <w:vAlign w:val="bottom"/>
          </w:tcPr>
          <w:p>
            <w:pPr>
              <w:spacing w:after="0"/>
              <w:rPr>
                <w:sz w:val="16"/>
                <w:szCs w:val="16"/>
                <w:color w:val="auto"/>
              </w:rPr>
            </w:pPr>
          </w:p>
        </w:tc>
        <w:tc>
          <w:tcPr>
            <w:tcW w:w="424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Unrecognized pension cost and postretirement benefit</w:t>
            </w:r>
          </w:p>
        </w:tc>
        <w:tc>
          <w:tcPr>
            <w:tcW w:w="36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(282)</w:t>
            </w:r>
          </w:p>
        </w:tc>
        <w:tc>
          <w:tcPr>
            <w:tcW w:w="28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(274)</w:t>
            </w:r>
          </w:p>
        </w:tc>
        <w:tc>
          <w:tcPr>
            <w:tcW w:w="30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(286)</w:t>
            </w:r>
          </w:p>
        </w:tc>
      </w:tr>
      <w:tr>
        <w:trPr>
          <w:trHeight w:val="183"/>
        </w:trPr>
        <w:tc>
          <w:tcPr>
            <w:tcW w:w="20" w:type="dxa"/>
            <w:vAlign w:val="bottom"/>
          </w:tcPr>
          <w:p>
            <w:pPr>
              <w:spacing w:after="0"/>
              <w:rPr>
                <w:sz w:val="15"/>
                <w:szCs w:val="15"/>
                <w:color w:val="auto"/>
              </w:rPr>
            </w:pPr>
          </w:p>
        </w:tc>
        <w:tc>
          <w:tcPr>
            <w:tcW w:w="42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ind w:right="15"/>
              <w:spacing w:after="0" w:line="183" w:lineRule="exact"/>
              <w:rPr>
                <w:sz w:val="20"/>
                <w:szCs w:val="20"/>
                <w:color w:val="auto"/>
              </w:rPr>
            </w:pPr>
            <w:r>
              <w:rPr>
                <w:rFonts w:ascii="Arial" w:cs="Arial" w:eastAsia="Arial" w:hAnsi="Arial"/>
                <w:sz w:val="17"/>
                <w:szCs w:val="17"/>
                <w:b w:val="1"/>
                <w:bCs w:val="1"/>
                <w:color w:val="auto"/>
              </w:rPr>
              <w:t>$</w:t>
            </w:r>
          </w:p>
        </w:tc>
        <w:tc>
          <w:tcPr>
            <w:tcW w:w="130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b w:val="1"/>
                <w:bCs w:val="1"/>
                <w:color w:val="auto"/>
              </w:rPr>
              <w:t>(384)</w:t>
            </w:r>
          </w:p>
        </w:tc>
        <w:tc>
          <w:tcPr>
            <w:tcW w:w="2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color w:val="auto"/>
              </w:rPr>
              <w:t>(340)</w:t>
            </w:r>
          </w:p>
        </w:tc>
        <w:tc>
          <w:tcPr>
            <w:tcW w:w="3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(370)</w:t>
            </w:r>
          </w:p>
        </w:tc>
      </w:tr>
      <w:tr>
        <w:trPr>
          <w:trHeight w:val="20"/>
        </w:trPr>
        <w:tc>
          <w:tcPr>
            <w:tcW w:w="20" w:type="dxa"/>
            <w:vAlign w:val="bottom"/>
          </w:tcPr>
          <w:p>
            <w:pPr>
              <w:spacing w:after="0" w:line="20" w:lineRule="exact"/>
              <w:rPr>
                <w:sz w:val="1"/>
                <w:szCs w:val="1"/>
                <w:color w:val="auto"/>
              </w:rPr>
            </w:pPr>
          </w:p>
        </w:tc>
        <w:tc>
          <w:tcPr>
            <w:tcW w:w="4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AOCL for the twenty-six weeks ended August 3, 2019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center"/>
              <w:ind w:right="155"/>
              <w:spacing w:after="0"/>
              <w:rPr>
                <w:sz w:val="20"/>
                <w:szCs w:val="20"/>
                <w:color w:val="auto"/>
              </w:rPr>
            </w:pPr>
            <w:r>
              <w:rPr>
                <w:rFonts w:ascii="Arial" w:cs="Arial" w:eastAsia="Arial" w:hAnsi="Arial"/>
                <w:sz w:val="17"/>
                <w:szCs w:val="17"/>
                <w:b w:val="1"/>
                <w:bCs w:val="1"/>
                <w:color w:val="auto"/>
                <w:w w:val="99"/>
              </w:rPr>
              <w:t>Foreign</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500" w:type="dxa"/>
            <w:vAlign w:val="bottom"/>
            <w:gridSpan w:val="2"/>
          </w:tcPr>
          <w:p>
            <w:pPr>
              <w:jc w:val="right"/>
              <w:ind w:right="95"/>
              <w:spacing w:after="0"/>
              <w:rPr>
                <w:sz w:val="20"/>
                <w:szCs w:val="20"/>
                <w:color w:val="auto"/>
              </w:rPr>
            </w:pPr>
            <w:r>
              <w:rPr>
                <w:rFonts w:ascii="Arial" w:cs="Arial" w:eastAsia="Arial" w:hAnsi="Arial"/>
                <w:sz w:val="17"/>
                <w:szCs w:val="17"/>
                <w:b w:val="1"/>
                <w:bCs w:val="1"/>
                <w:color w:val="auto"/>
              </w:rPr>
              <w:t>Items Related</w:t>
            </w: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center"/>
              <w:ind w:right="135"/>
              <w:spacing w:after="0" w:line="189" w:lineRule="exact"/>
              <w:rPr>
                <w:sz w:val="20"/>
                <w:szCs w:val="20"/>
                <w:color w:val="auto"/>
              </w:rPr>
            </w:pPr>
            <w:r>
              <w:rPr>
                <w:rFonts w:ascii="Arial" w:cs="Arial" w:eastAsia="Arial" w:hAnsi="Arial"/>
                <w:sz w:val="17"/>
                <w:szCs w:val="17"/>
                <w:b w:val="1"/>
                <w:bCs w:val="1"/>
                <w:color w:val="auto"/>
              </w:rPr>
              <w:t>Currency</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500" w:type="dxa"/>
            <w:vAlign w:val="bottom"/>
            <w:gridSpan w:val="2"/>
          </w:tcPr>
          <w:p>
            <w:pPr>
              <w:ind w:left="140"/>
              <w:spacing w:after="0" w:line="189" w:lineRule="exact"/>
              <w:rPr>
                <w:sz w:val="20"/>
                <w:szCs w:val="20"/>
                <w:color w:val="auto"/>
              </w:rPr>
            </w:pPr>
            <w:r>
              <w:rPr>
                <w:rFonts w:ascii="Arial" w:cs="Arial" w:eastAsia="Arial" w:hAnsi="Arial"/>
                <w:sz w:val="17"/>
                <w:szCs w:val="17"/>
                <w:b w:val="1"/>
                <w:bCs w:val="1"/>
                <w:color w:val="auto"/>
              </w:rPr>
              <w:t>to Pension and</w:t>
            </w: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1300" w:type="dxa"/>
            <w:vAlign w:val="bottom"/>
            <w:gridSpan w:val="2"/>
          </w:tcPr>
          <w:p>
            <w:pPr>
              <w:jc w:val="center"/>
              <w:spacing w:after="0" w:line="189" w:lineRule="exact"/>
              <w:rPr>
                <w:sz w:val="20"/>
                <w:szCs w:val="20"/>
                <w:color w:val="auto"/>
              </w:rPr>
            </w:pPr>
            <w:r>
              <w:rPr>
                <w:rFonts w:ascii="Arial" w:cs="Arial" w:eastAsia="Arial" w:hAnsi="Arial"/>
                <w:sz w:val="17"/>
                <w:szCs w:val="17"/>
                <w:b w:val="1"/>
                <w:bCs w:val="1"/>
                <w:color w:val="auto"/>
              </w:rPr>
              <w:t>Translation</w:t>
            </w:r>
          </w:p>
        </w:tc>
        <w:tc>
          <w:tcPr>
            <w:tcW w:w="1180" w:type="dxa"/>
            <w:vAlign w:val="bottom"/>
            <w:gridSpan w:val="2"/>
          </w:tcPr>
          <w:p>
            <w:pPr>
              <w:jc w:val="right"/>
              <w:ind w:right="55"/>
              <w:spacing w:after="0" w:line="189" w:lineRule="exact"/>
              <w:rPr>
                <w:sz w:val="20"/>
                <w:szCs w:val="20"/>
                <w:color w:val="auto"/>
              </w:rPr>
            </w:pPr>
            <w:r>
              <w:rPr>
                <w:rFonts w:ascii="Arial" w:cs="Arial" w:eastAsia="Arial" w:hAnsi="Arial"/>
                <w:sz w:val="17"/>
                <w:szCs w:val="17"/>
                <w:b w:val="1"/>
                <w:bCs w:val="1"/>
                <w:color w:val="auto"/>
              </w:rPr>
              <w:t>Cash Flow</w:t>
            </w:r>
          </w:p>
        </w:tc>
        <w:tc>
          <w:tcPr>
            <w:tcW w:w="1500" w:type="dxa"/>
            <w:vAlign w:val="bottom"/>
            <w:gridSpan w:val="2"/>
          </w:tcPr>
          <w:p>
            <w:pPr>
              <w:ind w:left="160"/>
              <w:spacing w:after="0" w:line="189" w:lineRule="exact"/>
              <w:rPr>
                <w:sz w:val="20"/>
                <w:szCs w:val="20"/>
                <w:color w:val="auto"/>
              </w:rPr>
            </w:pPr>
            <w:r>
              <w:rPr>
                <w:rFonts w:ascii="Arial" w:cs="Arial" w:eastAsia="Arial" w:hAnsi="Arial"/>
                <w:sz w:val="17"/>
                <w:szCs w:val="17"/>
                <w:b w:val="1"/>
                <w:bCs w:val="1"/>
                <w:color w:val="auto"/>
              </w:rPr>
              <w:t>Postretirement</w:t>
            </w: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960" w:type="dxa"/>
            <w:vAlign w:val="bottom"/>
            <w:gridSpan w:val="2"/>
          </w:tcPr>
          <w:p>
            <w:pPr>
              <w:spacing w:after="0"/>
              <w:rPr>
                <w:sz w:val="20"/>
                <w:szCs w:val="20"/>
                <w:color w:val="auto"/>
              </w:rPr>
            </w:pPr>
            <w:r>
              <w:rPr>
                <w:rFonts w:ascii="Arial" w:cs="Arial" w:eastAsia="Arial" w:hAnsi="Arial"/>
                <w:sz w:val="17"/>
                <w:szCs w:val="17"/>
                <w:color w:val="auto"/>
              </w:rPr>
              <w:t>($ in millions)</w:t>
            </w:r>
          </w:p>
        </w:tc>
        <w:tc>
          <w:tcPr>
            <w:tcW w:w="1300" w:type="dxa"/>
            <w:vAlign w:val="bottom"/>
            <w:gridSpan w:val="2"/>
          </w:tcPr>
          <w:p>
            <w:pPr>
              <w:jc w:val="center"/>
              <w:spacing w:after="0"/>
              <w:rPr>
                <w:sz w:val="20"/>
                <w:szCs w:val="20"/>
                <w:color w:val="auto"/>
              </w:rPr>
            </w:pPr>
            <w:r>
              <w:rPr>
                <w:rFonts w:ascii="Arial" w:cs="Arial" w:eastAsia="Arial" w:hAnsi="Arial"/>
                <w:sz w:val="17"/>
                <w:szCs w:val="17"/>
                <w:b w:val="1"/>
                <w:bCs w:val="1"/>
                <w:color w:val="auto"/>
              </w:rPr>
              <w:t>Adjustments</w:t>
            </w:r>
          </w:p>
        </w:tc>
        <w:tc>
          <w:tcPr>
            <w:tcW w:w="240" w:type="dxa"/>
            <w:vAlign w:val="bottom"/>
          </w:tcPr>
          <w:p>
            <w:pPr>
              <w:spacing w:after="0"/>
              <w:rPr>
                <w:sz w:val="18"/>
                <w:szCs w:val="18"/>
                <w:color w:val="auto"/>
              </w:rPr>
            </w:pPr>
          </w:p>
        </w:tc>
        <w:tc>
          <w:tcPr>
            <w:tcW w:w="940" w:type="dxa"/>
            <w:vAlign w:val="bottom"/>
          </w:tcPr>
          <w:p>
            <w:pPr>
              <w:jc w:val="right"/>
              <w:ind w:right="175"/>
              <w:spacing w:after="0"/>
              <w:rPr>
                <w:sz w:val="20"/>
                <w:szCs w:val="20"/>
                <w:color w:val="auto"/>
              </w:rPr>
            </w:pPr>
            <w:r>
              <w:rPr>
                <w:rFonts w:ascii="Arial" w:cs="Arial" w:eastAsia="Arial" w:hAnsi="Arial"/>
                <w:sz w:val="17"/>
                <w:szCs w:val="17"/>
                <w:b w:val="1"/>
                <w:bCs w:val="1"/>
                <w:color w:val="auto"/>
              </w:rPr>
              <w:t>Hedges</w:t>
            </w:r>
          </w:p>
        </w:tc>
        <w:tc>
          <w:tcPr>
            <w:tcW w:w="320" w:type="dxa"/>
            <w:vAlign w:val="bottom"/>
          </w:tcPr>
          <w:p>
            <w:pPr>
              <w:spacing w:after="0"/>
              <w:rPr>
                <w:sz w:val="18"/>
                <w:szCs w:val="18"/>
                <w:color w:val="auto"/>
              </w:rPr>
            </w:pPr>
          </w:p>
        </w:tc>
        <w:tc>
          <w:tcPr>
            <w:tcW w:w="1180" w:type="dxa"/>
            <w:vAlign w:val="bottom"/>
          </w:tcPr>
          <w:p>
            <w:pPr>
              <w:jc w:val="right"/>
              <w:ind w:right="315"/>
              <w:spacing w:after="0"/>
              <w:rPr>
                <w:sz w:val="20"/>
                <w:szCs w:val="20"/>
                <w:color w:val="auto"/>
              </w:rPr>
            </w:pPr>
            <w:r>
              <w:rPr>
                <w:rFonts w:ascii="Arial" w:cs="Arial" w:eastAsia="Arial" w:hAnsi="Arial"/>
                <w:sz w:val="17"/>
                <w:szCs w:val="17"/>
                <w:b w:val="1"/>
                <w:bCs w:val="1"/>
                <w:color w:val="auto"/>
              </w:rPr>
              <w:t>Benefits</w:t>
            </w:r>
          </w:p>
        </w:tc>
        <w:tc>
          <w:tcPr>
            <w:tcW w:w="300" w:type="dxa"/>
            <w:vAlign w:val="bottom"/>
          </w:tcPr>
          <w:p>
            <w:pPr>
              <w:spacing w:after="0"/>
              <w:rPr>
                <w:sz w:val="18"/>
                <w:szCs w:val="18"/>
                <w:color w:val="auto"/>
              </w:rPr>
            </w:pPr>
          </w:p>
        </w:tc>
        <w:tc>
          <w:tcPr>
            <w:tcW w:w="820" w:type="dxa"/>
            <w:vAlign w:val="bottom"/>
          </w:tcPr>
          <w:p>
            <w:pPr>
              <w:jc w:val="right"/>
              <w:ind w:right="235"/>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94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Balance as of February 2, 2019</w:t>
            </w:r>
          </w:p>
        </w:tc>
        <w:tc>
          <w:tcPr>
            <w:tcW w:w="2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060" w:type="dxa"/>
            <w:vAlign w:val="bottom"/>
            <w:tcBorders>
              <w:top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(84)</w:t>
            </w:r>
          </w:p>
        </w:tc>
        <w:tc>
          <w:tcPr>
            <w:tcW w:w="2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940" w:type="dxa"/>
            <w:vAlign w:val="bottom"/>
            <w:tcBorders>
              <w:top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w:t>
            </w:r>
          </w:p>
        </w:tc>
        <w:tc>
          <w:tcPr>
            <w:tcW w:w="320" w:type="dxa"/>
            <w:vAlign w:val="bottom"/>
            <w:tcBorders>
              <w:top w:val="single" w:sz="8" w:color="auto"/>
            </w:tcBorders>
            <w:shd w:val="clear" w:color="auto" w:fill="CCEEFF"/>
          </w:tcPr>
          <w:p>
            <w:pPr>
              <w:ind w:left="140"/>
              <w:spacing w:after="0" w:line="183" w:lineRule="exact"/>
              <w:rPr>
                <w:sz w:val="20"/>
                <w:szCs w:val="20"/>
                <w:color w:val="auto"/>
              </w:rPr>
            </w:pPr>
            <w:r>
              <w:rPr>
                <w:rFonts w:ascii="Arial" w:cs="Arial" w:eastAsia="Arial" w:hAnsi="Arial"/>
                <w:sz w:val="17"/>
                <w:szCs w:val="17"/>
                <w:color w:val="auto"/>
              </w:rPr>
              <w:t>$</w:t>
            </w:r>
          </w:p>
        </w:tc>
        <w:tc>
          <w:tcPr>
            <w:tcW w:w="1180" w:type="dxa"/>
            <w:vAlign w:val="bottom"/>
            <w:tcBorders>
              <w:top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(286)</w:t>
            </w:r>
          </w:p>
        </w:tc>
        <w:tc>
          <w:tcPr>
            <w:tcW w:w="300" w:type="dxa"/>
            <w:vAlign w:val="bottom"/>
            <w:tcBorders>
              <w:top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w:t>
            </w:r>
          </w:p>
        </w:tc>
        <w:tc>
          <w:tcPr>
            <w:tcW w:w="8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(370)</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3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9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OCI before reclassification</w:t>
            </w: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(21)</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3</w:t>
            </w:r>
          </w:p>
        </w:tc>
        <w:tc>
          <w:tcPr>
            <w:tcW w:w="32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940" w:type="dxa"/>
            <w:vAlign w:val="bottom"/>
          </w:tcPr>
          <w:p>
            <w:pPr>
              <w:spacing w:after="0" w:line="183" w:lineRule="exact"/>
              <w:rPr>
                <w:sz w:val="20"/>
                <w:szCs w:val="20"/>
                <w:color w:val="auto"/>
              </w:rPr>
            </w:pPr>
            <w:r>
              <w:rPr>
                <w:rFonts w:ascii="Arial" w:cs="Arial" w:eastAsia="Arial" w:hAnsi="Arial"/>
                <w:sz w:val="17"/>
                <w:szCs w:val="17"/>
                <w:color w:val="auto"/>
              </w:rPr>
              <w:t>Amortization of pension actuarial (gain)/loss, net of</w:t>
            </w: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940" w:type="dxa"/>
            <w:vAlign w:val="bottom"/>
            <w:tcBorders>
              <w:bottom w:val="single" w:sz="8" w:color="auto"/>
            </w:tcBorders>
          </w:tcPr>
          <w:p>
            <w:pPr>
              <w:ind w:left="160"/>
              <w:spacing w:after="0"/>
              <w:rPr>
                <w:sz w:val="20"/>
                <w:szCs w:val="20"/>
                <w:color w:val="auto"/>
              </w:rPr>
            </w:pPr>
            <w:r>
              <w:rPr>
                <w:rFonts w:ascii="Arial" w:cs="Arial" w:eastAsia="Arial" w:hAnsi="Arial"/>
                <w:sz w:val="17"/>
                <w:szCs w:val="17"/>
                <w:color w:val="auto"/>
              </w:rPr>
              <w:t>tax</w:t>
            </w: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4</w:t>
            </w: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94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Other comprehensive income</w:t>
            </w:r>
          </w:p>
        </w:tc>
        <w:tc>
          <w:tcPr>
            <w:tcW w:w="2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(21)</w:t>
            </w:r>
          </w:p>
        </w:tc>
        <w:tc>
          <w:tcPr>
            <w:tcW w:w="24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3</w:t>
            </w:r>
          </w:p>
        </w:tc>
        <w:tc>
          <w:tcPr>
            <w:tcW w:w="32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4</w:t>
            </w:r>
          </w:p>
        </w:tc>
        <w:tc>
          <w:tcPr>
            <w:tcW w:w="3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394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b w:val="1"/>
                <w:bCs w:val="1"/>
                <w:color w:val="auto"/>
              </w:rPr>
              <w:t>Balance as of August 3, 2019</w:t>
            </w:r>
          </w:p>
        </w:tc>
        <w:tc>
          <w:tcPr>
            <w:tcW w:w="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060" w:type="dxa"/>
            <w:vAlign w:val="bottom"/>
            <w:tcBorders>
              <w:bottom w:val="single" w:sz="8" w:color="auto"/>
            </w:tcBorders>
          </w:tcPr>
          <w:p>
            <w:pPr>
              <w:jc w:val="right"/>
              <w:ind w:right="15"/>
              <w:spacing w:after="0" w:line="183" w:lineRule="exact"/>
              <w:rPr>
                <w:sz w:val="20"/>
                <w:szCs w:val="20"/>
                <w:color w:val="auto"/>
              </w:rPr>
            </w:pPr>
            <w:r>
              <w:rPr>
                <w:rFonts w:ascii="Arial" w:cs="Arial" w:eastAsia="Arial" w:hAnsi="Arial"/>
                <w:sz w:val="17"/>
                <w:szCs w:val="17"/>
                <w:b w:val="1"/>
                <w:bCs w:val="1"/>
                <w:color w:val="auto"/>
              </w:rPr>
              <w:t>(105)</w:t>
            </w:r>
          </w:p>
        </w:tc>
        <w:tc>
          <w:tcPr>
            <w:tcW w:w="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b w:val="1"/>
                <w:bCs w:val="1"/>
                <w:color w:val="auto"/>
              </w:rPr>
              <w:t>3</w:t>
            </w:r>
          </w:p>
        </w:tc>
        <w:tc>
          <w:tcPr>
            <w:tcW w:w="320" w:type="dxa"/>
            <w:vAlign w:val="bottom"/>
            <w:tcBorders>
              <w:bottom w:val="single" w:sz="8" w:color="auto"/>
            </w:tcBorders>
          </w:tcPr>
          <w:p>
            <w:pPr>
              <w:ind w:left="140"/>
              <w:spacing w:after="0" w:line="183" w:lineRule="exact"/>
              <w:rPr>
                <w:sz w:val="20"/>
                <w:szCs w:val="20"/>
                <w:color w:val="auto"/>
              </w:rPr>
            </w:pPr>
            <w:r>
              <w:rPr>
                <w:rFonts w:ascii="Arial" w:cs="Arial" w:eastAsia="Arial" w:hAnsi="Arial"/>
                <w:sz w:val="17"/>
                <w:szCs w:val="17"/>
                <w:b w:val="1"/>
                <w:bCs w:val="1"/>
                <w:color w:val="auto"/>
              </w:rPr>
              <w:t>$</w:t>
            </w:r>
          </w:p>
        </w:tc>
        <w:tc>
          <w:tcPr>
            <w:tcW w:w="118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b w:val="1"/>
                <w:bCs w:val="1"/>
                <w:color w:val="auto"/>
              </w:rPr>
              <w:t>(282)</w:t>
            </w:r>
          </w:p>
        </w:tc>
        <w:tc>
          <w:tcPr>
            <w:tcW w:w="30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b w:val="1"/>
                <w:bCs w:val="1"/>
                <w:color w:val="auto"/>
              </w:rPr>
              <w:t>$</w:t>
            </w:r>
          </w:p>
        </w:tc>
        <w:tc>
          <w:tcPr>
            <w:tcW w:w="8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(384)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Reclassifications from AOCL for the twenty-six weeks ended August 3, 2019 were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57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color w:val="auto"/>
              </w:rPr>
              <w:t>in millions)</w:t>
            </w:r>
          </w:p>
        </w:tc>
      </w:tr>
      <w:tr>
        <w:trPr>
          <w:trHeight w:val="183"/>
        </w:trPr>
        <w:tc>
          <w:tcPr>
            <w:tcW w:w="20" w:type="dxa"/>
            <w:vAlign w:val="bottom"/>
          </w:tcPr>
          <w:p>
            <w:pPr>
              <w:spacing w:after="0"/>
              <w:rPr>
                <w:sz w:val="15"/>
                <w:szCs w:val="15"/>
                <w:color w:val="auto"/>
              </w:rPr>
            </w:pPr>
          </w:p>
        </w:tc>
        <w:tc>
          <w:tcPr>
            <w:tcW w:w="57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Amortization of actuarial (gain) loss:</w:t>
            </w:r>
          </w:p>
        </w:tc>
        <w:tc>
          <w:tcPr>
            <w:tcW w:w="2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5760" w:type="dxa"/>
            <w:vAlign w:val="bottom"/>
          </w:tcPr>
          <w:p>
            <w:pPr>
              <w:ind w:left="100"/>
              <w:spacing w:after="0" w:line="189" w:lineRule="exact"/>
              <w:rPr>
                <w:sz w:val="20"/>
                <w:szCs w:val="20"/>
                <w:color w:val="auto"/>
              </w:rPr>
            </w:pPr>
            <w:r>
              <w:rPr>
                <w:rFonts w:ascii="Arial" w:cs="Arial" w:eastAsia="Arial" w:hAnsi="Arial"/>
                <w:sz w:val="17"/>
                <w:szCs w:val="17"/>
                <w:color w:val="auto"/>
              </w:rPr>
              <w:t>Pension benefits- amortization of actuarial loss</w:t>
            </w:r>
          </w:p>
        </w:tc>
        <w:tc>
          <w:tcPr>
            <w:tcW w:w="2120" w:type="dxa"/>
            <w:vAlign w:val="bottom"/>
          </w:tcPr>
          <w:p>
            <w:pPr>
              <w:jc w:val="right"/>
              <w:ind w:right="315"/>
              <w:spacing w:after="0" w:line="189" w:lineRule="exact"/>
              <w:rPr>
                <w:sz w:val="20"/>
                <w:szCs w:val="20"/>
                <w:color w:val="auto"/>
              </w:rPr>
            </w:pPr>
            <w:r>
              <w:rPr>
                <w:rFonts w:ascii="Arial" w:cs="Arial" w:eastAsia="Arial" w:hAnsi="Arial"/>
                <w:sz w:val="17"/>
                <w:szCs w:val="17"/>
                <w:b w:val="1"/>
                <w:bCs w:val="1"/>
                <w:color w:val="auto"/>
              </w:rPr>
              <w:t>$</w:t>
            </w:r>
          </w:p>
        </w:tc>
        <w:tc>
          <w:tcPr>
            <w:tcW w:w="116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6</w:t>
            </w:r>
          </w:p>
        </w:tc>
      </w:tr>
      <w:tr>
        <w:trPr>
          <w:trHeight w:val="189"/>
        </w:trPr>
        <w:tc>
          <w:tcPr>
            <w:tcW w:w="20" w:type="dxa"/>
            <w:vAlign w:val="bottom"/>
          </w:tcPr>
          <w:p>
            <w:pPr>
              <w:spacing w:after="0"/>
              <w:rPr>
                <w:sz w:val="16"/>
                <w:szCs w:val="16"/>
                <w:color w:val="auto"/>
              </w:rPr>
            </w:pPr>
          </w:p>
        </w:tc>
        <w:tc>
          <w:tcPr>
            <w:tcW w:w="5760" w:type="dxa"/>
            <w:vAlign w:val="bottom"/>
            <w:tcBorders>
              <w:bottom w:val="single" w:sz="8" w:color="auto"/>
            </w:tcBorders>
            <w:shd w:val="clear" w:color="auto" w:fill="CCEEFF"/>
          </w:tcPr>
          <w:p>
            <w:pPr>
              <w:ind w:left="100"/>
              <w:spacing w:after="0" w:line="189" w:lineRule="exact"/>
              <w:rPr>
                <w:sz w:val="20"/>
                <w:szCs w:val="20"/>
                <w:color w:val="auto"/>
              </w:rPr>
            </w:pPr>
            <w:r>
              <w:rPr>
                <w:rFonts w:ascii="Arial" w:cs="Arial" w:eastAsia="Arial" w:hAnsi="Arial"/>
                <w:sz w:val="17"/>
                <w:szCs w:val="17"/>
                <w:color w:val="auto"/>
              </w:rPr>
              <w:t>Postretirement benefits- amortization of actuarial gain</w:t>
            </w:r>
          </w:p>
        </w:tc>
        <w:tc>
          <w:tcPr>
            <w:tcW w:w="21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(1)</w:t>
            </w:r>
          </w:p>
        </w:tc>
      </w:tr>
      <w:tr>
        <w:trPr>
          <w:trHeight w:val="183"/>
        </w:trPr>
        <w:tc>
          <w:tcPr>
            <w:tcW w:w="20" w:type="dxa"/>
            <w:vAlign w:val="bottom"/>
          </w:tcPr>
          <w:p>
            <w:pPr>
              <w:spacing w:after="0"/>
              <w:rPr>
                <w:sz w:val="15"/>
                <w:szCs w:val="15"/>
                <w:color w:val="auto"/>
              </w:rPr>
            </w:pPr>
          </w:p>
        </w:tc>
        <w:tc>
          <w:tcPr>
            <w:tcW w:w="5760" w:type="dxa"/>
            <w:vAlign w:val="bottom"/>
          </w:tcPr>
          <w:p>
            <w:pPr>
              <w:spacing w:after="0" w:line="183" w:lineRule="exact"/>
              <w:rPr>
                <w:sz w:val="20"/>
                <w:szCs w:val="20"/>
                <w:color w:val="auto"/>
              </w:rPr>
            </w:pPr>
            <w:r>
              <w:rPr>
                <w:rFonts w:ascii="Arial" w:cs="Arial" w:eastAsia="Arial" w:hAnsi="Arial"/>
                <w:sz w:val="17"/>
                <w:szCs w:val="17"/>
                <w:color w:val="auto"/>
              </w:rPr>
              <w:t>Net periodic benefit cost (see Note 11)</w:t>
            </w:r>
          </w:p>
        </w:tc>
        <w:tc>
          <w:tcPr>
            <w:tcW w:w="2120" w:type="dxa"/>
            <w:vAlign w:val="bottom"/>
          </w:tcPr>
          <w:p>
            <w:pPr>
              <w:spacing w:after="0"/>
              <w:rPr>
                <w:sz w:val="15"/>
                <w:szCs w:val="15"/>
                <w:color w:val="auto"/>
              </w:rPr>
            </w:pPr>
          </w:p>
        </w:tc>
        <w:tc>
          <w:tcPr>
            <w:tcW w:w="1160" w:type="dxa"/>
            <w:vAlign w:val="bottom"/>
          </w:tcPr>
          <w:p>
            <w:pPr>
              <w:jc w:val="right"/>
              <w:spacing w:after="0" w:line="183" w:lineRule="exact"/>
              <w:rPr>
                <w:sz w:val="20"/>
                <w:szCs w:val="20"/>
                <w:color w:val="auto"/>
              </w:rPr>
            </w:pPr>
            <w:r>
              <w:rPr>
                <w:rFonts w:ascii="Arial" w:cs="Arial" w:eastAsia="Arial" w:hAnsi="Arial"/>
                <w:sz w:val="17"/>
                <w:szCs w:val="17"/>
                <w:b w:val="1"/>
                <w:bCs w:val="1"/>
                <w:color w:val="auto"/>
              </w:rPr>
              <w:t>5</w:t>
            </w:r>
          </w:p>
        </w:tc>
      </w:tr>
      <w:tr>
        <w:trPr>
          <w:trHeight w:val="189"/>
        </w:trPr>
        <w:tc>
          <w:tcPr>
            <w:tcW w:w="20" w:type="dxa"/>
            <w:vAlign w:val="bottom"/>
          </w:tcPr>
          <w:p>
            <w:pPr>
              <w:spacing w:after="0"/>
              <w:rPr>
                <w:sz w:val="16"/>
                <w:szCs w:val="16"/>
                <w:color w:val="auto"/>
              </w:rPr>
            </w:pPr>
          </w:p>
        </w:tc>
        <w:tc>
          <w:tcPr>
            <w:tcW w:w="576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Income tax benefit</w:t>
            </w:r>
          </w:p>
        </w:tc>
        <w:tc>
          <w:tcPr>
            <w:tcW w:w="21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(1)</w:t>
            </w:r>
          </w:p>
        </w:tc>
      </w:tr>
      <w:tr>
        <w:trPr>
          <w:trHeight w:val="183"/>
        </w:trPr>
        <w:tc>
          <w:tcPr>
            <w:tcW w:w="20" w:type="dxa"/>
            <w:vAlign w:val="bottom"/>
            <w:tcBorders>
              <w:bottom w:val="single" w:sz="8" w:color="auto"/>
            </w:tcBorders>
          </w:tcPr>
          <w:p>
            <w:pPr>
              <w:spacing w:after="0"/>
              <w:rPr>
                <w:sz w:val="15"/>
                <w:szCs w:val="15"/>
                <w:color w:val="auto"/>
              </w:rPr>
            </w:pPr>
          </w:p>
        </w:tc>
        <w:tc>
          <w:tcPr>
            <w:tcW w:w="576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Total, net of tax</w:t>
            </w:r>
          </w:p>
        </w:tc>
        <w:tc>
          <w:tcPr>
            <w:tcW w:w="2120" w:type="dxa"/>
            <w:vAlign w:val="bottom"/>
            <w:tcBorders>
              <w:bottom w:val="single" w:sz="8" w:color="auto"/>
            </w:tcBorders>
          </w:tcPr>
          <w:p>
            <w:pPr>
              <w:jc w:val="right"/>
              <w:ind w:right="315"/>
              <w:spacing w:after="0" w:line="183" w:lineRule="exact"/>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4</w:t>
            </w:r>
          </w:p>
        </w:tc>
      </w:tr>
      <w:tr>
        <w:trPr>
          <w:trHeight w:val="20"/>
        </w:trPr>
        <w:tc>
          <w:tcPr>
            <w:tcW w:w="20" w:type="dxa"/>
            <w:vAlign w:val="bottom"/>
          </w:tcPr>
          <w:p>
            <w:pPr>
              <w:spacing w:after="0" w:line="20" w:lineRule="exact"/>
              <w:rPr>
                <w:sz w:val="1"/>
                <w:szCs w:val="1"/>
                <w:color w:val="auto"/>
              </w:rPr>
            </w:pPr>
          </w:p>
        </w:tc>
        <w:tc>
          <w:tcPr>
            <w:tcW w:w="576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Fair Value Measurements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financial assets recorded at fair value are categorized as follows:</w:t>
      </w:r>
    </w:p>
    <w:p>
      <w:pPr>
        <w:spacing w:after="0" w:line="200"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7"/>
          <w:szCs w:val="17"/>
          <w:b w:val="1"/>
          <w:bCs w:val="1"/>
          <w:color w:val="auto"/>
        </w:rPr>
        <w:t xml:space="preserve">Level 1 </w:t>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Quoted prices for identical instruments in active markets.</w:t>
      </w:r>
    </w:p>
    <w:p>
      <w:pPr>
        <w:spacing w:after="0" w:line="213" w:lineRule="exact"/>
        <w:rPr>
          <w:sz w:val="20"/>
          <w:szCs w:val="20"/>
          <w:color w:val="auto"/>
        </w:rPr>
      </w:pPr>
    </w:p>
    <w:p>
      <w:pPr>
        <w:jc w:val="both"/>
        <w:ind w:left="1300" w:hanging="971"/>
        <w:spacing w:after="0"/>
        <w:tabs>
          <w:tab w:leader="none" w:pos="1280" w:val="left"/>
        </w:tabs>
        <w:rPr>
          <w:sz w:val="20"/>
          <w:szCs w:val="20"/>
          <w:color w:val="auto"/>
        </w:rPr>
      </w:pPr>
      <w:r>
        <w:rPr>
          <w:rFonts w:ascii="Arial" w:cs="Arial" w:eastAsia="Arial" w:hAnsi="Arial"/>
          <w:sz w:val="18"/>
          <w:szCs w:val="18"/>
          <w:b w:val="1"/>
          <w:bCs w:val="1"/>
          <w:color w:val="auto"/>
        </w:rPr>
        <w:t>Level 2 –</w:t>
      </w:r>
      <w:r>
        <w:rPr>
          <w:sz w:val="20"/>
          <w:szCs w:val="20"/>
          <w:color w:val="auto"/>
        </w:rPr>
        <w:tab/>
      </w:r>
      <w:r>
        <w:rPr>
          <w:rFonts w:ascii="Arial" w:cs="Arial" w:eastAsia="Arial" w:hAnsi="Arial"/>
          <w:sz w:val="18"/>
          <w:szCs w:val="18"/>
          <w:color w:val="auto"/>
        </w:rPr>
        <w:t>Quoted prices for similar instruments in active markets; quoted prices for identical or similar instruments in markets that are not active; and model-derived valuations in which all significant inputs or significant value-drivers are observable in active markets.</w:t>
      </w:r>
    </w:p>
    <w:p>
      <w:pPr>
        <w:spacing w:after="0" w:line="203" w:lineRule="exact"/>
        <w:rPr>
          <w:sz w:val="20"/>
          <w:szCs w:val="20"/>
          <w:color w:val="auto"/>
        </w:rPr>
      </w:pPr>
    </w:p>
    <w:p>
      <w:pPr>
        <w:jc w:val="both"/>
        <w:ind w:left="1300" w:right="20" w:hanging="971"/>
        <w:spacing w:after="0" w:line="246" w:lineRule="auto"/>
        <w:tabs>
          <w:tab w:leader="none" w:pos="1280" w:val="left"/>
        </w:tabs>
        <w:rPr>
          <w:sz w:val="20"/>
          <w:szCs w:val="20"/>
          <w:color w:val="auto"/>
        </w:rPr>
      </w:pPr>
      <w:r>
        <w:rPr>
          <w:rFonts w:ascii="Arial" w:cs="Arial" w:eastAsia="Arial" w:hAnsi="Arial"/>
          <w:sz w:val="18"/>
          <w:szCs w:val="18"/>
          <w:b w:val="1"/>
          <w:bCs w:val="1"/>
          <w:color w:val="auto"/>
        </w:rPr>
        <w:t>Level 3 –</w:t>
      </w:r>
      <w:r>
        <w:rPr>
          <w:sz w:val="20"/>
          <w:szCs w:val="20"/>
          <w:color w:val="auto"/>
        </w:rPr>
        <w:tab/>
      </w:r>
      <w:r>
        <w:rPr>
          <w:rFonts w:ascii="Arial" w:cs="Arial" w:eastAsia="Arial" w:hAnsi="Arial"/>
          <w:sz w:val="18"/>
          <w:szCs w:val="18"/>
          <w:color w:val="auto"/>
        </w:rPr>
        <w:t>Model-derived valuations in which one or more significant inputs or significant value-drivers are unobservable.</w:t>
      </w:r>
    </w:p>
    <w:p>
      <w:pPr>
        <w:spacing w:after="0" w:line="21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fair values of the Company’s equity investments are determined by using quoted prices for identical or similar instruments in markets that are not active and therefore are classified as Level 2. The fair value of the auction rate security, classified as available-for-sale, is determined by using quoted prices for similar instruments in active markets and accordingly is classified as a Level 2 instrument. The Company’s derivative financial instruments are valued using market-based inputs to valuation models. These valuation models require a variety of inputs, including contractual terms, market prices, yield curves, and measures of volatility and therefore are classified as Level 2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18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following table provides a summary of the Company’s recognized assets and liabilities that are measured at fair value on a recurring basis: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4"/>
          </w:tcPr>
          <w:p>
            <w:pPr>
              <w:ind w:left="240"/>
              <w:spacing w:after="0"/>
              <w:rPr>
                <w:sz w:val="20"/>
                <w:szCs w:val="20"/>
                <w:color w:val="auto"/>
              </w:rPr>
            </w:pPr>
            <w:r>
              <w:rPr>
                <w:rFonts w:ascii="Arial" w:cs="Arial" w:eastAsia="Arial" w:hAnsi="Arial"/>
                <w:sz w:val="17"/>
                <w:szCs w:val="17"/>
                <w:b w:val="1"/>
                <w:bCs w:val="1"/>
                <w:color w:val="auto"/>
              </w:rPr>
              <w:t>August 3, 2019</w:t>
            </w:r>
          </w:p>
        </w:tc>
        <w:tc>
          <w:tcPr>
            <w:tcW w:w="4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4"/>
          </w:tcPr>
          <w:p>
            <w:pPr>
              <w:ind w:left="240"/>
              <w:spacing w:after="0"/>
              <w:rPr>
                <w:sz w:val="20"/>
                <w:szCs w:val="20"/>
                <w:color w:val="auto"/>
              </w:rPr>
            </w:pPr>
            <w:r>
              <w:rPr>
                <w:rFonts w:ascii="Arial" w:cs="Arial" w:eastAsia="Arial" w:hAnsi="Arial"/>
                <w:sz w:val="17"/>
                <w:szCs w:val="17"/>
                <w:b w:val="1"/>
                <w:bCs w:val="1"/>
                <w:color w:val="auto"/>
              </w:rPr>
              <w:t>August 4, 2018</w:t>
            </w:r>
          </w:p>
        </w:tc>
        <w:tc>
          <w:tcPr>
            <w:tcW w:w="4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4"/>
          </w:tcPr>
          <w:p>
            <w:pPr>
              <w:ind w:left="240"/>
              <w:spacing w:after="0"/>
              <w:rPr>
                <w:sz w:val="20"/>
                <w:szCs w:val="20"/>
                <w:color w:val="auto"/>
              </w:rPr>
            </w:pPr>
            <w:r>
              <w:rPr>
                <w:rFonts w:ascii="Arial" w:cs="Arial" w:eastAsia="Arial" w:hAnsi="Arial"/>
                <w:sz w:val="17"/>
                <w:szCs w:val="17"/>
                <w:b w:val="1"/>
                <w:bCs w:val="1"/>
                <w:color w:val="auto"/>
              </w:rPr>
              <w:t>February 2, 2019</w:t>
            </w:r>
          </w:p>
        </w:tc>
        <w:tc>
          <w:tcPr>
            <w:tcW w:w="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gridSpan w:val="3"/>
          </w:tcPr>
          <w:p>
            <w:pPr>
              <w:jc w:val="right"/>
              <w:ind w:right="35"/>
              <w:spacing w:after="0" w:line="157" w:lineRule="exact"/>
              <w:rPr>
                <w:sz w:val="20"/>
                <w:szCs w:val="20"/>
                <w:color w:val="auto"/>
              </w:rPr>
            </w:pPr>
            <w:r>
              <w:rPr>
                <w:rFonts w:ascii="Arial" w:cs="Arial" w:eastAsia="Arial" w:hAnsi="Arial"/>
                <w:sz w:val="17"/>
                <w:szCs w:val="17"/>
                <w:color w:val="auto"/>
              </w:rPr>
              <w:t>($ in millions)</w:t>
            </w: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ind w:left="280"/>
              <w:spacing w:after="0"/>
              <w:rPr>
                <w:sz w:val="20"/>
                <w:szCs w:val="20"/>
                <w:color w:val="auto"/>
              </w:rPr>
            </w:pPr>
            <w:r>
              <w:rPr>
                <w:rFonts w:ascii="Arial" w:cs="Arial" w:eastAsia="Arial" w:hAnsi="Arial"/>
                <w:sz w:val="17"/>
                <w:szCs w:val="17"/>
                <w:b w:val="1"/>
                <w:bCs w:val="1"/>
                <w:color w:val="auto"/>
              </w:rPr>
              <w:t>Level 1</w:t>
            </w:r>
          </w:p>
        </w:tc>
        <w:tc>
          <w:tcPr>
            <w:tcW w:w="780" w:type="dxa"/>
            <w:vAlign w:val="bottom"/>
            <w:tcBorders>
              <w:bottom w:val="single" w:sz="8" w:color="auto"/>
            </w:tcBorders>
            <w:gridSpan w:val="2"/>
          </w:tcPr>
          <w:p>
            <w:pPr>
              <w:ind w:left="100"/>
              <w:spacing w:after="0"/>
              <w:rPr>
                <w:sz w:val="20"/>
                <w:szCs w:val="20"/>
                <w:color w:val="auto"/>
              </w:rPr>
            </w:pPr>
            <w:r>
              <w:rPr>
                <w:rFonts w:ascii="Arial" w:cs="Arial" w:eastAsia="Arial" w:hAnsi="Arial"/>
                <w:sz w:val="17"/>
                <w:szCs w:val="17"/>
                <w:b w:val="1"/>
                <w:bCs w:val="1"/>
                <w:color w:val="auto"/>
              </w:rPr>
              <w:t>Level 2</w:t>
            </w:r>
          </w:p>
        </w:tc>
        <w:tc>
          <w:tcPr>
            <w:tcW w:w="780" w:type="dxa"/>
            <w:vAlign w:val="bottom"/>
            <w:tcBorders>
              <w:bottom w:val="single" w:sz="8" w:color="auto"/>
            </w:tcBorders>
            <w:gridSpan w:val="2"/>
          </w:tcPr>
          <w:p>
            <w:pPr>
              <w:ind w:left="100"/>
              <w:spacing w:after="0"/>
              <w:rPr>
                <w:sz w:val="20"/>
                <w:szCs w:val="20"/>
                <w:color w:val="auto"/>
              </w:rPr>
            </w:pPr>
            <w:r>
              <w:rPr>
                <w:rFonts w:ascii="Arial" w:cs="Arial" w:eastAsia="Arial" w:hAnsi="Arial"/>
                <w:sz w:val="17"/>
                <w:szCs w:val="17"/>
                <w:b w:val="1"/>
                <w:bCs w:val="1"/>
                <w:color w:val="auto"/>
              </w:rPr>
              <w:t>Level 3</w:t>
            </w:r>
          </w:p>
        </w:tc>
        <w:tc>
          <w:tcPr>
            <w:tcW w:w="720" w:type="dxa"/>
            <w:vAlign w:val="bottom"/>
            <w:tcBorders>
              <w:bottom w:val="single" w:sz="8" w:color="auto"/>
            </w:tcBorders>
            <w:gridSpan w:val="2"/>
          </w:tcPr>
          <w:p>
            <w:pPr>
              <w:ind w:left="100"/>
              <w:spacing w:after="0"/>
              <w:rPr>
                <w:sz w:val="20"/>
                <w:szCs w:val="20"/>
                <w:color w:val="auto"/>
              </w:rPr>
            </w:pPr>
            <w:r>
              <w:rPr>
                <w:rFonts w:ascii="Arial" w:cs="Arial" w:eastAsia="Arial" w:hAnsi="Arial"/>
                <w:sz w:val="17"/>
                <w:szCs w:val="17"/>
                <w:b w:val="1"/>
                <w:bCs w:val="1"/>
                <w:color w:val="auto"/>
              </w:rPr>
              <w:t>Level 1</w:t>
            </w:r>
          </w:p>
        </w:tc>
        <w:tc>
          <w:tcPr>
            <w:tcW w:w="860" w:type="dxa"/>
            <w:vAlign w:val="bottom"/>
            <w:tcBorders>
              <w:bottom w:val="single" w:sz="8" w:color="auto"/>
            </w:tcBorders>
            <w:gridSpan w:val="2"/>
          </w:tcPr>
          <w:p>
            <w:pPr>
              <w:ind w:left="160"/>
              <w:spacing w:after="0"/>
              <w:rPr>
                <w:sz w:val="20"/>
                <w:szCs w:val="20"/>
                <w:color w:val="auto"/>
              </w:rPr>
            </w:pPr>
            <w:r>
              <w:rPr>
                <w:rFonts w:ascii="Arial" w:cs="Arial" w:eastAsia="Arial" w:hAnsi="Arial"/>
                <w:sz w:val="17"/>
                <w:szCs w:val="17"/>
                <w:b w:val="1"/>
                <w:bCs w:val="1"/>
                <w:color w:val="auto"/>
              </w:rPr>
              <w:t>Level 2</w:t>
            </w:r>
          </w:p>
        </w:tc>
        <w:tc>
          <w:tcPr>
            <w:tcW w:w="780" w:type="dxa"/>
            <w:vAlign w:val="bottom"/>
            <w:tcBorders>
              <w:bottom w:val="single" w:sz="8" w:color="auto"/>
            </w:tcBorders>
            <w:gridSpan w:val="2"/>
          </w:tcPr>
          <w:p>
            <w:pPr>
              <w:ind w:left="100"/>
              <w:spacing w:after="0"/>
              <w:rPr>
                <w:sz w:val="20"/>
                <w:szCs w:val="20"/>
                <w:color w:val="auto"/>
              </w:rPr>
            </w:pPr>
            <w:r>
              <w:rPr>
                <w:rFonts w:ascii="Arial" w:cs="Arial" w:eastAsia="Arial" w:hAnsi="Arial"/>
                <w:sz w:val="17"/>
                <w:szCs w:val="17"/>
                <w:b w:val="1"/>
                <w:bCs w:val="1"/>
                <w:color w:val="auto"/>
              </w:rPr>
              <w:t>Level 3</w:t>
            </w:r>
          </w:p>
        </w:tc>
        <w:tc>
          <w:tcPr>
            <w:tcW w:w="800" w:type="dxa"/>
            <w:vAlign w:val="bottom"/>
            <w:tcBorders>
              <w:bottom w:val="single" w:sz="8" w:color="auto"/>
            </w:tcBorders>
            <w:gridSpan w:val="2"/>
          </w:tcPr>
          <w:p>
            <w:pPr>
              <w:ind w:left="120"/>
              <w:spacing w:after="0"/>
              <w:rPr>
                <w:sz w:val="20"/>
                <w:szCs w:val="20"/>
                <w:color w:val="auto"/>
              </w:rPr>
            </w:pPr>
            <w:r>
              <w:rPr>
                <w:rFonts w:ascii="Arial" w:cs="Arial" w:eastAsia="Arial" w:hAnsi="Arial"/>
                <w:sz w:val="17"/>
                <w:szCs w:val="17"/>
                <w:b w:val="1"/>
                <w:bCs w:val="1"/>
                <w:color w:val="auto"/>
              </w:rPr>
              <w:t>Level 1</w:t>
            </w:r>
          </w:p>
        </w:tc>
        <w:tc>
          <w:tcPr>
            <w:tcW w:w="840" w:type="dxa"/>
            <w:vAlign w:val="bottom"/>
            <w:tcBorders>
              <w:bottom w:val="single" w:sz="8" w:color="auto"/>
            </w:tcBorders>
            <w:gridSpan w:val="2"/>
          </w:tcPr>
          <w:p>
            <w:pPr>
              <w:ind w:left="140"/>
              <w:spacing w:after="0"/>
              <w:rPr>
                <w:sz w:val="20"/>
                <w:szCs w:val="20"/>
                <w:color w:val="auto"/>
              </w:rPr>
            </w:pPr>
            <w:r>
              <w:rPr>
                <w:rFonts w:ascii="Arial" w:cs="Arial" w:eastAsia="Arial" w:hAnsi="Arial"/>
                <w:sz w:val="17"/>
                <w:szCs w:val="17"/>
                <w:b w:val="1"/>
                <w:bCs w:val="1"/>
                <w:color w:val="auto"/>
              </w:rPr>
              <w:t>Level 2</w:t>
            </w: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Level 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740" w:type="dxa"/>
            <w:vAlign w:val="bottom"/>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Assets</w:t>
            </w:r>
          </w:p>
        </w:tc>
        <w:tc>
          <w:tcPr>
            <w:tcW w:w="5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740" w:type="dxa"/>
            <w:vAlign w:val="bottom"/>
          </w:tcPr>
          <w:p>
            <w:pPr>
              <w:spacing w:after="0" w:line="189" w:lineRule="exact"/>
              <w:rPr>
                <w:sz w:val="20"/>
                <w:szCs w:val="20"/>
                <w:color w:val="auto"/>
              </w:rPr>
            </w:pPr>
            <w:r>
              <w:rPr>
                <w:rFonts w:ascii="Arial" w:cs="Arial" w:eastAsia="Arial" w:hAnsi="Arial"/>
                <w:sz w:val="17"/>
                <w:szCs w:val="17"/>
                <w:color w:val="auto"/>
              </w:rPr>
              <w:t>Equity investments</w:t>
            </w:r>
          </w:p>
        </w:tc>
        <w:tc>
          <w:tcPr>
            <w:tcW w:w="500" w:type="dxa"/>
            <w:vAlign w:val="bottom"/>
          </w:tcPr>
          <w:p>
            <w:pPr>
              <w:ind w:left="280"/>
              <w:spacing w:after="0" w:line="189" w:lineRule="exact"/>
              <w:rPr>
                <w:sz w:val="20"/>
                <w:szCs w:val="20"/>
                <w:color w:val="auto"/>
              </w:rPr>
            </w:pPr>
            <w:r>
              <w:rPr>
                <w:rFonts w:ascii="Arial" w:cs="Arial" w:eastAsia="Arial" w:hAnsi="Arial"/>
                <w:sz w:val="17"/>
                <w:szCs w:val="17"/>
                <w:b w:val="1"/>
                <w:bCs w:val="1"/>
                <w:color w:val="auto"/>
              </w:rPr>
              <w:t>$</w:t>
            </w:r>
          </w:p>
        </w:tc>
        <w:tc>
          <w:tcPr>
            <w:tcW w:w="460" w:type="dxa"/>
            <w:vAlign w:val="bottom"/>
          </w:tcPr>
          <w:p>
            <w:pPr>
              <w:ind w:left="140"/>
              <w:spacing w:after="0" w:line="189" w:lineRule="exact"/>
              <w:rPr>
                <w:sz w:val="20"/>
                <w:szCs w:val="20"/>
                <w:color w:val="auto"/>
              </w:rPr>
            </w:pPr>
            <w:r>
              <w:rPr>
                <w:rFonts w:ascii="Arial" w:cs="Arial" w:eastAsia="Arial" w:hAnsi="Arial"/>
                <w:sz w:val="17"/>
                <w:szCs w:val="17"/>
                <w:b w:val="1"/>
                <w:bCs w:val="1"/>
                <w:color w:val="auto"/>
              </w:rPr>
              <w:t>—</w:t>
            </w:r>
          </w:p>
        </w:tc>
        <w:tc>
          <w:tcPr>
            <w:tcW w:w="260" w:type="dxa"/>
            <w:vAlign w:val="bottom"/>
          </w:tcPr>
          <w:p>
            <w:pPr>
              <w:ind w:left="100"/>
              <w:spacing w:after="0" w:line="189" w:lineRule="exact"/>
              <w:rPr>
                <w:sz w:val="20"/>
                <w:szCs w:val="20"/>
                <w:color w:val="auto"/>
              </w:rPr>
            </w:pPr>
            <w:r>
              <w:rPr>
                <w:rFonts w:ascii="Arial" w:cs="Arial" w:eastAsia="Arial" w:hAnsi="Arial"/>
                <w:sz w:val="17"/>
                <w:szCs w:val="17"/>
                <w:b w:val="1"/>
                <w:bCs w:val="1"/>
                <w:color w:val="auto"/>
              </w:rPr>
              <w:t>$</w:t>
            </w:r>
          </w:p>
        </w:tc>
        <w:tc>
          <w:tcPr>
            <w:tcW w:w="52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133</w:t>
            </w:r>
          </w:p>
        </w:tc>
        <w:tc>
          <w:tcPr>
            <w:tcW w:w="340" w:type="dxa"/>
            <w:vAlign w:val="bottom"/>
          </w:tcPr>
          <w:p>
            <w:pPr>
              <w:ind w:left="100"/>
              <w:spacing w:after="0" w:line="189" w:lineRule="exact"/>
              <w:rPr>
                <w:sz w:val="20"/>
                <w:szCs w:val="20"/>
                <w:color w:val="auto"/>
              </w:rPr>
            </w:pPr>
            <w:r>
              <w:rPr>
                <w:rFonts w:ascii="Arial" w:cs="Arial" w:eastAsia="Arial" w:hAnsi="Arial"/>
                <w:sz w:val="17"/>
                <w:szCs w:val="17"/>
                <w:b w:val="1"/>
                <w:bCs w:val="1"/>
                <w:color w:val="auto"/>
              </w:rPr>
              <w:t>$</w:t>
            </w:r>
          </w:p>
        </w:tc>
        <w:tc>
          <w:tcPr>
            <w:tcW w:w="440" w:type="dxa"/>
            <w:vAlign w:val="bottom"/>
          </w:tcPr>
          <w:p>
            <w:pPr>
              <w:ind w:left="120"/>
              <w:spacing w:after="0" w:line="189" w:lineRule="exact"/>
              <w:rPr>
                <w:sz w:val="20"/>
                <w:szCs w:val="20"/>
                <w:color w:val="auto"/>
              </w:rPr>
            </w:pPr>
            <w:r>
              <w:rPr>
                <w:rFonts w:ascii="Arial" w:cs="Arial" w:eastAsia="Arial" w:hAnsi="Arial"/>
                <w:sz w:val="17"/>
                <w:szCs w:val="17"/>
                <w:b w:val="1"/>
                <w:bCs w:val="1"/>
                <w:color w:val="auto"/>
              </w:rPr>
              <w:t>—</w:t>
            </w:r>
          </w:p>
        </w:tc>
        <w:tc>
          <w:tcPr>
            <w:tcW w:w="340" w:type="dxa"/>
            <w:vAlign w:val="bottom"/>
          </w:tcPr>
          <w:p>
            <w:pPr>
              <w:ind w:left="100"/>
              <w:spacing w:after="0" w:line="189" w:lineRule="exact"/>
              <w:rPr>
                <w:sz w:val="20"/>
                <w:szCs w:val="20"/>
                <w:color w:val="auto"/>
              </w:rPr>
            </w:pPr>
            <w:r>
              <w:rPr>
                <w:rFonts w:ascii="Arial" w:cs="Arial" w:eastAsia="Arial" w:hAnsi="Arial"/>
                <w:sz w:val="17"/>
                <w:szCs w:val="17"/>
                <w:color w:val="auto"/>
              </w:rPr>
              <w:t>$</w:t>
            </w:r>
          </w:p>
        </w:tc>
        <w:tc>
          <w:tcPr>
            <w:tcW w:w="380" w:type="dxa"/>
            <w:vAlign w:val="bottom"/>
          </w:tcPr>
          <w:p>
            <w:pPr>
              <w:ind w:left="120"/>
              <w:spacing w:after="0" w:line="189" w:lineRule="exact"/>
              <w:rPr>
                <w:sz w:val="20"/>
                <w:szCs w:val="20"/>
                <w:color w:val="auto"/>
              </w:rPr>
            </w:pPr>
            <w:r>
              <w:rPr>
                <w:rFonts w:ascii="Arial" w:cs="Arial" w:eastAsia="Arial" w:hAnsi="Arial"/>
                <w:sz w:val="17"/>
                <w:szCs w:val="17"/>
                <w:color w:val="auto"/>
              </w:rPr>
              <w:t>—</w:t>
            </w:r>
          </w:p>
        </w:tc>
        <w:tc>
          <w:tcPr>
            <w:tcW w:w="380" w:type="dxa"/>
            <w:vAlign w:val="bottom"/>
          </w:tcPr>
          <w:p>
            <w:pPr>
              <w:ind w:left="160"/>
              <w:spacing w:after="0" w:line="189" w:lineRule="exact"/>
              <w:rPr>
                <w:sz w:val="20"/>
                <w:szCs w:val="20"/>
                <w:color w:val="auto"/>
              </w:rPr>
            </w:pPr>
            <w:r>
              <w:rPr>
                <w:rFonts w:ascii="Arial" w:cs="Arial" w:eastAsia="Arial" w:hAnsi="Arial"/>
                <w:sz w:val="17"/>
                <w:szCs w:val="17"/>
                <w:color w:val="auto"/>
              </w:rPr>
              <w:t>$</w:t>
            </w:r>
          </w:p>
        </w:tc>
        <w:tc>
          <w:tcPr>
            <w:tcW w:w="480" w:type="dxa"/>
            <w:vAlign w:val="bottom"/>
          </w:tcPr>
          <w:p>
            <w:pPr>
              <w:jc w:val="right"/>
              <w:ind w:right="75"/>
              <w:spacing w:after="0" w:line="189" w:lineRule="exact"/>
              <w:rPr>
                <w:sz w:val="20"/>
                <w:szCs w:val="20"/>
                <w:color w:val="auto"/>
              </w:rPr>
            </w:pPr>
            <w:r>
              <w:rPr>
                <w:rFonts w:ascii="Arial" w:cs="Arial" w:eastAsia="Arial" w:hAnsi="Arial"/>
                <w:sz w:val="17"/>
                <w:szCs w:val="17"/>
                <w:color w:val="auto"/>
              </w:rPr>
              <w:t>15</w:t>
            </w:r>
          </w:p>
        </w:tc>
        <w:tc>
          <w:tcPr>
            <w:tcW w:w="320" w:type="dxa"/>
            <w:vAlign w:val="bottom"/>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460" w:type="dxa"/>
            <w:vAlign w:val="bottom"/>
          </w:tcPr>
          <w:p>
            <w:pPr>
              <w:ind w:left="120"/>
              <w:spacing w:after="0" w:line="189" w:lineRule="exact"/>
              <w:rPr>
                <w:sz w:val="20"/>
                <w:szCs w:val="20"/>
                <w:color w:val="auto"/>
              </w:rPr>
            </w:pPr>
            <w:r>
              <w:rPr>
                <w:rFonts w:ascii="Arial" w:cs="Arial" w:eastAsia="Arial" w:hAnsi="Arial"/>
                <w:sz w:val="17"/>
                <w:szCs w:val="17"/>
                <w:color w:val="auto"/>
              </w:rPr>
              <w:t>—</w:t>
            </w:r>
          </w:p>
        </w:tc>
        <w:tc>
          <w:tcPr>
            <w:tcW w:w="340" w:type="dxa"/>
            <w:vAlign w:val="bottom"/>
          </w:tcPr>
          <w:p>
            <w:pPr>
              <w:ind w:left="100"/>
              <w:spacing w:after="0" w:line="189" w:lineRule="exact"/>
              <w:rPr>
                <w:sz w:val="20"/>
                <w:szCs w:val="20"/>
                <w:color w:val="auto"/>
              </w:rPr>
            </w:pPr>
            <w:r>
              <w:rPr>
                <w:rFonts w:ascii="Arial" w:cs="Arial" w:eastAsia="Arial" w:hAnsi="Arial"/>
                <w:sz w:val="17"/>
                <w:szCs w:val="17"/>
                <w:color w:val="auto"/>
              </w:rPr>
              <w:t>$</w:t>
            </w:r>
          </w:p>
        </w:tc>
        <w:tc>
          <w:tcPr>
            <w:tcW w:w="460" w:type="dxa"/>
            <w:vAlign w:val="bottom"/>
          </w:tcPr>
          <w:p>
            <w:pPr>
              <w:ind w:left="160"/>
              <w:spacing w:after="0" w:line="189" w:lineRule="exact"/>
              <w:rPr>
                <w:sz w:val="20"/>
                <w:szCs w:val="20"/>
                <w:color w:val="auto"/>
              </w:rPr>
            </w:pPr>
            <w:r>
              <w:rPr>
                <w:rFonts w:ascii="Arial" w:cs="Arial" w:eastAsia="Arial" w:hAnsi="Arial"/>
                <w:sz w:val="17"/>
                <w:szCs w:val="17"/>
                <w:color w:val="auto"/>
              </w:rPr>
              <w:t>—</w:t>
            </w:r>
          </w:p>
        </w:tc>
        <w:tc>
          <w:tcPr>
            <w:tcW w:w="300" w:type="dxa"/>
            <w:vAlign w:val="bottom"/>
          </w:tcPr>
          <w:p>
            <w:pPr>
              <w:ind w:left="120"/>
              <w:spacing w:after="0" w:line="189" w:lineRule="exact"/>
              <w:rPr>
                <w:sz w:val="20"/>
                <w:szCs w:val="20"/>
                <w:color w:val="auto"/>
              </w:rPr>
            </w:pPr>
            <w:r>
              <w:rPr>
                <w:rFonts w:ascii="Arial" w:cs="Arial" w:eastAsia="Arial" w:hAnsi="Arial"/>
                <w:sz w:val="17"/>
                <w:szCs w:val="17"/>
                <w:color w:val="auto"/>
              </w:rPr>
              <w:t>$</w:t>
            </w:r>
          </w:p>
        </w:tc>
        <w:tc>
          <w:tcPr>
            <w:tcW w:w="540" w:type="dxa"/>
            <w:vAlign w:val="bottom"/>
          </w:tcPr>
          <w:p>
            <w:pPr>
              <w:jc w:val="right"/>
              <w:ind w:right="75"/>
              <w:spacing w:after="0" w:line="189" w:lineRule="exact"/>
              <w:rPr>
                <w:sz w:val="20"/>
                <w:szCs w:val="20"/>
                <w:color w:val="auto"/>
              </w:rPr>
            </w:pPr>
            <w:r>
              <w:rPr>
                <w:rFonts w:ascii="Arial" w:cs="Arial" w:eastAsia="Arial" w:hAnsi="Arial"/>
                <w:sz w:val="17"/>
                <w:szCs w:val="17"/>
                <w:color w:val="auto"/>
              </w:rPr>
              <w:t>94</w:t>
            </w:r>
          </w:p>
        </w:tc>
        <w:tc>
          <w:tcPr>
            <w:tcW w:w="420" w:type="dxa"/>
            <w:vAlign w:val="bottom"/>
          </w:tcPr>
          <w:p>
            <w:pPr>
              <w:jc w:val="right"/>
              <w:ind w:right="135"/>
              <w:spacing w:after="0" w:line="189" w:lineRule="exact"/>
              <w:rPr>
                <w:sz w:val="20"/>
                <w:szCs w:val="20"/>
                <w:color w:val="auto"/>
              </w:rPr>
            </w:pPr>
            <w:r>
              <w:rPr>
                <w:rFonts w:ascii="Arial" w:cs="Arial" w:eastAsia="Arial" w:hAnsi="Arial"/>
                <w:sz w:val="17"/>
                <w:szCs w:val="17"/>
                <w:color w:val="auto"/>
              </w:rPr>
              <w:t>$</w:t>
            </w:r>
          </w:p>
        </w:tc>
        <w:tc>
          <w:tcPr>
            <w:tcW w:w="36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7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Available-for-sale</w:t>
            </w:r>
          </w:p>
        </w:tc>
        <w:tc>
          <w:tcPr>
            <w:tcW w:w="500" w:type="dxa"/>
            <w:vAlign w:val="bottom"/>
            <w:shd w:val="clear" w:color="auto" w:fill="CCEEFF"/>
          </w:tcPr>
          <w:p>
            <w:pPr>
              <w:spacing w:after="0"/>
              <w:rPr>
                <w:sz w:val="15"/>
                <w:szCs w:val="15"/>
                <w:color w:val="auto"/>
              </w:rPr>
            </w:pPr>
          </w:p>
        </w:tc>
        <w:tc>
          <w:tcPr>
            <w:tcW w:w="460" w:type="dxa"/>
            <w:vAlign w:val="bottom"/>
            <w:vMerge w:val="restart"/>
            <w:shd w:val="clear" w:color="auto" w:fill="CCEEFF"/>
          </w:tcPr>
          <w:p>
            <w:pPr>
              <w:ind w:left="140"/>
              <w:spacing w:after="0"/>
              <w:rPr>
                <w:sz w:val="20"/>
                <w:szCs w:val="20"/>
                <w:color w:val="auto"/>
              </w:rPr>
            </w:pPr>
            <w:r>
              <w:rPr>
                <w:rFonts w:ascii="Arial" w:cs="Arial" w:eastAsia="Arial" w:hAnsi="Arial"/>
                <w:sz w:val="17"/>
                <w:szCs w:val="17"/>
                <w:b w:val="1"/>
                <w:bCs w:val="1"/>
                <w:color w:val="auto"/>
              </w:rPr>
              <w:t>—</w:t>
            </w:r>
          </w:p>
        </w:tc>
        <w:tc>
          <w:tcPr>
            <w:tcW w:w="260" w:type="dxa"/>
            <w:vAlign w:val="bottom"/>
            <w:shd w:val="clear" w:color="auto" w:fill="CCEEFF"/>
          </w:tcPr>
          <w:p>
            <w:pPr>
              <w:spacing w:after="0"/>
              <w:rPr>
                <w:sz w:val="15"/>
                <w:szCs w:val="15"/>
                <w:color w:val="auto"/>
              </w:rPr>
            </w:pPr>
          </w:p>
        </w:tc>
        <w:tc>
          <w:tcPr>
            <w:tcW w:w="520" w:type="dxa"/>
            <w:vAlign w:val="bottom"/>
            <w:vMerge w:val="restart"/>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6</w:t>
            </w:r>
          </w:p>
        </w:tc>
        <w:tc>
          <w:tcPr>
            <w:tcW w:w="340" w:type="dxa"/>
            <w:vAlign w:val="bottom"/>
            <w:shd w:val="clear" w:color="auto" w:fill="CCEEFF"/>
          </w:tcPr>
          <w:p>
            <w:pPr>
              <w:spacing w:after="0"/>
              <w:rPr>
                <w:sz w:val="15"/>
                <w:szCs w:val="15"/>
                <w:color w:val="auto"/>
              </w:rPr>
            </w:pPr>
          </w:p>
        </w:tc>
        <w:tc>
          <w:tcPr>
            <w:tcW w:w="440" w:type="dxa"/>
            <w:vAlign w:val="bottom"/>
            <w:vMerge w:val="restart"/>
            <w:shd w:val="clear" w:color="auto" w:fill="CCEEFF"/>
          </w:tcPr>
          <w:p>
            <w:pPr>
              <w:ind w:left="120"/>
              <w:spacing w:after="0"/>
              <w:rPr>
                <w:sz w:val="20"/>
                <w:szCs w:val="20"/>
                <w:color w:val="auto"/>
              </w:rPr>
            </w:pPr>
            <w:r>
              <w:rPr>
                <w:rFonts w:ascii="Arial" w:cs="Arial" w:eastAsia="Arial" w:hAnsi="Arial"/>
                <w:sz w:val="17"/>
                <w:szCs w:val="17"/>
                <w:b w:val="1"/>
                <w:bCs w:val="1"/>
                <w:color w:val="auto"/>
              </w:rPr>
              <w:t>—</w:t>
            </w:r>
          </w:p>
        </w:tc>
        <w:tc>
          <w:tcPr>
            <w:tcW w:w="3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7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security</w:t>
            </w:r>
          </w:p>
        </w:tc>
        <w:tc>
          <w:tcPr>
            <w:tcW w:w="50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40" w:type="dxa"/>
            <w:vAlign w:val="bottom"/>
            <w:vMerge w:val="continue"/>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7</w:t>
            </w:r>
          </w:p>
        </w:tc>
        <w:tc>
          <w:tcPr>
            <w:tcW w:w="320" w:type="dxa"/>
            <w:vAlign w:val="bottom"/>
            <w:shd w:val="clear" w:color="auto" w:fill="CCEEFF"/>
          </w:tcPr>
          <w:p>
            <w:pPr>
              <w:spacing w:after="0"/>
              <w:rPr>
                <w:sz w:val="16"/>
                <w:szCs w:val="16"/>
                <w:color w:val="auto"/>
              </w:rPr>
            </w:pPr>
          </w:p>
        </w:tc>
        <w:tc>
          <w:tcPr>
            <w:tcW w:w="4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6"/>
                <w:szCs w:val="16"/>
                <w:color w:val="auto"/>
              </w:rPr>
            </w:pPr>
          </w:p>
        </w:tc>
        <w:tc>
          <w:tcPr>
            <w:tcW w:w="4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6</w:t>
            </w:r>
          </w:p>
        </w:tc>
        <w:tc>
          <w:tcPr>
            <w:tcW w:w="42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740" w:type="dxa"/>
            <w:vAlign w:val="bottom"/>
          </w:tcPr>
          <w:p>
            <w:pPr>
              <w:spacing w:after="0" w:line="183" w:lineRule="exact"/>
              <w:rPr>
                <w:sz w:val="20"/>
                <w:szCs w:val="20"/>
                <w:color w:val="auto"/>
              </w:rPr>
            </w:pPr>
            <w:r>
              <w:rPr>
                <w:rFonts w:ascii="Arial" w:cs="Arial" w:eastAsia="Arial" w:hAnsi="Arial"/>
                <w:sz w:val="17"/>
                <w:szCs w:val="17"/>
                <w:color w:val="auto"/>
              </w:rPr>
              <w:t>Foreign exchange</w:t>
            </w:r>
          </w:p>
        </w:tc>
        <w:tc>
          <w:tcPr>
            <w:tcW w:w="500" w:type="dxa"/>
            <w:vAlign w:val="bottom"/>
          </w:tcPr>
          <w:p>
            <w:pPr>
              <w:spacing w:after="0"/>
              <w:rPr>
                <w:sz w:val="15"/>
                <w:szCs w:val="15"/>
                <w:color w:val="auto"/>
              </w:rPr>
            </w:pPr>
          </w:p>
        </w:tc>
        <w:tc>
          <w:tcPr>
            <w:tcW w:w="460" w:type="dxa"/>
            <w:vAlign w:val="bottom"/>
            <w:vMerge w:val="restart"/>
          </w:tcPr>
          <w:p>
            <w:pPr>
              <w:ind w:left="140"/>
              <w:spacing w:after="0"/>
              <w:rPr>
                <w:sz w:val="20"/>
                <w:szCs w:val="20"/>
                <w:color w:val="auto"/>
              </w:rPr>
            </w:pPr>
            <w:r>
              <w:rPr>
                <w:rFonts w:ascii="Arial" w:cs="Arial" w:eastAsia="Arial" w:hAnsi="Arial"/>
                <w:sz w:val="17"/>
                <w:szCs w:val="17"/>
                <w:b w:val="1"/>
                <w:bCs w:val="1"/>
                <w:color w:val="auto"/>
              </w:rPr>
              <w:t>—</w:t>
            </w:r>
          </w:p>
        </w:tc>
        <w:tc>
          <w:tcPr>
            <w:tcW w:w="260" w:type="dxa"/>
            <w:vAlign w:val="bottom"/>
          </w:tcPr>
          <w:p>
            <w:pPr>
              <w:spacing w:after="0"/>
              <w:rPr>
                <w:sz w:val="15"/>
                <w:szCs w:val="15"/>
                <w:color w:val="auto"/>
              </w:rPr>
            </w:pPr>
          </w:p>
        </w:tc>
        <w:tc>
          <w:tcPr>
            <w:tcW w:w="520" w:type="dxa"/>
            <w:vAlign w:val="bottom"/>
            <w:vMerge w:val="restart"/>
          </w:tcPr>
          <w:p>
            <w:pPr>
              <w:jc w:val="right"/>
              <w:ind w:right="75"/>
              <w:spacing w:after="0"/>
              <w:rPr>
                <w:sz w:val="20"/>
                <w:szCs w:val="20"/>
                <w:color w:val="auto"/>
              </w:rPr>
            </w:pPr>
            <w:r>
              <w:rPr>
                <w:rFonts w:ascii="Arial" w:cs="Arial" w:eastAsia="Arial" w:hAnsi="Arial"/>
                <w:sz w:val="17"/>
                <w:szCs w:val="17"/>
                <w:b w:val="1"/>
                <w:bCs w:val="1"/>
                <w:color w:val="auto"/>
              </w:rPr>
              <w:t>4</w:t>
            </w:r>
          </w:p>
        </w:tc>
        <w:tc>
          <w:tcPr>
            <w:tcW w:w="340" w:type="dxa"/>
            <w:vAlign w:val="bottom"/>
          </w:tcPr>
          <w:p>
            <w:pPr>
              <w:spacing w:after="0"/>
              <w:rPr>
                <w:sz w:val="15"/>
                <w:szCs w:val="15"/>
                <w:color w:val="auto"/>
              </w:rPr>
            </w:pPr>
          </w:p>
        </w:tc>
        <w:tc>
          <w:tcPr>
            <w:tcW w:w="440" w:type="dxa"/>
            <w:vAlign w:val="bottom"/>
            <w:vMerge w:val="restart"/>
          </w:tcPr>
          <w:p>
            <w:pPr>
              <w:ind w:left="120"/>
              <w:spacing w:after="0"/>
              <w:rPr>
                <w:sz w:val="20"/>
                <w:szCs w:val="20"/>
                <w:color w:val="auto"/>
              </w:rPr>
            </w:pPr>
            <w:r>
              <w:rPr>
                <w:rFonts w:ascii="Arial" w:cs="Arial" w:eastAsia="Arial" w:hAnsi="Arial"/>
                <w:sz w:val="17"/>
                <w:szCs w:val="17"/>
                <w:b w:val="1"/>
                <w:bCs w:val="1"/>
                <w:color w:val="auto"/>
              </w:rPr>
              <w:t>—</w:t>
            </w: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740" w:type="dxa"/>
            <w:vAlign w:val="bottom"/>
            <w:tcBorders>
              <w:bottom w:val="single" w:sz="8" w:color="auto"/>
            </w:tcBorders>
          </w:tcPr>
          <w:p>
            <w:pPr>
              <w:ind w:left="160"/>
              <w:spacing w:after="0"/>
              <w:rPr>
                <w:sz w:val="20"/>
                <w:szCs w:val="20"/>
                <w:color w:val="auto"/>
              </w:rPr>
            </w:pPr>
            <w:r>
              <w:rPr>
                <w:rFonts w:ascii="Arial" w:cs="Arial" w:eastAsia="Arial" w:hAnsi="Arial"/>
                <w:sz w:val="17"/>
                <w:szCs w:val="17"/>
                <w:color w:val="auto"/>
              </w:rPr>
              <w:t>forward contracts</w:t>
            </w:r>
          </w:p>
        </w:tc>
        <w:tc>
          <w:tcPr>
            <w:tcW w:w="5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2</w:t>
            </w:r>
          </w:p>
        </w:tc>
        <w:tc>
          <w:tcPr>
            <w:tcW w:w="3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ind w:left="16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74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Total Assets</w:t>
            </w:r>
          </w:p>
        </w:tc>
        <w:tc>
          <w:tcPr>
            <w:tcW w:w="500" w:type="dxa"/>
            <w:vAlign w:val="bottom"/>
            <w:tcBorders>
              <w:bottom w:val="single" w:sz="8" w:color="auto"/>
            </w:tcBorders>
            <w:shd w:val="clear" w:color="auto" w:fill="CCEEFF"/>
          </w:tcPr>
          <w:p>
            <w:pPr>
              <w:ind w:left="280"/>
              <w:spacing w:after="0" w:line="183" w:lineRule="exact"/>
              <w:rPr>
                <w:sz w:val="20"/>
                <w:szCs w:val="20"/>
                <w:color w:val="auto"/>
              </w:rPr>
            </w:pPr>
            <w:r>
              <w:rPr>
                <w:rFonts w:ascii="Arial" w:cs="Arial" w:eastAsia="Arial" w:hAnsi="Arial"/>
                <w:sz w:val="17"/>
                <w:szCs w:val="17"/>
                <w:b w:val="1"/>
                <w:bCs w:val="1"/>
                <w:color w:val="auto"/>
              </w:rPr>
              <w:t>$</w:t>
            </w:r>
          </w:p>
        </w:tc>
        <w:tc>
          <w:tcPr>
            <w:tcW w:w="460" w:type="dxa"/>
            <w:vAlign w:val="bottom"/>
            <w:tcBorders>
              <w:bottom w:val="single" w:sz="8" w:color="auto"/>
            </w:tcBorders>
            <w:shd w:val="clear" w:color="auto" w:fill="CCEEFF"/>
          </w:tcPr>
          <w:p>
            <w:pPr>
              <w:ind w:left="140"/>
              <w:spacing w:after="0" w:line="183" w:lineRule="exact"/>
              <w:rPr>
                <w:sz w:val="20"/>
                <w:szCs w:val="20"/>
                <w:color w:val="auto"/>
              </w:rPr>
            </w:pPr>
            <w:r>
              <w:rPr>
                <w:rFonts w:ascii="Arial" w:cs="Arial" w:eastAsia="Arial" w:hAnsi="Arial"/>
                <w:sz w:val="17"/>
                <w:szCs w:val="17"/>
                <w:b w:val="1"/>
                <w:bCs w:val="1"/>
                <w:color w:val="auto"/>
              </w:rPr>
              <w:t>—</w:t>
            </w:r>
          </w:p>
        </w:tc>
        <w:tc>
          <w:tcPr>
            <w:tcW w:w="260" w:type="dxa"/>
            <w:vAlign w:val="bottom"/>
            <w:tcBorders>
              <w:bottom w:val="single" w:sz="8" w:color="auto"/>
            </w:tcBorders>
            <w:shd w:val="clear" w:color="auto" w:fill="CCEEFF"/>
          </w:tcPr>
          <w:p>
            <w:pPr>
              <w:ind w:left="100"/>
              <w:spacing w:after="0" w:line="183" w:lineRule="exact"/>
              <w:rPr>
                <w:sz w:val="20"/>
                <w:szCs w:val="20"/>
                <w:color w:val="auto"/>
              </w:rPr>
            </w:pPr>
            <w:r>
              <w:rPr>
                <w:rFonts w:ascii="Arial" w:cs="Arial" w:eastAsia="Arial" w:hAnsi="Arial"/>
                <w:sz w:val="17"/>
                <w:szCs w:val="17"/>
                <w:b w:val="1"/>
                <w:bCs w:val="1"/>
                <w:color w:val="auto"/>
              </w:rPr>
              <w:t>$</w:t>
            </w:r>
          </w:p>
        </w:tc>
        <w:tc>
          <w:tcPr>
            <w:tcW w:w="52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143</w:t>
            </w:r>
          </w:p>
        </w:tc>
        <w:tc>
          <w:tcPr>
            <w:tcW w:w="340" w:type="dxa"/>
            <w:vAlign w:val="bottom"/>
            <w:tcBorders>
              <w:bottom w:val="single" w:sz="8" w:color="auto"/>
            </w:tcBorders>
            <w:shd w:val="clear" w:color="auto" w:fill="CCEEFF"/>
          </w:tcPr>
          <w:p>
            <w:pPr>
              <w:ind w:left="100"/>
              <w:spacing w:after="0" w:line="183" w:lineRule="exact"/>
              <w:rPr>
                <w:sz w:val="20"/>
                <w:szCs w:val="20"/>
                <w:color w:val="auto"/>
              </w:rPr>
            </w:pPr>
            <w:r>
              <w:rPr>
                <w:rFonts w:ascii="Arial" w:cs="Arial" w:eastAsia="Arial" w:hAnsi="Arial"/>
                <w:sz w:val="17"/>
                <w:szCs w:val="17"/>
                <w:b w:val="1"/>
                <w:bCs w:val="1"/>
                <w:color w:val="auto"/>
              </w:rPr>
              <w:t>$</w:t>
            </w:r>
          </w:p>
        </w:tc>
        <w:tc>
          <w:tcPr>
            <w:tcW w:w="440" w:type="dxa"/>
            <w:vAlign w:val="bottom"/>
            <w:tcBorders>
              <w:bottom w:val="single" w:sz="8" w:color="auto"/>
            </w:tcBorders>
            <w:shd w:val="clear" w:color="auto" w:fill="CCEEFF"/>
          </w:tcPr>
          <w:p>
            <w:pPr>
              <w:ind w:left="120"/>
              <w:spacing w:after="0" w:line="183" w:lineRule="exact"/>
              <w:rPr>
                <w:sz w:val="20"/>
                <w:szCs w:val="20"/>
                <w:color w:val="auto"/>
              </w:rPr>
            </w:pPr>
            <w:r>
              <w:rPr>
                <w:rFonts w:ascii="Arial" w:cs="Arial" w:eastAsia="Arial" w:hAnsi="Arial"/>
                <w:sz w:val="17"/>
                <w:szCs w:val="17"/>
                <w:b w:val="1"/>
                <w:bCs w:val="1"/>
                <w:color w:val="auto"/>
              </w:rPr>
              <w:t>—</w:t>
            </w:r>
          </w:p>
        </w:tc>
        <w:tc>
          <w:tcPr>
            <w:tcW w:w="340" w:type="dxa"/>
            <w:vAlign w:val="bottom"/>
            <w:tcBorders>
              <w:bottom w:val="single" w:sz="8" w:color="auto"/>
            </w:tcBorders>
            <w:shd w:val="clear" w:color="auto" w:fill="CCEEFF"/>
          </w:tcPr>
          <w:p>
            <w:pPr>
              <w:ind w:left="100"/>
              <w:spacing w:after="0" w:line="183"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shd w:val="clear" w:color="auto" w:fill="CCEEFF"/>
          </w:tcPr>
          <w:p>
            <w:pPr>
              <w:ind w:left="120"/>
              <w:spacing w:after="0" w:line="183"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shd w:val="clear" w:color="auto" w:fill="CCEEFF"/>
          </w:tcPr>
          <w:p>
            <w:pPr>
              <w:ind w:left="160"/>
              <w:spacing w:after="0" w:line="183" w:lineRule="exact"/>
              <w:rPr>
                <w:sz w:val="20"/>
                <w:szCs w:val="20"/>
                <w:color w:val="auto"/>
              </w:rPr>
            </w:pPr>
            <w:r>
              <w:rPr>
                <w:rFonts w:ascii="Arial" w:cs="Arial" w:eastAsia="Arial" w:hAnsi="Arial"/>
                <w:sz w:val="17"/>
                <w:szCs w:val="17"/>
                <w:color w:val="auto"/>
              </w:rPr>
              <w:t>$</w:t>
            </w:r>
          </w:p>
        </w:tc>
        <w:tc>
          <w:tcPr>
            <w:tcW w:w="48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24</w:t>
            </w:r>
          </w:p>
        </w:tc>
        <w:tc>
          <w:tcPr>
            <w:tcW w:w="32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w:t>
            </w:r>
          </w:p>
        </w:tc>
        <w:tc>
          <w:tcPr>
            <w:tcW w:w="460" w:type="dxa"/>
            <w:vAlign w:val="bottom"/>
            <w:tcBorders>
              <w:bottom w:val="single" w:sz="8" w:color="auto"/>
            </w:tcBorders>
            <w:shd w:val="clear" w:color="auto" w:fill="CCEEFF"/>
          </w:tcPr>
          <w:p>
            <w:pPr>
              <w:ind w:left="120"/>
              <w:spacing w:after="0" w:line="183" w:lineRule="exact"/>
              <w:rPr>
                <w:sz w:val="20"/>
                <w:szCs w:val="20"/>
                <w:color w:val="auto"/>
              </w:rPr>
            </w:pPr>
            <w:r>
              <w:rPr>
                <w:rFonts w:ascii="Arial" w:cs="Arial" w:eastAsia="Arial" w:hAnsi="Arial"/>
                <w:sz w:val="17"/>
                <w:szCs w:val="17"/>
                <w:color w:val="auto"/>
              </w:rPr>
              <w:t>—</w:t>
            </w:r>
          </w:p>
        </w:tc>
        <w:tc>
          <w:tcPr>
            <w:tcW w:w="340" w:type="dxa"/>
            <w:vAlign w:val="bottom"/>
            <w:tcBorders>
              <w:bottom w:val="single" w:sz="8" w:color="auto"/>
            </w:tcBorders>
            <w:shd w:val="clear" w:color="auto" w:fill="CCEEFF"/>
          </w:tcPr>
          <w:p>
            <w:pPr>
              <w:ind w:left="100"/>
              <w:spacing w:after="0" w:line="183" w:lineRule="exact"/>
              <w:rPr>
                <w:sz w:val="20"/>
                <w:szCs w:val="20"/>
                <w:color w:val="auto"/>
              </w:rPr>
            </w:pPr>
            <w:r>
              <w:rPr>
                <w:rFonts w:ascii="Arial" w:cs="Arial" w:eastAsia="Arial" w:hAnsi="Arial"/>
                <w:sz w:val="17"/>
                <w:szCs w:val="17"/>
                <w:color w:val="auto"/>
              </w:rPr>
              <w:t>$</w:t>
            </w:r>
          </w:p>
        </w:tc>
        <w:tc>
          <w:tcPr>
            <w:tcW w:w="460" w:type="dxa"/>
            <w:vAlign w:val="bottom"/>
            <w:tcBorders>
              <w:bottom w:val="single" w:sz="8" w:color="auto"/>
            </w:tcBorders>
            <w:shd w:val="clear" w:color="auto" w:fill="CCEEFF"/>
          </w:tcPr>
          <w:p>
            <w:pPr>
              <w:ind w:left="160"/>
              <w:spacing w:after="0" w:line="183" w:lineRule="exact"/>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shd w:val="clear" w:color="auto" w:fill="CCEEFF"/>
          </w:tcPr>
          <w:p>
            <w:pPr>
              <w:ind w:left="120"/>
              <w:spacing w:after="0" w:line="183" w:lineRule="exact"/>
              <w:rPr>
                <w:sz w:val="20"/>
                <w:szCs w:val="20"/>
                <w:color w:val="auto"/>
              </w:rPr>
            </w:pPr>
            <w:r>
              <w:rPr>
                <w:rFonts w:ascii="Arial" w:cs="Arial" w:eastAsia="Arial" w:hAnsi="Arial"/>
                <w:sz w:val="17"/>
                <w:szCs w:val="17"/>
                <w:color w:val="auto"/>
              </w:rPr>
              <w:t>$</w:t>
            </w:r>
          </w:p>
        </w:tc>
        <w:tc>
          <w:tcPr>
            <w:tcW w:w="54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100</w:t>
            </w:r>
          </w:p>
        </w:tc>
        <w:tc>
          <w:tcPr>
            <w:tcW w:w="420" w:type="dxa"/>
            <w:vAlign w:val="bottom"/>
            <w:tcBorders>
              <w:bottom w:val="single" w:sz="8" w:color="auto"/>
            </w:tcBorders>
            <w:shd w:val="clear" w:color="auto" w:fill="CCEEFF"/>
          </w:tcPr>
          <w:p>
            <w:pPr>
              <w:jc w:val="right"/>
              <w:ind w:right="135"/>
              <w:spacing w:after="0" w:line="183" w:lineRule="exact"/>
              <w:rPr>
                <w:sz w:val="20"/>
                <w:szCs w:val="20"/>
                <w:color w:val="auto"/>
              </w:rPr>
            </w:pPr>
            <w:r>
              <w:rPr>
                <w:rFonts w:ascii="Arial" w:cs="Arial" w:eastAsia="Arial" w:hAnsi="Arial"/>
                <w:sz w:val="17"/>
                <w:szCs w:val="17"/>
                <w:color w:val="auto"/>
              </w:rPr>
              <w:t>$</w:t>
            </w:r>
          </w:p>
        </w:tc>
        <w:tc>
          <w:tcPr>
            <w:tcW w:w="3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vMerge w:val="restart"/>
          </w:tcPr>
          <w:p>
            <w:pPr>
              <w:spacing w:after="0"/>
              <w:rPr>
                <w:sz w:val="14"/>
                <w:szCs w:val="14"/>
                <w:color w:val="auto"/>
              </w:rPr>
            </w:pPr>
          </w:p>
        </w:tc>
        <w:tc>
          <w:tcPr>
            <w:tcW w:w="1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174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Liabilities</w:t>
            </w:r>
          </w:p>
        </w:tc>
        <w:tc>
          <w:tcPr>
            <w:tcW w:w="5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740" w:type="dxa"/>
            <w:vAlign w:val="bottom"/>
          </w:tcPr>
          <w:p>
            <w:pPr>
              <w:spacing w:after="0" w:line="183" w:lineRule="exact"/>
              <w:rPr>
                <w:sz w:val="20"/>
                <w:szCs w:val="20"/>
                <w:color w:val="auto"/>
              </w:rPr>
            </w:pPr>
            <w:r>
              <w:rPr>
                <w:rFonts w:ascii="Arial" w:cs="Arial" w:eastAsia="Arial" w:hAnsi="Arial"/>
                <w:sz w:val="17"/>
                <w:szCs w:val="17"/>
                <w:color w:val="auto"/>
              </w:rPr>
              <w:t>Foreign exchange</w:t>
            </w:r>
          </w:p>
        </w:tc>
        <w:tc>
          <w:tcPr>
            <w:tcW w:w="500" w:type="dxa"/>
            <w:vAlign w:val="bottom"/>
          </w:tcPr>
          <w:p>
            <w:pPr>
              <w:spacing w:after="0"/>
              <w:rPr>
                <w:sz w:val="15"/>
                <w:szCs w:val="15"/>
                <w:color w:val="auto"/>
              </w:rPr>
            </w:pPr>
          </w:p>
        </w:tc>
        <w:tc>
          <w:tcPr>
            <w:tcW w:w="460" w:type="dxa"/>
            <w:vAlign w:val="bottom"/>
            <w:vMerge w:val="restart"/>
          </w:tcPr>
          <w:p>
            <w:pPr>
              <w:ind w:left="140"/>
              <w:spacing w:after="0"/>
              <w:rPr>
                <w:sz w:val="20"/>
                <w:szCs w:val="20"/>
                <w:color w:val="auto"/>
              </w:rPr>
            </w:pPr>
            <w:r>
              <w:rPr>
                <w:rFonts w:ascii="Arial" w:cs="Arial" w:eastAsia="Arial" w:hAnsi="Arial"/>
                <w:sz w:val="17"/>
                <w:szCs w:val="17"/>
                <w:b w:val="1"/>
                <w:bCs w:val="1"/>
                <w:color w:val="auto"/>
              </w:rPr>
              <w:t>—</w:t>
            </w:r>
          </w:p>
        </w:tc>
        <w:tc>
          <w:tcPr>
            <w:tcW w:w="260" w:type="dxa"/>
            <w:vAlign w:val="bottom"/>
          </w:tcPr>
          <w:p>
            <w:pPr>
              <w:spacing w:after="0"/>
              <w:rPr>
                <w:sz w:val="15"/>
                <w:szCs w:val="15"/>
                <w:color w:val="auto"/>
              </w:rPr>
            </w:pPr>
          </w:p>
        </w:tc>
        <w:tc>
          <w:tcPr>
            <w:tcW w:w="520" w:type="dxa"/>
            <w:vAlign w:val="bottom"/>
            <w:vMerge w:val="restart"/>
          </w:tcPr>
          <w:p>
            <w:pPr>
              <w:jc w:val="right"/>
              <w:ind w:right="75"/>
              <w:spacing w:after="0"/>
              <w:rPr>
                <w:sz w:val="20"/>
                <w:szCs w:val="20"/>
                <w:color w:val="auto"/>
              </w:rPr>
            </w:pPr>
            <w:r>
              <w:rPr>
                <w:rFonts w:ascii="Arial" w:cs="Arial" w:eastAsia="Arial" w:hAnsi="Arial"/>
                <w:sz w:val="17"/>
                <w:szCs w:val="17"/>
                <w:b w:val="1"/>
                <w:bCs w:val="1"/>
                <w:color w:val="auto"/>
              </w:rPr>
              <w:t>—</w:t>
            </w:r>
          </w:p>
        </w:tc>
        <w:tc>
          <w:tcPr>
            <w:tcW w:w="340" w:type="dxa"/>
            <w:vAlign w:val="bottom"/>
          </w:tcPr>
          <w:p>
            <w:pPr>
              <w:spacing w:after="0"/>
              <w:rPr>
                <w:sz w:val="15"/>
                <w:szCs w:val="15"/>
                <w:color w:val="auto"/>
              </w:rPr>
            </w:pPr>
          </w:p>
        </w:tc>
        <w:tc>
          <w:tcPr>
            <w:tcW w:w="440" w:type="dxa"/>
            <w:vAlign w:val="bottom"/>
            <w:vMerge w:val="restart"/>
          </w:tcPr>
          <w:p>
            <w:pPr>
              <w:ind w:left="120"/>
              <w:spacing w:after="0"/>
              <w:rPr>
                <w:sz w:val="20"/>
                <w:szCs w:val="20"/>
                <w:color w:val="auto"/>
              </w:rPr>
            </w:pPr>
            <w:r>
              <w:rPr>
                <w:rFonts w:ascii="Arial" w:cs="Arial" w:eastAsia="Arial" w:hAnsi="Arial"/>
                <w:sz w:val="17"/>
                <w:szCs w:val="17"/>
                <w:b w:val="1"/>
                <w:bCs w:val="1"/>
                <w:color w:val="auto"/>
              </w:rPr>
              <w:t>—</w:t>
            </w: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740" w:type="dxa"/>
            <w:vAlign w:val="bottom"/>
            <w:tcBorders>
              <w:bottom w:val="single" w:sz="8" w:color="auto"/>
            </w:tcBorders>
          </w:tcPr>
          <w:p>
            <w:pPr>
              <w:ind w:left="160"/>
              <w:spacing w:after="0"/>
              <w:rPr>
                <w:sz w:val="20"/>
                <w:szCs w:val="20"/>
                <w:color w:val="auto"/>
              </w:rPr>
            </w:pPr>
            <w:r>
              <w:rPr>
                <w:rFonts w:ascii="Arial" w:cs="Arial" w:eastAsia="Arial" w:hAnsi="Arial"/>
                <w:sz w:val="17"/>
                <w:szCs w:val="17"/>
                <w:color w:val="auto"/>
              </w:rPr>
              <w:t>forward contracts</w:t>
            </w:r>
          </w:p>
        </w:tc>
        <w:tc>
          <w:tcPr>
            <w:tcW w:w="5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1</w:t>
            </w:r>
          </w:p>
        </w:tc>
        <w:tc>
          <w:tcPr>
            <w:tcW w:w="3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ind w:left="16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1</w:t>
            </w:r>
          </w:p>
        </w:tc>
        <w:tc>
          <w:tcPr>
            <w:tcW w:w="4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74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Total Liabilities</w:t>
            </w:r>
          </w:p>
        </w:tc>
        <w:tc>
          <w:tcPr>
            <w:tcW w:w="500" w:type="dxa"/>
            <w:vAlign w:val="bottom"/>
            <w:tcBorders>
              <w:bottom w:val="single" w:sz="8" w:color="auto"/>
            </w:tcBorders>
            <w:shd w:val="clear" w:color="auto" w:fill="CCEEFF"/>
          </w:tcPr>
          <w:p>
            <w:pPr>
              <w:ind w:left="280"/>
              <w:spacing w:after="0" w:line="183" w:lineRule="exact"/>
              <w:rPr>
                <w:sz w:val="20"/>
                <w:szCs w:val="20"/>
                <w:color w:val="auto"/>
              </w:rPr>
            </w:pPr>
            <w:r>
              <w:rPr>
                <w:rFonts w:ascii="Arial" w:cs="Arial" w:eastAsia="Arial" w:hAnsi="Arial"/>
                <w:sz w:val="17"/>
                <w:szCs w:val="17"/>
                <w:b w:val="1"/>
                <w:bCs w:val="1"/>
                <w:color w:val="auto"/>
              </w:rPr>
              <w:t>$</w:t>
            </w:r>
          </w:p>
        </w:tc>
        <w:tc>
          <w:tcPr>
            <w:tcW w:w="460" w:type="dxa"/>
            <w:vAlign w:val="bottom"/>
            <w:tcBorders>
              <w:bottom w:val="single" w:sz="8" w:color="auto"/>
            </w:tcBorders>
            <w:shd w:val="clear" w:color="auto" w:fill="CCEEFF"/>
          </w:tcPr>
          <w:p>
            <w:pPr>
              <w:ind w:left="140"/>
              <w:spacing w:after="0" w:line="183" w:lineRule="exact"/>
              <w:rPr>
                <w:sz w:val="20"/>
                <w:szCs w:val="20"/>
                <w:color w:val="auto"/>
              </w:rPr>
            </w:pPr>
            <w:r>
              <w:rPr>
                <w:rFonts w:ascii="Arial" w:cs="Arial" w:eastAsia="Arial" w:hAnsi="Arial"/>
                <w:sz w:val="17"/>
                <w:szCs w:val="17"/>
                <w:b w:val="1"/>
                <w:bCs w:val="1"/>
                <w:color w:val="auto"/>
              </w:rPr>
              <w:t>—</w:t>
            </w:r>
          </w:p>
        </w:tc>
        <w:tc>
          <w:tcPr>
            <w:tcW w:w="260" w:type="dxa"/>
            <w:vAlign w:val="bottom"/>
            <w:tcBorders>
              <w:bottom w:val="single" w:sz="8" w:color="auto"/>
            </w:tcBorders>
            <w:shd w:val="clear" w:color="auto" w:fill="CCEEFF"/>
          </w:tcPr>
          <w:p>
            <w:pPr>
              <w:ind w:left="100"/>
              <w:spacing w:after="0" w:line="183" w:lineRule="exact"/>
              <w:rPr>
                <w:sz w:val="20"/>
                <w:szCs w:val="20"/>
                <w:color w:val="auto"/>
              </w:rPr>
            </w:pPr>
            <w:r>
              <w:rPr>
                <w:rFonts w:ascii="Arial" w:cs="Arial" w:eastAsia="Arial" w:hAnsi="Arial"/>
                <w:sz w:val="17"/>
                <w:szCs w:val="17"/>
                <w:b w:val="1"/>
                <w:bCs w:val="1"/>
                <w:color w:val="auto"/>
              </w:rPr>
              <w:t>$</w:t>
            </w:r>
          </w:p>
        </w:tc>
        <w:tc>
          <w:tcPr>
            <w:tcW w:w="52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w:t>
            </w:r>
          </w:p>
        </w:tc>
        <w:tc>
          <w:tcPr>
            <w:tcW w:w="340" w:type="dxa"/>
            <w:vAlign w:val="bottom"/>
            <w:tcBorders>
              <w:bottom w:val="single" w:sz="8" w:color="auto"/>
            </w:tcBorders>
            <w:shd w:val="clear" w:color="auto" w:fill="CCEEFF"/>
          </w:tcPr>
          <w:p>
            <w:pPr>
              <w:ind w:left="100"/>
              <w:spacing w:after="0" w:line="183" w:lineRule="exact"/>
              <w:rPr>
                <w:sz w:val="20"/>
                <w:szCs w:val="20"/>
                <w:color w:val="auto"/>
              </w:rPr>
            </w:pPr>
            <w:r>
              <w:rPr>
                <w:rFonts w:ascii="Arial" w:cs="Arial" w:eastAsia="Arial" w:hAnsi="Arial"/>
                <w:sz w:val="17"/>
                <w:szCs w:val="17"/>
                <w:b w:val="1"/>
                <w:bCs w:val="1"/>
                <w:color w:val="auto"/>
              </w:rPr>
              <w:t>$</w:t>
            </w:r>
          </w:p>
        </w:tc>
        <w:tc>
          <w:tcPr>
            <w:tcW w:w="440" w:type="dxa"/>
            <w:vAlign w:val="bottom"/>
            <w:tcBorders>
              <w:bottom w:val="single" w:sz="8" w:color="auto"/>
            </w:tcBorders>
            <w:shd w:val="clear" w:color="auto" w:fill="CCEEFF"/>
          </w:tcPr>
          <w:p>
            <w:pPr>
              <w:ind w:left="120"/>
              <w:spacing w:after="0" w:line="183" w:lineRule="exact"/>
              <w:rPr>
                <w:sz w:val="20"/>
                <w:szCs w:val="20"/>
                <w:color w:val="auto"/>
              </w:rPr>
            </w:pPr>
            <w:r>
              <w:rPr>
                <w:rFonts w:ascii="Arial" w:cs="Arial" w:eastAsia="Arial" w:hAnsi="Arial"/>
                <w:sz w:val="17"/>
                <w:szCs w:val="17"/>
                <w:b w:val="1"/>
                <w:bCs w:val="1"/>
                <w:color w:val="auto"/>
              </w:rPr>
              <w:t>—</w:t>
            </w:r>
          </w:p>
        </w:tc>
        <w:tc>
          <w:tcPr>
            <w:tcW w:w="340" w:type="dxa"/>
            <w:vAlign w:val="bottom"/>
            <w:tcBorders>
              <w:bottom w:val="single" w:sz="8" w:color="auto"/>
            </w:tcBorders>
            <w:shd w:val="clear" w:color="auto" w:fill="CCEEFF"/>
          </w:tcPr>
          <w:p>
            <w:pPr>
              <w:ind w:left="100"/>
              <w:spacing w:after="0" w:line="183"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shd w:val="clear" w:color="auto" w:fill="CCEEFF"/>
          </w:tcPr>
          <w:p>
            <w:pPr>
              <w:ind w:left="120"/>
              <w:spacing w:after="0" w:line="183"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shd w:val="clear" w:color="auto" w:fill="CCEEFF"/>
          </w:tcPr>
          <w:p>
            <w:pPr>
              <w:ind w:left="160"/>
              <w:spacing w:after="0" w:line="183" w:lineRule="exact"/>
              <w:rPr>
                <w:sz w:val="20"/>
                <w:szCs w:val="20"/>
                <w:color w:val="auto"/>
              </w:rPr>
            </w:pPr>
            <w:r>
              <w:rPr>
                <w:rFonts w:ascii="Arial" w:cs="Arial" w:eastAsia="Arial" w:hAnsi="Arial"/>
                <w:sz w:val="17"/>
                <w:szCs w:val="17"/>
                <w:color w:val="auto"/>
              </w:rPr>
              <w:t>$</w:t>
            </w:r>
          </w:p>
        </w:tc>
        <w:tc>
          <w:tcPr>
            <w:tcW w:w="48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1</w:t>
            </w:r>
          </w:p>
        </w:tc>
        <w:tc>
          <w:tcPr>
            <w:tcW w:w="32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w:t>
            </w:r>
          </w:p>
        </w:tc>
        <w:tc>
          <w:tcPr>
            <w:tcW w:w="460" w:type="dxa"/>
            <w:vAlign w:val="bottom"/>
            <w:tcBorders>
              <w:bottom w:val="single" w:sz="8" w:color="auto"/>
            </w:tcBorders>
            <w:shd w:val="clear" w:color="auto" w:fill="CCEEFF"/>
          </w:tcPr>
          <w:p>
            <w:pPr>
              <w:ind w:left="120"/>
              <w:spacing w:after="0" w:line="183" w:lineRule="exact"/>
              <w:rPr>
                <w:sz w:val="20"/>
                <w:szCs w:val="20"/>
                <w:color w:val="auto"/>
              </w:rPr>
            </w:pPr>
            <w:r>
              <w:rPr>
                <w:rFonts w:ascii="Arial" w:cs="Arial" w:eastAsia="Arial" w:hAnsi="Arial"/>
                <w:sz w:val="17"/>
                <w:szCs w:val="17"/>
                <w:color w:val="auto"/>
              </w:rPr>
              <w:t>—</w:t>
            </w:r>
          </w:p>
        </w:tc>
        <w:tc>
          <w:tcPr>
            <w:tcW w:w="340" w:type="dxa"/>
            <w:vAlign w:val="bottom"/>
            <w:tcBorders>
              <w:bottom w:val="single" w:sz="8" w:color="auto"/>
            </w:tcBorders>
            <w:shd w:val="clear" w:color="auto" w:fill="CCEEFF"/>
          </w:tcPr>
          <w:p>
            <w:pPr>
              <w:ind w:left="100"/>
              <w:spacing w:after="0" w:line="183" w:lineRule="exact"/>
              <w:rPr>
                <w:sz w:val="20"/>
                <w:szCs w:val="20"/>
                <w:color w:val="auto"/>
              </w:rPr>
            </w:pPr>
            <w:r>
              <w:rPr>
                <w:rFonts w:ascii="Arial" w:cs="Arial" w:eastAsia="Arial" w:hAnsi="Arial"/>
                <w:sz w:val="17"/>
                <w:szCs w:val="17"/>
                <w:color w:val="auto"/>
              </w:rPr>
              <w:t>$</w:t>
            </w:r>
          </w:p>
        </w:tc>
        <w:tc>
          <w:tcPr>
            <w:tcW w:w="460" w:type="dxa"/>
            <w:vAlign w:val="bottom"/>
            <w:tcBorders>
              <w:bottom w:val="single" w:sz="8" w:color="auto"/>
            </w:tcBorders>
            <w:shd w:val="clear" w:color="auto" w:fill="CCEEFF"/>
          </w:tcPr>
          <w:p>
            <w:pPr>
              <w:ind w:left="160"/>
              <w:spacing w:after="0" w:line="183" w:lineRule="exact"/>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shd w:val="clear" w:color="auto" w:fill="CCEEFF"/>
          </w:tcPr>
          <w:p>
            <w:pPr>
              <w:ind w:left="120"/>
              <w:spacing w:after="0" w:line="183" w:lineRule="exact"/>
              <w:rPr>
                <w:sz w:val="20"/>
                <w:szCs w:val="20"/>
                <w:color w:val="auto"/>
              </w:rPr>
            </w:pPr>
            <w:r>
              <w:rPr>
                <w:rFonts w:ascii="Arial" w:cs="Arial" w:eastAsia="Arial" w:hAnsi="Arial"/>
                <w:sz w:val="17"/>
                <w:szCs w:val="17"/>
                <w:color w:val="auto"/>
              </w:rPr>
              <w:t>$</w:t>
            </w:r>
          </w:p>
        </w:tc>
        <w:tc>
          <w:tcPr>
            <w:tcW w:w="54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1</w:t>
            </w:r>
          </w:p>
        </w:tc>
        <w:tc>
          <w:tcPr>
            <w:tcW w:w="420" w:type="dxa"/>
            <w:vAlign w:val="bottom"/>
            <w:tcBorders>
              <w:bottom w:val="single" w:sz="8" w:color="auto"/>
            </w:tcBorders>
            <w:shd w:val="clear" w:color="auto" w:fill="CCEEFF"/>
          </w:tcPr>
          <w:p>
            <w:pPr>
              <w:jc w:val="right"/>
              <w:ind w:right="135"/>
              <w:spacing w:after="0" w:line="183" w:lineRule="exact"/>
              <w:rPr>
                <w:sz w:val="20"/>
                <w:szCs w:val="20"/>
                <w:color w:val="auto"/>
              </w:rPr>
            </w:pPr>
            <w:r>
              <w:rPr>
                <w:rFonts w:ascii="Arial" w:cs="Arial" w:eastAsia="Arial" w:hAnsi="Arial"/>
                <w:sz w:val="17"/>
                <w:szCs w:val="17"/>
                <w:color w:val="auto"/>
              </w:rPr>
              <w:t>$</w:t>
            </w:r>
          </w:p>
        </w:tc>
        <w:tc>
          <w:tcPr>
            <w:tcW w:w="3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There were no transfers into or out of Level 1, Level 2, or Level 3 assets and liabilities for any of the periods presented.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 and estimated fair value of long-term debt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1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080" w:type="dxa"/>
            <w:vAlign w:val="bottom"/>
          </w:tcPr>
          <w:p>
            <w:pPr>
              <w:jc w:val="right"/>
              <w:ind w:right="175"/>
              <w:spacing w:after="0"/>
              <w:rPr>
                <w:sz w:val="20"/>
                <w:szCs w:val="20"/>
                <w:color w:val="auto"/>
              </w:rPr>
            </w:pPr>
            <w:r>
              <w:rPr>
                <w:rFonts w:ascii="Arial" w:cs="Arial" w:eastAsia="Arial" w:hAnsi="Arial"/>
                <w:sz w:val="17"/>
                <w:szCs w:val="17"/>
                <w:b w:val="1"/>
                <w:bCs w:val="1"/>
                <w:color w:val="auto"/>
              </w:rPr>
              <w:t>August 3,</w:t>
            </w:r>
          </w:p>
        </w:tc>
        <w:tc>
          <w:tcPr>
            <w:tcW w:w="260" w:type="dxa"/>
            <w:vAlign w:val="bottom"/>
          </w:tcPr>
          <w:p>
            <w:pPr>
              <w:spacing w:after="0"/>
              <w:rPr>
                <w:sz w:val="16"/>
                <w:szCs w:val="16"/>
                <w:color w:val="auto"/>
              </w:rPr>
            </w:pPr>
          </w:p>
        </w:tc>
        <w:tc>
          <w:tcPr>
            <w:tcW w:w="1060" w:type="dxa"/>
            <w:vAlign w:val="bottom"/>
          </w:tcPr>
          <w:p>
            <w:pPr>
              <w:jc w:val="center"/>
              <w:ind w:right="115"/>
              <w:spacing w:after="0"/>
              <w:rPr>
                <w:sz w:val="20"/>
                <w:szCs w:val="20"/>
                <w:color w:val="auto"/>
              </w:rPr>
            </w:pPr>
            <w:r>
              <w:rPr>
                <w:rFonts w:ascii="Arial" w:cs="Arial" w:eastAsia="Arial" w:hAnsi="Arial"/>
                <w:sz w:val="17"/>
                <w:szCs w:val="17"/>
                <w:b w:val="1"/>
                <w:bCs w:val="1"/>
                <w:color w:val="auto"/>
              </w:rPr>
              <w:t>August 4,</w:t>
            </w:r>
          </w:p>
        </w:tc>
        <w:tc>
          <w:tcPr>
            <w:tcW w:w="240" w:type="dxa"/>
            <w:vAlign w:val="bottom"/>
          </w:tcPr>
          <w:p>
            <w:pPr>
              <w:spacing w:after="0"/>
              <w:rPr>
                <w:sz w:val="16"/>
                <w:szCs w:val="16"/>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b w:val="1"/>
                <w:bCs w:val="1"/>
                <w:color w:val="auto"/>
                <w:w w:val="98"/>
              </w:rPr>
              <w:t>February 2,</w:t>
            </w:r>
          </w:p>
        </w:tc>
      </w:tr>
      <w:tr>
        <w:trPr>
          <w:trHeight w:val="215"/>
        </w:trPr>
        <w:tc>
          <w:tcPr>
            <w:tcW w:w="318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2019</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115"/>
              <w:spacing w:after="0"/>
              <w:rPr>
                <w:sz w:val="20"/>
                <w:szCs w:val="20"/>
                <w:color w:val="auto"/>
              </w:rPr>
            </w:pPr>
            <w:r>
              <w:rPr>
                <w:rFonts w:ascii="Arial" w:cs="Arial" w:eastAsia="Arial" w:hAnsi="Arial"/>
                <w:sz w:val="17"/>
                <w:szCs w:val="17"/>
                <w:b w:val="1"/>
                <w:bCs w:val="1"/>
                <w:color w:val="auto"/>
              </w:rPr>
              <w:t>2018</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2019</w:t>
            </w:r>
          </w:p>
        </w:tc>
      </w:tr>
      <w:tr>
        <w:trPr>
          <w:trHeight w:val="183"/>
        </w:trPr>
        <w:tc>
          <w:tcPr>
            <w:tcW w:w="318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20" w:type="dxa"/>
            <w:vAlign w:val="bottom"/>
            <w:gridSpan w:val="2"/>
          </w:tcPr>
          <w:p>
            <w:pPr>
              <w:jc w:val="center"/>
              <w:spacing w:after="0" w:line="183" w:lineRule="exact"/>
              <w:rPr>
                <w:sz w:val="20"/>
                <w:szCs w:val="20"/>
                <w:color w:val="auto"/>
              </w:rPr>
            </w:pPr>
            <w:r>
              <w:rPr>
                <w:rFonts w:ascii="Arial" w:cs="Arial" w:eastAsia="Arial" w:hAnsi="Arial"/>
                <w:sz w:val="17"/>
                <w:szCs w:val="17"/>
                <w:color w:val="auto"/>
                <w:w w:val="99"/>
              </w:rPr>
              <w:t>($ in millions)</w:t>
            </w: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9"/>
        </w:trPr>
        <w:tc>
          <w:tcPr>
            <w:tcW w:w="31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Carrying value</w:t>
            </w:r>
          </w:p>
        </w:tc>
        <w:tc>
          <w:tcPr>
            <w:tcW w:w="22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08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123</w:t>
            </w:r>
          </w:p>
        </w:tc>
        <w:tc>
          <w:tcPr>
            <w:tcW w:w="2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124</w:t>
            </w:r>
          </w:p>
        </w:tc>
        <w:tc>
          <w:tcPr>
            <w:tcW w:w="2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124</w:t>
            </w:r>
          </w:p>
        </w:tc>
      </w:tr>
      <w:tr>
        <w:trPr>
          <w:trHeight w:val="189"/>
        </w:trPr>
        <w:tc>
          <w:tcPr>
            <w:tcW w:w="318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Fair value</w:t>
            </w:r>
          </w:p>
        </w:tc>
        <w:tc>
          <w:tcPr>
            <w:tcW w:w="22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b w:val="1"/>
                <w:bCs w:val="1"/>
                <w:color w:val="auto"/>
              </w:rPr>
              <w:t>136</w:t>
            </w:r>
          </w:p>
        </w:tc>
        <w:tc>
          <w:tcPr>
            <w:tcW w:w="2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color w:val="auto"/>
              </w:rPr>
              <w:t>140</w:t>
            </w:r>
          </w:p>
        </w:tc>
        <w:tc>
          <w:tcPr>
            <w:tcW w:w="2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136</w:t>
            </w:r>
          </w:p>
        </w:tc>
      </w:tr>
    </w:tbl>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fair value of long-term debt is determined by using model-derived valuations in which all significant inputs or significant value drivers are observable in active markets and therefore are classified as Level 2.</w:t>
      </w:r>
    </w:p>
    <w:p>
      <w:pPr>
        <w:spacing w:after="0" w:line="19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carrying values of cash and cash equivalents, and other current receivables and payables approximate their fair value.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Share</w:t>
      </w:r>
    </w:p>
    <w:p>
      <w:pPr>
        <w:spacing w:after="0" w:line="23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Company accounts for and discloses earnings per share using the treasury stock method. Basic earnings per share is computed by dividing net income for the period by the weighted-average number of common shares outstanding at the end of the period. Restricted stock awards, which contain non-forfeitable rights to dividends, are considered participating securities and are included in the calculation of basic earnings per share.</w:t>
      </w:r>
    </w:p>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Diluted earnings per share reflects the weighted-average number of common shares outstanding during the period used in the basic earnings per share computation plus dilutive common stock equivalents.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FOOT LOCKER, INC.</w:t>
      </w:r>
    </w:p>
    <w:p>
      <w:pPr>
        <w:spacing w:after="0" w:line="18"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 of basic and diluted earnings per share is as follows: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43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3"/>
          </w:tcPr>
          <w:p>
            <w:pPr>
              <w:jc w:val="right"/>
              <w:ind w:right="155"/>
              <w:spacing w:after="0"/>
              <w:rPr>
                <w:sz w:val="20"/>
                <w:szCs w:val="20"/>
                <w:color w:val="auto"/>
              </w:rPr>
            </w:pPr>
            <w:r>
              <w:rPr>
                <w:rFonts w:ascii="Arial" w:cs="Arial" w:eastAsia="Arial" w:hAnsi="Arial"/>
                <w:sz w:val="17"/>
                <w:szCs w:val="17"/>
                <w:b w:val="1"/>
                <w:bCs w:val="1"/>
                <w:color w:val="auto"/>
              </w:rPr>
              <w:t>Thirteen weeks ended</w:t>
            </w:r>
          </w:p>
        </w:tc>
        <w:tc>
          <w:tcPr>
            <w:tcW w:w="2300" w:type="dxa"/>
            <w:vAlign w:val="bottom"/>
            <w:tcBorders>
              <w:bottom w:val="single" w:sz="8" w:color="auto"/>
            </w:tcBorders>
            <w:gridSpan w:val="4"/>
          </w:tcPr>
          <w:p>
            <w:pPr>
              <w:ind w:left="220"/>
              <w:spacing w:after="0"/>
              <w:rPr>
                <w:sz w:val="20"/>
                <w:szCs w:val="20"/>
                <w:color w:val="auto"/>
              </w:rPr>
            </w:pPr>
            <w:r>
              <w:rPr>
                <w:rFonts w:ascii="Arial" w:cs="Arial" w:eastAsia="Arial" w:hAnsi="Arial"/>
                <w:sz w:val="17"/>
                <w:szCs w:val="17"/>
                <w:b w:val="1"/>
                <w:bCs w:val="1"/>
                <w:color w:val="auto"/>
              </w:rPr>
              <w:t>Twenty-six weeks ended</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1140" w:type="dxa"/>
            <w:vAlign w:val="bottom"/>
            <w:gridSpan w:val="2"/>
          </w:tcPr>
          <w:p>
            <w:pPr>
              <w:jc w:val="right"/>
              <w:spacing w:after="0" w:line="157" w:lineRule="exact"/>
              <w:rPr>
                <w:sz w:val="20"/>
                <w:szCs w:val="20"/>
                <w:color w:val="auto"/>
              </w:rPr>
            </w:pPr>
            <w:r>
              <w:rPr>
                <w:rFonts w:ascii="Arial" w:cs="Arial" w:eastAsia="Arial" w:hAnsi="Arial"/>
                <w:sz w:val="17"/>
                <w:szCs w:val="17"/>
                <w:b w:val="1"/>
                <w:bCs w:val="1"/>
                <w:color w:val="auto"/>
              </w:rPr>
              <w:t>August 3,</w:t>
            </w:r>
          </w:p>
        </w:tc>
        <w:tc>
          <w:tcPr>
            <w:tcW w:w="1260" w:type="dxa"/>
            <w:vAlign w:val="bottom"/>
            <w:gridSpan w:val="2"/>
          </w:tcPr>
          <w:p>
            <w:pPr>
              <w:jc w:val="right"/>
              <w:ind w:right="75"/>
              <w:spacing w:after="0" w:line="157" w:lineRule="exact"/>
              <w:rPr>
                <w:sz w:val="20"/>
                <w:szCs w:val="20"/>
                <w:color w:val="auto"/>
              </w:rPr>
            </w:pPr>
            <w:r>
              <w:rPr>
                <w:rFonts w:ascii="Arial" w:cs="Arial" w:eastAsia="Arial" w:hAnsi="Arial"/>
                <w:sz w:val="17"/>
                <w:szCs w:val="17"/>
                <w:b w:val="1"/>
                <w:bCs w:val="1"/>
                <w:color w:val="auto"/>
              </w:rPr>
              <w:t>August 4,</w:t>
            </w:r>
          </w:p>
        </w:tc>
        <w:tc>
          <w:tcPr>
            <w:tcW w:w="1180" w:type="dxa"/>
            <w:vAlign w:val="bottom"/>
            <w:gridSpan w:val="2"/>
          </w:tcPr>
          <w:p>
            <w:pPr>
              <w:ind w:left="220"/>
              <w:spacing w:after="0" w:line="157" w:lineRule="exact"/>
              <w:rPr>
                <w:sz w:val="20"/>
                <w:szCs w:val="20"/>
                <w:color w:val="auto"/>
              </w:rPr>
            </w:pPr>
            <w:r>
              <w:rPr>
                <w:rFonts w:ascii="Arial" w:cs="Arial" w:eastAsia="Arial" w:hAnsi="Arial"/>
                <w:sz w:val="17"/>
                <w:szCs w:val="17"/>
                <w:b w:val="1"/>
                <w:bCs w:val="1"/>
                <w:color w:val="auto"/>
              </w:rPr>
              <w:t>August 3,</w:t>
            </w:r>
          </w:p>
        </w:tc>
        <w:tc>
          <w:tcPr>
            <w:tcW w:w="220" w:type="dxa"/>
            <w:vAlign w:val="bottom"/>
          </w:tcPr>
          <w:p>
            <w:pPr>
              <w:spacing w:after="0"/>
              <w:rPr>
                <w:sz w:val="13"/>
                <w:szCs w:val="13"/>
                <w:color w:val="auto"/>
              </w:rPr>
            </w:pPr>
          </w:p>
        </w:tc>
        <w:tc>
          <w:tcPr>
            <w:tcW w:w="900" w:type="dxa"/>
            <w:vAlign w:val="bottom"/>
          </w:tcPr>
          <w:p>
            <w:pPr>
              <w:jc w:val="right"/>
              <w:ind w:right="35"/>
              <w:spacing w:after="0" w:line="157" w:lineRule="exact"/>
              <w:rPr>
                <w:sz w:val="20"/>
                <w:szCs w:val="20"/>
                <w:color w:val="auto"/>
              </w:rPr>
            </w:pPr>
            <w:r>
              <w:rPr>
                <w:rFonts w:ascii="Arial" w:cs="Arial" w:eastAsia="Arial" w:hAnsi="Arial"/>
                <w:sz w:val="17"/>
                <w:szCs w:val="17"/>
                <w:b w:val="1"/>
                <w:bCs w:val="1"/>
                <w:color w:val="auto"/>
                <w:w w:val="98"/>
              </w:rPr>
              <w:t>August 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auto"/>
              </w:rPr>
              <w:t>2019</w:t>
            </w: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b w:val="1"/>
                <w:bCs w:val="1"/>
                <w:color w:val="auto"/>
              </w:rPr>
              <w:t>2018</w:t>
            </w: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2019</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b w:val="1"/>
                <w:bCs w:val="1"/>
                <w:color w:val="auto"/>
              </w:rPr>
              <w:t>2018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60" w:type="dxa"/>
            <w:vAlign w:val="bottom"/>
            <w:gridSpan w:val="5"/>
          </w:tcPr>
          <w:p>
            <w:pPr>
              <w:jc w:val="right"/>
              <w:spacing w:after="0" w:line="183" w:lineRule="exact"/>
              <w:rPr>
                <w:sz w:val="20"/>
                <w:szCs w:val="20"/>
                <w:color w:val="auto"/>
              </w:rPr>
            </w:pPr>
            <w:r>
              <w:rPr>
                <w:rFonts w:ascii="Arial" w:cs="Arial" w:eastAsia="Arial" w:hAnsi="Arial"/>
                <w:sz w:val="17"/>
                <w:szCs w:val="17"/>
                <w:color w:val="auto"/>
              </w:rPr>
              <w:t>(in millions, except per share data)</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3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Income</w:t>
            </w:r>
          </w:p>
        </w:tc>
        <w:tc>
          <w:tcPr>
            <w:tcW w:w="3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60</w:t>
            </w:r>
          </w:p>
        </w:tc>
        <w:tc>
          <w:tcPr>
            <w:tcW w:w="4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88</w:t>
            </w:r>
          </w:p>
        </w:tc>
        <w:tc>
          <w:tcPr>
            <w:tcW w:w="3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86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232</w:t>
            </w:r>
          </w:p>
        </w:tc>
        <w:tc>
          <w:tcPr>
            <w:tcW w:w="2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253</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3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Weighted-average common shares outstanding</w:t>
            </w:r>
          </w:p>
        </w:tc>
        <w:tc>
          <w:tcPr>
            <w:tcW w:w="3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110.8</w:t>
            </w:r>
          </w:p>
        </w:tc>
        <w:tc>
          <w:tcPr>
            <w:tcW w:w="4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116.6</w:t>
            </w:r>
          </w:p>
        </w:tc>
        <w:tc>
          <w:tcPr>
            <w:tcW w:w="32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111.6</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117.7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34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Dilutive effect of potential common shares</w:t>
            </w:r>
          </w:p>
        </w:tc>
        <w:tc>
          <w:tcPr>
            <w:tcW w:w="3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0.3</w:t>
            </w: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color w:val="auto"/>
              </w:rPr>
              <w:t>0.5</w:t>
            </w: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b w:val="1"/>
                <w:bCs w:val="1"/>
                <w:color w:val="auto"/>
              </w:rPr>
              <w:t>0.5</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0.4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4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rPr>
              <w:t>Weighted-average common shares outstanding</w:t>
            </w:r>
          </w:p>
        </w:tc>
        <w:tc>
          <w:tcPr>
            <w:tcW w:w="34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111.1</w:t>
            </w:r>
          </w:p>
        </w:tc>
        <w:tc>
          <w:tcPr>
            <w:tcW w:w="4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112.1</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3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7"/>
                <w:szCs w:val="17"/>
                <w:color w:val="auto"/>
              </w:rPr>
              <w:t>assuming dilution</w:t>
            </w:r>
          </w:p>
        </w:tc>
        <w:tc>
          <w:tcPr>
            <w:tcW w:w="3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117.1</w:t>
            </w:r>
          </w:p>
        </w:tc>
        <w:tc>
          <w:tcPr>
            <w:tcW w:w="3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vMerge w:val="continue"/>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vMerge w:val="restart"/>
          </w:tcPr>
          <w:p>
            <w:pPr>
              <w:spacing w:after="0"/>
              <w:rPr>
                <w:sz w:val="14"/>
                <w:szCs w:val="14"/>
                <w:color w:val="auto"/>
              </w:rPr>
            </w:pPr>
          </w:p>
        </w:tc>
        <w:tc>
          <w:tcPr>
            <w:tcW w:w="4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3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Earnings per share - basic</w:t>
            </w:r>
          </w:p>
        </w:tc>
        <w:tc>
          <w:tcPr>
            <w:tcW w:w="3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0.55</w:t>
            </w:r>
          </w:p>
        </w:tc>
        <w:tc>
          <w:tcPr>
            <w:tcW w:w="4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0.76</w:t>
            </w:r>
          </w:p>
        </w:tc>
        <w:tc>
          <w:tcPr>
            <w:tcW w:w="3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86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2.09</w:t>
            </w:r>
          </w:p>
        </w:tc>
        <w:tc>
          <w:tcPr>
            <w:tcW w:w="2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2.15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340" w:type="dxa"/>
            <w:vAlign w:val="bottom"/>
          </w:tcPr>
          <w:p>
            <w:pPr>
              <w:spacing w:after="0" w:line="189" w:lineRule="exact"/>
              <w:rPr>
                <w:sz w:val="20"/>
                <w:szCs w:val="20"/>
                <w:color w:val="auto"/>
              </w:rPr>
            </w:pPr>
            <w:r>
              <w:rPr>
                <w:rFonts w:ascii="Arial" w:cs="Arial" w:eastAsia="Arial" w:hAnsi="Arial"/>
                <w:sz w:val="17"/>
                <w:szCs w:val="17"/>
                <w:color w:val="auto"/>
              </w:rPr>
              <w:t>Earnings per share - diluted</w:t>
            </w:r>
          </w:p>
        </w:tc>
        <w:tc>
          <w:tcPr>
            <w:tcW w:w="34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80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0.55</w:t>
            </w:r>
          </w:p>
        </w:tc>
        <w:tc>
          <w:tcPr>
            <w:tcW w:w="42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840" w:type="dxa"/>
            <w:vAlign w:val="bottom"/>
          </w:tcPr>
          <w:p>
            <w:pPr>
              <w:jc w:val="right"/>
              <w:ind w:right="35"/>
              <w:spacing w:after="0" w:line="189" w:lineRule="exact"/>
              <w:rPr>
                <w:sz w:val="20"/>
                <w:szCs w:val="20"/>
                <w:color w:val="auto"/>
              </w:rPr>
            </w:pPr>
            <w:r>
              <w:rPr>
                <w:rFonts w:ascii="Arial" w:cs="Arial" w:eastAsia="Arial" w:hAnsi="Arial"/>
                <w:sz w:val="17"/>
                <w:szCs w:val="17"/>
                <w:color w:val="auto"/>
              </w:rPr>
              <w:t>0.75</w:t>
            </w:r>
          </w:p>
        </w:tc>
        <w:tc>
          <w:tcPr>
            <w:tcW w:w="32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86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2.08</w:t>
            </w:r>
          </w:p>
        </w:tc>
        <w:tc>
          <w:tcPr>
            <w:tcW w:w="22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900" w:type="dxa"/>
            <w:vAlign w:val="bottom"/>
          </w:tcPr>
          <w:p>
            <w:pPr>
              <w:jc w:val="right"/>
              <w:spacing w:after="0" w:line="189" w:lineRule="exact"/>
              <w:rPr>
                <w:sz w:val="20"/>
                <w:szCs w:val="20"/>
                <w:color w:val="auto"/>
              </w:rPr>
            </w:pPr>
            <w:r>
              <w:rPr>
                <w:rFonts w:ascii="Arial" w:cs="Arial" w:eastAsia="Arial" w:hAnsi="Arial"/>
                <w:sz w:val="17"/>
                <w:szCs w:val="17"/>
                <w:color w:val="auto"/>
              </w:rPr>
              <w:t>2.14</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3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4340" w:type="dxa"/>
            <w:vAlign w:val="bottom"/>
          </w:tcPr>
          <w:p>
            <w:pPr>
              <w:spacing w:after="0" w:line="183" w:lineRule="exact"/>
              <w:rPr>
                <w:sz w:val="20"/>
                <w:szCs w:val="20"/>
                <w:color w:val="auto"/>
              </w:rPr>
            </w:pPr>
            <w:r>
              <w:rPr>
                <w:rFonts w:ascii="Arial" w:cs="Arial" w:eastAsia="Arial" w:hAnsi="Arial"/>
                <w:sz w:val="17"/>
                <w:szCs w:val="17"/>
                <w:color w:val="auto"/>
              </w:rPr>
              <w:t>Anti-dilutive share-based awards excluded from diluted</w:t>
            </w:r>
          </w:p>
        </w:tc>
        <w:tc>
          <w:tcPr>
            <w:tcW w:w="3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2.4</w:t>
            </w: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vMerge w:val="restart"/>
          </w:tcPr>
          <w:p>
            <w:pPr>
              <w:jc w:val="right"/>
              <w:ind w:right="55"/>
              <w:spacing w:after="0"/>
              <w:rPr>
                <w:sz w:val="20"/>
                <w:szCs w:val="20"/>
                <w:color w:val="auto"/>
              </w:rPr>
            </w:pPr>
            <w:r>
              <w:rPr>
                <w:rFonts w:ascii="Arial" w:cs="Arial" w:eastAsia="Arial" w:hAnsi="Arial"/>
                <w:sz w:val="17"/>
                <w:szCs w:val="17"/>
                <w:b w:val="1"/>
                <w:bCs w:val="1"/>
                <w:color w:val="auto"/>
              </w:rPr>
              <w:t>1.8</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340" w:type="dxa"/>
            <w:vAlign w:val="bottom"/>
            <w:tcBorders>
              <w:bottom w:val="single" w:sz="8" w:color="auto"/>
            </w:tcBorders>
          </w:tcPr>
          <w:p>
            <w:pPr>
              <w:ind w:left="160"/>
              <w:spacing w:after="0"/>
              <w:rPr>
                <w:sz w:val="20"/>
                <w:szCs w:val="20"/>
                <w:color w:val="auto"/>
              </w:rPr>
            </w:pPr>
            <w:r>
              <w:rPr>
                <w:rFonts w:ascii="Arial" w:cs="Arial" w:eastAsia="Arial" w:hAnsi="Arial"/>
                <w:sz w:val="17"/>
                <w:szCs w:val="17"/>
                <w:color w:val="auto"/>
              </w:rPr>
              <w:t>calculation</w:t>
            </w:r>
          </w:p>
        </w:tc>
        <w:tc>
          <w:tcPr>
            <w:tcW w:w="3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2.0</w:t>
            </w: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bl>
    <w:p>
      <w:pPr>
        <w:spacing w:after="0" w:line="121" w:lineRule="exact"/>
        <w:rPr>
          <w:sz w:val="20"/>
          <w:szCs w:val="20"/>
          <w:color w:val="auto"/>
        </w:rPr>
      </w:pPr>
    </w:p>
    <w:p>
      <w:pPr>
        <w:jc w:val="both"/>
        <w:ind w:right="880"/>
        <w:spacing w:after="0" w:line="238" w:lineRule="auto"/>
        <w:rPr>
          <w:sz w:val="20"/>
          <w:szCs w:val="20"/>
          <w:color w:val="auto"/>
        </w:rPr>
      </w:pPr>
      <w:r>
        <w:rPr>
          <w:rFonts w:ascii="Arial" w:cs="Arial" w:eastAsia="Arial" w:hAnsi="Arial"/>
          <w:sz w:val="18"/>
          <w:szCs w:val="18"/>
          <w:color w:val="auto"/>
        </w:rPr>
        <w:t>Additionally, shares of 0.7 million and 1.1 million as of August 3, 2019 and August 4, 2018, respectively, have been excluded from diluted weighted-average shares as the number of shares that will be issued is contingent on the Company’s performance metrics as compared to the pre-established performance goals which have not been achieved as of August 3, 2019 and August 4, 2018. These shares relate to restricted stock units issued in connection with the Company’s long-term incentive program.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Pension and Postretirement Plans</w:t>
      </w:r>
    </w:p>
    <w:p>
      <w:pPr>
        <w:spacing w:after="0" w:line="234" w:lineRule="exact"/>
        <w:rPr>
          <w:sz w:val="20"/>
          <w:szCs w:val="20"/>
          <w:color w:val="auto"/>
        </w:rPr>
      </w:pPr>
    </w:p>
    <w:p>
      <w:pPr>
        <w:jc w:val="both"/>
        <w:ind w:right="880"/>
        <w:spacing w:after="0" w:line="236" w:lineRule="auto"/>
        <w:rPr>
          <w:sz w:val="20"/>
          <w:szCs w:val="20"/>
          <w:color w:val="auto"/>
        </w:rPr>
      </w:pPr>
      <w:r>
        <w:rPr>
          <w:rFonts w:ascii="Arial" w:cs="Arial" w:eastAsia="Arial" w:hAnsi="Arial"/>
          <w:sz w:val="18"/>
          <w:szCs w:val="18"/>
          <w:color w:val="auto"/>
        </w:rPr>
        <w:t>The Company has defined benefit pension plans covering certain of its North American employees, which are funded in accordance with the provisions of the laws where the plans are in effect. The Company also has a defined benefit pension plan covering certain employees of the Runners Point Group. In addition to providing pension benefits, the Company sponsors postretirement medical and life insurance plans, which are available to most of its retired U.S. employees. These medical and life insurance plans are contributory and are not funded. The table below are the components of net periodic pension benefit cost and net periodic postretirement benefit income. Service cost is recognized as part of SG&amp;A expense, while the remaining pension and postretirement expense components are recognized as part of other income.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3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ind w:left="60"/>
              <w:spacing w:after="0"/>
              <w:rPr>
                <w:sz w:val="20"/>
                <w:szCs w:val="20"/>
                <w:color w:val="auto"/>
              </w:rPr>
            </w:pPr>
            <w:r>
              <w:rPr>
                <w:rFonts w:ascii="Arial" w:cs="Arial" w:eastAsia="Arial" w:hAnsi="Arial"/>
                <w:sz w:val="17"/>
                <w:szCs w:val="17"/>
                <w:b w:val="1"/>
                <w:bCs w:val="1"/>
                <w:color w:val="auto"/>
              </w:rPr>
              <w:t>Pension Benefits</w:t>
            </w: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4"/>
          </w:tcPr>
          <w:p>
            <w:pPr>
              <w:ind w:left="80"/>
              <w:spacing w:after="0"/>
              <w:rPr>
                <w:sz w:val="20"/>
                <w:szCs w:val="20"/>
                <w:color w:val="auto"/>
              </w:rPr>
            </w:pPr>
            <w:r>
              <w:rPr>
                <w:rFonts w:ascii="Arial" w:cs="Arial" w:eastAsia="Arial" w:hAnsi="Arial"/>
                <w:sz w:val="17"/>
                <w:szCs w:val="17"/>
                <w:b w:val="1"/>
                <w:bCs w:val="1"/>
                <w:color w:val="auto"/>
              </w:rPr>
              <w:t>Postretirement Benefits</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183"/>
        </w:trPr>
        <w:tc>
          <w:tcPr>
            <w:tcW w:w="2360" w:type="dxa"/>
            <w:vAlign w:val="bottom"/>
            <w:tcBorders>
              <w:bottom w:val="single" w:sz="8" w:color="auto"/>
            </w:tcBorders>
          </w:tcPr>
          <w:p>
            <w:pPr>
              <w:spacing w:after="0"/>
              <w:rPr>
                <w:sz w:val="15"/>
                <w:szCs w:val="15"/>
                <w:color w:val="auto"/>
              </w:rPr>
            </w:pPr>
          </w:p>
        </w:tc>
        <w:tc>
          <w:tcPr>
            <w:tcW w:w="7520" w:type="dxa"/>
            <w:vAlign w:val="bottom"/>
            <w:tcBorders>
              <w:bottom w:val="single" w:sz="8" w:color="auto"/>
            </w:tcBorders>
            <w:gridSpan w:val="16"/>
          </w:tcPr>
          <w:p>
            <w:pPr>
              <w:jc w:val="center"/>
              <w:spacing w:after="0" w:line="183" w:lineRule="exact"/>
              <w:rPr>
                <w:sz w:val="20"/>
                <w:szCs w:val="20"/>
                <w:color w:val="auto"/>
              </w:rPr>
            </w:pPr>
            <w:r>
              <w:rPr>
                <w:rFonts w:ascii="Arial" w:cs="Arial" w:eastAsia="Arial" w:hAnsi="Arial"/>
                <w:sz w:val="17"/>
                <w:szCs w:val="17"/>
                <w:b w:val="1"/>
                <w:bCs w:val="1"/>
                <w:color w:val="auto"/>
                <w:w w:val="99"/>
              </w:rPr>
              <w:t>Thirteen weeks endedTwenty-six weeks ended Thirteen weeks endedTwenty-six weeks ended</w:t>
            </w:r>
          </w:p>
        </w:tc>
        <w:tc>
          <w:tcPr>
            <w:tcW w:w="60" w:type="dxa"/>
            <w:vAlign w:val="bottom"/>
          </w:tcPr>
          <w:p>
            <w:pPr>
              <w:spacing w:after="0"/>
              <w:rPr>
                <w:sz w:val="15"/>
                <w:szCs w:val="15"/>
                <w:color w:val="auto"/>
              </w:rPr>
            </w:pPr>
          </w:p>
        </w:tc>
      </w:tr>
      <w:tr>
        <w:trPr>
          <w:trHeight w:val="156"/>
        </w:trPr>
        <w:tc>
          <w:tcPr>
            <w:tcW w:w="2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ind w:right="95"/>
              <w:spacing w:after="0" w:line="157" w:lineRule="exact"/>
              <w:rPr>
                <w:sz w:val="20"/>
                <w:szCs w:val="20"/>
                <w:color w:val="auto"/>
              </w:rPr>
            </w:pPr>
            <w:r>
              <w:rPr>
                <w:rFonts w:ascii="Arial" w:cs="Arial" w:eastAsia="Arial" w:hAnsi="Arial"/>
                <w:sz w:val="17"/>
                <w:szCs w:val="17"/>
                <w:b w:val="1"/>
                <w:bCs w:val="1"/>
                <w:color w:val="auto"/>
              </w:rPr>
              <w:t>Aug. 3</w:t>
            </w:r>
          </w:p>
        </w:tc>
        <w:tc>
          <w:tcPr>
            <w:tcW w:w="220" w:type="dxa"/>
            <w:vAlign w:val="bottom"/>
          </w:tcPr>
          <w:p>
            <w:pPr>
              <w:spacing w:after="0"/>
              <w:rPr>
                <w:sz w:val="13"/>
                <w:szCs w:val="13"/>
                <w:color w:val="auto"/>
              </w:rPr>
            </w:pPr>
          </w:p>
        </w:tc>
        <w:tc>
          <w:tcPr>
            <w:tcW w:w="640" w:type="dxa"/>
            <w:vAlign w:val="bottom"/>
          </w:tcPr>
          <w:p>
            <w:pPr>
              <w:ind w:left="40"/>
              <w:spacing w:after="0" w:line="157" w:lineRule="exact"/>
              <w:rPr>
                <w:sz w:val="20"/>
                <w:szCs w:val="20"/>
                <w:color w:val="auto"/>
              </w:rPr>
            </w:pPr>
            <w:r>
              <w:rPr>
                <w:rFonts w:ascii="Arial" w:cs="Arial" w:eastAsia="Arial" w:hAnsi="Arial"/>
                <w:sz w:val="17"/>
                <w:szCs w:val="17"/>
                <w:b w:val="1"/>
                <w:bCs w:val="1"/>
                <w:color w:val="auto"/>
              </w:rPr>
              <w:t>Aug. 4</w:t>
            </w:r>
          </w:p>
        </w:tc>
        <w:tc>
          <w:tcPr>
            <w:tcW w:w="180" w:type="dxa"/>
            <w:vAlign w:val="bottom"/>
          </w:tcPr>
          <w:p>
            <w:pPr>
              <w:spacing w:after="0"/>
              <w:rPr>
                <w:sz w:val="13"/>
                <w:szCs w:val="13"/>
                <w:color w:val="auto"/>
              </w:rPr>
            </w:pPr>
          </w:p>
        </w:tc>
        <w:tc>
          <w:tcPr>
            <w:tcW w:w="800" w:type="dxa"/>
            <w:vAlign w:val="bottom"/>
          </w:tcPr>
          <w:p>
            <w:pPr>
              <w:jc w:val="right"/>
              <w:ind w:right="115"/>
              <w:spacing w:after="0" w:line="157" w:lineRule="exact"/>
              <w:rPr>
                <w:sz w:val="20"/>
                <w:szCs w:val="20"/>
                <w:color w:val="auto"/>
              </w:rPr>
            </w:pPr>
            <w:r>
              <w:rPr>
                <w:rFonts w:ascii="Arial" w:cs="Arial" w:eastAsia="Arial" w:hAnsi="Arial"/>
                <w:sz w:val="17"/>
                <w:szCs w:val="17"/>
                <w:b w:val="1"/>
                <w:bCs w:val="1"/>
                <w:color w:val="auto"/>
              </w:rPr>
              <w:t>Aug. 3</w:t>
            </w:r>
          </w:p>
        </w:tc>
        <w:tc>
          <w:tcPr>
            <w:tcW w:w="280" w:type="dxa"/>
            <w:vAlign w:val="bottom"/>
          </w:tcPr>
          <w:p>
            <w:pPr>
              <w:spacing w:after="0"/>
              <w:rPr>
                <w:sz w:val="13"/>
                <w:szCs w:val="13"/>
                <w:color w:val="auto"/>
              </w:rPr>
            </w:pPr>
          </w:p>
        </w:tc>
        <w:tc>
          <w:tcPr>
            <w:tcW w:w="700" w:type="dxa"/>
            <w:vAlign w:val="bottom"/>
          </w:tcPr>
          <w:p>
            <w:pPr>
              <w:jc w:val="right"/>
              <w:ind w:right="15"/>
              <w:spacing w:after="0" w:line="157" w:lineRule="exact"/>
              <w:rPr>
                <w:sz w:val="20"/>
                <w:szCs w:val="20"/>
                <w:color w:val="auto"/>
              </w:rPr>
            </w:pPr>
            <w:r>
              <w:rPr>
                <w:rFonts w:ascii="Arial" w:cs="Arial" w:eastAsia="Arial" w:hAnsi="Arial"/>
                <w:sz w:val="17"/>
                <w:szCs w:val="17"/>
                <w:b w:val="1"/>
                <w:bCs w:val="1"/>
                <w:color w:val="auto"/>
              </w:rPr>
              <w:t>Aug. 4</w:t>
            </w:r>
          </w:p>
        </w:tc>
        <w:tc>
          <w:tcPr>
            <w:tcW w:w="140" w:type="dxa"/>
            <w:vAlign w:val="bottom"/>
          </w:tcPr>
          <w:p>
            <w:pPr>
              <w:spacing w:after="0"/>
              <w:rPr>
                <w:sz w:val="13"/>
                <w:szCs w:val="13"/>
                <w:color w:val="auto"/>
              </w:rPr>
            </w:pPr>
          </w:p>
        </w:tc>
        <w:tc>
          <w:tcPr>
            <w:tcW w:w="720" w:type="dxa"/>
            <w:vAlign w:val="bottom"/>
          </w:tcPr>
          <w:p>
            <w:pPr>
              <w:jc w:val="right"/>
              <w:ind w:right="75"/>
              <w:spacing w:after="0" w:line="157" w:lineRule="exact"/>
              <w:rPr>
                <w:sz w:val="20"/>
                <w:szCs w:val="20"/>
                <w:color w:val="auto"/>
              </w:rPr>
            </w:pPr>
            <w:r>
              <w:rPr>
                <w:rFonts w:ascii="Arial" w:cs="Arial" w:eastAsia="Arial" w:hAnsi="Arial"/>
                <w:sz w:val="17"/>
                <w:szCs w:val="17"/>
                <w:b w:val="1"/>
                <w:bCs w:val="1"/>
                <w:color w:val="auto"/>
              </w:rPr>
              <w:t>Aug. 3</w:t>
            </w:r>
          </w:p>
        </w:tc>
        <w:tc>
          <w:tcPr>
            <w:tcW w:w="220" w:type="dxa"/>
            <w:vAlign w:val="bottom"/>
          </w:tcPr>
          <w:p>
            <w:pPr>
              <w:spacing w:after="0"/>
              <w:rPr>
                <w:sz w:val="13"/>
                <w:szCs w:val="13"/>
                <w:color w:val="auto"/>
              </w:rPr>
            </w:pPr>
          </w:p>
        </w:tc>
        <w:tc>
          <w:tcPr>
            <w:tcW w:w="700" w:type="dxa"/>
            <w:vAlign w:val="bottom"/>
          </w:tcPr>
          <w:p>
            <w:pPr>
              <w:jc w:val="right"/>
              <w:ind w:right="55"/>
              <w:spacing w:after="0" w:line="157" w:lineRule="exact"/>
              <w:rPr>
                <w:sz w:val="20"/>
                <w:szCs w:val="20"/>
                <w:color w:val="auto"/>
              </w:rPr>
            </w:pPr>
            <w:r>
              <w:rPr>
                <w:rFonts w:ascii="Arial" w:cs="Arial" w:eastAsia="Arial" w:hAnsi="Arial"/>
                <w:sz w:val="17"/>
                <w:szCs w:val="17"/>
                <w:b w:val="1"/>
                <w:bCs w:val="1"/>
                <w:color w:val="auto"/>
              </w:rPr>
              <w:t>Aug. 4</w:t>
            </w:r>
          </w:p>
        </w:tc>
        <w:tc>
          <w:tcPr>
            <w:tcW w:w="260" w:type="dxa"/>
            <w:vAlign w:val="bottom"/>
          </w:tcPr>
          <w:p>
            <w:pPr>
              <w:spacing w:after="0"/>
              <w:rPr>
                <w:sz w:val="13"/>
                <w:szCs w:val="13"/>
                <w:color w:val="auto"/>
              </w:rPr>
            </w:pPr>
          </w:p>
        </w:tc>
        <w:tc>
          <w:tcPr>
            <w:tcW w:w="860" w:type="dxa"/>
            <w:vAlign w:val="bottom"/>
          </w:tcPr>
          <w:p>
            <w:pPr>
              <w:jc w:val="right"/>
              <w:ind w:right="195"/>
              <w:spacing w:after="0" w:line="157" w:lineRule="exact"/>
              <w:rPr>
                <w:sz w:val="20"/>
                <w:szCs w:val="20"/>
                <w:color w:val="auto"/>
              </w:rPr>
            </w:pPr>
            <w:r>
              <w:rPr>
                <w:rFonts w:ascii="Arial" w:cs="Arial" w:eastAsia="Arial" w:hAnsi="Arial"/>
                <w:sz w:val="17"/>
                <w:szCs w:val="17"/>
                <w:b w:val="1"/>
                <w:bCs w:val="1"/>
                <w:color w:val="auto"/>
              </w:rPr>
              <w:t>Aug. 3</w:t>
            </w:r>
          </w:p>
        </w:tc>
        <w:tc>
          <w:tcPr>
            <w:tcW w:w="200" w:type="dxa"/>
            <w:vAlign w:val="bottom"/>
          </w:tcPr>
          <w:p>
            <w:pPr>
              <w:spacing w:after="0"/>
              <w:rPr>
                <w:sz w:val="13"/>
                <w:szCs w:val="13"/>
                <w:color w:val="auto"/>
              </w:rPr>
            </w:pPr>
          </w:p>
        </w:tc>
        <w:tc>
          <w:tcPr>
            <w:tcW w:w="700" w:type="dxa"/>
            <w:vAlign w:val="bottom"/>
          </w:tcPr>
          <w:p>
            <w:pPr>
              <w:jc w:val="right"/>
              <w:ind w:right="15"/>
              <w:spacing w:after="0" w:line="157" w:lineRule="exact"/>
              <w:rPr>
                <w:sz w:val="20"/>
                <w:szCs w:val="20"/>
                <w:color w:val="auto"/>
              </w:rPr>
            </w:pPr>
            <w:r>
              <w:rPr>
                <w:rFonts w:ascii="Arial" w:cs="Arial" w:eastAsia="Arial" w:hAnsi="Arial"/>
                <w:sz w:val="17"/>
                <w:szCs w:val="17"/>
                <w:b w:val="1"/>
                <w:bCs w:val="1"/>
                <w:color w:val="auto"/>
              </w:rPr>
              <w:t>Aug. 4</w:t>
            </w:r>
          </w:p>
        </w:tc>
        <w:tc>
          <w:tcPr>
            <w:tcW w:w="60" w:type="dxa"/>
            <w:vAlign w:val="bottom"/>
          </w:tcPr>
          <w:p>
            <w:pPr>
              <w:spacing w:after="0"/>
              <w:rPr>
                <w:sz w:val="13"/>
                <w:szCs w:val="13"/>
                <w:color w:val="auto"/>
              </w:rPr>
            </w:pPr>
          </w:p>
        </w:tc>
      </w:tr>
      <w:tr>
        <w:trPr>
          <w:trHeight w:val="215"/>
        </w:trPr>
        <w:tc>
          <w:tcPr>
            <w:tcW w:w="23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auto"/>
              </w:rPr>
              <w:t>2019</w:t>
            </w: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2018</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2019</w:t>
            </w: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2018</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rPr>
              <w:t>2019</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auto"/>
              </w:rPr>
              <w:t>2018</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b w:val="1"/>
                <w:bCs w:val="1"/>
                <w:color w:val="auto"/>
              </w:rPr>
              <w:t>2019</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2018</w:t>
            </w:r>
          </w:p>
        </w:tc>
        <w:tc>
          <w:tcPr>
            <w:tcW w:w="60" w:type="dxa"/>
            <w:vAlign w:val="bottom"/>
          </w:tcPr>
          <w:p>
            <w:pPr>
              <w:spacing w:after="0"/>
              <w:rPr>
                <w:sz w:val="18"/>
                <w:szCs w:val="18"/>
                <w:color w:val="auto"/>
              </w:rPr>
            </w:pPr>
          </w:p>
        </w:tc>
      </w:tr>
      <w:tr>
        <w:trPr>
          <w:trHeight w:val="183"/>
        </w:trPr>
        <w:tc>
          <w:tcPr>
            <w:tcW w:w="2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60" w:type="dxa"/>
            <w:vAlign w:val="bottom"/>
            <w:gridSpan w:val="3"/>
          </w:tcPr>
          <w:p>
            <w:pPr>
              <w:jc w:val="center"/>
              <w:spacing w:after="0" w:line="183" w:lineRule="exact"/>
              <w:rPr>
                <w:sz w:val="20"/>
                <w:szCs w:val="20"/>
                <w:color w:val="auto"/>
              </w:rPr>
            </w:pPr>
            <w:r>
              <w:rPr>
                <w:rFonts w:ascii="Arial" w:cs="Arial" w:eastAsia="Arial" w:hAnsi="Arial"/>
                <w:sz w:val="17"/>
                <w:szCs w:val="17"/>
                <w:color w:val="auto"/>
                <w:w w:val="99"/>
              </w:rPr>
              <w:t>($ in millions)</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9"/>
        </w:trPr>
        <w:tc>
          <w:tcPr>
            <w:tcW w:w="23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Service cost</w:t>
            </w: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w w:val="84"/>
              </w:rPr>
              <w:t>$</w:t>
            </w:r>
          </w:p>
        </w:tc>
        <w:tc>
          <w:tcPr>
            <w:tcW w:w="74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5</w:t>
            </w:r>
          </w:p>
        </w:tc>
        <w:tc>
          <w:tcPr>
            <w:tcW w:w="2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w:t>
            </w:r>
          </w:p>
        </w:tc>
        <w:tc>
          <w:tcPr>
            <w:tcW w:w="1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w w:val="84"/>
              </w:rPr>
              <w:t>$</w:t>
            </w:r>
          </w:p>
        </w:tc>
        <w:tc>
          <w:tcPr>
            <w:tcW w:w="80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10</w:t>
            </w:r>
          </w:p>
        </w:tc>
        <w:tc>
          <w:tcPr>
            <w:tcW w:w="2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9</w:t>
            </w:r>
          </w:p>
        </w:tc>
        <w:tc>
          <w:tcPr>
            <w:tcW w:w="140" w:type="dxa"/>
            <w:vAlign w:val="bottom"/>
            <w:shd w:val="clear" w:color="auto" w:fill="CCEEFF"/>
          </w:tcPr>
          <w:p>
            <w:pPr>
              <w:jc w:val="center"/>
              <w:spacing w:after="0" w:line="189" w:lineRule="exact"/>
              <w:rPr>
                <w:sz w:val="20"/>
                <w:szCs w:val="20"/>
                <w:color w:val="auto"/>
              </w:rPr>
            </w:pPr>
            <w:r>
              <w:rPr>
                <w:rFonts w:ascii="Arial" w:cs="Arial" w:eastAsia="Arial" w:hAnsi="Arial"/>
                <w:sz w:val="17"/>
                <w:szCs w:val="17"/>
                <w:b w:val="1"/>
                <w:bCs w:val="1"/>
                <w:color w:val="auto"/>
              </w:rPr>
              <w:t>$</w:t>
            </w:r>
          </w:p>
        </w:tc>
        <w:tc>
          <w:tcPr>
            <w:tcW w:w="72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w:t>
            </w:r>
          </w:p>
        </w:tc>
        <w:tc>
          <w:tcPr>
            <w:tcW w:w="220" w:type="dxa"/>
            <w:vAlign w:val="bottom"/>
            <w:shd w:val="clear" w:color="auto" w:fill="CCEEFF"/>
          </w:tcPr>
          <w:p>
            <w:pPr>
              <w:ind w:left="80"/>
              <w:spacing w:after="0" w:line="189" w:lineRule="exact"/>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860" w:type="dxa"/>
            <w:vAlign w:val="bottom"/>
            <w:shd w:val="clear" w:color="auto" w:fill="CCEEFF"/>
          </w:tcPr>
          <w:p>
            <w:pPr>
              <w:jc w:val="right"/>
              <w:ind w:right="135"/>
              <w:spacing w:after="0" w:line="189" w:lineRule="exact"/>
              <w:rPr>
                <w:sz w:val="20"/>
                <w:szCs w:val="20"/>
                <w:color w:val="auto"/>
              </w:rPr>
            </w:pPr>
            <w:r>
              <w:rPr>
                <w:rFonts w:ascii="Arial" w:cs="Arial" w:eastAsia="Arial" w:hAnsi="Arial"/>
                <w:sz w:val="17"/>
                <w:szCs w:val="17"/>
                <w:b w:val="1"/>
                <w:bCs w:val="1"/>
                <w:color w:val="auto"/>
              </w:rPr>
              <w:t>—</w:t>
            </w:r>
          </w:p>
        </w:tc>
        <w:tc>
          <w:tcPr>
            <w:tcW w:w="2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60" w:type="dxa"/>
            <w:vAlign w:val="bottom"/>
          </w:tcPr>
          <w:p>
            <w:pPr>
              <w:spacing w:after="0"/>
              <w:rPr>
                <w:sz w:val="16"/>
                <w:szCs w:val="16"/>
                <w:color w:val="auto"/>
              </w:rPr>
            </w:pPr>
          </w:p>
        </w:tc>
      </w:tr>
      <w:tr>
        <w:trPr>
          <w:trHeight w:val="189"/>
        </w:trPr>
        <w:tc>
          <w:tcPr>
            <w:tcW w:w="2360" w:type="dxa"/>
            <w:vAlign w:val="bottom"/>
          </w:tcPr>
          <w:p>
            <w:pPr>
              <w:spacing w:after="0" w:line="189" w:lineRule="exact"/>
              <w:rPr>
                <w:sz w:val="20"/>
                <w:szCs w:val="20"/>
                <w:color w:val="auto"/>
              </w:rPr>
            </w:pPr>
            <w:r>
              <w:rPr>
                <w:rFonts w:ascii="Arial" w:cs="Arial" w:eastAsia="Arial" w:hAnsi="Arial"/>
                <w:sz w:val="17"/>
                <w:szCs w:val="17"/>
                <w:color w:val="auto"/>
              </w:rPr>
              <w:t>Interest cost</w:t>
            </w:r>
          </w:p>
        </w:tc>
        <w:tc>
          <w:tcPr>
            <w:tcW w:w="160" w:type="dxa"/>
            <w:vAlign w:val="bottom"/>
          </w:tcPr>
          <w:p>
            <w:pPr>
              <w:spacing w:after="0"/>
              <w:rPr>
                <w:sz w:val="16"/>
                <w:szCs w:val="16"/>
                <w:color w:val="auto"/>
              </w:rPr>
            </w:pPr>
          </w:p>
        </w:tc>
        <w:tc>
          <w:tcPr>
            <w:tcW w:w="74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6</w:t>
            </w:r>
          </w:p>
        </w:tc>
        <w:tc>
          <w:tcPr>
            <w:tcW w:w="22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Arial" w:cs="Arial" w:eastAsia="Arial" w:hAnsi="Arial"/>
                <w:sz w:val="17"/>
                <w:szCs w:val="17"/>
                <w:color w:val="auto"/>
              </w:rPr>
              <w:t>7</w:t>
            </w:r>
          </w:p>
        </w:tc>
        <w:tc>
          <w:tcPr>
            <w:tcW w:w="180" w:type="dxa"/>
            <w:vAlign w:val="bottom"/>
          </w:tcPr>
          <w:p>
            <w:pPr>
              <w:spacing w:after="0"/>
              <w:rPr>
                <w:sz w:val="16"/>
                <w:szCs w:val="16"/>
                <w:color w:val="auto"/>
              </w:rPr>
            </w:pPr>
          </w:p>
        </w:tc>
        <w:tc>
          <w:tcPr>
            <w:tcW w:w="80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13</w:t>
            </w:r>
          </w:p>
        </w:tc>
        <w:tc>
          <w:tcPr>
            <w:tcW w:w="28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Arial" w:cs="Arial" w:eastAsia="Arial" w:hAnsi="Arial"/>
                <w:sz w:val="17"/>
                <w:szCs w:val="17"/>
                <w:color w:val="auto"/>
              </w:rPr>
              <w:t>13</w:t>
            </w:r>
          </w:p>
        </w:tc>
        <w:tc>
          <w:tcPr>
            <w:tcW w:w="140" w:type="dxa"/>
            <w:vAlign w:val="bottom"/>
          </w:tcPr>
          <w:p>
            <w:pPr>
              <w:spacing w:after="0"/>
              <w:rPr>
                <w:sz w:val="16"/>
                <w:szCs w:val="16"/>
                <w:color w:val="auto"/>
              </w:rPr>
            </w:pPr>
          </w:p>
        </w:tc>
        <w:tc>
          <w:tcPr>
            <w:tcW w:w="72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w:t>
            </w:r>
          </w:p>
        </w:tc>
        <w:tc>
          <w:tcPr>
            <w:tcW w:w="220" w:type="dxa"/>
            <w:vAlign w:val="bottom"/>
          </w:tcPr>
          <w:p>
            <w:pPr>
              <w:spacing w:after="0"/>
              <w:rPr>
                <w:sz w:val="16"/>
                <w:szCs w:val="16"/>
                <w:color w:val="auto"/>
              </w:rPr>
            </w:pPr>
          </w:p>
        </w:tc>
        <w:tc>
          <w:tcPr>
            <w:tcW w:w="700" w:type="dxa"/>
            <w:vAlign w:val="bottom"/>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260" w:type="dxa"/>
            <w:vAlign w:val="bottom"/>
          </w:tcPr>
          <w:p>
            <w:pPr>
              <w:spacing w:after="0"/>
              <w:rPr>
                <w:sz w:val="16"/>
                <w:szCs w:val="16"/>
                <w:color w:val="auto"/>
              </w:rPr>
            </w:pPr>
          </w:p>
        </w:tc>
        <w:tc>
          <w:tcPr>
            <w:tcW w:w="860" w:type="dxa"/>
            <w:vAlign w:val="bottom"/>
          </w:tcPr>
          <w:p>
            <w:pPr>
              <w:jc w:val="right"/>
              <w:ind w:right="135"/>
              <w:spacing w:after="0" w:line="189" w:lineRule="exact"/>
              <w:rPr>
                <w:sz w:val="20"/>
                <w:szCs w:val="20"/>
                <w:color w:val="auto"/>
              </w:rPr>
            </w:pPr>
            <w:r>
              <w:rPr>
                <w:rFonts w:ascii="Arial" w:cs="Arial" w:eastAsia="Arial" w:hAnsi="Arial"/>
                <w:sz w:val="17"/>
                <w:szCs w:val="17"/>
                <w:b w:val="1"/>
                <w:bCs w:val="1"/>
                <w:color w:val="auto"/>
              </w:rPr>
              <w:t>—</w:t>
            </w:r>
          </w:p>
        </w:tc>
        <w:tc>
          <w:tcPr>
            <w:tcW w:w="20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60" w:type="dxa"/>
            <w:vAlign w:val="bottom"/>
          </w:tcPr>
          <w:p>
            <w:pPr>
              <w:spacing w:after="0"/>
              <w:rPr>
                <w:sz w:val="16"/>
                <w:szCs w:val="16"/>
                <w:color w:val="auto"/>
              </w:rPr>
            </w:pPr>
          </w:p>
        </w:tc>
      </w:tr>
      <w:tr>
        <w:trPr>
          <w:trHeight w:val="189"/>
        </w:trPr>
        <w:tc>
          <w:tcPr>
            <w:tcW w:w="23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w w:val="99"/>
              </w:rPr>
              <w:t>Expected return on plan assets</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b w:val="1"/>
                <w:bCs w:val="1"/>
                <w:color w:val="auto"/>
              </w:rPr>
              <w:t>(9)</w:t>
            </w: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(9)</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b w:val="1"/>
                <w:bCs w:val="1"/>
                <w:color w:val="auto"/>
              </w:rPr>
              <w:t>(18)</w:t>
            </w: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(19)</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w:t>
            </w: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35"/>
              <w:spacing w:after="0" w:line="189" w:lineRule="exact"/>
              <w:rPr>
                <w:sz w:val="20"/>
                <w:szCs w:val="20"/>
                <w:color w:val="auto"/>
              </w:rPr>
            </w:pPr>
            <w:r>
              <w:rPr>
                <w:rFonts w:ascii="Arial" w:cs="Arial" w:eastAsia="Arial" w:hAnsi="Arial"/>
                <w:sz w:val="17"/>
                <w:szCs w:val="17"/>
                <w:b w:val="1"/>
                <w:bCs w:val="1"/>
                <w:color w:val="auto"/>
              </w:rPr>
              <w:t>—</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60" w:type="dxa"/>
            <w:vAlign w:val="bottom"/>
          </w:tcPr>
          <w:p>
            <w:pPr>
              <w:spacing w:after="0"/>
              <w:rPr>
                <w:sz w:val="16"/>
                <w:szCs w:val="16"/>
                <w:color w:val="auto"/>
              </w:rPr>
            </w:pPr>
          </w:p>
        </w:tc>
      </w:tr>
      <w:tr>
        <w:trPr>
          <w:trHeight w:val="189"/>
        </w:trPr>
        <w:tc>
          <w:tcPr>
            <w:tcW w:w="236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Amortization of net loss (gain)</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3</w:t>
            </w: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3</w:t>
            </w: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b w:val="1"/>
                <w:bCs w:val="1"/>
                <w:color w:val="auto"/>
              </w:rPr>
              <w:t>6</w:t>
            </w:r>
          </w:p>
        </w:tc>
        <w:tc>
          <w:tcPr>
            <w:tcW w:w="2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6</w:t>
            </w: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5"/>
              <w:spacing w:after="0" w:line="189" w:lineRule="exact"/>
              <w:rPr>
                <w:sz w:val="20"/>
                <w:szCs w:val="20"/>
                <w:color w:val="auto"/>
              </w:rPr>
            </w:pPr>
            <w:r>
              <w:rPr>
                <w:rFonts w:ascii="Arial" w:cs="Arial" w:eastAsia="Arial" w:hAnsi="Arial"/>
                <w:sz w:val="17"/>
                <w:szCs w:val="17"/>
                <w:b w:val="1"/>
                <w:bCs w:val="1"/>
                <w:color w:val="auto"/>
              </w:rPr>
              <w:t>(1)</w:t>
            </w: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(1)</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w:t>
            </w:r>
          </w:p>
        </w:tc>
        <w:tc>
          <w:tcPr>
            <w:tcW w:w="60" w:type="dxa"/>
            <w:vAlign w:val="bottom"/>
          </w:tcPr>
          <w:p>
            <w:pPr>
              <w:spacing w:after="0"/>
              <w:rPr>
                <w:sz w:val="16"/>
                <w:szCs w:val="16"/>
                <w:color w:val="auto"/>
              </w:rPr>
            </w:pPr>
          </w:p>
        </w:tc>
      </w:tr>
      <w:tr>
        <w:trPr>
          <w:trHeight w:val="183"/>
        </w:trPr>
        <w:tc>
          <w:tcPr>
            <w:tcW w:w="236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Net benefit expense (income)</w:t>
            </w:r>
          </w:p>
        </w:tc>
        <w:tc>
          <w:tcPr>
            <w:tcW w:w="1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w w:val="84"/>
              </w:rPr>
              <w:t>$</w:t>
            </w:r>
          </w:p>
        </w:tc>
        <w:tc>
          <w:tcPr>
            <w:tcW w:w="74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5</w:t>
            </w:r>
          </w:p>
        </w:tc>
        <w:tc>
          <w:tcPr>
            <w:tcW w:w="2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6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5</w:t>
            </w:r>
          </w:p>
        </w:tc>
        <w:tc>
          <w:tcPr>
            <w:tcW w:w="1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w w:val="84"/>
              </w:rPr>
              <w:t>$</w:t>
            </w:r>
          </w:p>
        </w:tc>
        <w:tc>
          <w:tcPr>
            <w:tcW w:w="80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11</w:t>
            </w:r>
          </w:p>
        </w:tc>
        <w:tc>
          <w:tcPr>
            <w:tcW w:w="2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9</w:t>
            </w:r>
          </w:p>
        </w:tc>
        <w:tc>
          <w:tcPr>
            <w:tcW w:w="140" w:type="dxa"/>
            <w:vAlign w:val="bottom"/>
            <w:tcBorders>
              <w:bottom w:val="single" w:sz="8" w:color="auto"/>
            </w:tcBorders>
            <w:shd w:val="clear" w:color="auto" w:fill="CCEEFF"/>
          </w:tcPr>
          <w:p>
            <w:pPr>
              <w:jc w:val="center"/>
              <w:spacing w:after="0" w:line="183" w:lineRule="exact"/>
              <w:rPr>
                <w:sz w:val="20"/>
                <w:szCs w:val="20"/>
                <w:color w:val="auto"/>
              </w:rPr>
            </w:pPr>
            <w:r>
              <w:rPr>
                <w:rFonts w:ascii="Arial" w:cs="Arial" w:eastAsia="Arial" w:hAnsi="Arial"/>
                <w:sz w:val="17"/>
                <w:szCs w:val="17"/>
                <w:b w:val="1"/>
                <w:bCs w:val="1"/>
                <w:color w:val="auto"/>
              </w:rPr>
              <w:t>$</w:t>
            </w:r>
          </w:p>
        </w:tc>
        <w:tc>
          <w:tcPr>
            <w:tcW w:w="72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b w:val="1"/>
                <w:bCs w:val="1"/>
                <w:color w:val="auto"/>
              </w:rPr>
              <w:t>(1)</w:t>
            </w:r>
          </w:p>
        </w:tc>
        <w:tc>
          <w:tcPr>
            <w:tcW w:w="220" w:type="dxa"/>
            <w:vAlign w:val="bottom"/>
            <w:tcBorders>
              <w:bottom w:val="single" w:sz="8" w:color="auto"/>
            </w:tcBorders>
            <w:shd w:val="clear" w:color="auto" w:fill="CCEEFF"/>
          </w:tcPr>
          <w:p>
            <w:pPr>
              <w:ind w:left="80"/>
              <w:spacing w:after="0" w:line="183" w:lineRule="exact"/>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w:t>
            </w:r>
          </w:p>
        </w:tc>
        <w:tc>
          <w:tcPr>
            <w:tcW w:w="2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86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(1)</w:t>
            </w:r>
          </w:p>
        </w:tc>
        <w:tc>
          <w:tcPr>
            <w:tcW w:w="2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w:t>
            </w:r>
          </w:p>
        </w:tc>
        <w:tc>
          <w:tcPr>
            <w:tcW w:w="60" w:type="dxa"/>
            <w:vAlign w:val="bottom"/>
          </w:tcPr>
          <w:p>
            <w:pPr>
              <w:spacing w:after="0"/>
              <w:rPr>
                <w:sz w:val="15"/>
                <w:szCs w:val="15"/>
                <w:color w:val="auto"/>
              </w:rPr>
            </w:pPr>
          </w:p>
        </w:tc>
      </w:tr>
      <w:tr>
        <w:trPr>
          <w:trHeight w:val="20"/>
        </w:trPr>
        <w:tc>
          <w:tcPr>
            <w:tcW w:w="2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940"/>
          </w:cols>
          <w:pgMar w:left="1420" w:top="517" w:right="5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18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Company contributed $55 million in March 2019 to its U.S. qualified pension plan. The Company continually evaluates the amount and timing of any future contributions.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Share-Based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Total compensation expense included in SG&amp;A, and the associated tax benefits recognized related to the</w:t>
      </w:r>
    </w:p>
    <w:p>
      <w:pPr>
        <w:spacing w:after="0"/>
        <w:rPr>
          <w:sz w:val="20"/>
          <w:szCs w:val="20"/>
          <w:color w:val="auto"/>
        </w:rPr>
      </w:pPr>
      <w:r>
        <w:rPr>
          <w:rFonts w:ascii="Arial" w:cs="Arial" w:eastAsia="Arial" w:hAnsi="Arial"/>
          <w:sz w:val="18"/>
          <w:szCs w:val="18"/>
          <w:color w:val="auto"/>
        </w:rPr>
        <w:t>Company’s share-based compensation plans, were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34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3"/>
          </w:tcPr>
          <w:p>
            <w:pPr>
              <w:jc w:val="right"/>
              <w:ind w:right="375"/>
              <w:spacing w:after="0"/>
              <w:rPr>
                <w:sz w:val="20"/>
                <w:szCs w:val="20"/>
                <w:color w:val="auto"/>
              </w:rPr>
            </w:pPr>
            <w:r>
              <w:rPr>
                <w:rFonts w:ascii="Arial" w:cs="Arial" w:eastAsia="Arial" w:hAnsi="Arial"/>
                <w:sz w:val="17"/>
                <w:szCs w:val="17"/>
                <w:b w:val="1"/>
                <w:bCs w:val="1"/>
                <w:color w:val="auto"/>
              </w:rPr>
              <w:t>Thirteen weeks ended</w:t>
            </w:r>
          </w:p>
        </w:tc>
        <w:tc>
          <w:tcPr>
            <w:tcW w:w="28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3"/>
          </w:tcPr>
          <w:p>
            <w:pPr>
              <w:jc w:val="right"/>
              <w:ind w:right="215"/>
              <w:spacing w:after="0"/>
              <w:rPr>
                <w:sz w:val="20"/>
                <w:szCs w:val="20"/>
                <w:color w:val="auto"/>
              </w:rPr>
            </w:pPr>
            <w:r>
              <w:rPr>
                <w:rFonts w:ascii="Arial" w:cs="Arial" w:eastAsia="Arial" w:hAnsi="Arial"/>
                <w:sz w:val="17"/>
                <w:szCs w:val="17"/>
                <w:b w:val="1"/>
                <w:bCs w:val="1"/>
                <w:color w:val="auto"/>
              </w:rPr>
              <w:t>Twenty-six weeks ended</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00" w:type="dxa"/>
            <w:vAlign w:val="bottom"/>
          </w:tcPr>
          <w:p>
            <w:pPr>
              <w:jc w:val="right"/>
              <w:ind w:right="195"/>
              <w:spacing w:after="0" w:line="157" w:lineRule="exact"/>
              <w:rPr>
                <w:sz w:val="20"/>
                <w:szCs w:val="20"/>
                <w:color w:val="auto"/>
              </w:rPr>
            </w:pPr>
            <w:r>
              <w:rPr>
                <w:rFonts w:ascii="Arial" w:cs="Arial" w:eastAsia="Arial" w:hAnsi="Arial"/>
                <w:sz w:val="17"/>
                <w:szCs w:val="17"/>
                <w:b w:val="1"/>
                <w:bCs w:val="1"/>
                <w:color w:val="auto"/>
              </w:rPr>
              <w:t>August 3,</w:t>
            </w:r>
          </w:p>
        </w:tc>
        <w:tc>
          <w:tcPr>
            <w:tcW w:w="280" w:type="dxa"/>
            <w:vAlign w:val="bottom"/>
          </w:tcPr>
          <w:p>
            <w:pPr>
              <w:spacing w:after="0"/>
              <w:rPr>
                <w:sz w:val="13"/>
                <w:szCs w:val="13"/>
                <w:color w:val="auto"/>
              </w:rPr>
            </w:pPr>
          </w:p>
        </w:tc>
        <w:tc>
          <w:tcPr>
            <w:tcW w:w="1100" w:type="dxa"/>
            <w:vAlign w:val="bottom"/>
          </w:tcPr>
          <w:p>
            <w:pPr>
              <w:jc w:val="right"/>
              <w:ind w:right="195"/>
              <w:spacing w:after="0" w:line="157" w:lineRule="exact"/>
              <w:rPr>
                <w:sz w:val="20"/>
                <w:szCs w:val="20"/>
                <w:color w:val="auto"/>
              </w:rPr>
            </w:pPr>
            <w:r>
              <w:rPr>
                <w:rFonts w:ascii="Arial" w:cs="Arial" w:eastAsia="Arial" w:hAnsi="Arial"/>
                <w:sz w:val="17"/>
                <w:szCs w:val="17"/>
                <w:b w:val="1"/>
                <w:bCs w:val="1"/>
                <w:color w:val="auto"/>
              </w:rPr>
              <w:t>August 4,</w:t>
            </w:r>
          </w:p>
        </w:tc>
        <w:tc>
          <w:tcPr>
            <w:tcW w:w="280" w:type="dxa"/>
            <w:vAlign w:val="bottom"/>
          </w:tcPr>
          <w:p>
            <w:pPr>
              <w:spacing w:after="0"/>
              <w:rPr>
                <w:sz w:val="13"/>
                <w:szCs w:val="13"/>
                <w:color w:val="auto"/>
              </w:rPr>
            </w:pPr>
          </w:p>
        </w:tc>
        <w:tc>
          <w:tcPr>
            <w:tcW w:w="1120" w:type="dxa"/>
            <w:vAlign w:val="bottom"/>
          </w:tcPr>
          <w:p>
            <w:pPr>
              <w:jc w:val="right"/>
              <w:ind w:right="195"/>
              <w:spacing w:after="0" w:line="157" w:lineRule="exact"/>
              <w:rPr>
                <w:sz w:val="20"/>
                <w:szCs w:val="20"/>
                <w:color w:val="auto"/>
              </w:rPr>
            </w:pPr>
            <w:r>
              <w:rPr>
                <w:rFonts w:ascii="Arial" w:cs="Arial" w:eastAsia="Arial" w:hAnsi="Arial"/>
                <w:sz w:val="17"/>
                <w:szCs w:val="17"/>
                <w:b w:val="1"/>
                <w:bCs w:val="1"/>
                <w:color w:val="auto"/>
              </w:rPr>
              <w:t>August 3,</w:t>
            </w:r>
          </w:p>
        </w:tc>
        <w:tc>
          <w:tcPr>
            <w:tcW w:w="260" w:type="dxa"/>
            <w:vAlign w:val="bottom"/>
          </w:tcPr>
          <w:p>
            <w:pPr>
              <w:spacing w:after="0"/>
              <w:rPr>
                <w:sz w:val="13"/>
                <w:szCs w:val="13"/>
                <w:color w:val="auto"/>
              </w:rPr>
            </w:pPr>
          </w:p>
        </w:tc>
        <w:tc>
          <w:tcPr>
            <w:tcW w:w="1040" w:type="dxa"/>
            <w:vAlign w:val="bottom"/>
          </w:tcPr>
          <w:p>
            <w:pPr>
              <w:jc w:val="right"/>
              <w:ind w:right="115"/>
              <w:spacing w:after="0" w:line="157" w:lineRule="exact"/>
              <w:rPr>
                <w:sz w:val="20"/>
                <w:szCs w:val="20"/>
                <w:color w:val="auto"/>
              </w:rPr>
            </w:pPr>
            <w:r>
              <w:rPr>
                <w:rFonts w:ascii="Arial" w:cs="Arial" w:eastAsia="Arial" w:hAnsi="Arial"/>
                <w:sz w:val="17"/>
                <w:szCs w:val="17"/>
                <w:b w:val="1"/>
                <w:bCs w:val="1"/>
                <w:color w:val="auto"/>
              </w:rPr>
              <w:t>August 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4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2019</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2018</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2019</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2018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00" w:type="dxa"/>
            <w:vAlign w:val="bottom"/>
            <w:gridSpan w:val="3"/>
          </w:tcPr>
          <w:p>
            <w:pPr>
              <w:jc w:val="right"/>
              <w:ind w:right="675"/>
              <w:spacing w:after="0" w:line="183" w:lineRule="exact"/>
              <w:rPr>
                <w:sz w:val="20"/>
                <w:szCs w:val="20"/>
                <w:color w:val="auto"/>
              </w:rPr>
            </w:pPr>
            <w:r>
              <w:rPr>
                <w:rFonts w:ascii="Arial" w:cs="Arial" w:eastAsia="Arial" w:hAnsi="Arial"/>
                <w:sz w:val="17"/>
                <w:szCs w:val="17"/>
                <w:color w:val="auto"/>
              </w:rPr>
              <w:t>($ in millions)</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4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Options and shares purchased under the</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00" w:type="dxa"/>
            <w:vAlign w:val="bottom"/>
            <w:vMerge w:val="restart"/>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2</w:t>
            </w:r>
          </w:p>
        </w:tc>
        <w:tc>
          <w:tcPr>
            <w:tcW w:w="2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20" w:type="dxa"/>
            <w:vAlign w:val="bottom"/>
            <w:vMerge w:val="restart"/>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4</w:t>
            </w: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7"/>
                <w:szCs w:val="17"/>
                <w:color w:val="auto"/>
              </w:rPr>
              <w:t>employee stock purchase plan</w:t>
            </w:r>
          </w:p>
        </w:tc>
        <w:tc>
          <w:tcPr>
            <w:tcW w:w="440" w:type="dxa"/>
            <w:vAlign w:val="bottom"/>
            <w:vMerge w:val="continue"/>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w:t>
            </w:r>
          </w:p>
        </w:tc>
        <w:tc>
          <w:tcPr>
            <w:tcW w:w="280" w:type="dxa"/>
            <w:vAlign w:val="bottom"/>
            <w:vMerge w:val="continue"/>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2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Restricted stock and restricted stock units</w:t>
            </w:r>
          </w:p>
        </w:tc>
        <w:tc>
          <w:tcPr>
            <w:tcW w:w="4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b w:val="1"/>
                <w:bCs w:val="1"/>
                <w:color w:val="auto"/>
              </w:rPr>
              <w:t>4</w:t>
            </w: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color w:val="auto"/>
              </w:rPr>
              <w:t>3</w:t>
            </w: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b w:val="1"/>
                <w:bCs w:val="1"/>
                <w:color w:val="auto"/>
              </w:rPr>
              <w:t>9</w:t>
            </w: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42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Total share-based compensation expense</w:t>
            </w:r>
          </w:p>
        </w:tc>
        <w:tc>
          <w:tcPr>
            <w:tcW w:w="4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6</w:t>
            </w:r>
          </w:p>
        </w:tc>
        <w:tc>
          <w:tcPr>
            <w:tcW w:w="2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4</w:t>
            </w:r>
          </w:p>
        </w:tc>
        <w:tc>
          <w:tcPr>
            <w:tcW w:w="2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2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13</w:t>
            </w:r>
          </w:p>
        </w:tc>
        <w:tc>
          <w:tcPr>
            <w:tcW w:w="2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vMerge w:val="restart"/>
          </w:tcPr>
          <w:p>
            <w:pPr>
              <w:spacing w:after="0"/>
              <w:rPr>
                <w:sz w:val="14"/>
                <w:szCs w:val="14"/>
                <w:color w:val="auto"/>
              </w:rPr>
            </w:pPr>
          </w:p>
        </w:tc>
        <w:tc>
          <w:tcPr>
            <w:tcW w:w="3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42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Tax benefit recognized</w:t>
            </w:r>
          </w:p>
        </w:tc>
        <w:tc>
          <w:tcPr>
            <w:tcW w:w="4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w:t>
            </w:r>
          </w:p>
        </w:tc>
        <w:tc>
          <w:tcPr>
            <w:tcW w:w="2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12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1</w:t>
            </w:r>
          </w:p>
        </w:tc>
        <w:tc>
          <w:tcPr>
            <w:tcW w:w="2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Model and Assumptions</w:t>
      </w:r>
    </w:p>
    <w:p>
      <w:pPr>
        <w:spacing w:after="0" w:line="230"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Company uses the Black-Scholes option-pricing model to estimate the fair value of share-based awards. The Black-Scholes option-pricing model incorporates various and subjective assumptions, including expected term and expected volatility.</w:t>
      </w:r>
    </w:p>
    <w:p>
      <w:pPr>
        <w:spacing w:after="0" w:line="20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following table shows the Company’s assumptions used to compute share -based compensation expense for awards granted during the twenty-six weeks ended August 3, 2019 and August 4, 2018:</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33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3"/>
          </w:tcPr>
          <w:p>
            <w:pPr>
              <w:jc w:val="right"/>
              <w:ind w:right="495"/>
              <w:spacing w:after="0"/>
              <w:rPr>
                <w:sz w:val="20"/>
                <w:szCs w:val="20"/>
                <w:color w:val="auto"/>
              </w:rPr>
            </w:pPr>
            <w:r>
              <w:rPr>
                <w:rFonts w:ascii="Arial" w:cs="Arial" w:eastAsia="Arial" w:hAnsi="Arial"/>
                <w:sz w:val="17"/>
                <w:szCs w:val="17"/>
                <w:b w:val="1"/>
                <w:bCs w:val="1"/>
                <w:color w:val="auto"/>
              </w:rPr>
              <w:t>Stock Option Plans</w:t>
            </w:r>
          </w:p>
        </w:tc>
        <w:tc>
          <w:tcPr>
            <w:tcW w:w="18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3"/>
          </w:tcPr>
          <w:p>
            <w:pPr>
              <w:jc w:val="right"/>
              <w:ind w:right="495"/>
              <w:spacing w:after="0"/>
              <w:rPr>
                <w:sz w:val="20"/>
                <w:szCs w:val="20"/>
                <w:color w:val="auto"/>
              </w:rPr>
            </w:pPr>
            <w:r>
              <w:rPr>
                <w:rFonts w:ascii="Arial" w:cs="Arial" w:eastAsia="Arial" w:hAnsi="Arial"/>
                <w:sz w:val="17"/>
                <w:szCs w:val="17"/>
                <w:b w:val="1"/>
                <w:bCs w:val="1"/>
                <w:color w:val="auto"/>
              </w:rPr>
              <w:t>Stock Purchase Plan</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jc w:val="right"/>
              <w:ind w:right="255"/>
              <w:spacing w:after="0" w:line="157" w:lineRule="exact"/>
              <w:rPr>
                <w:sz w:val="20"/>
                <w:szCs w:val="20"/>
                <w:color w:val="auto"/>
              </w:rPr>
            </w:pPr>
            <w:r>
              <w:rPr>
                <w:rFonts w:ascii="Arial" w:cs="Arial" w:eastAsia="Arial" w:hAnsi="Arial"/>
                <w:sz w:val="17"/>
                <w:szCs w:val="17"/>
                <w:b w:val="1"/>
                <w:bCs w:val="1"/>
                <w:color w:val="auto"/>
              </w:rPr>
              <w:t>August 3,</w:t>
            </w:r>
          </w:p>
        </w:tc>
        <w:tc>
          <w:tcPr>
            <w:tcW w:w="180" w:type="dxa"/>
            <w:vAlign w:val="bottom"/>
          </w:tcPr>
          <w:p>
            <w:pPr>
              <w:spacing w:after="0"/>
              <w:rPr>
                <w:sz w:val="13"/>
                <w:szCs w:val="13"/>
                <w:color w:val="auto"/>
              </w:rPr>
            </w:pPr>
          </w:p>
        </w:tc>
        <w:tc>
          <w:tcPr>
            <w:tcW w:w="1200" w:type="dxa"/>
            <w:vAlign w:val="bottom"/>
          </w:tcPr>
          <w:p>
            <w:pPr>
              <w:jc w:val="right"/>
              <w:ind w:right="295"/>
              <w:spacing w:after="0" w:line="157" w:lineRule="exact"/>
              <w:rPr>
                <w:sz w:val="20"/>
                <w:szCs w:val="20"/>
                <w:color w:val="auto"/>
              </w:rPr>
            </w:pPr>
            <w:r>
              <w:rPr>
                <w:rFonts w:ascii="Arial" w:cs="Arial" w:eastAsia="Arial" w:hAnsi="Arial"/>
                <w:sz w:val="17"/>
                <w:szCs w:val="17"/>
                <w:b w:val="1"/>
                <w:bCs w:val="1"/>
                <w:color w:val="auto"/>
              </w:rPr>
              <w:t>August 4,</w:t>
            </w:r>
          </w:p>
        </w:tc>
        <w:tc>
          <w:tcPr>
            <w:tcW w:w="180" w:type="dxa"/>
            <w:vAlign w:val="bottom"/>
          </w:tcPr>
          <w:p>
            <w:pPr>
              <w:spacing w:after="0"/>
              <w:rPr>
                <w:sz w:val="13"/>
                <w:szCs w:val="13"/>
                <w:color w:val="auto"/>
              </w:rPr>
            </w:pPr>
          </w:p>
        </w:tc>
        <w:tc>
          <w:tcPr>
            <w:tcW w:w="1180" w:type="dxa"/>
            <w:vAlign w:val="bottom"/>
          </w:tcPr>
          <w:p>
            <w:pPr>
              <w:jc w:val="right"/>
              <w:ind w:right="295"/>
              <w:spacing w:after="0" w:line="157" w:lineRule="exact"/>
              <w:rPr>
                <w:sz w:val="20"/>
                <w:szCs w:val="20"/>
                <w:color w:val="auto"/>
              </w:rPr>
            </w:pPr>
            <w:r>
              <w:rPr>
                <w:rFonts w:ascii="Arial" w:cs="Arial" w:eastAsia="Arial" w:hAnsi="Arial"/>
                <w:sz w:val="17"/>
                <w:szCs w:val="17"/>
                <w:b w:val="1"/>
                <w:bCs w:val="1"/>
                <w:color w:val="auto"/>
              </w:rPr>
              <w:t>August 3,</w:t>
            </w:r>
          </w:p>
        </w:tc>
        <w:tc>
          <w:tcPr>
            <w:tcW w:w="180" w:type="dxa"/>
            <w:vAlign w:val="bottom"/>
          </w:tcPr>
          <w:p>
            <w:pPr>
              <w:spacing w:after="0"/>
              <w:rPr>
                <w:sz w:val="13"/>
                <w:szCs w:val="13"/>
                <w:color w:val="auto"/>
              </w:rPr>
            </w:pPr>
          </w:p>
        </w:tc>
        <w:tc>
          <w:tcPr>
            <w:tcW w:w="1260" w:type="dxa"/>
            <w:vAlign w:val="bottom"/>
          </w:tcPr>
          <w:p>
            <w:pPr>
              <w:jc w:val="right"/>
              <w:ind w:right="355"/>
              <w:spacing w:after="0" w:line="157" w:lineRule="exact"/>
              <w:rPr>
                <w:sz w:val="20"/>
                <w:szCs w:val="20"/>
                <w:color w:val="auto"/>
              </w:rPr>
            </w:pPr>
            <w:r>
              <w:rPr>
                <w:rFonts w:ascii="Arial" w:cs="Arial" w:eastAsia="Arial" w:hAnsi="Arial"/>
                <w:sz w:val="17"/>
                <w:szCs w:val="17"/>
                <w:b w:val="1"/>
                <w:bCs w:val="1"/>
                <w:color w:val="auto"/>
              </w:rPr>
              <w:t>August 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2019</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5"/>
              <w:spacing w:after="0"/>
              <w:rPr>
                <w:sz w:val="20"/>
                <w:szCs w:val="20"/>
                <w:color w:val="auto"/>
              </w:rPr>
            </w:pPr>
            <w:r>
              <w:rPr>
                <w:rFonts w:ascii="Arial" w:cs="Arial" w:eastAsia="Arial" w:hAnsi="Arial"/>
                <w:sz w:val="17"/>
                <w:szCs w:val="17"/>
                <w:b w:val="1"/>
                <w:bCs w:val="1"/>
                <w:color w:val="auto"/>
              </w:rPr>
              <w:t>2018</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5"/>
              <w:spacing w:after="0"/>
              <w:rPr>
                <w:sz w:val="20"/>
                <w:szCs w:val="20"/>
                <w:color w:val="auto"/>
              </w:rPr>
            </w:pPr>
            <w:r>
              <w:rPr>
                <w:rFonts w:ascii="Arial" w:cs="Arial" w:eastAsia="Arial" w:hAnsi="Arial"/>
                <w:sz w:val="17"/>
                <w:szCs w:val="17"/>
                <w:b w:val="1"/>
                <w:bCs w:val="1"/>
                <w:color w:val="auto"/>
              </w:rPr>
              <w:t>2019</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b w:val="1"/>
                <w:bCs w:val="1"/>
                <w:color w:val="auto"/>
              </w:rPr>
              <w:t>2018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3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Weighted-average risk free rate of interest</w:t>
            </w: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2.2 %</w:t>
            </w: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 xml:space="preserve">2.7 </w:t>
            </w:r>
            <w:r>
              <w:rPr>
                <w:rFonts w:ascii="Arial" w:cs="Arial" w:eastAsia="Arial" w:hAnsi="Arial"/>
                <w:sz w:val="17"/>
                <w:szCs w:val="17"/>
                <w:b w:val="1"/>
                <w:bCs w:val="1"/>
                <w:color w:val="auto"/>
              </w:rPr>
              <w:t>%</w:t>
            </w: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2.3 %</w:t>
            </w: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 xml:space="preserve">1.6 </w:t>
            </w: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80" w:type="dxa"/>
            <w:vAlign w:val="bottom"/>
          </w:tcPr>
          <w:p>
            <w:pPr>
              <w:spacing w:after="0" w:line="189" w:lineRule="exact"/>
              <w:rPr>
                <w:sz w:val="20"/>
                <w:szCs w:val="20"/>
                <w:color w:val="auto"/>
              </w:rPr>
            </w:pPr>
            <w:r>
              <w:rPr>
                <w:rFonts w:ascii="Arial" w:cs="Arial" w:eastAsia="Arial" w:hAnsi="Arial"/>
                <w:sz w:val="17"/>
                <w:szCs w:val="17"/>
                <w:color w:val="auto"/>
              </w:rPr>
              <w:t>Expected volatility</w:t>
            </w:r>
          </w:p>
        </w:tc>
        <w:tc>
          <w:tcPr>
            <w:tcW w:w="32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38 %</w:t>
            </w:r>
          </w:p>
        </w:tc>
        <w:tc>
          <w:tcPr>
            <w:tcW w:w="18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7"/>
                <w:szCs w:val="17"/>
                <w:color w:val="auto"/>
              </w:rPr>
              <w:t xml:space="preserve">37 </w:t>
            </w:r>
            <w:r>
              <w:rPr>
                <w:rFonts w:ascii="Arial" w:cs="Arial" w:eastAsia="Arial" w:hAnsi="Arial"/>
                <w:sz w:val="17"/>
                <w:szCs w:val="17"/>
                <w:b w:val="1"/>
                <w:bCs w:val="1"/>
                <w:color w:val="auto"/>
              </w:rPr>
              <w:t>%</w:t>
            </w:r>
          </w:p>
        </w:tc>
        <w:tc>
          <w:tcPr>
            <w:tcW w:w="18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57 %</w:t>
            </w:r>
          </w:p>
        </w:tc>
        <w:tc>
          <w:tcPr>
            <w:tcW w:w="180" w:type="dxa"/>
            <w:vAlign w:val="bottom"/>
          </w:tcPr>
          <w:p>
            <w:pPr>
              <w:spacing w:after="0"/>
              <w:rPr>
                <w:sz w:val="16"/>
                <w:szCs w:val="16"/>
                <w:color w:val="auto"/>
              </w:rPr>
            </w:pPr>
          </w:p>
        </w:tc>
        <w:tc>
          <w:tcPr>
            <w:tcW w:w="1260" w:type="dxa"/>
            <w:vAlign w:val="bottom"/>
          </w:tcPr>
          <w:p>
            <w:pPr>
              <w:jc w:val="right"/>
              <w:ind w:right="35"/>
              <w:spacing w:after="0" w:line="189" w:lineRule="exact"/>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3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Weighted-average expected award life (in</w:t>
            </w:r>
          </w:p>
        </w:tc>
        <w:tc>
          <w:tcPr>
            <w:tcW w:w="32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175"/>
              <w:spacing w:after="0"/>
              <w:rPr>
                <w:sz w:val="20"/>
                <w:szCs w:val="20"/>
                <w:color w:val="auto"/>
              </w:rPr>
            </w:pPr>
            <w:r>
              <w:rPr>
                <w:rFonts w:ascii="Arial" w:cs="Arial" w:eastAsia="Arial" w:hAnsi="Arial"/>
                <w:sz w:val="17"/>
                <w:szCs w:val="17"/>
                <w:b w:val="1"/>
                <w:bCs w:val="1"/>
                <w:color w:val="auto"/>
              </w:rPr>
              <w:t>5.5</w:t>
            </w: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ind w:right="175"/>
              <w:spacing w:after="0"/>
              <w:rPr>
                <w:sz w:val="20"/>
                <w:szCs w:val="20"/>
                <w:color w:val="auto"/>
              </w:rPr>
            </w:pPr>
            <w:r>
              <w:rPr>
                <w:rFonts w:ascii="Arial" w:cs="Arial" w:eastAsia="Arial" w:hAnsi="Arial"/>
                <w:sz w:val="17"/>
                <w:szCs w:val="17"/>
                <w:b w:val="1"/>
                <w:bCs w:val="1"/>
                <w:color w:val="auto"/>
              </w:rPr>
              <w:t>1.0</w:t>
            </w: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3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years)</w:t>
            </w:r>
          </w:p>
        </w:tc>
        <w:tc>
          <w:tcPr>
            <w:tcW w:w="32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5.5</w:t>
            </w:r>
          </w:p>
        </w:tc>
        <w:tc>
          <w:tcPr>
            <w:tcW w:w="180" w:type="dxa"/>
            <w:vAlign w:val="bottom"/>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80" w:type="dxa"/>
            <w:vAlign w:val="bottom"/>
          </w:tcPr>
          <w:p>
            <w:pPr>
              <w:spacing w:after="0" w:line="189" w:lineRule="exact"/>
              <w:rPr>
                <w:sz w:val="20"/>
                <w:szCs w:val="20"/>
                <w:color w:val="auto"/>
              </w:rPr>
            </w:pPr>
            <w:r>
              <w:rPr>
                <w:rFonts w:ascii="Arial" w:cs="Arial" w:eastAsia="Arial" w:hAnsi="Arial"/>
                <w:sz w:val="17"/>
                <w:szCs w:val="17"/>
                <w:color w:val="auto"/>
              </w:rPr>
              <w:t>Dividend yield</w:t>
            </w:r>
          </w:p>
        </w:tc>
        <w:tc>
          <w:tcPr>
            <w:tcW w:w="32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2.6 %</w:t>
            </w:r>
          </w:p>
        </w:tc>
        <w:tc>
          <w:tcPr>
            <w:tcW w:w="18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b w:val="1"/>
                <w:bCs w:val="1"/>
                <w:color w:val="auto"/>
              </w:rPr>
              <w:t>%</w:t>
            </w:r>
          </w:p>
        </w:tc>
        <w:tc>
          <w:tcPr>
            <w:tcW w:w="18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2.8 %</w:t>
            </w:r>
          </w:p>
        </w:tc>
        <w:tc>
          <w:tcPr>
            <w:tcW w:w="180" w:type="dxa"/>
            <w:vAlign w:val="bottom"/>
          </w:tcPr>
          <w:p>
            <w:pPr>
              <w:spacing w:after="0"/>
              <w:rPr>
                <w:sz w:val="16"/>
                <w:szCs w:val="16"/>
                <w:color w:val="auto"/>
              </w:rPr>
            </w:pPr>
          </w:p>
        </w:tc>
        <w:tc>
          <w:tcPr>
            <w:tcW w:w="1260" w:type="dxa"/>
            <w:vAlign w:val="bottom"/>
          </w:tcPr>
          <w:p>
            <w:pPr>
              <w:jc w:val="right"/>
              <w:ind w:right="35"/>
              <w:spacing w:after="0" w:line="189" w:lineRule="exact"/>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8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Weighted-average fair value</w:t>
            </w:r>
          </w:p>
        </w:tc>
        <w:tc>
          <w:tcPr>
            <w:tcW w:w="3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shd w:val="clear" w:color="auto" w:fill="CCEEFF"/>
          </w:tcPr>
          <w:p>
            <w:pPr>
              <w:jc w:val="right"/>
              <w:ind w:right="175"/>
              <w:spacing w:after="0" w:line="189" w:lineRule="exact"/>
              <w:rPr>
                <w:sz w:val="20"/>
                <w:szCs w:val="20"/>
                <w:color w:val="auto"/>
              </w:rPr>
            </w:pPr>
            <w:r>
              <w:rPr>
                <w:rFonts w:ascii="Arial" w:cs="Arial" w:eastAsia="Arial" w:hAnsi="Arial"/>
                <w:sz w:val="17"/>
                <w:szCs w:val="17"/>
                <w:b w:val="1"/>
                <w:bCs w:val="1"/>
                <w:color w:val="auto"/>
              </w:rPr>
              <w:t>17.19</w:t>
            </w:r>
          </w:p>
        </w:tc>
        <w:tc>
          <w:tcPr>
            <w:tcW w:w="1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CEEFF"/>
          </w:tcPr>
          <w:p>
            <w:pPr>
              <w:jc w:val="right"/>
              <w:ind w:right="175"/>
              <w:spacing w:after="0" w:line="189" w:lineRule="exact"/>
              <w:rPr>
                <w:sz w:val="20"/>
                <w:szCs w:val="20"/>
                <w:color w:val="auto"/>
              </w:rPr>
            </w:pPr>
            <w:r>
              <w:rPr>
                <w:rFonts w:ascii="Arial" w:cs="Arial" w:eastAsia="Arial" w:hAnsi="Arial"/>
                <w:sz w:val="17"/>
                <w:szCs w:val="17"/>
                <w:color w:val="auto"/>
              </w:rPr>
              <w:t>12.37</w:t>
            </w:r>
          </w:p>
        </w:tc>
        <w:tc>
          <w:tcPr>
            <w:tcW w:w="1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180" w:type="dxa"/>
            <w:vAlign w:val="bottom"/>
            <w:tcBorders>
              <w:bottom w:val="single" w:sz="8" w:color="auto"/>
            </w:tcBorders>
            <w:shd w:val="clear" w:color="auto" w:fill="CCEEFF"/>
          </w:tcPr>
          <w:p>
            <w:pPr>
              <w:jc w:val="right"/>
              <w:ind w:right="175"/>
              <w:spacing w:after="0" w:line="189" w:lineRule="exact"/>
              <w:rPr>
                <w:sz w:val="20"/>
                <w:szCs w:val="20"/>
                <w:color w:val="auto"/>
              </w:rPr>
            </w:pPr>
            <w:r>
              <w:rPr>
                <w:rFonts w:ascii="Arial" w:cs="Arial" w:eastAsia="Arial" w:hAnsi="Arial"/>
                <w:sz w:val="17"/>
                <w:szCs w:val="17"/>
                <w:b w:val="1"/>
                <w:bCs w:val="1"/>
                <w:color w:val="auto"/>
              </w:rPr>
              <w:t>20.33</w:t>
            </w:r>
          </w:p>
        </w:tc>
        <w:tc>
          <w:tcPr>
            <w:tcW w:w="1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ind w:right="235"/>
              <w:spacing w:after="0" w:line="189" w:lineRule="exact"/>
              <w:rPr>
                <w:sz w:val="20"/>
                <w:szCs w:val="20"/>
                <w:color w:val="auto"/>
              </w:rPr>
            </w:pPr>
            <w:r>
              <w:rPr>
                <w:rFonts w:ascii="Arial" w:cs="Arial" w:eastAsia="Arial" w:hAnsi="Arial"/>
                <w:sz w:val="17"/>
                <w:szCs w:val="17"/>
                <w:color w:val="auto"/>
              </w:rPr>
              <w:t>14.89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information in the following table covers option activity under the Company’s stock option plans for the twenty-six weeks ended August 3, 2019:</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80" w:type="dxa"/>
            <w:vAlign w:val="bottom"/>
          </w:tcPr>
          <w:p>
            <w:pPr>
              <w:jc w:val="center"/>
              <w:spacing w:after="0"/>
              <w:rPr>
                <w:sz w:val="20"/>
                <w:szCs w:val="20"/>
                <w:color w:val="auto"/>
              </w:rPr>
            </w:pPr>
            <w:r>
              <w:rPr>
                <w:rFonts w:ascii="Arial" w:cs="Arial" w:eastAsia="Arial" w:hAnsi="Arial"/>
                <w:sz w:val="17"/>
                <w:szCs w:val="17"/>
                <w:b w:val="1"/>
                <w:bCs w:val="1"/>
                <w:color w:val="auto"/>
                <w:w w:val="99"/>
              </w:rPr>
              <w:t>Weighted-</w:t>
            </w:r>
          </w:p>
        </w:tc>
        <w:tc>
          <w:tcPr>
            <w:tcW w:w="540" w:type="dxa"/>
            <w:vAlign w:val="bottom"/>
          </w:tcPr>
          <w:p>
            <w:pPr>
              <w:spacing w:after="0"/>
              <w:rPr>
                <w:sz w:val="16"/>
                <w:szCs w:val="16"/>
                <w:color w:val="auto"/>
              </w:rPr>
            </w:pPr>
          </w:p>
        </w:tc>
        <w:tc>
          <w:tcPr>
            <w:tcW w:w="1060" w:type="dxa"/>
            <w:vAlign w:val="bottom"/>
          </w:tcPr>
          <w:p>
            <w:pPr>
              <w:jc w:val="center"/>
              <w:ind w:right="75"/>
              <w:spacing w:after="0"/>
              <w:rPr>
                <w:sz w:val="20"/>
                <w:szCs w:val="20"/>
                <w:color w:val="auto"/>
              </w:rPr>
            </w:pPr>
            <w:r>
              <w:rPr>
                <w:rFonts w:ascii="Arial" w:cs="Arial" w:eastAsia="Arial" w:hAnsi="Arial"/>
                <w:sz w:val="17"/>
                <w:szCs w:val="17"/>
                <w:b w:val="1"/>
                <w:bCs w:val="1"/>
                <w:color w:val="auto"/>
                <w:w w:val="99"/>
              </w:rPr>
              <w:t>Weighted-</w:t>
            </w:r>
          </w:p>
        </w:tc>
      </w:tr>
      <w:tr>
        <w:trPr>
          <w:trHeight w:val="189"/>
        </w:trPr>
        <w:tc>
          <w:tcPr>
            <w:tcW w:w="20" w:type="dxa"/>
            <w:vAlign w:val="bottom"/>
          </w:tcPr>
          <w:p>
            <w:pPr>
              <w:spacing w:after="0"/>
              <w:rPr>
                <w:sz w:val="16"/>
                <w:szCs w:val="16"/>
                <w:color w:val="auto"/>
              </w:rPr>
            </w:pPr>
          </w:p>
        </w:tc>
        <w:tc>
          <w:tcPr>
            <w:tcW w:w="5360" w:type="dxa"/>
            <w:vAlign w:val="bottom"/>
            <w:gridSpan w:val="2"/>
          </w:tcPr>
          <w:p>
            <w:pPr>
              <w:jc w:val="center"/>
              <w:ind w:left="3295"/>
              <w:spacing w:after="0" w:line="189" w:lineRule="exact"/>
              <w:rPr>
                <w:sz w:val="20"/>
                <w:szCs w:val="20"/>
                <w:color w:val="auto"/>
              </w:rPr>
            </w:pPr>
            <w:r>
              <w:rPr>
                <w:rFonts w:ascii="Arial" w:cs="Arial" w:eastAsia="Arial" w:hAnsi="Arial"/>
                <w:sz w:val="17"/>
                <w:szCs w:val="17"/>
                <w:b w:val="1"/>
                <w:bCs w:val="1"/>
                <w:color w:val="auto"/>
              </w:rPr>
              <w:t>Number</w:t>
            </w:r>
          </w:p>
        </w:tc>
        <w:tc>
          <w:tcPr>
            <w:tcW w:w="208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Average</w:t>
            </w:r>
          </w:p>
        </w:tc>
        <w:tc>
          <w:tcPr>
            <w:tcW w:w="540" w:type="dxa"/>
            <w:vAlign w:val="bottom"/>
          </w:tcPr>
          <w:p>
            <w:pPr>
              <w:spacing w:after="0"/>
              <w:rPr>
                <w:sz w:val="16"/>
                <w:szCs w:val="16"/>
                <w:color w:val="auto"/>
              </w:rPr>
            </w:pPr>
          </w:p>
        </w:tc>
        <w:tc>
          <w:tcPr>
            <w:tcW w:w="1060" w:type="dxa"/>
            <w:vAlign w:val="bottom"/>
          </w:tcPr>
          <w:p>
            <w:pPr>
              <w:jc w:val="center"/>
              <w:ind w:right="55"/>
              <w:spacing w:after="0" w:line="189" w:lineRule="exact"/>
              <w:rPr>
                <w:sz w:val="20"/>
                <w:szCs w:val="20"/>
                <w:color w:val="auto"/>
              </w:rPr>
            </w:pPr>
            <w:r>
              <w:rPr>
                <w:rFonts w:ascii="Arial" w:cs="Arial" w:eastAsia="Arial" w:hAnsi="Arial"/>
                <w:sz w:val="17"/>
                <w:szCs w:val="17"/>
                <w:b w:val="1"/>
                <w:bCs w:val="1"/>
                <w:color w:val="auto"/>
              </w:rPr>
              <w:t>Average</w:t>
            </w:r>
          </w:p>
        </w:tc>
      </w:tr>
      <w:tr>
        <w:trPr>
          <w:trHeight w:val="189"/>
        </w:trPr>
        <w:tc>
          <w:tcPr>
            <w:tcW w:w="20" w:type="dxa"/>
            <w:vAlign w:val="bottom"/>
          </w:tcPr>
          <w:p>
            <w:pPr>
              <w:spacing w:after="0"/>
              <w:rPr>
                <w:sz w:val="16"/>
                <w:szCs w:val="16"/>
                <w:color w:val="auto"/>
              </w:rPr>
            </w:pPr>
          </w:p>
        </w:tc>
        <w:tc>
          <w:tcPr>
            <w:tcW w:w="4480" w:type="dxa"/>
            <w:vAlign w:val="bottom"/>
          </w:tcPr>
          <w:p>
            <w:pPr>
              <w:jc w:val="center"/>
              <w:ind w:left="4195"/>
              <w:spacing w:after="0" w:line="189" w:lineRule="exact"/>
              <w:rPr>
                <w:sz w:val="20"/>
                <w:szCs w:val="20"/>
                <w:color w:val="auto"/>
              </w:rPr>
            </w:pPr>
            <w:r>
              <w:rPr>
                <w:rFonts w:ascii="Arial" w:cs="Arial" w:eastAsia="Arial" w:hAnsi="Arial"/>
                <w:sz w:val="17"/>
                <w:szCs w:val="17"/>
                <w:b w:val="1"/>
                <w:bCs w:val="1"/>
                <w:color w:val="auto"/>
                <w:w w:val="99"/>
              </w:rPr>
              <w:t>of</w:t>
            </w:r>
          </w:p>
        </w:tc>
        <w:tc>
          <w:tcPr>
            <w:tcW w:w="880" w:type="dxa"/>
            <w:vAlign w:val="bottom"/>
          </w:tcPr>
          <w:p>
            <w:pPr>
              <w:spacing w:after="0"/>
              <w:rPr>
                <w:sz w:val="16"/>
                <w:szCs w:val="16"/>
                <w:color w:val="auto"/>
              </w:rPr>
            </w:pPr>
          </w:p>
        </w:tc>
        <w:tc>
          <w:tcPr>
            <w:tcW w:w="208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Remaining</w:t>
            </w:r>
          </w:p>
        </w:tc>
        <w:tc>
          <w:tcPr>
            <w:tcW w:w="540" w:type="dxa"/>
            <w:vAlign w:val="bottom"/>
          </w:tcPr>
          <w:p>
            <w:pPr>
              <w:spacing w:after="0"/>
              <w:rPr>
                <w:sz w:val="16"/>
                <w:szCs w:val="16"/>
                <w:color w:val="auto"/>
              </w:rPr>
            </w:pPr>
          </w:p>
        </w:tc>
        <w:tc>
          <w:tcPr>
            <w:tcW w:w="1060" w:type="dxa"/>
            <w:vAlign w:val="bottom"/>
          </w:tcPr>
          <w:p>
            <w:pPr>
              <w:jc w:val="center"/>
              <w:ind w:right="75"/>
              <w:spacing w:after="0" w:line="189" w:lineRule="exact"/>
              <w:rPr>
                <w:sz w:val="20"/>
                <w:szCs w:val="20"/>
                <w:color w:val="auto"/>
              </w:rPr>
            </w:pPr>
            <w:r>
              <w:rPr>
                <w:rFonts w:ascii="Arial" w:cs="Arial" w:eastAsia="Arial" w:hAnsi="Arial"/>
                <w:sz w:val="17"/>
                <w:szCs w:val="17"/>
                <w:b w:val="1"/>
                <w:bCs w:val="1"/>
                <w:color w:val="auto"/>
              </w:rPr>
              <w:t>Exercise</w:t>
            </w:r>
          </w:p>
        </w:tc>
      </w:tr>
      <w:tr>
        <w:trPr>
          <w:trHeight w:val="215"/>
        </w:trPr>
        <w:tc>
          <w:tcPr>
            <w:tcW w:w="20" w:type="dxa"/>
            <w:vAlign w:val="bottom"/>
          </w:tcPr>
          <w:p>
            <w:pPr>
              <w:spacing w:after="0"/>
              <w:rPr>
                <w:sz w:val="18"/>
                <w:szCs w:val="18"/>
                <w:color w:val="auto"/>
              </w:rPr>
            </w:pPr>
          </w:p>
        </w:tc>
        <w:tc>
          <w:tcPr>
            <w:tcW w:w="5360" w:type="dxa"/>
            <w:vAlign w:val="bottom"/>
            <w:tcBorders>
              <w:bottom w:val="single" w:sz="8" w:color="auto"/>
            </w:tcBorders>
            <w:gridSpan w:val="2"/>
          </w:tcPr>
          <w:p>
            <w:pPr>
              <w:jc w:val="center"/>
              <w:ind w:left="3295"/>
              <w:spacing w:after="0"/>
              <w:rPr>
                <w:sz w:val="20"/>
                <w:szCs w:val="20"/>
                <w:color w:val="auto"/>
              </w:rPr>
            </w:pPr>
            <w:r>
              <w:rPr>
                <w:rFonts w:ascii="Arial" w:cs="Arial" w:eastAsia="Arial" w:hAnsi="Arial"/>
                <w:sz w:val="17"/>
                <w:szCs w:val="17"/>
                <w:b w:val="1"/>
                <w:bCs w:val="1"/>
                <w:color w:val="auto"/>
              </w:rPr>
              <w:t>Shares</w:t>
            </w: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Contractual Life</w:t>
            </w:r>
          </w:p>
        </w:tc>
        <w:tc>
          <w:tcPr>
            <w:tcW w:w="5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75"/>
              <w:spacing w:after="0"/>
              <w:rPr>
                <w:sz w:val="20"/>
                <w:szCs w:val="20"/>
                <w:color w:val="auto"/>
              </w:rPr>
            </w:pPr>
            <w:r>
              <w:rPr>
                <w:rFonts w:ascii="Arial" w:cs="Arial" w:eastAsia="Arial" w:hAnsi="Arial"/>
                <w:sz w:val="17"/>
                <w:szCs w:val="17"/>
                <w:b w:val="1"/>
                <w:bCs w:val="1"/>
                <w:color w:val="auto"/>
              </w:rPr>
              <w:t>Price</w:t>
            </w:r>
          </w:p>
        </w:tc>
      </w:tr>
      <w:tr>
        <w:trPr>
          <w:trHeight w:val="183"/>
        </w:trPr>
        <w:tc>
          <w:tcPr>
            <w:tcW w:w="20" w:type="dxa"/>
            <w:vAlign w:val="bottom"/>
          </w:tcPr>
          <w:p>
            <w:pPr>
              <w:spacing w:after="0"/>
              <w:rPr>
                <w:sz w:val="15"/>
                <w:szCs w:val="15"/>
                <w:color w:val="auto"/>
              </w:rPr>
            </w:pPr>
          </w:p>
        </w:tc>
        <w:tc>
          <w:tcPr>
            <w:tcW w:w="5360" w:type="dxa"/>
            <w:vAlign w:val="bottom"/>
            <w:gridSpan w:val="2"/>
          </w:tcPr>
          <w:p>
            <w:pPr>
              <w:jc w:val="center"/>
              <w:ind w:left="3315"/>
              <w:spacing w:after="0" w:line="183" w:lineRule="exact"/>
              <w:rPr>
                <w:sz w:val="20"/>
                <w:szCs w:val="20"/>
                <w:color w:val="auto"/>
              </w:rPr>
            </w:pPr>
            <w:r>
              <w:rPr>
                <w:rFonts w:ascii="Arial" w:cs="Arial" w:eastAsia="Arial" w:hAnsi="Arial"/>
                <w:sz w:val="17"/>
                <w:szCs w:val="17"/>
                <w:color w:val="auto"/>
              </w:rPr>
              <w:t>(in thousands)</w:t>
            </w:r>
          </w:p>
        </w:tc>
        <w:tc>
          <w:tcPr>
            <w:tcW w:w="2080" w:type="dxa"/>
            <w:vAlign w:val="bottom"/>
          </w:tcPr>
          <w:p>
            <w:pPr>
              <w:jc w:val="center"/>
              <w:spacing w:after="0" w:line="183" w:lineRule="exact"/>
              <w:rPr>
                <w:sz w:val="20"/>
                <w:szCs w:val="20"/>
                <w:color w:val="auto"/>
              </w:rPr>
            </w:pPr>
            <w:r>
              <w:rPr>
                <w:rFonts w:ascii="Arial" w:cs="Arial" w:eastAsia="Arial" w:hAnsi="Arial"/>
                <w:sz w:val="17"/>
                <w:szCs w:val="17"/>
                <w:color w:val="auto"/>
              </w:rPr>
              <w:t>(in years)</w:t>
            </w:r>
          </w:p>
        </w:tc>
        <w:tc>
          <w:tcPr>
            <w:tcW w:w="540" w:type="dxa"/>
            <w:vAlign w:val="bottom"/>
          </w:tcPr>
          <w:p>
            <w:pPr>
              <w:spacing w:after="0"/>
              <w:rPr>
                <w:sz w:val="15"/>
                <w:szCs w:val="15"/>
                <w:color w:val="auto"/>
              </w:rPr>
            </w:pPr>
          </w:p>
        </w:tc>
        <w:tc>
          <w:tcPr>
            <w:tcW w:w="1060" w:type="dxa"/>
            <w:vAlign w:val="bottom"/>
          </w:tcPr>
          <w:p>
            <w:pPr>
              <w:jc w:val="center"/>
              <w:ind w:right="55"/>
              <w:spacing w:after="0" w:line="183" w:lineRule="exact"/>
              <w:rPr>
                <w:sz w:val="20"/>
                <w:szCs w:val="20"/>
                <w:color w:val="auto"/>
              </w:rPr>
            </w:pPr>
            <w:r>
              <w:rPr>
                <w:rFonts w:ascii="Arial" w:cs="Arial" w:eastAsia="Arial" w:hAnsi="Arial"/>
                <w:sz w:val="17"/>
                <w:szCs w:val="17"/>
                <w:color w:val="auto"/>
              </w:rPr>
              <w:t>(per share)</w:t>
            </w:r>
          </w:p>
        </w:tc>
      </w:tr>
      <w:tr>
        <w:trPr>
          <w:trHeight w:val="189"/>
        </w:trPr>
        <w:tc>
          <w:tcPr>
            <w:tcW w:w="20" w:type="dxa"/>
            <w:vAlign w:val="bottom"/>
          </w:tcPr>
          <w:p>
            <w:pPr>
              <w:spacing w:after="0"/>
              <w:rPr>
                <w:sz w:val="16"/>
                <w:szCs w:val="16"/>
                <w:color w:val="auto"/>
              </w:rPr>
            </w:pPr>
          </w:p>
        </w:tc>
        <w:tc>
          <w:tcPr>
            <w:tcW w:w="44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Options outstanding at the beginning of the year</w:t>
            </w:r>
          </w:p>
        </w:tc>
        <w:tc>
          <w:tcPr>
            <w:tcW w:w="880" w:type="dxa"/>
            <w:vAlign w:val="bottom"/>
            <w:shd w:val="clear" w:color="auto" w:fill="CCEEFF"/>
          </w:tcPr>
          <w:p>
            <w:pPr>
              <w:jc w:val="right"/>
              <w:ind w:right="355"/>
              <w:spacing w:after="0" w:line="189" w:lineRule="exact"/>
              <w:rPr>
                <w:sz w:val="20"/>
                <w:szCs w:val="20"/>
                <w:color w:val="auto"/>
              </w:rPr>
            </w:pPr>
            <w:r>
              <w:rPr>
                <w:rFonts w:ascii="Arial" w:cs="Arial" w:eastAsia="Arial" w:hAnsi="Arial"/>
                <w:sz w:val="17"/>
                <w:szCs w:val="17"/>
                <w:color w:val="auto"/>
                <w:w w:val="98"/>
              </w:rPr>
              <w:t>2,861</w:t>
            </w:r>
          </w:p>
        </w:tc>
        <w:tc>
          <w:tcPr>
            <w:tcW w:w="20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52.34</w:t>
            </w:r>
          </w:p>
        </w:tc>
      </w:tr>
      <w:tr>
        <w:trPr>
          <w:trHeight w:val="189"/>
        </w:trPr>
        <w:tc>
          <w:tcPr>
            <w:tcW w:w="20" w:type="dxa"/>
            <w:vAlign w:val="bottom"/>
          </w:tcPr>
          <w:p>
            <w:pPr>
              <w:spacing w:after="0"/>
              <w:rPr>
                <w:sz w:val="16"/>
                <w:szCs w:val="16"/>
                <w:color w:val="auto"/>
              </w:rPr>
            </w:pPr>
          </w:p>
        </w:tc>
        <w:tc>
          <w:tcPr>
            <w:tcW w:w="4480" w:type="dxa"/>
            <w:vAlign w:val="bottom"/>
          </w:tcPr>
          <w:p>
            <w:pPr>
              <w:spacing w:after="0" w:line="189" w:lineRule="exact"/>
              <w:rPr>
                <w:sz w:val="20"/>
                <w:szCs w:val="20"/>
                <w:color w:val="auto"/>
              </w:rPr>
            </w:pPr>
            <w:r>
              <w:rPr>
                <w:rFonts w:ascii="Arial" w:cs="Arial" w:eastAsia="Arial" w:hAnsi="Arial"/>
                <w:sz w:val="17"/>
                <w:szCs w:val="17"/>
                <w:color w:val="auto"/>
              </w:rPr>
              <w:t>Granted</w:t>
            </w:r>
          </w:p>
        </w:tc>
        <w:tc>
          <w:tcPr>
            <w:tcW w:w="880" w:type="dxa"/>
            <w:vAlign w:val="bottom"/>
          </w:tcPr>
          <w:p>
            <w:pPr>
              <w:jc w:val="right"/>
              <w:ind w:right="355"/>
              <w:spacing w:after="0" w:line="189" w:lineRule="exact"/>
              <w:rPr>
                <w:sz w:val="20"/>
                <w:szCs w:val="20"/>
                <w:color w:val="auto"/>
              </w:rPr>
            </w:pPr>
            <w:r>
              <w:rPr>
                <w:rFonts w:ascii="Arial" w:cs="Arial" w:eastAsia="Arial" w:hAnsi="Arial"/>
                <w:sz w:val="17"/>
                <w:szCs w:val="17"/>
                <w:color w:val="auto"/>
              </w:rPr>
              <w:t>316</w:t>
            </w:r>
          </w:p>
        </w:tc>
        <w:tc>
          <w:tcPr>
            <w:tcW w:w="20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7"/>
                <w:szCs w:val="17"/>
                <w:color w:val="auto"/>
              </w:rPr>
              <w:t>58.96</w:t>
            </w:r>
          </w:p>
        </w:tc>
      </w:tr>
      <w:tr>
        <w:trPr>
          <w:trHeight w:val="189"/>
        </w:trPr>
        <w:tc>
          <w:tcPr>
            <w:tcW w:w="20" w:type="dxa"/>
            <w:vAlign w:val="bottom"/>
          </w:tcPr>
          <w:p>
            <w:pPr>
              <w:spacing w:after="0"/>
              <w:rPr>
                <w:sz w:val="16"/>
                <w:szCs w:val="16"/>
                <w:color w:val="auto"/>
              </w:rPr>
            </w:pPr>
          </w:p>
        </w:tc>
        <w:tc>
          <w:tcPr>
            <w:tcW w:w="44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Exercised</w:t>
            </w:r>
          </w:p>
        </w:tc>
        <w:tc>
          <w:tcPr>
            <w:tcW w:w="880" w:type="dxa"/>
            <w:vAlign w:val="bottom"/>
            <w:shd w:val="clear" w:color="auto" w:fill="CCEEFF"/>
          </w:tcPr>
          <w:p>
            <w:pPr>
              <w:jc w:val="right"/>
              <w:ind w:right="295"/>
              <w:spacing w:after="0" w:line="189" w:lineRule="exact"/>
              <w:rPr>
                <w:sz w:val="20"/>
                <w:szCs w:val="20"/>
                <w:color w:val="auto"/>
              </w:rPr>
            </w:pPr>
            <w:r>
              <w:rPr>
                <w:rFonts w:ascii="Arial" w:cs="Arial" w:eastAsia="Arial" w:hAnsi="Arial"/>
                <w:sz w:val="17"/>
                <w:szCs w:val="17"/>
                <w:color w:val="auto"/>
              </w:rPr>
              <w:t>(163)</w:t>
            </w:r>
          </w:p>
        </w:tc>
        <w:tc>
          <w:tcPr>
            <w:tcW w:w="20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27.10</w:t>
            </w:r>
          </w:p>
        </w:tc>
      </w:tr>
      <w:tr>
        <w:trPr>
          <w:trHeight w:val="189"/>
        </w:trPr>
        <w:tc>
          <w:tcPr>
            <w:tcW w:w="20" w:type="dxa"/>
            <w:vAlign w:val="bottom"/>
          </w:tcPr>
          <w:p>
            <w:pPr>
              <w:spacing w:after="0"/>
              <w:rPr>
                <w:sz w:val="16"/>
                <w:szCs w:val="16"/>
                <w:color w:val="auto"/>
              </w:rPr>
            </w:pPr>
          </w:p>
        </w:tc>
        <w:tc>
          <w:tcPr>
            <w:tcW w:w="448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Expired or cancelled</w:t>
            </w:r>
          </w:p>
        </w:tc>
        <w:tc>
          <w:tcPr>
            <w:tcW w:w="880" w:type="dxa"/>
            <w:vAlign w:val="bottom"/>
            <w:tcBorders>
              <w:bottom w:val="single" w:sz="8" w:color="auto"/>
            </w:tcBorders>
          </w:tcPr>
          <w:p>
            <w:pPr>
              <w:jc w:val="right"/>
              <w:ind w:right="295"/>
              <w:spacing w:after="0" w:line="189" w:lineRule="exact"/>
              <w:rPr>
                <w:sz w:val="20"/>
                <w:szCs w:val="20"/>
                <w:color w:val="auto"/>
              </w:rPr>
            </w:pPr>
            <w:r>
              <w:rPr>
                <w:rFonts w:ascii="Arial" w:cs="Arial" w:eastAsia="Arial" w:hAnsi="Arial"/>
                <w:sz w:val="17"/>
                <w:szCs w:val="17"/>
                <w:color w:val="auto"/>
              </w:rPr>
              <w:t>(76)</w:t>
            </w:r>
          </w:p>
        </w:tc>
        <w:tc>
          <w:tcPr>
            <w:tcW w:w="20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60.71</w:t>
            </w:r>
          </w:p>
        </w:tc>
      </w:tr>
      <w:tr>
        <w:trPr>
          <w:trHeight w:val="183"/>
        </w:trPr>
        <w:tc>
          <w:tcPr>
            <w:tcW w:w="20" w:type="dxa"/>
            <w:vAlign w:val="bottom"/>
          </w:tcPr>
          <w:p>
            <w:pPr>
              <w:spacing w:after="0"/>
              <w:rPr>
                <w:sz w:val="15"/>
                <w:szCs w:val="15"/>
                <w:color w:val="auto"/>
              </w:rPr>
            </w:pPr>
          </w:p>
        </w:tc>
        <w:tc>
          <w:tcPr>
            <w:tcW w:w="448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Options outstanding at August 3, 2019</w:t>
            </w:r>
          </w:p>
        </w:tc>
        <w:tc>
          <w:tcPr>
            <w:tcW w:w="880" w:type="dxa"/>
            <w:vAlign w:val="bottom"/>
            <w:tcBorders>
              <w:bottom w:val="single" w:sz="8" w:color="auto"/>
            </w:tcBorders>
            <w:shd w:val="clear" w:color="auto" w:fill="CCEEFF"/>
          </w:tcPr>
          <w:p>
            <w:pPr>
              <w:jc w:val="right"/>
              <w:ind w:right="355"/>
              <w:spacing w:after="0" w:line="183" w:lineRule="exact"/>
              <w:rPr>
                <w:sz w:val="20"/>
                <w:szCs w:val="20"/>
                <w:color w:val="auto"/>
              </w:rPr>
            </w:pPr>
            <w:r>
              <w:rPr>
                <w:rFonts w:ascii="Arial" w:cs="Arial" w:eastAsia="Arial" w:hAnsi="Arial"/>
                <w:sz w:val="17"/>
                <w:szCs w:val="17"/>
                <w:color w:val="auto"/>
                <w:w w:val="98"/>
              </w:rPr>
              <w:t>2,938</w:t>
            </w:r>
          </w:p>
        </w:tc>
        <w:tc>
          <w:tcPr>
            <w:tcW w:w="2080" w:type="dxa"/>
            <w:vAlign w:val="bottom"/>
            <w:tcBorders>
              <w:bottom w:val="single" w:sz="8" w:color="auto"/>
            </w:tcBorders>
            <w:shd w:val="clear" w:color="auto" w:fill="CCEEFF"/>
          </w:tcPr>
          <w:p>
            <w:pPr>
              <w:jc w:val="right"/>
              <w:ind w:right="335"/>
              <w:spacing w:after="0" w:line="183" w:lineRule="exact"/>
              <w:rPr>
                <w:sz w:val="20"/>
                <w:szCs w:val="20"/>
                <w:color w:val="auto"/>
              </w:rPr>
            </w:pPr>
            <w:r>
              <w:rPr>
                <w:rFonts w:ascii="Arial" w:cs="Arial" w:eastAsia="Arial" w:hAnsi="Arial"/>
                <w:sz w:val="17"/>
                <w:szCs w:val="17"/>
                <w:color w:val="auto"/>
              </w:rPr>
              <w:t>6.2</w:t>
            </w:r>
          </w:p>
        </w:tc>
        <w:tc>
          <w:tcPr>
            <w:tcW w:w="5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54.23</w:t>
            </w:r>
          </w:p>
        </w:tc>
      </w:tr>
      <w:tr>
        <w:trPr>
          <w:trHeight w:val="20"/>
        </w:trPr>
        <w:tc>
          <w:tcPr>
            <w:tcW w:w="45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4480" w:type="dxa"/>
            <w:vAlign w:val="bottom"/>
            <w:tcBorders>
              <w:top w:val="single" w:sz="8" w:color="auto"/>
            </w:tcBorders>
          </w:tcPr>
          <w:p>
            <w:pPr>
              <w:spacing w:after="0" w:line="170" w:lineRule="exact"/>
              <w:rPr>
                <w:sz w:val="20"/>
                <w:szCs w:val="20"/>
                <w:color w:val="auto"/>
              </w:rPr>
            </w:pPr>
            <w:r>
              <w:rPr>
                <w:rFonts w:ascii="Arial" w:cs="Arial" w:eastAsia="Arial" w:hAnsi="Arial"/>
                <w:sz w:val="17"/>
                <w:szCs w:val="17"/>
                <w:color w:val="auto"/>
              </w:rPr>
              <w:t>Options exercisable at August 3, 2019</w:t>
            </w:r>
          </w:p>
        </w:tc>
        <w:tc>
          <w:tcPr>
            <w:tcW w:w="880" w:type="dxa"/>
            <w:vAlign w:val="bottom"/>
            <w:tcBorders>
              <w:top w:val="single" w:sz="8" w:color="auto"/>
            </w:tcBorders>
          </w:tcPr>
          <w:p>
            <w:pPr>
              <w:jc w:val="right"/>
              <w:ind w:right="355"/>
              <w:spacing w:after="0" w:line="170" w:lineRule="exact"/>
              <w:rPr>
                <w:sz w:val="20"/>
                <w:szCs w:val="20"/>
                <w:color w:val="auto"/>
              </w:rPr>
            </w:pPr>
            <w:r>
              <w:rPr>
                <w:rFonts w:ascii="Arial" w:cs="Arial" w:eastAsia="Arial" w:hAnsi="Arial"/>
                <w:sz w:val="17"/>
                <w:szCs w:val="17"/>
                <w:color w:val="auto"/>
                <w:w w:val="98"/>
              </w:rPr>
              <w:t>2,182</w:t>
            </w:r>
          </w:p>
        </w:tc>
        <w:tc>
          <w:tcPr>
            <w:tcW w:w="2080" w:type="dxa"/>
            <w:vAlign w:val="bottom"/>
            <w:tcBorders>
              <w:top w:val="single" w:sz="8" w:color="auto"/>
            </w:tcBorders>
          </w:tcPr>
          <w:p>
            <w:pPr>
              <w:jc w:val="right"/>
              <w:ind w:right="335"/>
              <w:spacing w:after="0" w:line="170" w:lineRule="exact"/>
              <w:rPr>
                <w:sz w:val="20"/>
                <w:szCs w:val="20"/>
                <w:color w:val="auto"/>
              </w:rPr>
            </w:pPr>
            <w:r>
              <w:rPr>
                <w:rFonts w:ascii="Arial" w:cs="Arial" w:eastAsia="Arial" w:hAnsi="Arial"/>
                <w:sz w:val="17"/>
                <w:szCs w:val="17"/>
                <w:color w:val="auto"/>
              </w:rPr>
              <w:t>5.3</w:t>
            </w:r>
          </w:p>
        </w:tc>
        <w:tc>
          <w:tcPr>
            <w:tcW w:w="54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7"/>
                <w:szCs w:val="17"/>
                <w:color w:val="auto"/>
              </w:rPr>
              <w:t>$</w:t>
            </w:r>
          </w:p>
        </w:tc>
        <w:tc>
          <w:tcPr>
            <w:tcW w:w="106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7"/>
                <w:szCs w:val="17"/>
                <w:color w:val="auto"/>
              </w:rPr>
              <w:t>53.67</w:t>
            </w:r>
          </w:p>
        </w:tc>
      </w:tr>
      <w:tr>
        <w:trPr>
          <w:trHeight w:val="183"/>
        </w:trPr>
        <w:tc>
          <w:tcPr>
            <w:tcW w:w="20" w:type="dxa"/>
            <w:vAlign w:val="bottom"/>
          </w:tcPr>
          <w:p>
            <w:pPr>
              <w:spacing w:after="0"/>
              <w:rPr>
                <w:sz w:val="15"/>
                <w:szCs w:val="15"/>
                <w:color w:val="auto"/>
              </w:rPr>
            </w:pPr>
          </w:p>
        </w:tc>
        <w:tc>
          <w:tcPr>
            <w:tcW w:w="44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Options available for future grant at</w:t>
            </w:r>
          </w:p>
        </w:tc>
        <w:tc>
          <w:tcPr>
            <w:tcW w:w="88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95"/>
        </w:trPr>
        <w:tc>
          <w:tcPr>
            <w:tcW w:w="20" w:type="dxa"/>
            <w:vAlign w:val="bottom"/>
          </w:tcPr>
          <w:p>
            <w:pPr>
              <w:spacing w:after="0"/>
              <w:rPr>
                <w:sz w:val="16"/>
                <w:szCs w:val="16"/>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August 3, 2019</w:t>
            </w:r>
          </w:p>
        </w:tc>
        <w:tc>
          <w:tcPr>
            <w:tcW w:w="880" w:type="dxa"/>
            <w:vAlign w:val="bottom"/>
            <w:shd w:val="clear" w:color="auto" w:fill="CCEEFF"/>
          </w:tcPr>
          <w:p>
            <w:pPr>
              <w:jc w:val="right"/>
              <w:ind w:right="355"/>
              <w:spacing w:after="0"/>
              <w:rPr>
                <w:sz w:val="20"/>
                <w:szCs w:val="20"/>
                <w:color w:val="auto"/>
              </w:rPr>
            </w:pPr>
            <w:r>
              <w:rPr>
                <w:rFonts w:ascii="Arial" w:cs="Arial" w:eastAsia="Arial" w:hAnsi="Arial"/>
                <w:sz w:val="17"/>
                <w:szCs w:val="17"/>
                <w:color w:val="auto"/>
                <w:w w:val="98"/>
              </w:rPr>
              <w:t>7,375</w:t>
            </w:r>
          </w:p>
        </w:tc>
        <w:tc>
          <w:tcPr>
            <w:tcW w:w="20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bl>
    <w:p>
      <w:pPr>
        <w:spacing w:after="0" w:line="20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total fair value of options vested as of August 3, 2019 and August 4, 2018 was $6 million and $8 million, respectively. The cash received from option exercises for the thirteen and twenty-six weeks ended August 3, 2019 was not significant. The total tax benefit realized from option exercises was not significant and $1 million for the thirteen and twenty-six weeks ended August 3, 2019, respectively.</w:t>
      </w:r>
    </w:p>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total intrinsic value of options exercised (the difference between the market price of the Company’s common stock on the exercise date and the price paid by the optionee to exercise the option) is presented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1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2"/>
          </w:tcPr>
          <w:p>
            <w:pPr>
              <w:ind w:left="180"/>
              <w:spacing w:after="0"/>
              <w:rPr>
                <w:sz w:val="20"/>
                <w:szCs w:val="20"/>
                <w:color w:val="auto"/>
              </w:rPr>
            </w:pPr>
            <w:r>
              <w:rPr>
                <w:rFonts w:ascii="Arial" w:cs="Arial" w:eastAsia="Arial" w:hAnsi="Arial"/>
                <w:sz w:val="17"/>
                <w:szCs w:val="17"/>
                <w:b w:val="1"/>
                <w:bCs w:val="1"/>
                <w:color w:val="auto"/>
              </w:rPr>
              <w:t>Thirteen weeks ended</w:t>
            </w:r>
          </w:p>
        </w:tc>
        <w:tc>
          <w:tcPr>
            <w:tcW w:w="4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2"/>
          </w:tcPr>
          <w:p>
            <w:pPr>
              <w:ind w:left="140"/>
              <w:spacing w:after="0"/>
              <w:rPr>
                <w:sz w:val="20"/>
                <w:szCs w:val="20"/>
                <w:color w:val="auto"/>
              </w:rPr>
            </w:pPr>
            <w:r>
              <w:rPr>
                <w:rFonts w:ascii="Arial" w:cs="Arial" w:eastAsia="Arial" w:hAnsi="Arial"/>
                <w:sz w:val="17"/>
                <w:szCs w:val="17"/>
                <w:b w:val="1"/>
                <w:bCs w:val="1"/>
                <w:color w:val="auto"/>
              </w:rPr>
              <w:t>Twenty-six weeks ended</w:t>
            </w:r>
          </w:p>
        </w:tc>
        <w:tc>
          <w:tcPr>
            <w:tcW w:w="240" w:type="dxa"/>
            <w:vAlign w:val="bottom"/>
            <w:tcBorders>
              <w:bottom w:val="single" w:sz="8" w:color="auto"/>
            </w:tcBorders>
          </w:tcPr>
          <w:p>
            <w:pPr>
              <w:spacing w:after="0"/>
              <w:rPr>
                <w:sz w:val="18"/>
                <w:szCs w:val="18"/>
                <w:color w:val="auto"/>
              </w:rPr>
            </w:pPr>
          </w:p>
        </w:tc>
      </w:tr>
      <w:tr>
        <w:trPr>
          <w:trHeight w:val="183"/>
        </w:trPr>
        <w:tc>
          <w:tcPr>
            <w:tcW w:w="20" w:type="dxa"/>
            <w:vAlign w:val="bottom"/>
          </w:tcPr>
          <w:p>
            <w:pPr>
              <w:spacing w:after="0"/>
              <w:rPr>
                <w:sz w:val="15"/>
                <w:szCs w:val="15"/>
                <w:color w:val="auto"/>
              </w:rPr>
            </w:pPr>
          </w:p>
        </w:tc>
        <w:tc>
          <w:tcPr>
            <w:tcW w:w="216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2"/>
          </w:tcPr>
          <w:p>
            <w:pPr>
              <w:ind w:left="1440"/>
              <w:spacing w:after="0" w:line="183" w:lineRule="exact"/>
              <w:rPr>
                <w:sz w:val="20"/>
                <w:szCs w:val="20"/>
                <w:color w:val="auto"/>
              </w:rPr>
            </w:pPr>
            <w:r>
              <w:rPr>
                <w:rFonts w:ascii="Arial" w:cs="Arial" w:eastAsia="Arial" w:hAnsi="Arial"/>
                <w:sz w:val="17"/>
                <w:szCs w:val="17"/>
                <w:b w:val="1"/>
                <w:bCs w:val="1"/>
                <w:color w:val="auto"/>
              </w:rPr>
              <w:t>August 3, 2019</w:t>
            </w:r>
          </w:p>
        </w:tc>
        <w:tc>
          <w:tcPr>
            <w:tcW w:w="1400" w:type="dxa"/>
            <w:vAlign w:val="bottom"/>
            <w:tcBorders>
              <w:bottom w:val="single" w:sz="8" w:color="auto"/>
            </w:tcBorders>
            <w:gridSpan w:val="2"/>
          </w:tcPr>
          <w:p>
            <w:pPr>
              <w:ind w:left="120"/>
              <w:spacing w:after="0" w:line="183" w:lineRule="exact"/>
              <w:rPr>
                <w:sz w:val="20"/>
                <w:szCs w:val="20"/>
                <w:color w:val="auto"/>
              </w:rPr>
            </w:pPr>
            <w:r>
              <w:rPr>
                <w:rFonts w:ascii="Arial" w:cs="Arial" w:eastAsia="Arial" w:hAnsi="Arial"/>
                <w:sz w:val="17"/>
                <w:szCs w:val="17"/>
                <w:b w:val="1"/>
                <w:bCs w:val="1"/>
                <w:color w:val="auto"/>
              </w:rPr>
              <w:t>August 4, 2018</w:t>
            </w:r>
          </w:p>
        </w:tc>
        <w:tc>
          <w:tcPr>
            <w:tcW w:w="1400" w:type="dxa"/>
            <w:vAlign w:val="bottom"/>
            <w:tcBorders>
              <w:bottom w:val="single" w:sz="8" w:color="auto"/>
            </w:tcBorders>
            <w:gridSpan w:val="2"/>
          </w:tcPr>
          <w:p>
            <w:pPr>
              <w:ind w:left="100"/>
              <w:spacing w:after="0" w:line="183" w:lineRule="exact"/>
              <w:rPr>
                <w:sz w:val="20"/>
                <w:szCs w:val="20"/>
                <w:color w:val="auto"/>
              </w:rPr>
            </w:pPr>
            <w:r>
              <w:rPr>
                <w:rFonts w:ascii="Arial" w:cs="Arial" w:eastAsia="Arial" w:hAnsi="Arial"/>
                <w:sz w:val="17"/>
                <w:szCs w:val="17"/>
                <w:b w:val="1"/>
                <w:bCs w:val="1"/>
                <w:color w:val="auto"/>
              </w:rPr>
              <w:t>August 3, 2019</w:t>
            </w:r>
          </w:p>
        </w:tc>
        <w:tc>
          <w:tcPr>
            <w:tcW w:w="1360" w:type="dxa"/>
            <w:vAlign w:val="bottom"/>
            <w:tcBorders>
              <w:bottom w:val="single" w:sz="8" w:color="auto"/>
            </w:tcBorders>
            <w:gridSpan w:val="2"/>
          </w:tcPr>
          <w:p>
            <w:pPr>
              <w:ind w:left="120"/>
              <w:spacing w:after="0" w:line="183" w:lineRule="exact"/>
              <w:rPr>
                <w:sz w:val="20"/>
                <w:szCs w:val="20"/>
                <w:color w:val="auto"/>
              </w:rPr>
            </w:pPr>
            <w:r>
              <w:rPr>
                <w:rFonts w:ascii="Arial" w:cs="Arial" w:eastAsia="Arial" w:hAnsi="Arial"/>
                <w:sz w:val="17"/>
                <w:szCs w:val="17"/>
                <w:b w:val="1"/>
                <w:bCs w:val="1"/>
                <w:color w:val="auto"/>
              </w:rPr>
              <w:t>August 4, 2018</w:t>
            </w:r>
          </w:p>
        </w:tc>
      </w:tr>
      <w:tr>
        <w:trPr>
          <w:trHeight w:val="183"/>
        </w:trPr>
        <w:tc>
          <w:tcPr>
            <w:tcW w:w="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20" w:type="dxa"/>
            <w:vAlign w:val="bottom"/>
            <w:gridSpan w:val="3"/>
          </w:tcPr>
          <w:p>
            <w:pPr>
              <w:jc w:val="right"/>
              <w:ind w:right="675"/>
              <w:spacing w:after="0" w:line="183" w:lineRule="exact"/>
              <w:rPr>
                <w:sz w:val="20"/>
                <w:szCs w:val="20"/>
                <w:color w:val="auto"/>
              </w:rPr>
            </w:pPr>
            <w:r>
              <w:rPr>
                <w:rFonts w:ascii="Arial" w:cs="Arial" w:eastAsia="Arial" w:hAnsi="Arial"/>
                <w:sz w:val="17"/>
                <w:szCs w:val="17"/>
                <w:color w:val="auto"/>
              </w:rPr>
              <w:t>($ in millions)</w:t>
            </w: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216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Exercised</w:t>
            </w:r>
          </w:p>
        </w:tc>
        <w:tc>
          <w:tcPr>
            <w:tcW w:w="1680" w:type="dxa"/>
            <w:vAlign w:val="bottom"/>
            <w:tcBorders>
              <w:bottom w:val="single" w:sz="8" w:color="auto"/>
            </w:tcBorders>
            <w:shd w:val="clear" w:color="auto" w:fill="CCEEFF"/>
          </w:tcPr>
          <w:p>
            <w:pPr>
              <w:ind w:left="1420"/>
              <w:spacing w:after="0" w:line="189" w:lineRule="exact"/>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auto"/>
            </w:tcBorders>
            <w:shd w:val="clear" w:color="auto" w:fill="CCEEFF"/>
          </w:tcPr>
          <w:p>
            <w:pPr>
              <w:ind w:left="760"/>
              <w:spacing w:after="0" w:line="189" w:lineRule="exact"/>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ind w:left="100"/>
              <w:spacing w:after="0" w:line="189" w:lineRule="exact"/>
              <w:rPr>
                <w:sz w:val="20"/>
                <w:szCs w:val="20"/>
                <w:color w:val="auto"/>
              </w:rPr>
            </w:pPr>
            <w:r>
              <w:rPr>
                <w:rFonts w:ascii="Arial" w:cs="Arial" w:eastAsia="Arial" w:hAnsi="Arial"/>
                <w:sz w:val="17"/>
                <w:szCs w:val="17"/>
                <w:color w:val="auto"/>
              </w:rPr>
              <w:t>$</w:t>
            </w:r>
          </w:p>
        </w:tc>
        <w:tc>
          <w:tcPr>
            <w:tcW w:w="420" w:type="dxa"/>
            <w:vAlign w:val="bottom"/>
            <w:tcBorders>
              <w:bottom w:val="single" w:sz="8" w:color="auto"/>
            </w:tcBorders>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3</w:t>
            </w:r>
          </w:p>
        </w:tc>
        <w:tc>
          <w:tcPr>
            <w:tcW w:w="300" w:type="dxa"/>
            <w:vAlign w:val="bottom"/>
            <w:tcBorders>
              <w:bottom w:val="single" w:sz="8" w:color="auto"/>
            </w:tcBorders>
            <w:shd w:val="clear" w:color="auto" w:fill="CCEEFF"/>
          </w:tcPr>
          <w:p>
            <w:pPr>
              <w:ind w:left="80"/>
              <w:spacing w:after="0" w:line="189" w:lineRule="exact"/>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5</w:t>
            </w:r>
          </w:p>
        </w:tc>
        <w:tc>
          <w:tcPr>
            <w:tcW w:w="1120" w:type="dxa"/>
            <w:vAlign w:val="bottom"/>
            <w:tcBorders>
              <w:bottom w:val="single" w:sz="8" w:color="auto"/>
            </w:tcBorders>
            <w:shd w:val="clear" w:color="auto" w:fill="CCEEFF"/>
          </w:tcPr>
          <w:p>
            <w:pPr>
              <w:ind w:left="100"/>
              <w:spacing w:after="0" w:line="189" w:lineRule="exact"/>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w:t>
            </w:r>
          </w:p>
        </w:tc>
      </w:tr>
    </w:tbl>
    <w:p>
      <w:pPr>
        <w:spacing w:after="0" w:line="2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aggregate intrinsic value for stock options outstanding, and outstanding and exercisable (the difference between the Company’s closing stock price on the last trading day of the period and the exercise price of the options, multiplied by the number of in-the-money stock options) is presented below:</w:t>
      </w:r>
    </w:p>
    <w:p>
      <w:pPr>
        <w:spacing w:after="0" w:line="191" w:lineRule="exact"/>
        <w:rPr>
          <w:sz w:val="20"/>
          <w:szCs w:val="20"/>
          <w:color w:val="auto"/>
        </w:rPr>
      </w:pPr>
    </w:p>
    <w:p>
      <w:pPr>
        <w:ind w:left="6220"/>
        <w:spacing w:after="0"/>
        <w:rPr>
          <w:sz w:val="20"/>
          <w:szCs w:val="20"/>
          <w:color w:val="auto"/>
        </w:rPr>
      </w:pPr>
      <w:r>
        <w:rPr>
          <w:rFonts w:ascii="Arial" w:cs="Arial" w:eastAsia="Arial" w:hAnsi="Arial"/>
          <w:sz w:val="17"/>
          <w:szCs w:val="17"/>
          <w:b w:val="1"/>
          <w:bCs w:val="1"/>
          <w:color w:val="auto"/>
        </w:rPr>
        <w:t>Twenty-six weeks ended</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3740" w:type="dxa"/>
            <w:vAlign w:val="bottom"/>
            <w:tcBorders>
              <w:top w:val="single" w:sz="8" w:color="auto"/>
              <w:bottom w:val="single" w:sz="8" w:color="auto"/>
            </w:tcBorders>
          </w:tcPr>
          <w:p>
            <w:pPr>
              <w:spacing w:after="0"/>
              <w:rPr>
                <w:sz w:val="15"/>
                <w:szCs w:val="15"/>
                <w:color w:val="auto"/>
              </w:rPr>
            </w:pPr>
          </w:p>
        </w:tc>
        <w:tc>
          <w:tcPr>
            <w:tcW w:w="31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August 3, 2019</w:t>
            </w:r>
          </w:p>
        </w:tc>
        <w:tc>
          <w:tcPr>
            <w:tcW w:w="320" w:type="dxa"/>
            <w:vAlign w:val="bottom"/>
            <w:tcBorders>
              <w:top w:val="single" w:sz="8" w:color="auto"/>
              <w:bottom w:val="single" w:sz="8" w:color="auto"/>
            </w:tcBorders>
          </w:tcPr>
          <w:p>
            <w:pPr>
              <w:spacing w:after="0"/>
              <w:rPr>
                <w:sz w:val="15"/>
                <w:szCs w:val="15"/>
                <w:color w:val="auto"/>
              </w:rPr>
            </w:pPr>
          </w:p>
        </w:tc>
        <w:tc>
          <w:tcPr>
            <w:tcW w:w="16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August 4, 2018</w:t>
            </w:r>
          </w:p>
        </w:tc>
        <w:tc>
          <w:tcPr>
            <w:tcW w:w="240" w:type="dxa"/>
            <w:vAlign w:val="bottom"/>
            <w:tcBorders>
              <w:top w:val="single" w:sz="8" w:color="auto"/>
              <w:bottom w:val="single" w:sz="8" w:color="auto"/>
            </w:tcBorders>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5060" w:type="dxa"/>
            <w:vAlign w:val="bottom"/>
            <w:gridSpan w:val="3"/>
          </w:tcPr>
          <w:p>
            <w:pPr>
              <w:jc w:val="right"/>
              <w:ind w:right="1015"/>
              <w:spacing w:after="0" w:line="183" w:lineRule="exact"/>
              <w:rPr>
                <w:sz w:val="20"/>
                <w:szCs w:val="20"/>
                <w:color w:val="auto"/>
              </w:rPr>
            </w:pPr>
            <w:r>
              <w:rPr>
                <w:rFonts w:ascii="Arial" w:cs="Arial" w:eastAsia="Arial" w:hAnsi="Arial"/>
                <w:sz w:val="17"/>
                <w:szCs w:val="17"/>
                <w:color w:val="auto"/>
              </w:rPr>
              <w:t>($ in millions)</w:t>
            </w:r>
          </w:p>
        </w:tc>
        <w:tc>
          <w:tcPr>
            <w:tcW w:w="240" w:type="dxa"/>
            <w:vAlign w:val="bottom"/>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37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Outstanding</w:t>
            </w:r>
          </w:p>
        </w:tc>
        <w:tc>
          <w:tcPr>
            <w:tcW w:w="3100" w:type="dxa"/>
            <w:vAlign w:val="bottom"/>
            <w:shd w:val="clear" w:color="auto" w:fill="CCEEFF"/>
          </w:tcPr>
          <w:p>
            <w:pPr>
              <w:jc w:val="right"/>
              <w:ind w:right="1315"/>
              <w:spacing w:after="0" w:line="189" w:lineRule="exact"/>
              <w:rPr>
                <w:sz w:val="20"/>
                <w:szCs w:val="20"/>
                <w:color w:val="auto"/>
              </w:rPr>
            </w:pPr>
            <w:r>
              <w:rPr>
                <w:rFonts w:ascii="Arial" w:cs="Arial" w:eastAsia="Arial" w:hAnsi="Arial"/>
                <w:sz w:val="17"/>
                <w:szCs w:val="17"/>
                <w:b w:val="1"/>
                <w:bCs w:val="1"/>
                <w:color w:val="auto"/>
              </w:rPr>
              <w:t>$</w:t>
            </w:r>
          </w:p>
        </w:tc>
        <w:tc>
          <w:tcPr>
            <w:tcW w:w="32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b w:val="1"/>
                <w:bCs w:val="1"/>
                <w:color w:val="auto"/>
              </w:rPr>
              <w:t>5</w:t>
            </w:r>
          </w:p>
        </w:tc>
        <w:tc>
          <w:tcPr>
            <w:tcW w:w="1640" w:type="dxa"/>
            <w:vAlign w:val="bottom"/>
            <w:shd w:val="clear" w:color="auto" w:fill="CCEEFF"/>
          </w:tcPr>
          <w:p>
            <w:pPr>
              <w:jc w:val="right"/>
              <w:ind w:right="1275"/>
              <w:spacing w:after="0" w:line="189" w:lineRule="exact"/>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15</w:t>
            </w:r>
          </w:p>
        </w:tc>
      </w:tr>
      <w:tr>
        <w:trPr>
          <w:trHeight w:val="189"/>
        </w:trPr>
        <w:tc>
          <w:tcPr>
            <w:tcW w:w="20" w:type="dxa"/>
            <w:vAlign w:val="bottom"/>
            <w:tcBorders>
              <w:bottom w:val="single" w:sz="8" w:color="auto"/>
            </w:tcBorders>
          </w:tcPr>
          <w:p>
            <w:pPr>
              <w:spacing w:after="0"/>
              <w:rPr>
                <w:sz w:val="16"/>
                <w:szCs w:val="16"/>
                <w:color w:val="auto"/>
              </w:rPr>
            </w:pPr>
          </w:p>
        </w:tc>
        <w:tc>
          <w:tcPr>
            <w:tcW w:w="374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Outstanding and exercisable</w:t>
            </w:r>
          </w:p>
        </w:tc>
        <w:tc>
          <w:tcPr>
            <w:tcW w:w="3100" w:type="dxa"/>
            <w:vAlign w:val="bottom"/>
            <w:tcBorders>
              <w:bottom w:val="single" w:sz="8" w:color="auto"/>
            </w:tcBorders>
          </w:tcPr>
          <w:p>
            <w:pPr>
              <w:jc w:val="right"/>
              <w:ind w:right="1315"/>
              <w:spacing w:after="0" w:line="189" w:lineRule="exact"/>
              <w:rPr>
                <w:sz w:val="20"/>
                <w:szCs w:val="20"/>
                <w:color w:val="auto"/>
              </w:rPr>
            </w:pPr>
            <w:r>
              <w:rPr>
                <w:rFonts w:ascii="Arial" w:cs="Arial" w:eastAsia="Arial" w:hAnsi="Arial"/>
                <w:sz w:val="17"/>
                <w:szCs w:val="17"/>
                <w:b w:val="1"/>
                <w:bCs w:val="1"/>
                <w:color w:val="auto"/>
              </w:rPr>
              <w:t>$</w:t>
            </w:r>
          </w:p>
        </w:tc>
        <w:tc>
          <w:tcPr>
            <w:tcW w:w="320" w:type="dxa"/>
            <w:vAlign w:val="bottom"/>
            <w:tcBorders>
              <w:bottom w:val="single" w:sz="8" w:color="auto"/>
            </w:tcBorders>
          </w:tcPr>
          <w:p>
            <w:pPr>
              <w:jc w:val="right"/>
              <w:ind w:right="95"/>
              <w:spacing w:after="0" w:line="189" w:lineRule="exact"/>
              <w:rPr>
                <w:sz w:val="20"/>
                <w:szCs w:val="20"/>
                <w:color w:val="auto"/>
              </w:rPr>
            </w:pPr>
            <w:r>
              <w:rPr>
                <w:rFonts w:ascii="Arial" w:cs="Arial" w:eastAsia="Arial" w:hAnsi="Arial"/>
                <w:sz w:val="17"/>
                <w:szCs w:val="17"/>
                <w:b w:val="1"/>
                <w:bCs w:val="1"/>
                <w:color w:val="auto"/>
              </w:rPr>
              <w:t>5</w:t>
            </w:r>
          </w:p>
        </w:tc>
        <w:tc>
          <w:tcPr>
            <w:tcW w:w="1640" w:type="dxa"/>
            <w:vAlign w:val="bottom"/>
            <w:tcBorders>
              <w:bottom w:val="single" w:sz="8" w:color="auto"/>
            </w:tcBorders>
          </w:tcPr>
          <w:p>
            <w:pPr>
              <w:jc w:val="right"/>
              <w:ind w:right="1275"/>
              <w:spacing w:after="0" w:line="189" w:lineRule="exact"/>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w w:val="84"/>
              </w:rPr>
              <w:t>13</w:t>
            </w:r>
          </w:p>
        </w:tc>
      </w:tr>
    </w:tbl>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As of August 3, 2019 there was $6 million of total unrecognized compensation cost related to nonvested stock options, which is expected to be recognized over a remaining weighted-average period of 1.6 years.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and exercisable at August 3, 2019:</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480" w:type="dxa"/>
            <w:vAlign w:val="bottom"/>
            <w:tcBorders>
              <w:bottom w:val="single" w:sz="8" w:color="auto"/>
            </w:tcBorders>
          </w:tcPr>
          <w:p>
            <w:pPr>
              <w:spacing w:after="0"/>
              <w:rPr>
                <w:sz w:val="18"/>
                <w:szCs w:val="18"/>
                <w:color w:val="auto"/>
              </w:rPr>
            </w:pPr>
          </w:p>
        </w:tc>
        <w:tc>
          <w:tcPr>
            <w:tcW w:w="4360" w:type="dxa"/>
            <w:vAlign w:val="bottom"/>
            <w:tcBorders>
              <w:bottom w:val="single" w:sz="8" w:color="auto"/>
            </w:tcBorders>
            <w:gridSpan w:val="4"/>
          </w:tcPr>
          <w:p>
            <w:pPr>
              <w:jc w:val="center"/>
              <w:ind w:left="1015"/>
              <w:spacing w:after="0"/>
              <w:rPr>
                <w:sz w:val="20"/>
                <w:szCs w:val="20"/>
                <w:color w:val="auto"/>
              </w:rPr>
            </w:pPr>
            <w:r>
              <w:rPr>
                <w:rFonts w:ascii="Arial" w:cs="Arial" w:eastAsia="Arial" w:hAnsi="Arial"/>
                <w:sz w:val="17"/>
                <w:szCs w:val="17"/>
                <w:b w:val="1"/>
                <w:bCs w:val="1"/>
                <w:color w:val="auto"/>
              </w:rPr>
              <w:t>Options Outstanding</w:t>
            </w:r>
          </w:p>
        </w:tc>
        <w:tc>
          <w:tcPr>
            <w:tcW w:w="2220" w:type="dxa"/>
            <w:vAlign w:val="bottom"/>
            <w:tcBorders>
              <w:bottom w:val="single" w:sz="8" w:color="auto"/>
            </w:tcBorders>
            <w:gridSpan w:val="3"/>
          </w:tcPr>
          <w:p>
            <w:pPr>
              <w:jc w:val="right"/>
              <w:ind w:right="155"/>
              <w:spacing w:after="0"/>
              <w:rPr>
                <w:sz w:val="20"/>
                <w:szCs w:val="20"/>
                <w:color w:val="auto"/>
              </w:rPr>
            </w:pPr>
            <w:r>
              <w:rPr>
                <w:rFonts w:ascii="Arial" w:cs="Arial" w:eastAsia="Arial" w:hAnsi="Arial"/>
                <w:sz w:val="17"/>
                <w:szCs w:val="17"/>
                <w:b w:val="1"/>
                <w:bCs w:val="1"/>
                <w:color w:val="auto"/>
              </w:rPr>
              <w:t>Options Exercisable</w:t>
            </w:r>
          </w:p>
        </w:tc>
      </w:tr>
      <w:tr>
        <w:trPr>
          <w:trHeight w:val="156"/>
        </w:trPr>
        <w:tc>
          <w:tcPr>
            <w:tcW w:w="248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180" w:type="dxa"/>
            <w:vAlign w:val="bottom"/>
          </w:tcPr>
          <w:p>
            <w:pPr>
              <w:jc w:val="center"/>
              <w:spacing w:after="0" w:line="157" w:lineRule="exact"/>
              <w:rPr>
                <w:sz w:val="20"/>
                <w:szCs w:val="20"/>
                <w:color w:val="auto"/>
              </w:rPr>
            </w:pPr>
            <w:r>
              <w:rPr>
                <w:rFonts w:ascii="Arial" w:cs="Arial" w:eastAsia="Arial" w:hAnsi="Arial"/>
                <w:sz w:val="17"/>
                <w:szCs w:val="17"/>
                <w:b w:val="1"/>
                <w:bCs w:val="1"/>
                <w:color w:val="auto"/>
                <w:w w:val="99"/>
              </w:rPr>
              <w:t>Weighted-</w:t>
            </w: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89"/>
        </w:trPr>
        <w:tc>
          <w:tcPr>
            <w:tcW w:w="24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18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8"/>
              </w:rPr>
              <w:t>Average</w:t>
            </w:r>
          </w:p>
        </w:tc>
        <w:tc>
          <w:tcPr>
            <w:tcW w:w="1060" w:type="dxa"/>
            <w:vAlign w:val="bottom"/>
            <w:gridSpan w:val="2"/>
          </w:tcPr>
          <w:p>
            <w:pPr>
              <w:jc w:val="center"/>
              <w:spacing w:after="0" w:line="189" w:lineRule="exact"/>
              <w:rPr>
                <w:sz w:val="20"/>
                <w:szCs w:val="20"/>
                <w:color w:val="auto"/>
              </w:rPr>
            </w:pPr>
            <w:r>
              <w:rPr>
                <w:rFonts w:ascii="Arial" w:cs="Arial" w:eastAsia="Arial" w:hAnsi="Arial"/>
                <w:sz w:val="17"/>
                <w:szCs w:val="17"/>
                <w:b w:val="1"/>
                <w:bCs w:val="1"/>
                <w:color w:val="auto"/>
                <w:w w:val="99"/>
              </w:rPr>
              <w:t>Weighted-</w:t>
            </w:r>
          </w:p>
        </w:tc>
        <w:tc>
          <w:tcPr>
            <w:tcW w:w="1180" w:type="dxa"/>
            <w:vAlign w:val="bottom"/>
          </w:tcPr>
          <w:p>
            <w:pPr>
              <w:spacing w:after="0"/>
              <w:rPr>
                <w:sz w:val="16"/>
                <w:szCs w:val="16"/>
                <w:color w:val="auto"/>
              </w:rPr>
            </w:pPr>
          </w:p>
        </w:tc>
        <w:tc>
          <w:tcPr>
            <w:tcW w:w="1040" w:type="dxa"/>
            <w:vAlign w:val="bottom"/>
            <w:gridSpan w:val="2"/>
          </w:tcPr>
          <w:p>
            <w:pPr>
              <w:jc w:val="right"/>
              <w:spacing w:after="0" w:line="189" w:lineRule="exact"/>
              <w:rPr>
                <w:sz w:val="20"/>
                <w:szCs w:val="20"/>
                <w:color w:val="auto"/>
              </w:rPr>
            </w:pPr>
            <w:r>
              <w:rPr>
                <w:rFonts w:ascii="Arial" w:cs="Arial" w:eastAsia="Arial" w:hAnsi="Arial"/>
                <w:sz w:val="17"/>
                <w:szCs w:val="17"/>
                <w:b w:val="1"/>
                <w:bCs w:val="1"/>
                <w:color w:val="auto"/>
              </w:rPr>
              <w:t>Weighted-</w:t>
            </w:r>
          </w:p>
        </w:tc>
      </w:tr>
      <w:tr>
        <w:trPr>
          <w:trHeight w:val="189"/>
        </w:trPr>
        <w:tc>
          <w:tcPr>
            <w:tcW w:w="24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18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Remaining</w:t>
            </w:r>
          </w:p>
        </w:tc>
        <w:tc>
          <w:tcPr>
            <w:tcW w:w="200" w:type="dxa"/>
            <w:vAlign w:val="bottom"/>
          </w:tcPr>
          <w:p>
            <w:pPr>
              <w:spacing w:after="0"/>
              <w:rPr>
                <w:sz w:val="16"/>
                <w:szCs w:val="16"/>
                <w:color w:val="auto"/>
              </w:rPr>
            </w:pPr>
          </w:p>
        </w:tc>
        <w:tc>
          <w:tcPr>
            <w:tcW w:w="860" w:type="dxa"/>
            <w:vAlign w:val="bottom"/>
          </w:tcPr>
          <w:p>
            <w:pPr>
              <w:jc w:val="center"/>
              <w:ind w:right="95"/>
              <w:spacing w:after="0" w:line="189" w:lineRule="exact"/>
              <w:rPr>
                <w:sz w:val="20"/>
                <w:szCs w:val="20"/>
                <w:color w:val="auto"/>
              </w:rPr>
            </w:pPr>
            <w:r>
              <w:rPr>
                <w:rFonts w:ascii="Arial" w:cs="Arial" w:eastAsia="Arial" w:hAnsi="Arial"/>
                <w:sz w:val="17"/>
                <w:szCs w:val="17"/>
                <w:b w:val="1"/>
                <w:bCs w:val="1"/>
                <w:color w:val="auto"/>
              </w:rPr>
              <w:t>Average</w:t>
            </w: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center"/>
              <w:ind w:right="15"/>
              <w:spacing w:after="0" w:line="189" w:lineRule="exact"/>
              <w:rPr>
                <w:sz w:val="20"/>
                <w:szCs w:val="20"/>
                <w:color w:val="auto"/>
              </w:rPr>
            </w:pPr>
            <w:r>
              <w:rPr>
                <w:rFonts w:ascii="Arial" w:cs="Arial" w:eastAsia="Arial" w:hAnsi="Arial"/>
                <w:sz w:val="17"/>
                <w:szCs w:val="17"/>
                <w:b w:val="1"/>
                <w:bCs w:val="1"/>
                <w:color w:val="auto"/>
              </w:rPr>
              <w:t>Average</w:t>
            </w:r>
          </w:p>
        </w:tc>
      </w:tr>
      <w:tr>
        <w:trPr>
          <w:trHeight w:val="189"/>
        </w:trPr>
        <w:tc>
          <w:tcPr>
            <w:tcW w:w="2480" w:type="dxa"/>
            <w:vAlign w:val="bottom"/>
          </w:tcPr>
          <w:p>
            <w:pPr>
              <w:spacing w:after="0" w:line="189" w:lineRule="exact"/>
              <w:rPr>
                <w:sz w:val="20"/>
                <w:szCs w:val="20"/>
                <w:color w:val="auto"/>
              </w:rPr>
            </w:pPr>
            <w:r>
              <w:rPr>
                <w:rFonts w:ascii="Arial" w:cs="Arial" w:eastAsia="Arial" w:hAnsi="Arial"/>
                <w:sz w:val="17"/>
                <w:szCs w:val="17"/>
                <w:b w:val="1"/>
                <w:bCs w:val="1"/>
                <w:color w:val="auto"/>
              </w:rPr>
              <w:t>Range of Exercise</w:t>
            </w:r>
          </w:p>
        </w:tc>
        <w:tc>
          <w:tcPr>
            <w:tcW w:w="2120" w:type="dxa"/>
            <w:vAlign w:val="bottom"/>
          </w:tcPr>
          <w:p>
            <w:pPr>
              <w:jc w:val="right"/>
              <w:ind w:right="215"/>
              <w:spacing w:after="0" w:line="189" w:lineRule="exact"/>
              <w:rPr>
                <w:sz w:val="20"/>
                <w:szCs w:val="20"/>
                <w:color w:val="auto"/>
              </w:rPr>
            </w:pPr>
            <w:r>
              <w:rPr>
                <w:rFonts w:ascii="Arial" w:cs="Arial" w:eastAsia="Arial" w:hAnsi="Arial"/>
                <w:sz w:val="17"/>
                <w:szCs w:val="17"/>
                <w:b w:val="1"/>
                <w:bCs w:val="1"/>
                <w:color w:val="auto"/>
              </w:rPr>
              <w:t>Number</w:t>
            </w:r>
          </w:p>
        </w:tc>
        <w:tc>
          <w:tcPr>
            <w:tcW w:w="118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Contractual</w:t>
            </w:r>
          </w:p>
        </w:tc>
        <w:tc>
          <w:tcPr>
            <w:tcW w:w="1060" w:type="dxa"/>
            <w:vAlign w:val="bottom"/>
            <w:gridSpan w:val="2"/>
          </w:tcPr>
          <w:p>
            <w:pPr>
              <w:jc w:val="center"/>
              <w:spacing w:after="0" w:line="189" w:lineRule="exact"/>
              <w:rPr>
                <w:sz w:val="20"/>
                <w:szCs w:val="20"/>
                <w:color w:val="auto"/>
              </w:rPr>
            </w:pPr>
            <w:r>
              <w:rPr>
                <w:rFonts w:ascii="Arial" w:cs="Arial" w:eastAsia="Arial" w:hAnsi="Arial"/>
                <w:sz w:val="17"/>
                <w:szCs w:val="17"/>
                <w:b w:val="1"/>
                <w:bCs w:val="1"/>
                <w:color w:val="auto"/>
              </w:rPr>
              <w:t>Exercise</w:t>
            </w:r>
          </w:p>
        </w:tc>
        <w:tc>
          <w:tcPr>
            <w:tcW w:w="1180" w:type="dxa"/>
            <w:vAlign w:val="bottom"/>
          </w:tcPr>
          <w:p>
            <w:pPr>
              <w:jc w:val="right"/>
              <w:ind w:right="175"/>
              <w:spacing w:after="0" w:line="189" w:lineRule="exact"/>
              <w:rPr>
                <w:sz w:val="20"/>
                <w:szCs w:val="20"/>
                <w:color w:val="auto"/>
              </w:rPr>
            </w:pPr>
            <w:r>
              <w:rPr>
                <w:rFonts w:ascii="Arial" w:cs="Arial" w:eastAsia="Arial" w:hAnsi="Arial"/>
                <w:sz w:val="17"/>
                <w:szCs w:val="17"/>
                <w:b w:val="1"/>
                <w:bCs w:val="1"/>
                <w:color w:val="auto"/>
              </w:rPr>
              <w:t>Number</w:t>
            </w:r>
          </w:p>
        </w:tc>
        <w:tc>
          <w:tcPr>
            <w:tcW w:w="220" w:type="dxa"/>
            <w:vAlign w:val="bottom"/>
          </w:tcPr>
          <w:p>
            <w:pPr>
              <w:spacing w:after="0"/>
              <w:rPr>
                <w:sz w:val="16"/>
                <w:szCs w:val="16"/>
                <w:color w:val="auto"/>
              </w:rPr>
            </w:pPr>
          </w:p>
        </w:tc>
        <w:tc>
          <w:tcPr>
            <w:tcW w:w="820" w:type="dxa"/>
            <w:vAlign w:val="bottom"/>
          </w:tcPr>
          <w:p>
            <w:pPr>
              <w:jc w:val="center"/>
              <w:ind w:right="15"/>
              <w:spacing w:after="0" w:line="189" w:lineRule="exact"/>
              <w:rPr>
                <w:sz w:val="20"/>
                <w:szCs w:val="20"/>
                <w:color w:val="auto"/>
              </w:rPr>
            </w:pPr>
            <w:r>
              <w:rPr>
                <w:rFonts w:ascii="Arial" w:cs="Arial" w:eastAsia="Arial" w:hAnsi="Arial"/>
                <w:sz w:val="17"/>
                <w:szCs w:val="17"/>
                <w:b w:val="1"/>
                <w:bCs w:val="1"/>
                <w:color w:val="auto"/>
              </w:rPr>
              <w:t>Exercise</w:t>
            </w:r>
          </w:p>
        </w:tc>
      </w:tr>
      <w:tr>
        <w:trPr>
          <w:trHeight w:val="215"/>
        </w:trPr>
        <w:tc>
          <w:tcPr>
            <w:tcW w:w="248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Prices</w:t>
            </w:r>
          </w:p>
        </w:tc>
        <w:tc>
          <w:tcPr>
            <w:tcW w:w="21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Outstanding</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9"/>
              </w:rPr>
              <w:t>Life</w:t>
            </w: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115"/>
              <w:spacing w:after="0"/>
              <w:rPr>
                <w:sz w:val="20"/>
                <w:szCs w:val="20"/>
                <w:color w:val="auto"/>
              </w:rPr>
            </w:pPr>
            <w:r>
              <w:rPr>
                <w:rFonts w:ascii="Arial" w:cs="Arial" w:eastAsia="Arial" w:hAnsi="Arial"/>
                <w:sz w:val="17"/>
                <w:szCs w:val="17"/>
                <w:b w:val="1"/>
                <w:bCs w:val="1"/>
                <w:color w:val="auto"/>
              </w:rPr>
              <w:t>Price</w:t>
            </w:r>
          </w:p>
        </w:tc>
        <w:tc>
          <w:tcPr>
            <w:tcW w:w="11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Exercisable</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35"/>
              <w:spacing w:after="0"/>
              <w:rPr>
                <w:sz w:val="20"/>
                <w:szCs w:val="20"/>
                <w:color w:val="auto"/>
              </w:rPr>
            </w:pPr>
            <w:r>
              <w:rPr>
                <w:rFonts w:ascii="Arial" w:cs="Arial" w:eastAsia="Arial" w:hAnsi="Arial"/>
                <w:sz w:val="17"/>
                <w:szCs w:val="17"/>
                <w:b w:val="1"/>
                <w:bCs w:val="1"/>
                <w:color w:val="auto"/>
              </w:rPr>
              <w:t>Price</w:t>
            </w:r>
          </w:p>
        </w:tc>
      </w:tr>
      <w:tr>
        <w:trPr>
          <w:trHeight w:val="183"/>
        </w:trPr>
        <w:tc>
          <w:tcPr>
            <w:tcW w:w="2480" w:type="dxa"/>
            <w:vAlign w:val="bottom"/>
          </w:tcPr>
          <w:p>
            <w:pPr>
              <w:spacing w:after="0"/>
              <w:rPr>
                <w:sz w:val="15"/>
                <w:szCs w:val="15"/>
                <w:color w:val="auto"/>
              </w:rPr>
            </w:pPr>
          </w:p>
        </w:tc>
        <w:tc>
          <w:tcPr>
            <w:tcW w:w="6580" w:type="dxa"/>
            <w:vAlign w:val="bottom"/>
            <w:gridSpan w:val="7"/>
          </w:tcPr>
          <w:p>
            <w:pPr>
              <w:jc w:val="right"/>
              <w:ind w:right="495"/>
              <w:spacing w:after="0" w:line="183" w:lineRule="exact"/>
              <w:rPr>
                <w:sz w:val="20"/>
                <w:szCs w:val="20"/>
                <w:color w:val="auto"/>
              </w:rPr>
            </w:pPr>
            <w:r>
              <w:rPr>
                <w:rFonts w:ascii="Arial" w:cs="Arial" w:eastAsia="Arial" w:hAnsi="Arial"/>
                <w:sz w:val="17"/>
                <w:szCs w:val="17"/>
                <w:color w:val="auto"/>
              </w:rPr>
              <w:t>(in thousands, except prices per share and contractual life)</w:t>
            </w:r>
          </w:p>
        </w:tc>
      </w:tr>
      <w:tr>
        <w:trPr>
          <w:trHeight w:val="189"/>
        </w:trPr>
        <w:tc>
          <w:tcPr>
            <w:tcW w:w="24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$9.85 to $18.84</w:t>
            </w:r>
          </w:p>
        </w:tc>
        <w:tc>
          <w:tcPr>
            <w:tcW w:w="212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129</w:t>
            </w:r>
          </w:p>
        </w:tc>
        <w:tc>
          <w:tcPr>
            <w:tcW w:w="118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1.5</w:t>
            </w:r>
          </w:p>
        </w:tc>
        <w:tc>
          <w:tcPr>
            <w:tcW w:w="2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18.53</w:t>
            </w:r>
          </w:p>
        </w:tc>
        <w:tc>
          <w:tcPr>
            <w:tcW w:w="118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129</w:t>
            </w:r>
          </w:p>
        </w:tc>
        <w:tc>
          <w:tcPr>
            <w:tcW w:w="2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18.53</w:t>
            </w:r>
          </w:p>
        </w:tc>
      </w:tr>
      <w:tr>
        <w:trPr>
          <w:trHeight w:val="189"/>
        </w:trPr>
        <w:tc>
          <w:tcPr>
            <w:tcW w:w="2480" w:type="dxa"/>
            <w:vAlign w:val="bottom"/>
          </w:tcPr>
          <w:p>
            <w:pPr>
              <w:spacing w:after="0" w:line="189" w:lineRule="exact"/>
              <w:rPr>
                <w:sz w:val="20"/>
                <w:szCs w:val="20"/>
                <w:color w:val="auto"/>
              </w:rPr>
            </w:pPr>
            <w:r>
              <w:rPr>
                <w:rFonts w:ascii="Arial" w:cs="Arial" w:eastAsia="Arial" w:hAnsi="Arial"/>
                <w:sz w:val="17"/>
                <w:szCs w:val="17"/>
                <w:color w:val="auto"/>
              </w:rPr>
              <w:t>$24.75 to $34.75</w:t>
            </w:r>
          </w:p>
        </w:tc>
        <w:tc>
          <w:tcPr>
            <w:tcW w:w="2120" w:type="dxa"/>
            <w:vAlign w:val="bottom"/>
          </w:tcPr>
          <w:p>
            <w:pPr>
              <w:jc w:val="right"/>
              <w:ind w:right="55"/>
              <w:spacing w:after="0" w:line="189" w:lineRule="exact"/>
              <w:rPr>
                <w:sz w:val="20"/>
                <w:szCs w:val="20"/>
                <w:color w:val="auto"/>
              </w:rPr>
            </w:pPr>
            <w:r>
              <w:rPr>
                <w:rFonts w:ascii="Arial" w:cs="Arial" w:eastAsia="Arial" w:hAnsi="Arial"/>
                <w:sz w:val="17"/>
                <w:szCs w:val="17"/>
                <w:color w:val="auto"/>
              </w:rPr>
              <w:t>376</w:t>
            </w:r>
          </w:p>
        </w:tc>
        <w:tc>
          <w:tcPr>
            <w:tcW w:w="1180" w:type="dxa"/>
            <w:vAlign w:val="bottom"/>
          </w:tcPr>
          <w:p>
            <w:pPr>
              <w:jc w:val="right"/>
              <w:ind w:right="75"/>
              <w:spacing w:after="0" w:line="189" w:lineRule="exact"/>
              <w:rPr>
                <w:sz w:val="20"/>
                <w:szCs w:val="20"/>
                <w:color w:val="auto"/>
              </w:rPr>
            </w:pPr>
            <w:r>
              <w:rPr>
                <w:rFonts w:ascii="Arial" w:cs="Arial" w:eastAsia="Arial" w:hAnsi="Arial"/>
                <w:sz w:val="17"/>
                <w:szCs w:val="17"/>
                <w:color w:val="auto"/>
              </w:rPr>
              <w:t>3.5</w:t>
            </w:r>
          </w:p>
        </w:tc>
        <w:tc>
          <w:tcPr>
            <w:tcW w:w="200" w:type="dxa"/>
            <w:vAlign w:val="bottom"/>
          </w:tcPr>
          <w:p>
            <w:pPr>
              <w:spacing w:after="0"/>
              <w:rPr>
                <w:sz w:val="16"/>
                <w:szCs w:val="16"/>
                <w:color w:val="auto"/>
              </w:rPr>
            </w:pPr>
          </w:p>
        </w:tc>
        <w:tc>
          <w:tcPr>
            <w:tcW w:w="860" w:type="dxa"/>
            <w:vAlign w:val="bottom"/>
          </w:tcPr>
          <w:p>
            <w:pPr>
              <w:jc w:val="right"/>
              <w:ind w:right="55"/>
              <w:spacing w:after="0" w:line="189" w:lineRule="exact"/>
              <w:rPr>
                <w:sz w:val="20"/>
                <w:szCs w:val="20"/>
                <w:color w:val="auto"/>
              </w:rPr>
            </w:pPr>
            <w:r>
              <w:rPr>
                <w:rFonts w:ascii="Arial" w:cs="Arial" w:eastAsia="Arial" w:hAnsi="Arial"/>
                <w:sz w:val="17"/>
                <w:szCs w:val="17"/>
                <w:color w:val="auto"/>
              </w:rPr>
              <w:t>32.09</w:t>
            </w:r>
          </w:p>
        </w:tc>
        <w:tc>
          <w:tcPr>
            <w:tcW w:w="1180" w:type="dxa"/>
            <w:vAlign w:val="bottom"/>
          </w:tcPr>
          <w:p>
            <w:pPr>
              <w:jc w:val="right"/>
              <w:ind w:right="55"/>
              <w:spacing w:after="0" w:line="189" w:lineRule="exact"/>
              <w:rPr>
                <w:sz w:val="20"/>
                <w:szCs w:val="20"/>
                <w:color w:val="auto"/>
              </w:rPr>
            </w:pPr>
            <w:r>
              <w:rPr>
                <w:rFonts w:ascii="Arial" w:cs="Arial" w:eastAsia="Arial" w:hAnsi="Arial"/>
                <w:sz w:val="17"/>
                <w:szCs w:val="17"/>
                <w:color w:val="auto"/>
              </w:rPr>
              <w:t>338</w:t>
            </w:r>
          </w:p>
        </w:tc>
        <w:tc>
          <w:tcPr>
            <w:tcW w:w="22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7"/>
                <w:szCs w:val="17"/>
                <w:color w:val="auto"/>
              </w:rPr>
              <w:t>31.78</w:t>
            </w:r>
          </w:p>
        </w:tc>
      </w:tr>
      <w:tr>
        <w:trPr>
          <w:trHeight w:val="189"/>
        </w:trPr>
        <w:tc>
          <w:tcPr>
            <w:tcW w:w="24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$44.78 to $45.75</w:t>
            </w:r>
          </w:p>
        </w:tc>
        <w:tc>
          <w:tcPr>
            <w:tcW w:w="212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582</w:t>
            </w:r>
          </w:p>
        </w:tc>
        <w:tc>
          <w:tcPr>
            <w:tcW w:w="118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6.9</w:t>
            </w: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44.91</w:t>
            </w:r>
          </w:p>
        </w:tc>
        <w:tc>
          <w:tcPr>
            <w:tcW w:w="118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352</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44.99</w:t>
            </w:r>
          </w:p>
        </w:tc>
      </w:tr>
      <w:tr>
        <w:trPr>
          <w:trHeight w:val="189"/>
        </w:trPr>
        <w:tc>
          <w:tcPr>
            <w:tcW w:w="2480" w:type="dxa"/>
            <w:vAlign w:val="bottom"/>
          </w:tcPr>
          <w:p>
            <w:pPr>
              <w:spacing w:after="0" w:line="189" w:lineRule="exact"/>
              <w:rPr>
                <w:sz w:val="20"/>
                <w:szCs w:val="20"/>
                <w:color w:val="auto"/>
              </w:rPr>
            </w:pPr>
            <w:r>
              <w:rPr>
                <w:rFonts w:ascii="Arial" w:cs="Arial" w:eastAsia="Arial" w:hAnsi="Arial"/>
                <w:sz w:val="17"/>
                <w:szCs w:val="17"/>
                <w:color w:val="auto"/>
              </w:rPr>
              <w:t>$46.64 to $62.11</w:t>
            </w:r>
          </w:p>
        </w:tc>
        <w:tc>
          <w:tcPr>
            <w:tcW w:w="2120" w:type="dxa"/>
            <w:vAlign w:val="bottom"/>
          </w:tcPr>
          <w:p>
            <w:pPr>
              <w:jc w:val="right"/>
              <w:ind w:right="55"/>
              <w:spacing w:after="0" w:line="189" w:lineRule="exact"/>
              <w:rPr>
                <w:sz w:val="20"/>
                <w:szCs w:val="20"/>
                <w:color w:val="auto"/>
              </w:rPr>
            </w:pPr>
            <w:r>
              <w:rPr>
                <w:rFonts w:ascii="Arial" w:cs="Arial" w:eastAsia="Arial" w:hAnsi="Arial"/>
                <w:sz w:val="17"/>
                <w:szCs w:val="17"/>
                <w:color w:val="auto"/>
              </w:rPr>
              <w:t>952</w:t>
            </w:r>
          </w:p>
        </w:tc>
        <w:tc>
          <w:tcPr>
            <w:tcW w:w="1180" w:type="dxa"/>
            <w:vAlign w:val="bottom"/>
          </w:tcPr>
          <w:p>
            <w:pPr>
              <w:jc w:val="right"/>
              <w:ind w:right="75"/>
              <w:spacing w:after="0" w:line="189" w:lineRule="exact"/>
              <w:rPr>
                <w:sz w:val="20"/>
                <w:szCs w:val="20"/>
                <w:color w:val="auto"/>
              </w:rPr>
            </w:pPr>
            <w:r>
              <w:rPr>
                <w:rFonts w:ascii="Arial" w:cs="Arial" w:eastAsia="Arial" w:hAnsi="Arial"/>
                <w:sz w:val="17"/>
                <w:szCs w:val="17"/>
                <w:color w:val="auto"/>
              </w:rPr>
              <w:t>6.8</w:t>
            </w:r>
          </w:p>
        </w:tc>
        <w:tc>
          <w:tcPr>
            <w:tcW w:w="200" w:type="dxa"/>
            <w:vAlign w:val="bottom"/>
          </w:tcPr>
          <w:p>
            <w:pPr>
              <w:spacing w:after="0"/>
              <w:rPr>
                <w:sz w:val="16"/>
                <w:szCs w:val="16"/>
                <w:color w:val="auto"/>
              </w:rPr>
            </w:pPr>
          </w:p>
        </w:tc>
        <w:tc>
          <w:tcPr>
            <w:tcW w:w="860" w:type="dxa"/>
            <w:vAlign w:val="bottom"/>
          </w:tcPr>
          <w:p>
            <w:pPr>
              <w:jc w:val="right"/>
              <w:ind w:right="55"/>
              <w:spacing w:after="0" w:line="189" w:lineRule="exact"/>
              <w:rPr>
                <w:sz w:val="20"/>
                <w:szCs w:val="20"/>
                <w:color w:val="auto"/>
              </w:rPr>
            </w:pPr>
            <w:r>
              <w:rPr>
                <w:rFonts w:ascii="Arial" w:cs="Arial" w:eastAsia="Arial" w:hAnsi="Arial"/>
                <w:sz w:val="17"/>
                <w:szCs w:val="17"/>
                <w:color w:val="auto"/>
              </w:rPr>
              <w:t>60.00</w:t>
            </w:r>
          </w:p>
        </w:tc>
        <w:tc>
          <w:tcPr>
            <w:tcW w:w="1180" w:type="dxa"/>
            <w:vAlign w:val="bottom"/>
          </w:tcPr>
          <w:p>
            <w:pPr>
              <w:jc w:val="right"/>
              <w:ind w:right="55"/>
              <w:spacing w:after="0" w:line="189" w:lineRule="exact"/>
              <w:rPr>
                <w:sz w:val="20"/>
                <w:szCs w:val="20"/>
                <w:color w:val="auto"/>
              </w:rPr>
            </w:pPr>
            <w:r>
              <w:rPr>
                <w:rFonts w:ascii="Arial" w:cs="Arial" w:eastAsia="Arial" w:hAnsi="Arial"/>
                <w:sz w:val="17"/>
                <w:szCs w:val="17"/>
                <w:color w:val="auto"/>
              </w:rPr>
              <w:t>619</w:t>
            </w:r>
          </w:p>
        </w:tc>
        <w:tc>
          <w:tcPr>
            <w:tcW w:w="22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7"/>
                <w:szCs w:val="17"/>
                <w:color w:val="auto"/>
              </w:rPr>
              <w:t>60.96</w:t>
            </w:r>
          </w:p>
        </w:tc>
      </w:tr>
      <w:tr>
        <w:trPr>
          <w:trHeight w:val="189"/>
        </w:trPr>
        <w:tc>
          <w:tcPr>
            <w:tcW w:w="248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$63.33 to $73.21</w:t>
            </w:r>
          </w:p>
        </w:tc>
        <w:tc>
          <w:tcPr>
            <w:tcW w:w="212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899</w:t>
            </w:r>
          </w:p>
        </w:tc>
        <w:tc>
          <w:tcPr>
            <w:tcW w:w="118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6.9</w:t>
            </w:r>
          </w:p>
        </w:tc>
        <w:tc>
          <w:tcPr>
            <w:tcW w:w="2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68.57</w:t>
            </w:r>
          </w:p>
        </w:tc>
        <w:tc>
          <w:tcPr>
            <w:tcW w:w="118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744</w:t>
            </w: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67.75</w:t>
            </w:r>
          </w:p>
        </w:tc>
      </w:tr>
      <w:tr>
        <w:trPr>
          <w:trHeight w:val="183"/>
        </w:trPr>
        <w:tc>
          <w:tcPr>
            <w:tcW w:w="248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color w:val="auto"/>
              </w:rPr>
              <w:t>2,938</w:t>
            </w:r>
          </w:p>
        </w:tc>
        <w:tc>
          <w:tcPr>
            <w:tcW w:w="118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color w:val="auto"/>
              </w:rPr>
              <w:t>6.2</w:t>
            </w:r>
          </w:p>
        </w:tc>
        <w:tc>
          <w:tcPr>
            <w:tcW w:w="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color w:val="auto"/>
              </w:rPr>
              <w:t>54.23</w:t>
            </w:r>
          </w:p>
        </w:tc>
        <w:tc>
          <w:tcPr>
            <w:tcW w:w="118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color w:val="auto"/>
              </w:rPr>
              <w:t>2,182</w:t>
            </w:r>
          </w:p>
        </w:tc>
        <w:tc>
          <w:tcPr>
            <w:tcW w:w="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53.67</w:t>
            </w:r>
          </w:p>
        </w:tc>
      </w:tr>
      <w:tr>
        <w:trPr>
          <w:trHeight w:val="20"/>
        </w:trPr>
        <w:tc>
          <w:tcPr>
            <w:tcW w:w="248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and Restricted Stock Units</w:t>
      </w:r>
    </w:p>
    <w:p>
      <w:pPr>
        <w:spacing w:after="0" w:line="23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Restricted shares of the Company’s common stock and restricted stock units (“RSU”) may be awarded to certain officers and key employees of the Company. Additionally, RSU awards are made to employees in connection with the Company’s long-term incentive program and to nonemployee directors. Each RSU represents the right to receive one share of the Company’s common stock provided that the performance and vesting conditions are satisfied. There were no outstanding restricted stock awards as of August 3, 2019 and an insignificant number of restricted stock awards were outstanding as August 4, 2018.</w:t>
      </w:r>
    </w:p>
    <w:p>
      <w:pPr>
        <w:spacing w:after="0" w:line="20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Generally, awards fully vest after the passage of time, typically three years. However, RSU awards made in connection with the Company’s performance-based long-term incentive program are earned after the attainment of certain performance metrics and vest after the passage of time. Restricted stock is considered outstanding at the time of grant and the holders have voting rights. Dividends are paid to holders of restricted stock that vest with the passage of time. With regard to performance-based restricted stock, dividends will be accumulated and paid after the performance criteria are met. No dividends are paid or accumulated on any RSU awards. Compensation expense is recognized using the market value at the date of grant and is amortized over the vesting period, provided the recipient continues to be employed by the Company.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Restricted stock and RSU activity for the twenty-six weeks ended August 3, 2019 is summarized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20" w:type="dxa"/>
            <w:vAlign w:val="bottom"/>
          </w:tcPr>
          <w:p>
            <w:pPr>
              <w:jc w:val="center"/>
              <w:ind w:left="15"/>
              <w:spacing w:after="0"/>
              <w:rPr>
                <w:sz w:val="20"/>
                <w:szCs w:val="20"/>
                <w:color w:val="auto"/>
              </w:rPr>
            </w:pPr>
            <w:r>
              <w:rPr>
                <w:rFonts w:ascii="Arial" w:cs="Arial" w:eastAsia="Arial" w:hAnsi="Arial"/>
                <w:sz w:val="17"/>
                <w:szCs w:val="17"/>
                <w:b w:val="1"/>
                <w:bCs w:val="1"/>
                <w:color w:val="auto"/>
                <w:w w:val="99"/>
              </w:rPr>
              <w:t>Weighted-Average</w:t>
            </w: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2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9"/>
              </w:rPr>
              <w:t>Number</w:t>
            </w:r>
          </w:p>
        </w:tc>
        <w:tc>
          <w:tcPr>
            <w:tcW w:w="1620" w:type="dxa"/>
            <w:vAlign w:val="bottom"/>
          </w:tcPr>
          <w:p>
            <w:pPr>
              <w:jc w:val="center"/>
              <w:ind w:left="15"/>
              <w:spacing w:after="0" w:line="189" w:lineRule="exact"/>
              <w:rPr>
                <w:sz w:val="20"/>
                <w:szCs w:val="20"/>
                <w:color w:val="auto"/>
              </w:rPr>
            </w:pPr>
            <w:r>
              <w:rPr>
                <w:rFonts w:ascii="Arial" w:cs="Arial" w:eastAsia="Arial" w:hAnsi="Arial"/>
                <w:sz w:val="17"/>
                <w:szCs w:val="17"/>
                <w:b w:val="1"/>
                <w:bCs w:val="1"/>
                <w:color w:val="auto"/>
              </w:rPr>
              <w:t>Remaining</w:t>
            </w:r>
          </w:p>
        </w:tc>
        <w:tc>
          <w:tcPr>
            <w:tcW w:w="1580" w:type="dxa"/>
            <w:vAlign w:val="bottom"/>
            <w:gridSpan w:val="2"/>
          </w:tcPr>
          <w:p>
            <w:pPr>
              <w:jc w:val="center"/>
              <w:spacing w:after="0" w:line="189" w:lineRule="exact"/>
              <w:rPr>
                <w:sz w:val="20"/>
                <w:szCs w:val="20"/>
                <w:color w:val="auto"/>
              </w:rPr>
            </w:pPr>
            <w:r>
              <w:rPr>
                <w:rFonts w:ascii="Arial" w:cs="Arial" w:eastAsia="Arial" w:hAnsi="Arial"/>
                <w:sz w:val="17"/>
                <w:szCs w:val="17"/>
                <w:b w:val="1"/>
                <w:bCs w:val="1"/>
                <w:color w:val="auto"/>
              </w:rPr>
              <w:t>Weighted-Average</w:t>
            </w:r>
          </w:p>
        </w:tc>
      </w:tr>
      <w:tr>
        <w:trPr>
          <w:trHeight w:val="189"/>
        </w:trPr>
        <w:tc>
          <w:tcPr>
            <w:tcW w:w="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2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9"/>
              </w:rPr>
              <w:t>of</w:t>
            </w:r>
          </w:p>
        </w:tc>
        <w:tc>
          <w:tcPr>
            <w:tcW w:w="1620" w:type="dxa"/>
            <w:vAlign w:val="bottom"/>
          </w:tcPr>
          <w:p>
            <w:pPr>
              <w:jc w:val="center"/>
              <w:ind w:left="15"/>
              <w:spacing w:after="0" w:line="189" w:lineRule="exact"/>
              <w:rPr>
                <w:sz w:val="20"/>
                <w:szCs w:val="20"/>
                <w:color w:val="auto"/>
              </w:rPr>
            </w:pPr>
            <w:r>
              <w:rPr>
                <w:rFonts w:ascii="Arial" w:cs="Arial" w:eastAsia="Arial" w:hAnsi="Arial"/>
                <w:sz w:val="17"/>
                <w:szCs w:val="17"/>
                <w:b w:val="1"/>
                <w:bCs w:val="1"/>
                <w:color w:val="auto"/>
              </w:rPr>
              <w:t>Contractual</w:t>
            </w:r>
          </w:p>
        </w:tc>
        <w:tc>
          <w:tcPr>
            <w:tcW w:w="240" w:type="dxa"/>
            <w:vAlign w:val="bottom"/>
          </w:tcPr>
          <w:p>
            <w:pPr>
              <w:spacing w:after="0"/>
              <w:rPr>
                <w:sz w:val="16"/>
                <w:szCs w:val="16"/>
                <w:color w:val="auto"/>
              </w:rPr>
            </w:pPr>
          </w:p>
        </w:tc>
        <w:tc>
          <w:tcPr>
            <w:tcW w:w="1340" w:type="dxa"/>
            <w:vAlign w:val="bottom"/>
          </w:tcPr>
          <w:p>
            <w:pPr>
              <w:jc w:val="center"/>
              <w:ind w:right="135"/>
              <w:spacing w:after="0" w:line="189" w:lineRule="exact"/>
              <w:rPr>
                <w:sz w:val="20"/>
                <w:szCs w:val="20"/>
                <w:color w:val="auto"/>
              </w:rPr>
            </w:pPr>
            <w:r>
              <w:rPr>
                <w:rFonts w:ascii="Arial" w:cs="Arial" w:eastAsia="Arial" w:hAnsi="Arial"/>
                <w:sz w:val="17"/>
                <w:szCs w:val="17"/>
                <w:b w:val="1"/>
                <w:bCs w:val="1"/>
                <w:color w:val="auto"/>
              </w:rPr>
              <w:t>Grant Date</w:t>
            </w:r>
          </w:p>
        </w:tc>
      </w:tr>
      <w:tr>
        <w:trPr>
          <w:trHeight w:val="215"/>
        </w:trPr>
        <w:tc>
          <w:tcPr>
            <w:tcW w:w="20" w:type="dxa"/>
            <w:vAlign w:val="bottom"/>
          </w:tcPr>
          <w:p>
            <w:pPr>
              <w:spacing w:after="0"/>
              <w:rPr>
                <w:sz w:val="18"/>
                <w:szCs w:val="18"/>
                <w:color w:val="auto"/>
              </w:rPr>
            </w:pPr>
          </w:p>
        </w:tc>
        <w:tc>
          <w:tcPr>
            <w:tcW w:w="34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8"/>
              </w:rPr>
              <w:t>Shares</w:t>
            </w:r>
          </w:p>
        </w:tc>
        <w:tc>
          <w:tcPr>
            <w:tcW w:w="1620" w:type="dxa"/>
            <w:vAlign w:val="bottom"/>
            <w:tcBorders>
              <w:bottom w:val="single" w:sz="8" w:color="auto"/>
            </w:tcBorders>
          </w:tcPr>
          <w:p>
            <w:pPr>
              <w:jc w:val="center"/>
              <w:ind w:left="35"/>
              <w:spacing w:after="0"/>
              <w:rPr>
                <w:sz w:val="20"/>
                <w:szCs w:val="20"/>
                <w:color w:val="auto"/>
              </w:rPr>
            </w:pPr>
            <w:r>
              <w:rPr>
                <w:rFonts w:ascii="Arial" w:cs="Arial" w:eastAsia="Arial" w:hAnsi="Arial"/>
                <w:sz w:val="17"/>
                <w:szCs w:val="17"/>
                <w:b w:val="1"/>
                <w:bCs w:val="1"/>
                <w:color w:val="auto"/>
                <w:w w:val="99"/>
              </w:rPr>
              <w:t>Life</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135"/>
              <w:spacing w:after="0"/>
              <w:rPr>
                <w:sz w:val="20"/>
                <w:szCs w:val="20"/>
                <w:color w:val="auto"/>
              </w:rPr>
            </w:pPr>
            <w:r>
              <w:rPr>
                <w:rFonts w:ascii="Arial" w:cs="Arial" w:eastAsia="Arial" w:hAnsi="Arial"/>
                <w:sz w:val="17"/>
                <w:szCs w:val="17"/>
                <w:b w:val="1"/>
                <w:bCs w:val="1"/>
                <w:color w:val="auto"/>
                <w:w w:val="98"/>
              </w:rPr>
              <w:t>Fair Value</w:t>
            </w:r>
          </w:p>
        </w:tc>
      </w:tr>
      <w:tr>
        <w:trPr>
          <w:trHeight w:val="183"/>
        </w:trPr>
        <w:tc>
          <w:tcPr>
            <w:tcW w:w="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20" w:type="dxa"/>
            <w:vAlign w:val="bottom"/>
          </w:tcPr>
          <w:p>
            <w:pPr>
              <w:jc w:val="right"/>
              <w:ind w:right="35"/>
              <w:spacing w:after="0" w:line="183" w:lineRule="exact"/>
              <w:rPr>
                <w:sz w:val="20"/>
                <w:szCs w:val="20"/>
                <w:color w:val="auto"/>
              </w:rPr>
            </w:pPr>
            <w:r>
              <w:rPr>
                <w:rFonts w:ascii="Arial" w:cs="Arial" w:eastAsia="Arial" w:hAnsi="Arial"/>
                <w:sz w:val="17"/>
                <w:szCs w:val="17"/>
                <w:color w:val="auto"/>
              </w:rPr>
              <w:t>(in thousands)</w:t>
            </w:r>
          </w:p>
        </w:tc>
        <w:tc>
          <w:tcPr>
            <w:tcW w:w="1620" w:type="dxa"/>
            <w:vAlign w:val="bottom"/>
          </w:tcPr>
          <w:p>
            <w:pPr>
              <w:jc w:val="center"/>
              <w:ind w:left="15"/>
              <w:spacing w:after="0" w:line="183" w:lineRule="exact"/>
              <w:rPr>
                <w:sz w:val="20"/>
                <w:szCs w:val="20"/>
                <w:color w:val="auto"/>
              </w:rPr>
            </w:pPr>
            <w:r>
              <w:rPr>
                <w:rFonts w:ascii="Arial" w:cs="Arial" w:eastAsia="Arial" w:hAnsi="Arial"/>
                <w:sz w:val="17"/>
                <w:szCs w:val="17"/>
                <w:color w:val="auto"/>
              </w:rPr>
              <w:t>(in years)</w:t>
            </w:r>
          </w:p>
        </w:tc>
        <w:tc>
          <w:tcPr>
            <w:tcW w:w="240" w:type="dxa"/>
            <w:vAlign w:val="bottom"/>
          </w:tcPr>
          <w:p>
            <w:pPr>
              <w:spacing w:after="0"/>
              <w:rPr>
                <w:sz w:val="15"/>
                <w:szCs w:val="15"/>
                <w:color w:val="auto"/>
              </w:rPr>
            </w:pPr>
          </w:p>
        </w:tc>
        <w:tc>
          <w:tcPr>
            <w:tcW w:w="1340" w:type="dxa"/>
            <w:vAlign w:val="bottom"/>
          </w:tcPr>
          <w:p>
            <w:pPr>
              <w:jc w:val="right"/>
              <w:ind w:right="155"/>
              <w:spacing w:after="0" w:line="183" w:lineRule="exact"/>
              <w:rPr>
                <w:sz w:val="20"/>
                <w:szCs w:val="20"/>
                <w:color w:val="auto"/>
              </w:rPr>
            </w:pPr>
            <w:r>
              <w:rPr>
                <w:rFonts w:ascii="Arial" w:cs="Arial" w:eastAsia="Arial" w:hAnsi="Arial"/>
                <w:sz w:val="17"/>
                <w:szCs w:val="17"/>
                <w:color w:val="auto"/>
              </w:rPr>
              <w:t>(per share)</w:t>
            </w:r>
          </w:p>
        </w:tc>
      </w:tr>
      <w:tr>
        <w:trPr>
          <w:trHeight w:val="189"/>
        </w:trPr>
        <w:tc>
          <w:tcPr>
            <w:tcW w:w="20" w:type="dxa"/>
            <w:vAlign w:val="bottom"/>
          </w:tcPr>
          <w:p>
            <w:pPr>
              <w:spacing w:after="0"/>
              <w:rPr>
                <w:sz w:val="16"/>
                <w:szCs w:val="16"/>
                <w:color w:val="auto"/>
              </w:rPr>
            </w:pPr>
          </w:p>
        </w:tc>
        <w:tc>
          <w:tcPr>
            <w:tcW w:w="34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Nonvested at beginning of year</w:t>
            </w:r>
          </w:p>
        </w:tc>
        <w:tc>
          <w:tcPr>
            <w:tcW w:w="120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1,022</w:t>
            </w:r>
          </w:p>
        </w:tc>
        <w:tc>
          <w:tcPr>
            <w:tcW w:w="16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47.47</w:t>
            </w:r>
          </w:p>
        </w:tc>
      </w:tr>
      <w:tr>
        <w:trPr>
          <w:trHeight w:val="189"/>
        </w:trPr>
        <w:tc>
          <w:tcPr>
            <w:tcW w:w="20" w:type="dxa"/>
            <w:vAlign w:val="bottom"/>
          </w:tcPr>
          <w:p>
            <w:pPr>
              <w:spacing w:after="0"/>
              <w:rPr>
                <w:sz w:val="16"/>
                <w:szCs w:val="16"/>
                <w:color w:val="auto"/>
              </w:rPr>
            </w:pPr>
          </w:p>
        </w:tc>
        <w:tc>
          <w:tcPr>
            <w:tcW w:w="3420" w:type="dxa"/>
            <w:vAlign w:val="bottom"/>
          </w:tcPr>
          <w:p>
            <w:pPr>
              <w:spacing w:after="0" w:line="189" w:lineRule="exact"/>
              <w:rPr>
                <w:sz w:val="20"/>
                <w:szCs w:val="20"/>
                <w:color w:val="auto"/>
              </w:rPr>
            </w:pPr>
            <w:r>
              <w:rPr>
                <w:rFonts w:ascii="Arial" w:cs="Arial" w:eastAsia="Arial" w:hAnsi="Arial"/>
                <w:sz w:val="17"/>
                <w:szCs w:val="17"/>
                <w:color w:val="auto"/>
              </w:rPr>
              <w:t xml:space="preserve">Granted </w:t>
            </w:r>
            <w:r>
              <w:rPr>
                <w:rFonts w:ascii="Arial" w:cs="Arial" w:eastAsia="Arial" w:hAnsi="Arial"/>
                <w:sz w:val="12"/>
                <w:szCs w:val="12"/>
                <w:color w:val="auto"/>
              </w:rPr>
              <w:t>(1)</w:t>
            </w:r>
          </w:p>
        </w:tc>
        <w:tc>
          <w:tcPr>
            <w:tcW w:w="1200" w:type="dxa"/>
            <w:vAlign w:val="bottom"/>
          </w:tcPr>
          <w:p>
            <w:pPr>
              <w:spacing w:after="0"/>
              <w:rPr>
                <w:sz w:val="16"/>
                <w:szCs w:val="16"/>
                <w:color w:val="auto"/>
              </w:rPr>
            </w:pPr>
          </w:p>
        </w:tc>
        <w:tc>
          <w:tcPr>
            <w:tcW w:w="1220" w:type="dxa"/>
            <w:vAlign w:val="bottom"/>
          </w:tcPr>
          <w:p>
            <w:pPr>
              <w:jc w:val="right"/>
              <w:ind w:right="75"/>
              <w:spacing w:after="0" w:line="189" w:lineRule="exact"/>
              <w:rPr>
                <w:sz w:val="20"/>
                <w:szCs w:val="20"/>
                <w:color w:val="auto"/>
              </w:rPr>
            </w:pPr>
            <w:r>
              <w:rPr>
                <w:rFonts w:ascii="Arial" w:cs="Arial" w:eastAsia="Arial" w:hAnsi="Arial"/>
                <w:sz w:val="17"/>
                <w:szCs w:val="17"/>
                <w:color w:val="auto"/>
              </w:rPr>
              <w:t>302</w:t>
            </w:r>
          </w:p>
        </w:tc>
        <w:tc>
          <w:tcPr>
            <w:tcW w:w="1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spacing w:after="0" w:line="189" w:lineRule="exact"/>
              <w:rPr>
                <w:sz w:val="20"/>
                <w:szCs w:val="20"/>
                <w:color w:val="auto"/>
              </w:rPr>
            </w:pPr>
            <w:r>
              <w:rPr>
                <w:rFonts w:ascii="Arial" w:cs="Arial" w:eastAsia="Arial" w:hAnsi="Arial"/>
                <w:sz w:val="17"/>
                <w:szCs w:val="17"/>
                <w:color w:val="auto"/>
              </w:rPr>
              <w:t>58.76</w:t>
            </w:r>
          </w:p>
        </w:tc>
      </w:tr>
      <w:tr>
        <w:trPr>
          <w:trHeight w:val="189"/>
        </w:trPr>
        <w:tc>
          <w:tcPr>
            <w:tcW w:w="20" w:type="dxa"/>
            <w:vAlign w:val="bottom"/>
          </w:tcPr>
          <w:p>
            <w:pPr>
              <w:spacing w:after="0"/>
              <w:rPr>
                <w:sz w:val="16"/>
                <w:szCs w:val="16"/>
                <w:color w:val="auto"/>
              </w:rPr>
            </w:pPr>
          </w:p>
        </w:tc>
        <w:tc>
          <w:tcPr>
            <w:tcW w:w="34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Vested</w:t>
            </w:r>
          </w:p>
        </w:tc>
        <w:tc>
          <w:tcPr>
            <w:tcW w:w="120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(88)</w:t>
            </w:r>
          </w:p>
        </w:tc>
        <w:tc>
          <w:tcPr>
            <w:tcW w:w="16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60.40</w:t>
            </w:r>
          </w:p>
        </w:tc>
      </w:tr>
      <w:tr>
        <w:trPr>
          <w:trHeight w:val="189"/>
        </w:trPr>
        <w:tc>
          <w:tcPr>
            <w:tcW w:w="20" w:type="dxa"/>
            <w:vAlign w:val="bottom"/>
          </w:tcPr>
          <w:p>
            <w:pPr>
              <w:spacing w:after="0"/>
              <w:rPr>
                <w:sz w:val="16"/>
                <w:szCs w:val="16"/>
                <w:color w:val="auto"/>
              </w:rPr>
            </w:pPr>
          </w:p>
        </w:tc>
        <w:tc>
          <w:tcPr>
            <w:tcW w:w="3420" w:type="dxa"/>
            <w:vAlign w:val="bottom"/>
          </w:tcPr>
          <w:p>
            <w:pPr>
              <w:spacing w:after="0" w:line="189" w:lineRule="exact"/>
              <w:rPr>
                <w:sz w:val="20"/>
                <w:szCs w:val="20"/>
                <w:color w:val="auto"/>
              </w:rPr>
            </w:pPr>
            <w:r>
              <w:rPr>
                <w:rFonts w:ascii="Arial" w:cs="Arial" w:eastAsia="Arial" w:hAnsi="Arial"/>
                <w:sz w:val="17"/>
                <w:szCs w:val="17"/>
                <w:color w:val="auto"/>
              </w:rPr>
              <w:t xml:space="preserve">Performance adjustment </w:t>
            </w:r>
            <w:r>
              <w:rPr>
                <w:rFonts w:ascii="Arial" w:cs="Arial" w:eastAsia="Arial" w:hAnsi="Arial"/>
                <w:sz w:val="12"/>
                <w:szCs w:val="12"/>
                <w:color w:val="auto"/>
              </w:rPr>
              <w:t>(2)</w:t>
            </w:r>
          </w:p>
        </w:tc>
        <w:tc>
          <w:tcPr>
            <w:tcW w:w="1200" w:type="dxa"/>
            <w:vAlign w:val="bottom"/>
          </w:tcPr>
          <w:p>
            <w:pPr>
              <w:spacing w:after="0"/>
              <w:rPr>
                <w:sz w:val="16"/>
                <w:szCs w:val="16"/>
                <w:color w:val="auto"/>
              </w:rPr>
            </w:pPr>
          </w:p>
        </w:tc>
        <w:tc>
          <w:tcPr>
            <w:tcW w:w="1220" w:type="dxa"/>
            <w:vAlign w:val="bottom"/>
          </w:tcPr>
          <w:p>
            <w:pPr>
              <w:jc w:val="right"/>
              <w:ind w:right="35"/>
              <w:spacing w:after="0" w:line="189" w:lineRule="exact"/>
              <w:rPr>
                <w:sz w:val="20"/>
                <w:szCs w:val="20"/>
                <w:color w:val="auto"/>
              </w:rPr>
            </w:pPr>
            <w:r>
              <w:rPr>
                <w:rFonts w:ascii="Arial" w:cs="Arial" w:eastAsia="Arial" w:hAnsi="Arial"/>
                <w:sz w:val="17"/>
                <w:szCs w:val="17"/>
                <w:color w:val="auto"/>
              </w:rPr>
              <w:t>(34)</w:t>
            </w:r>
          </w:p>
        </w:tc>
        <w:tc>
          <w:tcPr>
            <w:tcW w:w="1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342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Expired or cancelled</w:t>
            </w:r>
          </w:p>
        </w:tc>
        <w:tc>
          <w:tcPr>
            <w:tcW w:w="120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(21)</w:t>
            </w:r>
          </w:p>
        </w:tc>
        <w:tc>
          <w:tcPr>
            <w:tcW w:w="162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53.09</w:t>
            </w:r>
          </w:p>
        </w:tc>
      </w:tr>
      <w:tr>
        <w:trPr>
          <w:trHeight w:val="223"/>
        </w:trPr>
        <w:tc>
          <w:tcPr>
            <w:tcW w:w="20" w:type="dxa"/>
            <w:vAlign w:val="bottom"/>
          </w:tcPr>
          <w:p>
            <w:pPr>
              <w:spacing w:after="0"/>
              <w:rPr>
                <w:sz w:val="19"/>
                <w:szCs w:val="19"/>
                <w:color w:val="auto"/>
              </w:rPr>
            </w:pPr>
          </w:p>
        </w:tc>
        <w:tc>
          <w:tcPr>
            <w:tcW w:w="342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Nonvested at August 3, 2019</w:t>
            </w:r>
          </w:p>
        </w:tc>
        <w:tc>
          <w:tcPr>
            <w:tcW w:w="1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color w:val="auto"/>
              </w:rPr>
              <w:t>1,181</w:t>
            </w:r>
          </w:p>
        </w:tc>
        <w:tc>
          <w:tcPr>
            <w:tcW w:w="1620" w:type="dxa"/>
            <w:vAlign w:val="bottom"/>
            <w:tcBorders>
              <w:bottom w:val="single" w:sz="8" w:color="auto"/>
            </w:tcBorders>
          </w:tcPr>
          <w:p>
            <w:pPr>
              <w:jc w:val="right"/>
              <w:ind w:right="195"/>
              <w:spacing w:after="0" w:line="183" w:lineRule="exact"/>
              <w:rPr>
                <w:sz w:val="20"/>
                <w:szCs w:val="20"/>
                <w:color w:val="auto"/>
              </w:rPr>
            </w:pPr>
            <w:r>
              <w:rPr>
                <w:rFonts w:ascii="Arial" w:cs="Arial" w:eastAsia="Arial" w:hAnsi="Arial"/>
                <w:sz w:val="17"/>
                <w:szCs w:val="17"/>
                <w:color w:val="auto"/>
              </w:rPr>
              <w:t>2.0</w:t>
            </w:r>
          </w:p>
        </w:tc>
        <w:tc>
          <w:tcPr>
            <w:tcW w:w="24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49.22</w:t>
            </w:r>
          </w:p>
        </w:tc>
      </w:tr>
      <w:tr>
        <w:trPr>
          <w:trHeight w:val="170"/>
        </w:trPr>
        <w:tc>
          <w:tcPr>
            <w:tcW w:w="20" w:type="dxa"/>
            <w:vAlign w:val="bottom"/>
          </w:tcPr>
          <w:p>
            <w:pPr>
              <w:spacing w:after="0"/>
              <w:rPr>
                <w:sz w:val="14"/>
                <w:szCs w:val="14"/>
                <w:color w:val="auto"/>
              </w:rPr>
            </w:pPr>
          </w:p>
        </w:tc>
        <w:tc>
          <w:tcPr>
            <w:tcW w:w="342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7"/>
                <w:szCs w:val="17"/>
                <w:color w:val="auto"/>
              </w:rPr>
              <w:t>Aggregate value ($ in millions)</w:t>
            </w:r>
          </w:p>
        </w:tc>
        <w:tc>
          <w:tcPr>
            <w:tcW w:w="12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shd w:val="clear" w:color="auto" w:fill="CCEEFF"/>
          </w:tcPr>
          <w:p>
            <w:pPr>
              <w:jc w:val="right"/>
              <w:ind w:right="75"/>
              <w:spacing w:after="0" w:line="170" w:lineRule="exact"/>
              <w:rPr>
                <w:sz w:val="20"/>
                <w:szCs w:val="20"/>
                <w:color w:val="auto"/>
              </w:rPr>
            </w:pPr>
            <w:r>
              <w:rPr>
                <w:rFonts w:ascii="Arial" w:cs="Arial" w:eastAsia="Arial" w:hAnsi="Arial"/>
                <w:sz w:val="17"/>
                <w:szCs w:val="17"/>
                <w:color w:val="auto"/>
              </w:rPr>
              <w:t>58</w:t>
            </w:r>
          </w:p>
        </w:tc>
        <w:tc>
          <w:tcPr>
            <w:tcW w:w="162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left="340" w:right="20" w:hanging="331"/>
        <w:spacing w:after="0" w:line="250" w:lineRule="auto"/>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Included in the units granted are approximately 0.2 million performance-based RSUs. The number of performance-based RSUs that are ultimately earned may vary from 0% to 200% of target depending on the achievement relative to the Company’s predefined financial performance targets.</w:t>
      </w:r>
    </w:p>
    <w:p>
      <w:pPr>
        <w:spacing w:after="0" w:line="199" w:lineRule="exact"/>
        <w:rPr>
          <w:rFonts w:ascii="Arial" w:cs="Arial" w:eastAsia="Arial" w:hAnsi="Arial"/>
          <w:sz w:val="14"/>
          <w:szCs w:val="14"/>
          <w:color w:val="auto"/>
        </w:rPr>
      </w:pPr>
    </w:p>
    <w:p>
      <w:pPr>
        <w:ind w:left="340" w:hanging="331"/>
        <w:spacing w:after="0" w:line="258" w:lineRule="auto"/>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This represents adjustments made to performance-based RSU awards and reflect changes in estimates based upon the Company’s current performance against predefined financial targets.</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total value of awards for which restrictions lapsed during the twenty-six weeks ended August 3, 2019 and August 4, 2018 was $5 million and $6 million, respectively. As of August 3, 2019, there was $34 million of total unrecognized compensation cost related to nonvested awards.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Legal Proceedings</w:t>
      </w:r>
    </w:p>
    <w:p>
      <w:pPr>
        <w:spacing w:after="0" w:line="23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Legal proceedings pending against the Company or its consolidated subsidiaries consist of ordinary, routine litigation, including administrative proceedings, incidental to the business of the Company or businesses that have been sold or discontinued by the Company in past years. These legal proceedings include commercial, intellectual property, customer, environmental, and employment-related claims. Additionally, the Company and certain officers of the Company are defendants in a purported securities law class action in New York. The directors and certain officers of the Company are also defendants in related derivative actions.</w:t>
      </w:r>
    </w:p>
    <w:p>
      <w:pPr>
        <w:spacing w:after="0" w:line="20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Management does not believe that the outcome of any such legal proceedings pending against the Company or its consolidated subsidiaries, as described above, would have a material adverse effect on the Company’s consolidated financial position, liquidity, or results of operations, taken as a whole, based upon current knowledge and taking into consideration current accruals. Litigation is inherently unpredictable. Judgments could be rendered or settlements made that could adversely affect the Company’s operating results or cash flows in a particular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2. Management’s Discussion and Analysis of Financial Condition and 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23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This report contains forward-looking statements within the meaning of the federal securities laws. Other than statements of historical facts, all statements which address activities, events, or developments that the Company anticipates will or may occur in the future, including, but not limited to, such things as future capital expenditures, expansion, strategic plans, financial objectives, dividend payments, stock repurchases, growth of the Company’s business and operations, including future cash flows, revenues, and earnings, and other such matters, are forward-looking statements. These forward-looking statements are based on many assumptions and factors which are detailed in the Company’s filings with the U.S. Securities and Exchange Commission.</w:t>
      </w:r>
    </w:p>
    <w:p>
      <w:pPr>
        <w:spacing w:after="0" w:line="20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These forward-looking statements are based largely on our expectations and judgments and are subject to a number of risks and uncertainties, many of which are unforeseeable and beyond our control. For additional discussion on risks and uncertainties that may affect forward-looking statements, see “Risk Factors” disclosed in the 2018 Annual Report on Form 10-K. Any changes in such assumptions or factors could produce significantly different results. The Company undertakes no obligation to update forward-looking statements, whether as a result of new information, future events, or otherwise.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3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Foot Locker, Inc., through its subsidiaries, is one of the largest athletic footwear and apparel retailers in the world, operating 3,174 stores in 27 countries. The Foot Locker brand is one of the most widely recognized names in the markets in which we operate, epitomizing premium quality for the active lifestyle customer. We operate websites and mobile apps, aligned with the brand names of our store banners. Our sites offer some of the largest online selections of athletically inspired shoes and apparel, while providing a seamless link between e-commerce and physical stores. We also operate the websites for eastbay.com, final-score.com, and eastbayteamsales.com.</w:t>
      </w:r>
    </w:p>
    <w:p>
      <w:pPr>
        <w:spacing w:after="0" w:line="165" w:lineRule="exact"/>
        <w:rPr>
          <w:sz w:val="20"/>
          <w:szCs w:val="20"/>
          <w:color w:val="auto"/>
        </w:rPr>
      </w:pPr>
    </w:p>
    <w:p>
      <w:pPr>
        <w:jc w:val="both"/>
        <w:spacing w:after="0"/>
        <w:rPr>
          <w:sz w:val="20"/>
          <w:szCs w:val="20"/>
          <w:color w:val="auto"/>
        </w:rPr>
      </w:pPr>
      <w:r>
        <w:rPr>
          <w:rFonts w:ascii="Arial" w:cs="Arial" w:eastAsia="Arial" w:hAnsi="Arial"/>
          <w:sz w:val="18"/>
          <w:szCs w:val="18"/>
          <w:color w:val="auto"/>
        </w:rPr>
        <w:t>With its various marketing channels and experiences across North America, Europe, Asia, Australia, and New Zealand, the Company's purpose is to inspire and empower youth culture around the world, by fueling a shared passion for self-expression and creating unrivaled experiences at the heart of the sport and sneaker communities</w:t>
      </w:r>
      <w:r>
        <w:rPr>
          <w:rFonts w:ascii="Arial" w:cs="Arial" w:eastAsia="Arial" w:hAnsi="Arial"/>
          <w:sz w:val="17"/>
          <w:szCs w:val="17"/>
          <w:color w:val="auto"/>
        </w:rPr>
        <w: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Store Count</w:t>
      </w:r>
    </w:p>
    <w:p>
      <w:pPr>
        <w:spacing w:after="0" w:line="23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At August 3, 2019, we operated 3,174 stores as compared with 3,221 and 3,276 stores at February 2, 2019 and August 4, 2018, respectively.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Franchise Operations</w:t>
      </w:r>
    </w:p>
    <w:p>
      <w:pPr>
        <w:spacing w:after="0" w:line="230" w:lineRule="exact"/>
        <w:rPr>
          <w:sz w:val="20"/>
          <w:szCs w:val="20"/>
          <w:color w:val="auto"/>
        </w:rPr>
      </w:pPr>
    </w:p>
    <w:p>
      <w:pPr>
        <w:jc w:val="both"/>
        <w:spacing w:after="0"/>
        <w:rPr>
          <w:sz w:val="20"/>
          <w:szCs w:val="20"/>
          <w:color w:val="auto"/>
        </w:rPr>
      </w:pPr>
      <w:r>
        <w:rPr>
          <w:rFonts w:ascii="Arial" w:cs="Arial" w:eastAsia="Arial" w:hAnsi="Arial"/>
          <w:sz w:val="18"/>
          <w:szCs w:val="18"/>
          <w:color w:val="auto"/>
        </w:rPr>
        <w:t>A total of 133 franchised stores were operating at August 3, 2019, as compared with 122 and 117 stores at February 2, 2019 and August 4, 2018, respectively. Revenue from the franchised stores was not significant for any of the periods presented. These stores are not included in the operating store count above.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Measures</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addition to reporting the Company's financial results in accordance with generally accepted accounting principles (“GAAP”), the Company reports certain financial results that differ from what is reported under GAAP. We have presented certain financial measures identified as non-GAAP, such as sales changes excluding foreign currency fluctuations, adjusted income before income taxes, adjusted net income, and adjusted diluted earnings per share.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present certain amounts as excluding the effects of foreign currency fluctuations, which are also considered non-GAAP measures. Where amounts are expressed as excluding the effects of foreign currency fluctuations, such changes are determined by translating all amounts in both years using the prior-year average foreign exchange rates. Presenting amounts on a constant currency basis is useful to investors because it enables them to better understand the changes in our business that are not related to currency movements.</w:t>
      </w:r>
    </w:p>
    <w:p>
      <w:pPr>
        <w:spacing w:after="0" w:line="16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These non-GAAP measures are presented because we believe they assist investors in comparing our performance across reporting periods on a consistent basis by excluding items that we do not believe are indicative of our core business or affect comparability. In addition, these non-GAAP measures are useful in assessing our progress in achieving our long-term financial objectives. We estimate the tax effect of all non-GAAP adjustments by applying a marginal tax rate to each of the respective items. The income tax items represent the discrete amount that affected the period.</w:t>
      </w:r>
    </w:p>
    <w:p>
      <w:pPr>
        <w:spacing w:after="0" w:line="165"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non-GAAP financial information is provided in addition to, and not as an alternative to, our reported results prepared in accordance with GAAP. Presented below is a reconciliation of GAAP and non-GAAP results for the thirteen and twenty-six weeks ended August 3, 2019 and August 4, 2018, respectively.</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35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3"/>
          </w:tcPr>
          <w:p>
            <w:pPr>
              <w:jc w:val="right"/>
              <w:ind w:right="415"/>
              <w:spacing w:after="0"/>
              <w:rPr>
                <w:sz w:val="20"/>
                <w:szCs w:val="20"/>
                <w:color w:val="auto"/>
              </w:rPr>
            </w:pPr>
            <w:r>
              <w:rPr>
                <w:rFonts w:ascii="Arial" w:cs="Arial" w:eastAsia="Arial" w:hAnsi="Arial"/>
                <w:sz w:val="17"/>
                <w:szCs w:val="17"/>
                <w:b w:val="1"/>
                <w:bCs w:val="1"/>
                <w:color w:val="auto"/>
              </w:rPr>
              <w:t>Thirteen weeks ended</w:t>
            </w:r>
          </w:p>
        </w:tc>
        <w:tc>
          <w:tcPr>
            <w:tcW w:w="24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3"/>
          </w:tcPr>
          <w:p>
            <w:pPr>
              <w:jc w:val="right"/>
              <w:ind w:right="215"/>
              <w:spacing w:after="0"/>
              <w:rPr>
                <w:sz w:val="20"/>
                <w:szCs w:val="20"/>
                <w:color w:val="auto"/>
              </w:rPr>
            </w:pPr>
            <w:r>
              <w:rPr>
                <w:rFonts w:ascii="Arial" w:cs="Arial" w:eastAsia="Arial" w:hAnsi="Arial"/>
                <w:sz w:val="17"/>
                <w:szCs w:val="17"/>
                <w:b w:val="1"/>
                <w:bCs w:val="1"/>
                <w:color w:val="auto"/>
              </w:rPr>
              <w:t>Twenty-six weeks ended</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jc w:val="right"/>
              <w:ind w:right="195"/>
              <w:spacing w:after="0" w:line="157" w:lineRule="exact"/>
              <w:rPr>
                <w:sz w:val="20"/>
                <w:szCs w:val="20"/>
                <w:color w:val="auto"/>
              </w:rPr>
            </w:pPr>
            <w:r>
              <w:rPr>
                <w:rFonts w:ascii="Arial" w:cs="Arial" w:eastAsia="Arial" w:hAnsi="Arial"/>
                <w:sz w:val="17"/>
                <w:szCs w:val="17"/>
                <w:b w:val="1"/>
                <w:bCs w:val="1"/>
                <w:color w:val="auto"/>
              </w:rPr>
              <w:t>August 3,</w:t>
            </w:r>
          </w:p>
        </w:tc>
        <w:tc>
          <w:tcPr>
            <w:tcW w:w="280" w:type="dxa"/>
            <w:vAlign w:val="bottom"/>
          </w:tcPr>
          <w:p>
            <w:pPr>
              <w:spacing w:after="0"/>
              <w:rPr>
                <w:sz w:val="13"/>
                <w:szCs w:val="13"/>
                <w:color w:val="auto"/>
              </w:rPr>
            </w:pPr>
          </w:p>
        </w:tc>
        <w:tc>
          <w:tcPr>
            <w:tcW w:w="1140" w:type="dxa"/>
            <w:vAlign w:val="bottom"/>
          </w:tcPr>
          <w:p>
            <w:pPr>
              <w:jc w:val="right"/>
              <w:ind w:right="235"/>
              <w:spacing w:after="0" w:line="157" w:lineRule="exact"/>
              <w:rPr>
                <w:sz w:val="20"/>
                <w:szCs w:val="20"/>
                <w:color w:val="auto"/>
              </w:rPr>
            </w:pPr>
            <w:r>
              <w:rPr>
                <w:rFonts w:ascii="Arial" w:cs="Arial" w:eastAsia="Arial" w:hAnsi="Arial"/>
                <w:sz w:val="17"/>
                <w:szCs w:val="17"/>
                <w:b w:val="1"/>
                <w:bCs w:val="1"/>
                <w:color w:val="auto"/>
              </w:rPr>
              <w:t>August 4,</w:t>
            </w:r>
          </w:p>
        </w:tc>
        <w:tc>
          <w:tcPr>
            <w:tcW w:w="240" w:type="dxa"/>
            <w:vAlign w:val="bottom"/>
          </w:tcPr>
          <w:p>
            <w:pPr>
              <w:spacing w:after="0"/>
              <w:rPr>
                <w:sz w:val="13"/>
                <w:szCs w:val="13"/>
                <w:color w:val="auto"/>
              </w:rPr>
            </w:pPr>
          </w:p>
        </w:tc>
        <w:tc>
          <w:tcPr>
            <w:tcW w:w="1120" w:type="dxa"/>
            <w:vAlign w:val="bottom"/>
          </w:tcPr>
          <w:p>
            <w:pPr>
              <w:jc w:val="right"/>
              <w:ind w:right="195"/>
              <w:spacing w:after="0" w:line="157" w:lineRule="exact"/>
              <w:rPr>
                <w:sz w:val="20"/>
                <w:szCs w:val="20"/>
                <w:color w:val="auto"/>
              </w:rPr>
            </w:pPr>
            <w:r>
              <w:rPr>
                <w:rFonts w:ascii="Arial" w:cs="Arial" w:eastAsia="Arial" w:hAnsi="Arial"/>
                <w:sz w:val="17"/>
                <w:szCs w:val="17"/>
                <w:b w:val="1"/>
                <w:bCs w:val="1"/>
                <w:color w:val="auto"/>
              </w:rPr>
              <w:t>August 3,</w:t>
            </w:r>
          </w:p>
        </w:tc>
        <w:tc>
          <w:tcPr>
            <w:tcW w:w="260" w:type="dxa"/>
            <w:vAlign w:val="bottom"/>
          </w:tcPr>
          <w:p>
            <w:pPr>
              <w:spacing w:after="0"/>
              <w:rPr>
                <w:sz w:val="13"/>
                <w:szCs w:val="13"/>
                <w:color w:val="auto"/>
              </w:rPr>
            </w:pPr>
          </w:p>
        </w:tc>
        <w:tc>
          <w:tcPr>
            <w:tcW w:w="1040" w:type="dxa"/>
            <w:vAlign w:val="bottom"/>
          </w:tcPr>
          <w:p>
            <w:pPr>
              <w:jc w:val="right"/>
              <w:ind w:right="115"/>
              <w:spacing w:after="0" w:line="157" w:lineRule="exact"/>
              <w:rPr>
                <w:sz w:val="20"/>
                <w:szCs w:val="20"/>
                <w:color w:val="auto"/>
              </w:rPr>
            </w:pPr>
            <w:r>
              <w:rPr>
                <w:rFonts w:ascii="Arial" w:cs="Arial" w:eastAsia="Arial" w:hAnsi="Arial"/>
                <w:sz w:val="17"/>
                <w:szCs w:val="17"/>
                <w:b w:val="1"/>
                <w:bCs w:val="1"/>
                <w:color w:val="auto"/>
              </w:rPr>
              <w:t>August 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2019</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b w:val="1"/>
                <w:bCs w:val="1"/>
                <w:color w:val="auto"/>
              </w:rPr>
              <w:t>2018</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2019</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2018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00" w:type="dxa"/>
            <w:vAlign w:val="bottom"/>
            <w:gridSpan w:val="3"/>
          </w:tcPr>
          <w:p>
            <w:pPr>
              <w:jc w:val="right"/>
              <w:ind w:right="775"/>
              <w:spacing w:after="0" w:line="183" w:lineRule="exact"/>
              <w:rPr>
                <w:sz w:val="20"/>
                <w:szCs w:val="20"/>
                <w:color w:val="auto"/>
              </w:rPr>
            </w:pPr>
            <w:r>
              <w:rPr>
                <w:rFonts w:ascii="Arial" w:cs="Arial" w:eastAsia="Arial" w:hAnsi="Arial"/>
                <w:sz w:val="17"/>
                <w:szCs w:val="17"/>
                <w:color w:val="auto"/>
              </w:rPr>
              <w:t>($ in millions)</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8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Pre-tax income:</w:t>
            </w: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80" w:type="dxa"/>
            <w:vAlign w:val="bottom"/>
          </w:tcPr>
          <w:p>
            <w:pPr>
              <w:spacing w:after="0" w:line="189" w:lineRule="exact"/>
              <w:rPr>
                <w:sz w:val="20"/>
                <w:szCs w:val="20"/>
                <w:color w:val="auto"/>
              </w:rPr>
            </w:pPr>
            <w:r>
              <w:rPr>
                <w:rFonts w:ascii="Arial" w:cs="Arial" w:eastAsia="Arial" w:hAnsi="Arial"/>
                <w:sz w:val="17"/>
                <w:szCs w:val="17"/>
                <w:color w:val="auto"/>
              </w:rPr>
              <w:t>Income before income taxes</w:t>
            </w:r>
          </w:p>
        </w:tc>
        <w:tc>
          <w:tcPr>
            <w:tcW w:w="28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10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85</w:t>
            </w:r>
          </w:p>
        </w:tc>
        <w:tc>
          <w:tcPr>
            <w:tcW w:w="28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140" w:type="dxa"/>
            <w:vAlign w:val="bottom"/>
          </w:tcPr>
          <w:p>
            <w:pPr>
              <w:jc w:val="right"/>
              <w:ind w:right="75"/>
              <w:spacing w:after="0" w:line="189" w:lineRule="exact"/>
              <w:rPr>
                <w:sz w:val="20"/>
                <w:szCs w:val="20"/>
                <w:color w:val="auto"/>
              </w:rPr>
            </w:pPr>
            <w:r>
              <w:rPr>
                <w:rFonts w:ascii="Arial" w:cs="Arial" w:eastAsia="Arial" w:hAnsi="Arial"/>
                <w:sz w:val="17"/>
                <w:szCs w:val="17"/>
                <w:color w:val="auto"/>
              </w:rPr>
              <w:t>115</w:t>
            </w:r>
          </w:p>
        </w:tc>
        <w:tc>
          <w:tcPr>
            <w:tcW w:w="24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12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319</w:t>
            </w:r>
          </w:p>
        </w:tc>
        <w:tc>
          <w:tcPr>
            <w:tcW w:w="26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040" w:type="dxa"/>
            <w:vAlign w:val="bottom"/>
          </w:tcPr>
          <w:p>
            <w:pPr>
              <w:jc w:val="right"/>
              <w:spacing w:after="0" w:line="189" w:lineRule="exact"/>
              <w:rPr>
                <w:sz w:val="20"/>
                <w:szCs w:val="20"/>
                <w:color w:val="auto"/>
              </w:rPr>
            </w:pPr>
            <w:r>
              <w:rPr>
                <w:rFonts w:ascii="Arial" w:cs="Arial" w:eastAsia="Arial" w:hAnsi="Arial"/>
                <w:sz w:val="17"/>
                <w:szCs w:val="17"/>
                <w:color w:val="auto"/>
              </w:rPr>
              <w:t>344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Pre-tax amounts excluded from GAAP:</w:t>
            </w: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80" w:type="dxa"/>
            <w:vAlign w:val="bottom"/>
            <w:tcBorders>
              <w:bottom w:val="single" w:sz="8" w:color="auto"/>
            </w:tcBorders>
          </w:tcPr>
          <w:p>
            <w:pPr>
              <w:ind w:left="200"/>
              <w:spacing w:after="0" w:line="189" w:lineRule="exact"/>
              <w:rPr>
                <w:sz w:val="20"/>
                <w:szCs w:val="20"/>
                <w:color w:val="auto"/>
              </w:rPr>
            </w:pPr>
            <w:r>
              <w:rPr>
                <w:rFonts w:ascii="Arial" w:cs="Arial" w:eastAsia="Arial" w:hAnsi="Arial"/>
                <w:sz w:val="17"/>
                <w:szCs w:val="17"/>
                <w:color w:val="auto"/>
              </w:rPr>
              <w:t>Litigation and other charges</w:t>
            </w: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b w:val="1"/>
                <w:bCs w:val="1"/>
                <w:color w:val="auto"/>
              </w:rPr>
              <w:t>14</w:t>
            </w: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rPr>
              <w:t>3</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b w:val="1"/>
                <w:bCs w:val="1"/>
                <w:color w:val="auto"/>
              </w:rPr>
              <w:t>15</w:t>
            </w: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58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rPr>
              <w:t>Adjusted income before income taxes (non-</w:t>
            </w: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00" w:type="dxa"/>
            <w:vAlign w:val="bottom"/>
            <w:vMerge w:val="restart"/>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99</w:t>
            </w: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20" w:type="dxa"/>
            <w:vAlign w:val="bottom"/>
            <w:vMerge w:val="restart"/>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334</w:t>
            </w: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5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7"/>
                <w:szCs w:val="17"/>
                <w:color w:val="auto"/>
              </w:rPr>
              <w:t>GAAP)</w:t>
            </w:r>
          </w:p>
        </w:tc>
        <w:tc>
          <w:tcPr>
            <w:tcW w:w="280" w:type="dxa"/>
            <w:vAlign w:val="bottom"/>
            <w:tcBorders>
              <w:bottom w:val="single" w:sz="8" w:color="auto"/>
            </w:tcBorders>
            <w:vMerge w:val="continue"/>
            <w:shd w:val="clear" w:color="auto" w:fill="CCEEFF"/>
          </w:tcPr>
          <w:p>
            <w:pPr>
              <w:spacing w:after="0"/>
              <w:rPr>
                <w:sz w:val="16"/>
                <w:szCs w:val="16"/>
                <w:color w:val="auto"/>
              </w:rPr>
            </w:pPr>
          </w:p>
        </w:tc>
        <w:tc>
          <w:tcPr>
            <w:tcW w:w="1100" w:type="dxa"/>
            <w:vAlign w:val="bottom"/>
            <w:tcBorders>
              <w:bottom w:val="single" w:sz="8" w:color="auto"/>
            </w:tcBorders>
            <w:vMerge w:val="continue"/>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118</w:t>
            </w:r>
          </w:p>
        </w:tc>
        <w:tc>
          <w:tcPr>
            <w:tcW w:w="240" w:type="dxa"/>
            <w:vAlign w:val="bottom"/>
            <w:tcBorders>
              <w:bottom w:val="single" w:sz="8" w:color="auto"/>
            </w:tcBorders>
            <w:vMerge w:val="continue"/>
            <w:shd w:val="clear" w:color="auto" w:fill="CCEEFF"/>
          </w:tcPr>
          <w:p>
            <w:pPr>
              <w:spacing w:after="0"/>
              <w:rPr>
                <w:sz w:val="16"/>
                <w:szCs w:val="16"/>
                <w:color w:val="auto"/>
              </w:rPr>
            </w:pPr>
          </w:p>
        </w:tc>
        <w:tc>
          <w:tcPr>
            <w:tcW w:w="1120" w:type="dxa"/>
            <w:vAlign w:val="bottom"/>
            <w:tcBorders>
              <w:bottom w:val="single" w:sz="8" w:color="auto"/>
            </w:tcBorders>
            <w:vMerge w:val="continue"/>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vMerge w:val="restart"/>
          </w:tcPr>
          <w:p>
            <w:pPr>
              <w:spacing w:after="0"/>
              <w:rPr>
                <w:sz w:val="14"/>
                <w:szCs w:val="14"/>
                <w:color w:val="auto"/>
              </w:rPr>
            </w:pPr>
          </w:p>
        </w:tc>
        <w:tc>
          <w:tcPr>
            <w:tcW w:w="3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58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After-tax income:</w:t>
            </w: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80" w:type="dxa"/>
            <w:vAlign w:val="bottom"/>
          </w:tcPr>
          <w:p>
            <w:pPr>
              <w:spacing w:after="0" w:line="189" w:lineRule="exact"/>
              <w:rPr>
                <w:sz w:val="20"/>
                <w:szCs w:val="20"/>
                <w:color w:val="auto"/>
              </w:rPr>
            </w:pPr>
            <w:r>
              <w:rPr>
                <w:rFonts w:ascii="Arial" w:cs="Arial" w:eastAsia="Arial" w:hAnsi="Arial"/>
                <w:sz w:val="17"/>
                <w:szCs w:val="17"/>
                <w:color w:val="auto"/>
              </w:rPr>
              <w:t>Net income</w:t>
            </w:r>
          </w:p>
        </w:tc>
        <w:tc>
          <w:tcPr>
            <w:tcW w:w="28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10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60</w:t>
            </w:r>
          </w:p>
        </w:tc>
        <w:tc>
          <w:tcPr>
            <w:tcW w:w="28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140" w:type="dxa"/>
            <w:vAlign w:val="bottom"/>
          </w:tcPr>
          <w:p>
            <w:pPr>
              <w:jc w:val="right"/>
              <w:ind w:right="75"/>
              <w:spacing w:after="0" w:line="189" w:lineRule="exact"/>
              <w:rPr>
                <w:sz w:val="20"/>
                <w:szCs w:val="20"/>
                <w:color w:val="auto"/>
              </w:rPr>
            </w:pPr>
            <w:r>
              <w:rPr>
                <w:rFonts w:ascii="Arial" w:cs="Arial" w:eastAsia="Arial" w:hAnsi="Arial"/>
                <w:sz w:val="17"/>
                <w:szCs w:val="17"/>
                <w:color w:val="auto"/>
              </w:rPr>
              <w:t>88</w:t>
            </w:r>
          </w:p>
        </w:tc>
        <w:tc>
          <w:tcPr>
            <w:tcW w:w="24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12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232</w:t>
            </w:r>
          </w:p>
        </w:tc>
        <w:tc>
          <w:tcPr>
            <w:tcW w:w="26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040" w:type="dxa"/>
            <w:vAlign w:val="bottom"/>
          </w:tcPr>
          <w:p>
            <w:pPr>
              <w:jc w:val="right"/>
              <w:spacing w:after="0" w:line="189" w:lineRule="exact"/>
              <w:rPr>
                <w:sz w:val="20"/>
                <w:szCs w:val="20"/>
                <w:color w:val="auto"/>
              </w:rPr>
            </w:pPr>
            <w:r>
              <w:rPr>
                <w:rFonts w:ascii="Arial" w:cs="Arial" w:eastAsia="Arial" w:hAnsi="Arial"/>
                <w:sz w:val="17"/>
                <w:szCs w:val="17"/>
                <w:color w:val="auto"/>
              </w:rPr>
              <w:t>253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After-tax adjustments excluded from GAAP:</w:t>
            </w: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580" w:type="dxa"/>
            <w:vAlign w:val="bottom"/>
          </w:tcPr>
          <w:p>
            <w:pPr>
              <w:ind w:left="220"/>
              <w:spacing w:after="0" w:line="183" w:lineRule="exact"/>
              <w:rPr>
                <w:sz w:val="20"/>
                <w:szCs w:val="20"/>
                <w:color w:val="auto"/>
              </w:rPr>
            </w:pPr>
            <w:r>
              <w:rPr>
                <w:rFonts w:ascii="Arial" w:cs="Arial" w:eastAsia="Arial" w:hAnsi="Arial"/>
                <w:sz w:val="17"/>
                <w:szCs w:val="17"/>
                <w:color w:val="auto"/>
              </w:rPr>
              <w:t>Litigation and other charges, net of income</w:t>
            </w: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80" w:type="dxa"/>
            <w:vAlign w:val="bottom"/>
          </w:tcPr>
          <w:p>
            <w:pPr>
              <w:ind w:left="380"/>
              <w:spacing w:after="0" w:line="189" w:lineRule="exact"/>
              <w:rPr>
                <w:sz w:val="20"/>
                <w:szCs w:val="20"/>
                <w:color w:val="auto"/>
              </w:rPr>
            </w:pPr>
            <w:r>
              <w:rPr>
                <w:rFonts w:ascii="Arial" w:cs="Arial" w:eastAsia="Arial" w:hAnsi="Arial"/>
                <w:sz w:val="17"/>
                <w:szCs w:val="17"/>
                <w:color w:val="auto"/>
              </w:rPr>
              <w:t>tax benefit of $4, $1, $4, and $4 million,</w:t>
            </w:r>
          </w:p>
        </w:tc>
        <w:tc>
          <w:tcPr>
            <w:tcW w:w="280" w:type="dxa"/>
            <w:vAlign w:val="bottom"/>
          </w:tcPr>
          <w:p>
            <w:pPr>
              <w:spacing w:after="0"/>
              <w:rPr>
                <w:sz w:val="16"/>
                <w:szCs w:val="16"/>
                <w:color w:val="auto"/>
              </w:rPr>
            </w:pPr>
          </w:p>
        </w:tc>
        <w:tc>
          <w:tcPr>
            <w:tcW w:w="1100" w:type="dxa"/>
            <w:vAlign w:val="bottom"/>
            <w:vMerge w:val="restart"/>
          </w:tcPr>
          <w:p>
            <w:pPr>
              <w:jc w:val="right"/>
              <w:ind w:right="55"/>
              <w:spacing w:after="0"/>
              <w:rPr>
                <w:sz w:val="20"/>
                <w:szCs w:val="20"/>
                <w:color w:val="auto"/>
              </w:rPr>
            </w:pPr>
            <w:r>
              <w:rPr>
                <w:rFonts w:ascii="Arial" w:cs="Arial" w:eastAsia="Arial" w:hAnsi="Arial"/>
                <w:sz w:val="17"/>
                <w:szCs w:val="17"/>
                <w:b w:val="1"/>
                <w:bCs w:val="1"/>
                <w:color w:val="auto"/>
              </w:rPr>
              <w:t>10</w:t>
            </w: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vMerge w:val="restart"/>
          </w:tcPr>
          <w:p>
            <w:pPr>
              <w:jc w:val="right"/>
              <w:ind w:right="55"/>
              <w:spacing w:after="0"/>
              <w:rPr>
                <w:sz w:val="20"/>
                <w:szCs w:val="20"/>
                <w:color w:val="auto"/>
              </w:rPr>
            </w:pPr>
            <w:r>
              <w:rPr>
                <w:rFonts w:ascii="Arial" w:cs="Arial" w:eastAsia="Arial" w:hAnsi="Arial"/>
                <w:sz w:val="17"/>
                <w:szCs w:val="17"/>
                <w:b w:val="1"/>
                <w:bCs w:val="1"/>
                <w:color w:val="auto"/>
              </w:rPr>
              <w:t>11</w:t>
            </w: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580" w:type="dxa"/>
            <w:vAlign w:val="bottom"/>
          </w:tcPr>
          <w:p>
            <w:pPr>
              <w:ind w:left="380"/>
              <w:spacing w:after="0"/>
              <w:rPr>
                <w:sz w:val="20"/>
                <w:szCs w:val="20"/>
                <w:color w:val="auto"/>
              </w:rPr>
            </w:pPr>
            <w:r>
              <w:rPr>
                <w:rFonts w:ascii="Arial" w:cs="Arial" w:eastAsia="Arial" w:hAnsi="Arial"/>
                <w:sz w:val="17"/>
                <w:szCs w:val="17"/>
                <w:color w:val="auto"/>
              </w:rPr>
              <w:t>respectively</w:t>
            </w:r>
          </w:p>
        </w:tc>
        <w:tc>
          <w:tcPr>
            <w:tcW w:w="2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ind w:right="75"/>
              <w:spacing w:after="0"/>
              <w:rPr>
                <w:sz w:val="20"/>
                <w:szCs w:val="20"/>
                <w:color w:val="auto"/>
              </w:rPr>
            </w:pPr>
            <w:r>
              <w:rPr>
                <w:rFonts w:ascii="Arial" w:cs="Arial" w:eastAsia="Arial" w:hAnsi="Arial"/>
                <w:sz w:val="17"/>
                <w:szCs w:val="17"/>
                <w:color w:val="auto"/>
              </w:rPr>
              <w:t>2</w:t>
            </w:r>
          </w:p>
        </w:tc>
        <w:tc>
          <w:tcPr>
            <w:tcW w:w="2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8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color w:val="auto"/>
              </w:rPr>
              <w:t>U.S. tax reform</w:t>
            </w: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2</w:t>
            </w: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(1)</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2</w:t>
            </w: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580" w:type="dxa"/>
            <w:vAlign w:val="bottom"/>
          </w:tcPr>
          <w:p>
            <w:pPr>
              <w:ind w:left="220"/>
              <w:spacing w:after="0" w:line="183" w:lineRule="exact"/>
              <w:rPr>
                <w:sz w:val="20"/>
                <w:szCs w:val="20"/>
                <w:color w:val="auto"/>
              </w:rPr>
            </w:pPr>
            <w:r>
              <w:rPr>
                <w:rFonts w:ascii="Arial" w:cs="Arial" w:eastAsia="Arial" w:hAnsi="Arial"/>
                <w:sz w:val="17"/>
                <w:szCs w:val="17"/>
                <w:color w:val="auto"/>
              </w:rPr>
              <w:t>Tax benefit related to enacted change in</w:t>
            </w:r>
          </w:p>
        </w:tc>
        <w:tc>
          <w:tcPr>
            <w:tcW w:w="280" w:type="dxa"/>
            <w:vAlign w:val="bottom"/>
          </w:tcPr>
          <w:p>
            <w:pPr>
              <w:spacing w:after="0"/>
              <w:rPr>
                <w:sz w:val="15"/>
                <w:szCs w:val="15"/>
                <w:color w:val="auto"/>
              </w:rPr>
            </w:pPr>
          </w:p>
        </w:tc>
        <w:tc>
          <w:tcPr>
            <w:tcW w:w="1100" w:type="dxa"/>
            <w:vAlign w:val="bottom"/>
            <w:vMerge w:val="restart"/>
          </w:tcPr>
          <w:p>
            <w:pPr>
              <w:jc w:val="right"/>
              <w:ind w:right="55"/>
              <w:spacing w:after="0"/>
              <w:rPr>
                <w:sz w:val="20"/>
                <w:szCs w:val="20"/>
                <w:color w:val="auto"/>
              </w:rPr>
            </w:pPr>
            <w:r>
              <w:rPr>
                <w:rFonts w:ascii="Arial" w:cs="Arial" w:eastAsia="Arial" w:hAnsi="Arial"/>
                <w:sz w:val="17"/>
                <w:szCs w:val="17"/>
                <w:b w:val="1"/>
                <w:bCs w:val="1"/>
                <w:color w:val="auto"/>
              </w:rPr>
              <w:t>—</w:t>
            </w: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vMerge w:val="restart"/>
          </w:tcPr>
          <w:p>
            <w:pPr>
              <w:jc w:val="right"/>
              <w:ind w:right="55"/>
              <w:spacing w:after="0"/>
              <w:rPr>
                <w:sz w:val="20"/>
                <w:szCs w:val="20"/>
                <w:color w:val="auto"/>
              </w:rPr>
            </w:pPr>
            <w:r>
              <w:rPr>
                <w:rFonts w:ascii="Arial" w:cs="Arial" w:eastAsia="Arial" w:hAnsi="Arial"/>
                <w:sz w:val="17"/>
                <w:szCs w:val="17"/>
                <w:b w:val="1"/>
                <w:bCs w:val="1"/>
                <w:color w:val="auto"/>
              </w:rPr>
              <w:t>—</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580" w:type="dxa"/>
            <w:vAlign w:val="bottom"/>
            <w:tcBorders>
              <w:bottom w:val="single" w:sz="8" w:color="auto"/>
            </w:tcBorders>
          </w:tcPr>
          <w:p>
            <w:pPr>
              <w:ind w:left="380"/>
              <w:spacing w:after="0"/>
              <w:rPr>
                <w:sz w:val="20"/>
                <w:szCs w:val="20"/>
                <w:color w:val="auto"/>
              </w:rPr>
            </w:pPr>
            <w:r>
              <w:rPr>
                <w:rFonts w:ascii="Arial" w:cs="Arial" w:eastAsia="Arial" w:hAnsi="Arial"/>
                <w:sz w:val="17"/>
                <w:szCs w:val="17"/>
                <w:color w:val="auto"/>
              </w:rPr>
              <w:t>foreign branch currency regulations</w:t>
            </w: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58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Adjusted net income (non-GAAP)</w:t>
            </w:r>
          </w:p>
        </w:tc>
        <w:tc>
          <w:tcPr>
            <w:tcW w:w="2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72</w:t>
            </w:r>
          </w:p>
        </w:tc>
        <w:tc>
          <w:tcPr>
            <w:tcW w:w="2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88</w:t>
            </w:r>
          </w:p>
        </w:tc>
        <w:tc>
          <w:tcPr>
            <w:tcW w:w="2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2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245</w:t>
            </w:r>
          </w:p>
        </w:tc>
        <w:tc>
          <w:tcPr>
            <w:tcW w:w="2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262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vMerge w:val="restart"/>
          </w:tcPr>
          <w:p>
            <w:pPr>
              <w:spacing w:after="0"/>
              <w:rPr>
                <w:sz w:val="14"/>
                <w:szCs w:val="14"/>
                <w:color w:val="auto"/>
              </w:rPr>
            </w:pPr>
          </w:p>
        </w:tc>
        <w:tc>
          <w:tcPr>
            <w:tcW w:w="3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58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Earnings per share:</w:t>
            </w: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80" w:type="dxa"/>
            <w:vAlign w:val="bottom"/>
          </w:tcPr>
          <w:p>
            <w:pPr>
              <w:spacing w:after="0" w:line="189" w:lineRule="exact"/>
              <w:rPr>
                <w:sz w:val="20"/>
                <w:szCs w:val="20"/>
                <w:color w:val="auto"/>
              </w:rPr>
            </w:pPr>
            <w:r>
              <w:rPr>
                <w:rFonts w:ascii="Arial" w:cs="Arial" w:eastAsia="Arial" w:hAnsi="Arial"/>
                <w:sz w:val="17"/>
                <w:szCs w:val="17"/>
                <w:color w:val="auto"/>
              </w:rPr>
              <w:t>Diluted EPS</w:t>
            </w:r>
          </w:p>
        </w:tc>
        <w:tc>
          <w:tcPr>
            <w:tcW w:w="28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10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0.55</w:t>
            </w:r>
          </w:p>
        </w:tc>
        <w:tc>
          <w:tcPr>
            <w:tcW w:w="28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140" w:type="dxa"/>
            <w:vAlign w:val="bottom"/>
          </w:tcPr>
          <w:p>
            <w:pPr>
              <w:jc w:val="right"/>
              <w:ind w:right="75"/>
              <w:spacing w:after="0" w:line="189" w:lineRule="exact"/>
              <w:rPr>
                <w:sz w:val="20"/>
                <w:szCs w:val="20"/>
                <w:color w:val="auto"/>
              </w:rPr>
            </w:pPr>
            <w:r>
              <w:rPr>
                <w:rFonts w:ascii="Arial" w:cs="Arial" w:eastAsia="Arial" w:hAnsi="Arial"/>
                <w:sz w:val="17"/>
                <w:szCs w:val="17"/>
                <w:color w:val="auto"/>
              </w:rPr>
              <w:t>0.75</w:t>
            </w:r>
          </w:p>
        </w:tc>
        <w:tc>
          <w:tcPr>
            <w:tcW w:w="24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12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2.08</w:t>
            </w:r>
          </w:p>
        </w:tc>
        <w:tc>
          <w:tcPr>
            <w:tcW w:w="26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7"/>
                <w:szCs w:val="17"/>
                <w:color w:val="auto"/>
              </w:rPr>
              <w:t>2.14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Diluted EPS amounts excluded from GAAP:</w:t>
            </w: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80" w:type="dxa"/>
            <w:vAlign w:val="bottom"/>
          </w:tcPr>
          <w:p>
            <w:pPr>
              <w:ind w:left="200"/>
              <w:spacing w:after="0" w:line="189" w:lineRule="exact"/>
              <w:rPr>
                <w:sz w:val="20"/>
                <w:szCs w:val="20"/>
                <w:color w:val="auto"/>
              </w:rPr>
            </w:pPr>
            <w:r>
              <w:rPr>
                <w:rFonts w:ascii="Arial" w:cs="Arial" w:eastAsia="Arial" w:hAnsi="Arial"/>
                <w:sz w:val="17"/>
                <w:szCs w:val="17"/>
                <w:color w:val="auto"/>
              </w:rPr>
              <w:t>Litigation and other charges</w:t>
            </w:r>
          </w:p>
        </w:tc>
        <w:tc>
          <w:tcPr>
            <w:tcW w:w="280" w:type="dxa"/>
            <w:vAlign w:val="bottom"/>
          </w:tcPr>
          <w:p>
            <w:pPr>
              <w:spacing w:after="0"/>
              <w:rPr>
                <w:sz w:val="16"/>
                <w:szCs w:val="16"/>
                <w:color w:val="auto"/>
              </w:rPr>
            </w:pPr>
          </w:p>
        </w:tc>
        <w:tc>
          <w:tcPr>
            <w:tcW w:w="110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0.09</w:t>
            </w:r>
          </w:p>
        </w:tc>
        <w:tc>
          <w:tcPr>
            <w:tcW w:w="280" w:type="dxa"/>
            <w:vAlign w:val="bottom"/>
          </w:tcPr>
          <w:p>
            <w:pPr>
              <w:spacing w:after="0"/>
              <w:rPr>
                <w:sz w:val="16"/>
                <w:szCs w:val="16"/>
                <w:color w:val="auto"/>
              </w:rPr>
            </w:pPr>
          </w:p>
        </w:tc>
        <w:tc>
          <w:tcPr>
            <w:tcW w:w="1140" w:type="dxa"/>
            <w:vAlign w:val="bottom"/>
          </w:tcPr>
          <w:p>
            <w:pPr>
              <w:jc w:val="right"/>
              <w:ind w:right="75"/>
              <w:spacing w:after="0" w:line="189" w:lineRule="exact"/>
              <w:rPr>
                <w:sz w:val="20"/>
                <w:szCs w:val="20"/>
                <w:color w:val="auto"/>
              </w:rPr>
            </w:pPr>
            <w:r>
              <w:rPr>
                <w:rFonts w:ascii="Arial" w:cs="Arial" w:eastAsia="Arial" w:hAnsi="Arial"/>
                <w:sz w:val="17"/>
                <w:szCs w:val="17"/>
                <w:color w:val="auto"/>
              </w:rPr>
              <w:t>0.02</w:t>
            </w:r>
          </w:p>
        </w:tc>
        <w:tc>
          <w:tcPr>
            <w:tcW w:w="240" w:type="dxa"/>
            <w:vAlign w:val="bottom"/>
          </w:tcPr>
          <w:p>
            <w:pPr>
              <w:spacing w:after="0"/>
              <w:rPr>
                <w:sz w:val="16"/>
                <w:szCs w:val="16"/>
                <w:color w:val="auto"/>
              </w:rPr>
            </w:pPr>
          </w:p>
        </w:tc>
        <w:tc>
          <w:tcPr>
            <w:tcW w:w="112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0.10</w:t>
            </w:r>
          </w:p>
        </w:tc>
        <w:tc>
          <w:tcPr>
            <w:tcW w:w="26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7"/>
                <w:szCs w:val="17"/>
                <w:color w:val="auto"/>
              </w:rPr>
              <w:t>0.09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8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color w:val="auto"/>
              </w:rPr>
              <w:t>U.S. tax reform</w:t>
            </w: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0.02</w:t>
            </w: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(0.01)</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0.02</w:t>
            </w: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(0.01)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580" w:type="dxa"/>
            <w:vAlign w:val="bottom"/>
          </w:tcPr>
          <w:p>
            <w:pPr>
              <w:ind w:left="220"/>
              <w:spacing w:after="0" w:line="183" w:lineRule="exact"/>
              <w:rPr>
                <w:sz w:val="20"/>
                <w:szCs w:val="20"/>
                <w:color w:val="auto"/>
              </w:rPr>
            </w:pPr>
            <w:r>
              <w:rPr>
                <w:rFonts w:ascii="Arial" w:cs="Arial" w:eastAsia="Arial" w:hAnsi="Arial"/>
                <w:sz w:val="17"/>
                <w:szCs w:val="17"/>
                <w:color w:val="auto"/>
              </w:rPr>
              <w:t>Tax benefit related to enacted change in</w:t>
            </w:r>
          </w:p>
        </w:tc>
        <w:tc>
          <w:tcPr>
            <w:tcW w:w="280" w:type="dxa"/>
            <w:vAlign w:val="bottom"/>
          </w:tcPr>
          <w:p>
            <w:pPr>
              <w:spacing w:after="0"/>
              <w:rPr>
                <w:sz w:val="15"/>
                <w:szCs w:val="15"/>
                <w:color w:val="auto"/>
              </w:rPr>
            </w:pPr>
          </w:p>
        </w:tc>
        <w:tc>
          <w:tcPr>
            <w:tcW w:w="1100" w:type="dxa"/>
            <w:vAlign w:val="bottom"/>
            <w:vMerge w:val="restart"/>
          </w:tcPr>
          <w:p>
            <w:pPr>
              <w:jc w:val="right"/>
              <w:ind w:right="55"/>
              <w:spacing w:after="0"/>
              <w:rPr>
                <w:sz w:val="20"/>
                <w:szCs w:val="20"/>
                <w:color w:val="auto"/>
              </w:rPr>
            </w:pPr>
            <w:r>
              <w:rPr>
                <w:rFonts w:ascii="Arial" w:cs="Arial" w:eastAsia="Arial" w:hAnsi="Arial"/>
                <w:sz w:val="17"/>
                <w:szCs w:val="17"/>
                <w:b w:val="1"/>
                <w:bCs w:val="1"/>
                <w:color w:val="auto"/>
              </w:rPr>
              <w:t>—</w:t>
            </w: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vMerge w:val="restart"/>
          </w:tcPr>
          <w:p>
            <w:pPr>
              <w:jc w:val="right"/>
              <w:ind w:right="55"/>
              <w:spacing w:after="0"/>
              <w:rPr>
                <w:sz w:val="20"/>
                <w:szCs w:val="20"/>
                <w:color w:val="auto"/>
              </w:rPr>
            </w:pPr>
            <w:r>
              <w:rPr>
                <w:rFonts w:ascii="Arial" w:cs="Arial" w:eastAsia="Arial" w:hAnsi="Arial"/>
                <w:sz w:val="17"/>
                <w:szCs w:val="17"/>
                <w:b w:val="1"/>
                <w:bCs w:val="1"/>
                <w:color w:val="auto"/>
              </w:rPr>
              <w:t>—</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580" w:type="dxa"/>
            <w:vAlign w:val="bottom"/>
            <w:tcBorders>
              <w:bottom w:val="single" w:sz="8" w:color="auto"/>
            </w:tcBorders>
          </w:tcPr>
          <w:p>
            <w:pPr>
              <w:ind w:left="380"/>
              <w:spacing w:after="0"/>
              <w:rPr>
                <w:sz w:val="20"/>
                <w:szCs w:val="20"/>
                <w:color w:val="auto"/>
              </w:rPr>
            </w:pPr>
            <w:r>
              <w:rPr>
                <w:rFonts w:ascii="Arial" w:cs="Arial" w:eastAsia="Arial" w:hAnsi="Arial"/>
                <w:sz w:val="17"/>
                <w:szCs w:val="17"/>
                <w:color w:val="auto"/>
              </w:rPr>
              <w:t>foreign branch currency regulations</w:t>
            </w: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(0.01)</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58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Adjusted diluted EPS (non-GAAP)</w:t>
            </w:r>
          </w:p>
        </w:tc>
        <w:tc>
          <w:tcPr>
            <w:tcW w:w="2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0.66</w:t>
            </w:r>
          </w:p>
        </w:tc>
        <w:tc>
          <w:tcPr>
            <w:tcW w:w="2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0.75</w:t>
            </w:r>
          </w:p>
        </w:tc>
        <w:tc>
          <w:tcPr>
            <w:tcW w:w="2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2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2.20</w:t>
            </w:r>
          </w:p>
        </w:tc>
        <w:tc>
          <w:tcPr>
            <w:tcW w:w="2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2.21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Company recorded pre-tax charges of $1 million and $3 million for the thirteen weeks ended August 3, 2019 and August 4, 2018, respectively, related to a pension litigation matter and related plan reformation. For the twenty-six weeks ended August 3, 2019 and August 4, 2018, the Company recorded pre-tax charges of $ 2 million and $15 million, respectively. The charges in the current periods reflect professional fees in connection with the plan reformation. The prior year charges reflected adjustments to the value of the judgment and interest that continued to accrue, as required by the provisions of the required plan reformation.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For the thirteen weeks ended August 3, 2019, the Company incurred $13 million of lease termination costs related to the closure of certain of its SIX:02 locations.</w:t>
      </w:r>
    </w:p>
    <w:p>
      <w:pPr>
        <w:spacing w:after="0" w:line="19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connection with tax reform, the Company recorded a charge for $2 million and a benefit of $1 million for the thirteen weeks ended August 3, 2019 and August 4, 2018, respectively. The charge recorded during the second quarter of 2019 reflected an adjustment to U.S. tax on foreign income. The benefit recorded in the prior-year period, reflected a revision to the provisional amounts recorded during the fourth quarter of 2017.</w:t>
      </w:r>
    </w:p>
    <w:p>
      <w:pPr>
        <w:spacing w:after="0" w:line="20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During the second quarter of 2018, the U.S. Treasury issued a notice that delayed the effective date of regulations under Internal Revenue Code Section 987. These regulations, which were promulgated in December 2016, changed our method for determining the tax effects of foreign currency translation gains and losses for our foreign businesses that are operated as branches and are reported in a currency other than the currency of their parent. As a result of the delay in the effective date, the Company updated its calculations for the effect of these regulations, which resulted in an increase to deferred tax assets and a corresponding reduction in our income tax provision in the amount of $1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234"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We identify our operating segments according to how our business activities are managed and evaluated by our chief operating decision maker, our CEO.</w:t>
      </w:r>
    </w:p>
    <w:p>
      <w:pPr>
        <w:spacing w:after="0" w:line="197" w:lineRule="exact"/>
        <w:rPr>
          <w:sz w:val="20"/>
          <w:szCs w:val="20"/>
          <w:color w:val="auto"/>
        </w:rPr>
      </w:pPr>
    </w:p>
    <w:p>
      <w:pPr>
        <w:jc w:val="both"/>
        <w:spacing w:after="0"/>
        <w:rPr>
          <w:sz w:val="20"/>
          <w:szCs w:val="20"/>
          <w:color w:val="auto"/>
        </w:rPr>
      </w:pPr>
      <w:r>
        <w:rPr>
          <w:rFonts w:ascii="Arial" w:cs="Arial" w:eastAsia="Arial" w:hAnsi="Arial"/>
          <w:sz w:val="18"/>
          <w:szCs w:val="18"/>
          <w:color w:val="auto"/>
        </w:rPr>
        <w:t>Beginning in 2018, the Company changed its organizational and internal reporting structure in order to execute our omni-channel strategy. This change resulted in the combination of our stores and direct-to-customers financial results.</w:t>
      </w:r>
    </w:p>
    <w:p>
      <w:pPr>
        <w:spacing w:after="0" w:line="20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Effective as of 2019, the Company has determined that it has three operating segments, North America, EMEA, and Asia Pacific. Our North America operating segment includes the results of the following banners operating in the U.S. and Canada: Foot Locker, Kids Foot Locker, Lady Foot Locker, Champs Sports, Footaction, and SIX:02, including each of their related e-commerce businesses, as well as our Eastbay business that includes internet, catalog, and team sales. Our EMEA operating segment includes the results of the following banners operating in Europe: Foot Locker, Runners Point, Sidestep, and Kids Foot Locker, including each of their related e-commerce businesses. Our Asia Pacific operating segment includes the results of Foot Locker and Kids Foot Locker and the related e-commerce businesses, as applicable, operating in Australia, New Zealand, and Asia. We have further aggregated these operating segments into one reportable segment based upon their shared customer base and similar economic characteristics. Please see Item 1. “Financial Statements,” Note 3, </w:t>
      </w:r>
      <w:r>
        <w:rPr>
          <w:rFonts w:ascii="Arial" w:cs="Arial" w:eastAsia="Arial" w:hAnsi="Arial"/>
          <w:sz w:val="18"/>
          <w:szCs w:val="18"/>
          <w:i w:val="1"/>
          <w:iCs w:val="1"/>
          <w:color w:val="auto"/>
        </w:rPr>
        <w:t>Segment Information</w:t>
      </w:r>
      <w:r>
        <w:rPr>
          <w:rFonts w:ascii="Arial" w:cs="Arial" w:eastAsia="Arial" w:hAnsi="Arial"/>
          <w:sz w:val="18"/>
          <w:szCs w:val="18"/>
          <w:color w:val="auto"/>
        </w:rPr>
        <w:t xml:space="preserve"> for further information on this change.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evaluate performance based on several factors, of which the primary financial measure is the banner’s financial results referred to as division profit. Division profit reflects income before income taxes, pension litigation charge, corporate expense, non-operating income, and net interest income. The following table summarizes our results: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3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3"/>
          </w:tcPr>
          <w:p>
            <w:pPr>
              <w:jc w:val="right"/>
              <w:ind w:right="375"/>
              <w:spacing w:after="0"/>
              <w:rPr>
                <w:sz w:val="20"/>
                <w:szCs w:val="20"/>
                <w:color w:val="auto"/>
              </w:rPr>
            </w:pPr>
            <w:r>
              <w:rPr>
                <w:rFonts w:ascii="Arial" w:cs="Arial" w:eastAsia="Arial" w:hAnsi="Arial"/>
                <w:sz w:val="17"/>
                <w:szCs w:val="17"/>
                <w:b w:val="1"/>
                <w:bCs w:val="1"/>
                <w:color w:val="auto"/>
              </w:rPr>
              <w:t>Thirteen weeks ended</w:t>
            </w:r>
          </w:p>
        </w:tc>
        <w:tc>
          <w:tcPr>
            <w:tcW w:w="28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3"/>
          </w:tcPr>
          <w:p>
            <w:pPr>
              <w:jc w:val="right"/>
              <w:ind w:right="215"/>
              <w:spacing w:after="0"/>
              <w:rPr>
                <w:sz w:val="20"/>
                <w:szCs w:val="20"/>
                <w:color w:val="auto"/>
              </w:rPr>
            </w:pPr>
            <w:r>
              <w:rPr>
                <w:rFonts w:ascii="Arial" w:cs="Arial" w:eastAsia="Arial" w:hAnsi="Arial"/>
                <w:sz w:val="17"/>
                <w:szCs w:val="17"/>
                <w:b w:val="1"/>
                <w:bCs w:val="1"/>
                <w:color w:val="auto"/>
              </w:rPr>
              <w:t>Twenty-six weeks ended</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00" w:type="dxa"/>
            <w:vAlign w:val="bottom"/>
          </w:tcPr>
          <w:p>
            <w:pPr>
              <w:jc w:val="right"/>
              <w:ind w:right="195"/>
              <w:spacing w:after="0" w:line="157" w:lineRule="exact"/>
              <w:rPr>
                <w:sz w:val="20"/>
                <w:szCs w:val="20"/>
                <w:color w:val="auto"/>
              </w:rPr>
            </w:pPr>
            <w:r>
              <w:rPr>
                <w:rFonts w:ascii="Arial" w:cs="Arial" w:eastAsia="Arial" w:hAnsi="Arial"/>
                <w:sz w:val="17"/>
                <w:szCs w:val="17"/>
                <w:b w:val="1"/>
                <w:bCs w:val="1"/>
                <w:color w:val="auto"/>
              </w:rPr>
              <w:t>August 3,</w:t>
            </w:r>
          </w:p>
        </w:tc>
        <w:tc>
          <w:tcPr>
            <w:tcW w:w="280" w:type="dxa"/>
            <w:vAlign w:val="bottom"/>
          </w:tcPr>
          <w:p>
            <w:pPr>
              <w:spacing w:after="0"/>
              <w:rPr>
                <w:sz w:val="13"/>
                <w:szCs w:val="13"/>
                <w:color w:val="auto"/>
              </w:rPr>
            </w:pPr>
          </w:p>
        </w:tc>
        <w:tc>
          <w:tcPr>
            <w:tcW w:w="1100" w:type="dxa"/>
            <w:vAlign w:val="bottom"/>
          </w:tcPr>
          <w:p>
            <w:pPr>
              <w:jc w:val="right"/>
              <w:ind w:right="195"/>
              <w:spacing w:after="0" w:line="157" w:lineRule="exact"/>
              <w:rPr>
                <w:sz w:val="20"/>
                <w:szCs w:val="20"/>
                <w:color w:val="auto"/>
              </w:rPr>
            </w:pPr>
            <w:r>
              <w:rPr>
                <w:rFonts w:ascii="Arial" w:cs="Arial" w:eastAsia="Arial" w:hAnsi="Arial"/>
                <w:sz w:val="17"/>
                <w:szCs w:val="17"/>
                <w:b w:val="1"/>
                <w:bCs w:val="1"/>
                <w:color w:val="auto"/>
              </w:rPr>
              <w:t>August 4,</w:t>
            </w:r>
          </w:p>
        </w:tc>
        <w:tc>
          <w:tcPr>
            <w:tcW w:w="280" w:type="dxa"/>
            <w:vAlign w:val="bottom"/>
          </w:tcPr>
          <w:p>
            <w:pPr>
              <w:spacing w:after="0"/>
              <w:rPr>
                <w:sz w:val="13"/>
                <w:szCs w:val="13"/>
                <w:color w:val="auto"/>
              </w:rPr>
            </w:pPr>
          </w:p>
        </w:tc>
        <w:tc>
          <w:tcPr>
            <w:tcW w:w="1120" w:type="dxa"/>
            <w:vAlign w:val="bottom"/>
          </w:tcPr>
          <w:p>
            <w:pPr>
              <w:jc w:val="right"/>
              <w:ind w:right="195"/>
              <w:spacing w:after="0" w:line="157" w:lineRule="exact"/>
              <w:rPr>
                <w:sz w:val="20"/>
                <w:szCs w:val="20"/>
                <w:color w:val="auto"/>
              </w:rPr>
            </w:pPr>
            <w:r>
              <w:rPr>
                <w:rFonts w:ascii="Arial" w:cs="Arial" w:eastAsia="Arial" w:hAnsi="Arial"/>
                <w:sz w:val="17"/>
                <w:szCs w:val="17"/>
                <w:b w:val="1"/>
                <w:bCs w:val="1"/>
                <w:color w:val="auto"/>
              </w:rPr>
              <w:t>August 3,</w:t>
            </w:r>
          </w:p>
        </w:tc>
        <w:tc>
          <w:tcPr>
            <w:tcW w:w="260" w:type="dxa"/>
            <w:vAlign w:val="bottom"/>
          </w:tcPr>
          <w:p>
            <w:pPr>
              <w:spacing w:after="0"/>
              <w:rPr>
                <w:sz w:val="13"/>
                <w:szCs w:val="13"/>
                <w:color w:val="auto"/>
              </w:rPr>
            </w:pPr>
          </w:p>
        </w:tc>
        <w:tc>
          <w:tcPr>
            <w:tcW w:w="1040" w:type="dxa"/>
            <w:vAlign w:val="bottom"/>
          </w:tcPr>
          <w:p>
            <w:pPr>
              <w:jc w:val="right"/>
              <w:ind w:right="115"/>
              <w:spacing w:after="0" w:line="157" w:lineRule="exact"/>
              <w:rPr>
                <w:sz w:val="20"/>
                <w:szCs w:val="20"/>
                <w:color w:val="auto"/>
              </w:rPr>
            </w:pPr>
            <w:r>
              <w:rPr>
                <w:rFonts w:ascii="Arial" w:cs="Arial" w:eastAsia="Arial" w:hAnsi="Arial"/>
                <w:sz w:val="17"/>
                <w:szCs w:val="17"/>
                <w:b w:val="1"/>
                <w:bCs w:val="1"/>
                <w:color w:val="auto"/>
              </w:rPr>
              <w:t>August 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2019</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2018</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2019</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2018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00" w:type="dxa"/>
            <w:vAlign w:val="bottom"/>
            <w:gridSpan w:val="3"/>
          </w:tcPr>
          <w:p>
            <w:pPr>
              <w:jc w:val="right"/>
              <w:ind w:right="775"/>
              <w:spacing w:after="0" w:line="183" w:lineRule="exact"/>
              <w:rPr>
                <w:sz w:val="20"/>
                <w:szCs w:val="20"/>
                <w:color w:val="auto"/>
              </w:rPr>
            </w:pPr>
            <w:r>
              <w:rPr>
                <w:rFonts w:ascii="Arial" w:cs="Arial" w:eastAsia="Arial" w:hAnsi="Arial"/>
                <w:sz w:val="17"/>
                <w:szCs w:val="17"/>
                <w:color w:val="auto"/>
              </w:rPr>
              <w:t>($ in millions)</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24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Sales</w:t>
            </w:r>
          </w:p>
        </w:tc>
        <w:tc>
          <w:tcPr>
            <w:tcW w:w="6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10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1,774</w:t>
            </w:r>
          </w:p>
        </w:tc>
        <w:tc>
          <w:tcPr>
            <w:tcW w:w="2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1,782</w:t>
            </w:r>
          </w:p>
        </w:tc>
        <w:tc>
          <w:tcPr>
            <w:tcW w:w="2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12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3,852</w:t>
            </w:r>
          </w:p>
        </w:tc>
        <w:tc>
          <w:tcPr>
            <w:tcW w:w="2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3,807</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3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24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Operating Results</w:t>
            </w:r>
          </w:p>
        </w:tc>
        <w:tc>
          <w:tcPr>
            <w:tcW w:w="6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240" w:type="dxa"/>
            <w:vAlign w:val="bottom"/>
          </w:tcPr>
          <w:p>
            <w:pPr>
              <w:spacing w:after="0" w:line="189" w:lineRule="exact"/>
              <w:rPr>
                <w:sz w:val="20"/>
                <w:szCs w:val="20"/>
                <w:color w:val="auto"/>
              </w:rPr>
            </w:pPr>
            <w:r>
              <w:rPr>
                <w:rFonts w:ascii="Arial" w:cs="Arial" w:eastAsia="Arial" w:hAnsi="Arial"/>
                <w:sz w:val="17"/>
                <w:szCs w:val="17"/>
                <w:color w:val="auto"/>
              </w:rPr>
              <w:t>Division profit</w:t>
            </w:r>
          </w:p>
        </w:tc>
        <w:tc>
          <w:tcPr>
            <w:tcW w:w="620" w:type="dxa"/>
            <w:vAlign w:val="bottom"/>
          </w:tcPr>
          <w:p>
            <w:pPr>
              <w:spacing w:after="0"/>
              <w:rPr>
                <w:sz w:val="16"/>
                <w:szCs w:val="16"/>
                <w:color w:val="auto"/>
              </w:rPr>
            </w:pPr>
          </w:p>
        </w:tc>
        <w:tc>
          <w:tcPr>
            <w:tcW w:w="110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115</w:t>
            </w:r>
          </w:p>
        </w:tc>
        <w:tc>
          <w:tcPr>
            <w:tcW w:w="280" w:type="dxa"/>
            <w:vAlign w:val="bottom"/>
          </w:tcPr>
          <w:p>
            <w:pPr>
              <w:spacing w:after="0"/>
              <w:rPr>
                <w:sz w:val="16"/>
                <w:szCs w:val="16"/>
                <w:color w:val="auto"/>
              </w:rPr>
            </w:pPr>
          </w:p>
        </w:tc>
        <w:tc>
          <w:tcPr>
            <w:tcW w:w="1100" w:type="dxa"/>
            <w:vAlign w:val="bottom"/>
          </w:tcPr>
          <w:p>
            <w:pPr>
              <w:jc w:val="right"/>
              <w:ind w:right="35"/>
              <w:spacing w:after="0" w:line="189" w:lineRule="exact"/>
              <w:rPr>
                <w:sz w:val="20"/>
                <w:szCs w:val="20"/>
                <w:color w:val="auto"/>
              </w:rPr>
            </w:pPr>
            <w:r>
              <w:rPr>
                <w:rFonts w:ascii="Arial" w:cs="Arial" w:eastAsia="Arial" w:hAnsi="Arial"/>
                <w:sz w:val="17"/>
                <w:szCs w:val="17"/>
                <w:color w:val="auto"/>
              </w:rPr>
              <w:t>131</w:t>
            </w:r>
          </w:p>
        </w:tc>
        <w:tc>
          <w:tcPr>
            <w:tcW w:w="280" w:type="dxa"/>
            <w:vAlign w:val="bottom"/>
          </w:tcPr>
          <w:p>
            <w:pPr>
              <w:spacing w:after="0"/>
              <w:rPr>
                <w:sz w:val="16"/>
                <w:szCs w:val="16"/>
                <w:color w:val="auto"/>
              </w:rPr>
            </w:pPr>
          </w:p>
        </w:tc>
        <w:tc>
          <w:tcPr>
            <w:tcW w:w="112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365</w:t>
            </w:r>
          </w:p>
        </w:tc>
        <w:tc>
          <w:tcPr>
            <w:tcW w:w="26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7"/>
                <w:szCs w:val="17"/>
                <w:color w:val="auto"/>
              </w:rPr>
              <w:t>378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2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 xml:space="preserve">Less: Litigation and other charges </w:t>
            </w:r>
            <w:r>
              <w:rPr>
                <w:rFonts w:ascii="Arial" w:cs="Arial" w:eastAsia="Arial" w:hAnsi="Arial"/>
                <w:sz w:val="12"/>
                <w:szCs w:val="12"/>
                <w:color w:val="auto"/>
              </w:rPr>
              <w:t>(1)</w:t>
            </w:r>
          </w:p>
        </w:tc>
        <w:tc>
          <w:tcPr>
            <w:tcW w:w="6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14</w:t>
            </w: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3</w:t>
            </w:r>
          </w:p>
        </w:tc>
        <w:tc>
          <w:tcPr>
            <w:tcW w:w="28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15</w:t>
            </w: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24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 xml:space="preserve">Less: Corporate expense </w:t>
            </w:r>
            <w:r>
              <w:rPr>
                <w:rFonts w:ascii="Arial" w:cs="Arial" w:eastAsia="Arial" w:hAnsi="Arial"/>
                <w:sz w:val="12"/>
                <w:szCs w:val="12"/>
                <w:color w:val="auto"/>
              </w:rPr>
              <w:t>(2)</w:t>
            </w:r>
          </w:p>
        </w:tc>
        <w:tc>
          <w:tcPr>
            <w:tcW w:w="6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b w:val="1"/>
                <w:bCs w:val="1"/>
                <w:color w:val="auto"/>
              </w:rPr>
              <w:t>20</w:t>
            </w: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color w:val="auto"/>
              </w:rPr>
              <w:t>16</w:t>
            </w: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b w:val="1"/>
                <w:bCs w:val="1"/>
                <w:color w:val="auto"/>
              </w:rPr>
              <w:t>41</w:t>
            </w: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2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Income from operations</w:t>
            </w:r>
          </w:p>
        </w:tc>
        <w:tc>
          <w:tcPr>
            <w:tcW w:w="62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81</w:t>
            </w:r>
          </w:p>
        </w:tc>
        <w:tc>
          <w:tcPr>
            <w:tcW w:w="28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112</w:t>
            </w:r>
          </w:p>
        </w:tc>
        <w:tc>
          <w:tcPr>
            <w:tcW w:w="28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309</w:t>
            </w: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336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240" w:type="dxa"/>
            <w:vAlign w:val="bottom"/>
          </w:tcPr>
          <w:p>
            <w:pPr>
              <w:spacing w:after="0" w:line="189" w:lineRule="exact"/>
              <w:rPr>
                <w:sz w:val="20"/>
                <w:szCs w:val="20"/>
                <w:color w:val="auto"/>
              </w:rPr>
            </w:pPr>
            <w:r>
              <w:rPr>
                <w:rFonts w:ascii="Arial" w:cs="Arial" w:eastAsia="Arial" w:hAnsi="Arial"/>
                <w:sz w:val="17"/>
                <w:szCs w:val="17"/>
                <w:color w:val="auto"/>
              </w:rPr>
              <w:t>Interest income, net</w:t>
            </w:r>
          </w:p>
        </w:tc>
        <w:tc>
          <w:tcPr>
            <w:tcW w:w="620" w:type="dxa"/>
            <w:vAlign w:val="bottom"/>
          </w:tcPr>
          <w:p>
            <w:pPr>
              <w:spacing w:after="0"/>
              <w:rPr>
                <w:sz w:val="16"/>
                <w:szCs w:val="16"/>
                <w:color w:val="auto"/>
              </w:rPr>
            </w:pPr>
          </w:p>
        </w:tc>
        <w:tc>
          <w:tcPr>
            <w:tcW w:w="110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2</w:t>
            </w:r>
          </w:p>
        </w:tc>
        <w:tc>
          <w:tcPr>
            <w:tcW w:w="280" w:type="dxa"/>
            <w:vAlign w:val="bottom"/>
          </w:tcPr>
          <w:p>
            <w:pPr>
              <w:spacing w:after="0"/>
              <w:rPr>
                <w:sz w:val="16"/>
                <w:szCs w:val="16"/>
                <w:color w:val="auto"/>
              </w:rPr>
            </w:pPr>
          </w:p>
        </w:tc>
        <w:tc>
          <w:tcPr>
            <w:tcW w:w="1100" w:type="dxa"/>
            <w:vAlign w:val="bottom"/>
          </w:tcPr>
          <w:p>
            <w:pPr>
              <w:jc w:val="right"/>
              <w:ind w:right="35"/>
              <w:spacing w:after="0" w:line="189" w:lineRule="exact"/>
              <w:rPr>
                <w:sz w:val="20"/>
                <w:szCs w:val="20"/>
                <w:color w:val="auto"/>
              </w:rPr>
            </w:pPr>
            <w:r>
              <w:rPr>
                <w:rFonts w:ascii="Arial" w:cs="Arial" w:eastAsia="Arial" w:hAnsi="Arial"/>
                <w:sz w:val="17"/>
                <w:szCs w:val="17"/>
                <w:color w:val="auto"/>
              </w:rPr>
              <w:t>1</w:t>
            </w:r>
          </w:p>
        </w:tc>
        <w:tc>
          <w:tcPr>
            <w:tcW w:w="280" w:type="dxa"/>
            <w:vAlign w:val="bottom"/>
          </w:tcPr>
          <w:p>
            <w:pPr>
              <w:spacing w:after="0"/>
              <w:rPr>
                <w:sz w:val="16"/>
                <w:szCs w:val="16"/>
                <w:color w:val="auto"/>
              </w:rPr>
            </w:pPr>
          </w:p>
        </w:tc>
        <w:tc>
          <w:tcPr>
            <w:tcW w:w="112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6</w:t>
            </w:r>
          </w:p>
        </w:tc>
        <w:tc>
          <w:tcPr>
            <w:tcW w:w="26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24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 xml:space="preserve">Other income </w:t>
            </w:r>
            <w:r>
              <w:rPr>
                <w:rFonts w:ascii="Arial" w:cs="Arial" w:eastAsia="Arial" w:hAnsi="Arial"/>
                <w:sz w:val="12"/>
                <w:szCs w:val="12"/>
                <w:color w:val="auto"/>
              </w:rPr>
              <w:t>(3)</w:t>
            </w:r>
          </w:p>
        </w:tc>
        <w:tc>
          <w:tcPr>
            <w:tcW w:w="6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2</w:t>
            </w:r>
          </w:p>
        </w:tc>
        <w:tc>
          <w:tcPr>
            <w:tcW w:w="28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2</w:t>
            </w:r>
          </w:p>
        </w:tc>
        <w:tc>
          <w:tcPr>
            <w:tcW w:w="28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4</w:t>
            </w:r>
          </w:p>
        </w:tc>
        <w:tc>
          <w:tcPr>
            <w:tcW w:w="26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324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Income before income taxes</w:t>
            </w:r>
          </w:p>
        </w:tc>
        <w:tc>
          <w:tcPr>
            <w:tcW w:w="6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b w:val="1"/>
                <w:bCs w:val="1"/>
                <w:color w:val="auto"/>
              </w:rPr>
              <w:t>85</w:t>
            </w:r>
          </w:p>
        </w:tc>
        <w:tc>
          <w:tcPr>
            <w:tcW w:w="2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color w:val="auto"/>
              </w:rPr>
              <w:t>115</w:t>
            </w:r>
          </w:p>
        </w:tc>
        <w:tc>
          <w:tcPr>
            <w:tcW w:w="2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2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b w:val="1"/>
                <w:bCs w:val="1"/>
                <w:color w:val="auto"/>
              </w:rPr>
              <w:t>319</w:t>
            </w:r>
          </w:p>
        </w:tc>
        <w:tc>
          <w:tcPr>
            <w:tcW w:w="2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344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jc w:val="both"/>
        <w:ind w:left="340" w:hanging="331"/>
        <w:spacing w:after="0" w:line="245" w:lineRule="auto"/>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Company recorded pre-tax charges of $1 million and $3 million for the thirteen weeks ended August 3, 2019 and August 4, 2018, respectively, related to a pension litigation matter and related plan reformation. For the twenty-six weeks ended August 3, 2019 and August 4, 2018, the Company recorded pre-tax charges of $2 million and $15 million, respectively. The charges in the current periods reflects professional fees in connection with the plan reformation. The prior year charges reflected adjustments to the value of the judgment and interest that continued to accrue, as required by the provisions of the required plan reformation.</w:t>
      </w:r>
    </w:p>
    <w:p>
      <w:pPr>
        <w:spacing w:after="0" w:line="96" w:lineRule="exact"/>
        <w:rPr>
          <w:rFonts w:ascii="Arial" w:cs="Arial" w:eastAsia="Arial" w:hAnsi="Arial"/>
          <w:sz w:val="14"/>
          <w:szCs w:val="14"/>
          <w:color w:val="auto"/>
        </w:rPr>
      </w:pPr>
    </w:p>
    <w:p>
      <w:pPr>
        <w:ind w:left="340" w:right="420"/>
        <w:spacing w:after="0" w:line="258" w:lineRule="auto"/>
        <w:rPr>
          <w:rFonts w:ascii="Arial" w:cs="Arial" w:eastAsia="Arial" w:hAnsi="Arial"/>
          <w:sz w:val="14"/>
          <w:szCs w:val="14"/>
          <w:color w:val="auto"/>
        </w:rPr>
      </w:pPr>
      <w:r>
        <w:rPr>
          <w:rFonts w:ascii="Arial" w:cs="Arial" w:eastAsia="Arial" w:hAnsi="Arial"/>
          <w:sz w:val="14"/>
          <w:szCs w:val="14"/>
          <w:color w:val="auto"/>
        </w:rPr>
        <w:t>For the thirteen weeks ended August 3, 2019, the Company incurred $13 million of lease termination costs related to the closure of certain of its SIX:02 locations.</w:t>
      </w:r>
    </w:p>
    <w:p>
      <w:pPr>
        <w:spacing w:after="0" w:line="86" w:lineRule="exact"/>
        <w:rPr>
          <w:rFonts w:ascii="Arial" w:cs="Arial" w:eastAsia="Arial" w:hAnsi="Arial"/>
          <w:sz w:val="14"/>
          <w:szCs w:val="14"/>
          <w:color w:val="auto"/>
        </w:rPr>
      </w:pPr>
    </w:p>
    <w:p>
      <w:pPr>
        <w:jc w:val="both"/>
        <w:ind w:left="340" w:right="20" w:hanging="331"/>
        <w:spacing w:after="0" w:line="250" w:lineRule="auto"/>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Corporate expense consists of unallocated selling, general and administrative expenses as well as depreciation and amortization related to the Company’s corporate headquarters, centrally managed departments, unallocated insurance and benefit programs, certain foreign exchange transaction gains and losses, and other items.</w:t>
      </w:r>
    </w:p>
    <w:p>
      <w:pPr>
        <w:spacing w:after="0" w:line="91" w:lineRule="exact"/>
        <w:rPr>
          <w:rFonts w:ascii="Arial" w:cs="Arial" w:eastAsia="Arial" w:hAnsi="Arial"/>
          <w:sz w:val="14"/>
          <w:szCs w:val="14"/>
          <w:color w:val="auto"/>
        </w:rPr>
      </w:pPr>
    </w:p>
    <w:p>
      <w:pPr>
        <w:jc w:val="both"/>
        <w:ind w:left="340" w:hanging="331"/>
        <w:spacing w:after="0" w:line="248" w:lineRule="auto"/>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Other income includes non-operating items, franchise royalty income, changes in fair value, premiums paid, realized gains and losses associated with foreign currency option contracts, changes in the market value of our available-for-sale security, changes in the fair value of our equity investments, and net benefit expense related to our pension and postretirement programs excluding the service cost component.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Sales</w:t>
      </w:r>
    </w:p>
    <w:p>
      <w:pPr>
        <w:spacing w:after="0" w:line="23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All references to comparable-store sales for a given period relate to sales of stores that were open at the period-end and had been open for more than one year. The computation of consolidated comparable sales also includes our direct-to-customers channel. Stores opened or closed during the period are not included in the comparable-store base; however, stores closed temporarily for relocation or remodeling are included. Computations exclude the effect of foreign currency fluctuations.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shown below represents certain sales metrics by sales channel:</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7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3"/>
          </w:tcPr>
          <w:p>
            <w:pPr>
              <w:jc w:val="right"/>
              <w:ind w:right="535"/>
              <w:spacing w:after="0"/>
              <w:rPr>
                <w:sz w:val="20"/>
                <w:szCs w:val="20"/>
                <w:color w:val="auto"/>
              </w:rPr>
            </w:pPr>
            <w:r>
              <w:rPr>
                <w:rFonts w:ascii="Arial" w:cs="Arial" w:eastAsia="Arial" w:hAnsi="Arial"/>
                <w:sz w:val="17"/>
                <w:szCs w:val="17"/>
                <w:b w:val="1"/>
                <w:bCs w:val="1"/>
                <w:color w:val="auto"/>
              </w:rPr>
              <w:t>Thirteen weeks ended</w:t>
            </w:r>
          </w:p>
        </w:tc>
        <w:tc>
          <w:tcPr>
            <w:tcW w:w="26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3"/>
          </w:tcPr>
          <w:p>
            <w:pPr>
              <w:jc w:val="right"/>
              <w:ind w:right="315"/>
              <w:spacing w:after="0"/>
              <w:rPr>
                <w:sz w:val="20"/>
                <w:szCs w:val="20"/>
                <w:color w:val="auto"/>
              </w:rPr>
            </w:pPr>
            <w:r>
              <w:rPr>
                <w:rFonts w:ascii="Arial" w:cs="Arial" w:eastAsia="Arial" w:hAnsi="Arial"/>
                <w:sz w:val="17"/>
                <w:szCs w:val="17"/>
                <w:b w:val="1"/>
                <w:bCs w:val="1"/>
                <w:color w:val="auto"/>
              </w:rPr>
              <w:t>Twenty-six weeks ended</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60" w:type="dxa"/>
            <w:vAlign w:val="bottom"/>
          </w:tcPr>
          <w:p>
            <w:pPr>
              <w:jc w:val="right"/>
              <w:ind w:right="274"/>
              <w:spacing w:after="0" w:line="184" w:lineRule="exact"/>
              <w:rPr>
                <w:sz w:val="20"/>
                <w:szCs w:val="20"/>
                <w:color w:val="auto"/>
              </w:rPr>
            </w:pPr>
            <w:r>
              <w:rPr>
                <w:rFonts w:ascii="Arial" w:cs="Arial" w:eastAsia="Arial" w:hAnsi="Arial"/>
                <w:sz w:val="17"/>
                <w:szCs w:val="17"/>
                <w:b w:val="1"/>
                <w:bCs w:val="1"/>
                <w:color w:val="auto"/>
              </w:rPr>
              <w:t>August 3,</w:t>
            </w:r>
          </w:p>
        </w:tc>
        <w:tc>
          <w:tcPr>
            <w:tcW w:w="180" w:type="dxa"/>
            <w:vAlign w:val="bottom"/>
          </w:tcPr>
          <w:p>
            <w:pPr>
              <w:spacing w:after="0"/>
              <w:rPr>
                <w:sz w:val="15"/>
                <w:szCs w:val="15"/>
                <w:color w:val="auto"/>
              </w:rPr>
            </w:pPr>
          </w:p>
        </w:tc>
        <w:tc>
          <w:tcPr>
            <w:tcW w:w="1260" w:type="dxa"/>
            <w:vAlign w:val="bottom"/>
          </w:tcPr>
          <w:p>
            <w:pPr>
              <w:jc w:val="right"/>
              <w:ind w:right="375"/>
              <w:spacing w:after="0" w:line="184" w:lineRule="exact"/>
              <w:rPr>
                <w:sz w:val="20"/>
                <w:szCs w:val="20"/>
                <w:color w:val="auto"/>
              </w:rPr>
            </w:pPr>
            <w:r>
              <w:rPr>
                <w:rFonts w:ascii="Arial" w:cs="Arial" w:eastAsia="Arial" w:hAnsi="Arial"/>
                <w:sz w:val="17"/>
                <w:szCs w:val="17"/>
                <w:b w:val="1"/>
                <w:bCs w:val="1"/>
                <w:color w:val="auto"/>
              </w:rPr>
              <w:t>August 4,</w:t>
            </w:r>
          </w:p>
        </w:tc>
        <w:tc>
          <w:tcPr>
            <w:tcW w:w="260" w:type="dxa"/>
            <w:vAlign w:val="bottom"/>
          </w:tcPr>
          <w:p>
            <w:pPr>
              <w:spacing w:after="0"/>
              <w:rPr>
                <w:sz w:val="15"/>
                <w:szCs w:val="15"/>
                <w:color w:val="auto"/>
              </w:rPr>
            </w:pPr>
          </w:p>
        </w:tc>
        <w:tc>
          <w:tcPr>
            <w:tcW w:w="1180" w:type="dxa"/>
            <w:vAlign w:val="bottom"/>
          </w:tcPr>
          <w:p>
            <w:pPr>
              <w:jc w:val="right"/>
              <w:ind w:right="275"/>
              <w:spacing w:after="0" w:line="184" w:lineRule="exact"/>
              <w:rPr>
                <w:sz w:val="20"/>
                <w:szCs w:val="20"/>
                <w:color w:val="auto"/>
              </w:rPr>
            </w:pPr>
            <w:r>
              <w:rPr>
                <w:rFonts w:ascii="Arial" w:cs="Arial" w:eastAsia="Arial" w:hAnsi="Arial"/>
                <w:sz w:val="17"/>
                <w:szCs w:val="17"/>
                <w:b w:val="1"/>
                <w:bCs w:val="1"/>
                <w:color w:val="auto"/>
              </w:rPr>
              <w:t>August 3,</w:t>
            </w:r>
          </w:p>
        </w:tc>
        <w:tc>
          <w:tcPr>
            <w:tcW w:w="180" w:type="dxa"/>
            <w:vAlign w:val="bottom"/>
          </w:tcPr>
          <w:p>
            <w:pPr>
              <w:spacing w:after="0"/>
              <w:rPr>
                <w:sz w:val="15"/>
                <w:szCs w:val="15"/>
                <w:color w:val="auto"/>
              </w:rPr>
            </w:pPr>
          </w:p>
        </w:tc>
        <w:tc>
          <w:tcPr>
            <w:tcW w:w="1120" w:type="dxa"/>
            <w:vAlign w:val="bottom"/>
          </w:tcPr>
          <w:p>
            <w:pPr>
              <w:jc w:val="right"/>
              <w:ind w:right="235"/>
              <w:spacing w:after="0" w:line="184" w:lineRule="exact"/>
              <w:rPr>
                <w:sz w:val="20"/>
                <w:szCs w:val="20"/>
                <w:color w:val="auto"/>
              </w:rPr>
            </w:pPr>
            <w:r>
              <w:rPr>
                <w:rFonts w:ascii="Arial" w:cs="Arial" w:eastAsia="Arial" w:hAnsi="Arial"/>
                <w:sz w:val="17"/>
                <w:szCs w:val="17"/>
                <w:b w:val="1"/>
                <w:bCs w:val="1"/>
                <w:color w:val="auto"/>
              </w:rPr>
              <w:t>August 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7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4"/>
              <w:spacing w:after="0"/>
              <w:rPr>
                <w:sz w:val="20"/>
                <w:szCs w:val="20"/>
                <w:color w:val="auto"/>
              </w:rPr>
            </w:pPr>
            <w:r>
              <w:rPr>
                <w:rFonts w:ascii="Arial" w:cs="Arial" w:eastAsia="Arial" w:hAnsi="Arial"/>
                <w:sz w:val="17"/>
                <w:szCs w:val="17"/>
                <w:b w:val="1"/>
                <w:bCs w:val="1"/>
                <w:color w:val="auto"/>
              </w:rPr>
              <w:t>2019</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5"/>
              <w:spacing w:after="0"/>
              <w:rPr>
                <w:sz w:val="20"/>
                <w:szCs w:val="20"/>
                <w:color w:val="auto"/>
              </w:rPr>
            </w:pPr>
            <w:r>
              <w:rPr>
                <w:rFonts w:ascii="Arial" w:cs="Arial" w:eastAsia="Arial" w:hAnsi="Arial"/>
                <w:sz w:val="17"/>
                <w:szCs w:val="17"/>
                <w:b w:val="1"/>
                <w:bCs w:val="1"/>
                <w:color w:val="auto"/>
              </w:rPr>
              <w:t>2018</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2019</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b w:val="1"/>
                <w:bCs w:val="1"/>
                <w:color w:val="auto"/>
              </w:rPr>
              <w:t>2018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00" w:type="dxa"/>
            <w:vAlign w:val="bottom"/>
            <w:gridSpan w:val="3"/>
          </w:tcPr>
          <w:p>
            <w:pPr>
              <w:jc w:val="right"/>
              <w:ind w:right="935"/>
              <w:spacing w:after="0"/>
              <w:rPr>
                <w:sz w:val="20"/>
                <w:szCs w:val="20"/>
                <w:color w:val="auto"/>
              </w:rPr>
            </w:pPr>
            <w:r>
              <w:rPr>
                <w:rFonts w:ascii="Arial" w:cs="Arial" w:eastAsia="Arial" w:hAnsi="Arial"/>
                <w:sz w:val="17"/>
                <w:szCs w:val="17"/>
                <w:color w:val="auto"/>
              </w:rPr>
              <w:t>($ in millions)</w:t>
            </w: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Stores</w:t>
            </w:r>
          </w:p>
        </w:tc>
        <w:tc>
          <w:tcPr>
            <w:tcW w:w="9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0" w:type="dxa"/>
            <w:vAlign w:val="bottom"/>
            <w:gridSpan w:val="2"/>
          </w:tcPr>
          <w:p>
            <w:pPr>
              <w:spacing w:after="0"/>
              <w:rPr>
                <w:sz w:val="20"/>
                <w:szCs w:val="20"/>
                <w:color w:val="auto"/>
              </w:rPr>
            </w:pPr>
            <w:r>
              <w:rPr>
                <w:rFonts w:ascii="Arial" w:cs="Arial" w:eastAsia="Arial" w:hAnsi="Arial"/>
                <w:sz w:val="17"/>
                <w:szCs w:val="17"/>
                <w:color w:val="auto"/>
              </w:rPr>
              <w:t>Sales</w:t>
            </w: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160" w:type="dxa"/>
            <w:vAlign w:val="bottom"/>
          </w:tcPr>
          <w:p>
            <w:pPr>
              <w:jc w:val="right"/>
              <w:ind w:right="174"/>
              <w:spacing w:after="0"/>
              <w:rPr>
                <w:sz w:val="20"/>
                <w:szCs w:val="20"/>
                <w:color w:val="auto"/>
              </w:rPr>
            </w:pPr>
            <w:r>
              <w:rPr>
                <w:rFonts w:ascii="Arial" w:cs="Arial" w:eastAsia="Arial" w:hAnsi="Arial"/>
                <w:sz w:val="17"/>
                <w:szCs w:val="17"/>
                <w:b w:val="1"/>
                <w:bCs w:val="1"/>
                <w:color w:val="auto"/>
              </w:rPr>
              <w:t>1,521</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275"/>
              <w:spacing w:after="0"/>
              <w:rPr>
                <w:sz w:val="20"/>
                <w:szCs w:val="20"/>
                <w:color w:val="auto"/>
              </w:rPr>
            </w:pPr>
            <w:r>
              <w:rPr>
                <w:rFonts w:ascii="Arial" w:cs="Arial" w:eastAsia="Arial" w:hAnsi="Arial"/>
                <w:sz w:val="17"/>
                <w:szCs w:val="17"/>
                <w:color w:val="auto"/>
              </w:rPr>
              <w:t>1,542</w:t>
            </w:r>
          </w:p>
        </w:tc>
        <w:tc>
          <w:tcPr>
            <w:tcW w:w="2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180" w:type="dxa"/>
            <w:vAlign w:val="bottom"/>
          </w:tcPr>
          <w:p>
            <w:pPr>
              <w:jc w:val="right"/>
              <w:ind w:right="175"/>
              <w:spacing w:after="0"/>
              <w:rPr>
                <w:sz w:val="20"/>
                <w:szCs w:val="20"/>
                <w:color w:val="auto"/>
              </w:rPr>
            </w:pPr>
            <w:r>
              <w:rPr>
                <w:rFonts w:ascii="Arial" w:cs="Arial" w:eastAsia="Arial" w:hAnsi="Arial"/>
                <w:sz w:val="17"/>
                <w:szCs w:val="17"/>
                <w:b w:val="1"/>
                <w:bCs w:val="1"/>
                <w:color w:val="auto"/>
              </w:rPr>
              <w:t>3,279</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55"/>
              <w:spacing w:after="0"/>
              <w:rPr>
                <w:sz w:val="20"/>
                <w:szCs w:val="20"/>
                <w:color w:val="auto"/>
              </w:rPr>
            </w:pPr>
            <w:r>
              <w:rPr>
                <w:rFonts w:ascii="Arial" w:cs="Arial" w:eastAsia="Arial" w:hAnsi="Arial"/>
                <w:sz w:val="17"/>
                <w:szCs w:val="17"/>
                <w:color w:val="auto"/>
              </w:rPr>
              <w:t>3,285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7"/>
                <w:szCs w:val="17"/>
                <w:color w:val="auto"/>
              </w:rPr>
              <w:t>$ Change</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60" w:type="dxa"/>
            <w:vAlign w:val="bottom"/>
            <w:shd w:val="clear" w:color="auto" w:fill="CCEEFF"/>
          </w:tcPr>
          <w:p>
            <w:pPr>
              <w:jc w:val="right"/>
              <w:ind w:right="134"/>
              <w:spacing w:after="0"/>
              <w:rPr>
                <w:sz w:val="20"/>
                <w:szCs w:val="20"/>
                <w:color w:val="auto"/>
              </w:rPr>
            </w:pPr>
            <w:r>
              <w:rPr>
                <w:rFonts w:ascii="Arial" w:cs="Arial" w:eastAsia="Arial" w:hAnsi="Arial"/>
                <w:sz w:val="17"/>
                <w:szCs w:val="17"/>
                <w:b w:val="1"/>
                <w:bCs w:val="1"/>
                <w:color w:val="auto"/>
              </w:rPr>
              <w:t>(21)</w:t>
            </w: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80" w:type="dxa"/>
            <w:vAlign w:val="bottom"/>
            <w:shd w:val="clear" w:color="auto" w:fill="CCEEFF"/>
          </w:tcPr>
          <w:p>
            <w:pPr>
              <w:jc w:val="right"/>
              <w:ind w:right="115"/>
              <w:spacing w:after="0"/>
              <w:rPr>
                <w:sz w:val="20"/>
                <w:szCs w:val="20"/>
                <w:color w:val="auto"/>
              </w:rPr>
            </w:pPr>
            <w:r>
              <w:rPr>
                <w:rFonts w:ascii="Arial" w:cs="Arial" w:eastAsia="Arial" w:hAnsi="Arial"/>
                <w:sz w:val="17"/>
                <w:szCs w:val="17"/>
                <w:b w:val="1"/>
                <w:bCs w:val="1"/>
                <w:color w:val="auto"/>
              </w:rPr>
              <w:t>(6)</w:t>
            </w: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0" w:type="dxa"/>
            <w:vAlign w:val="bottom"/>
            <w:gridSpan w:val="2"/>
          </w:tcPr>
          <w:p>
            <w:pPr>
              <w:spacing w:after="0"/>
              <w:rPr>
                <w:sz w:val="20"/>
                <w:szCs w:val="20"/>
                <w:color w:val="auto"/>
              </w:rPr>
            </w:pPr>
            <w:r>
              <w:rPr>
                <w:rFonts w:ascii="Arial" w:cs="Arial" w:eastAsia="Arial" w:hAnsi="Arial"/>
                <w:sz w:val="17"/>
                <w:szCs w:val="17"/>
                <w:color w:val="auto"/>
              </w:rPr>
              <w:t>% Change</w:t>
            </w:r>
          </w:p>
        </w:tc>
        <w:tc>
          <w:tcPr>
            <w:tcW w:w="9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(1.4)%</w:t>
            </w: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(0.2)%</w:t>
            </w: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7"/>
                <w:szCs w:val="17"/>
                <w:color w:val="auto"/>
              </w:rPr>
              <w:t>% of total sales</w:t>
            </w:r>
          </w:p>
        </w:tc>
        <w:tc>
          <w:tcPr>
            <w:tcW w:w="9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85.7 %</w:t>
            </w: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86.5 %</w:t>
            </w: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85.1 %</w:t>
            </w: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7"/>
                <w:szCs w:val="17"/>
                <w:color w:val="auto"/>
              </w:rPr>
              <w:t xml:space="preserve">86.3 </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800" w:type="dxa"/>
            <w:vAlign w:val="bottom"/>
            <w:gridSpan w:val="2"/>
          </w:tcPr>
          <w:p>
            <w:pPr>
              <w:spacing w:after="0"/>
              <w:rPr>
                <w:sz w:val="20"/>
                <w:szCs w:val="20"/>
                <w:color w:val="auto"/>
              </w:rPr>
            </w:pPr>
            <w:r>
              <w:rPr>
                <w:rFonts w:ascii="Arial" w:cs="Arial" w:eastAsia="Arial" w:hAnsi="Arial"/>
                <w:sz w:val="17"/>
                <w:szCs w:val="17"/>
                <w:color w:val="auto"/>
              </w:rPr>
              <w:t>Comparable sales change</w:t>
            </w:r>
          </w:p>
        </w:tc>
        <w:tc>
          <w:tcPr>
            <w:tcW w:w="9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(0.1)%</w:t>
            </w:r>
          </w:p>
        </w:tc>
        <w:tc>
          <w:tcPr>
            <w:tcW w:w="180" w:type="dxa"/>
            <w:vAlign w:val="bottom"/>
          </w:tcPr>
          <w:p>
            <w:pPr>
              <w:spacing w:after="0"/>
              <w:rPr>
                <w:sz w:val="17"/>
                <w:szCs w:val="17"/>
                <w:color w:val="auto"/>
              </w:rPr>
            </w:pPr>
          </w:p>
        </w:tc>
        <w:tc>
          <w:tcPr>
            <w:tcW w:w="1260" w:type="dxa"/>
            <w:vAlign w:val="bottom"/>
          </w:tcPr>
          <w:p>
            <w:pPr>
              <w:jc w:val="right"/>
              <w:ind w:right="55"/>
              <w:spacing w:after="0"/>
              <w:rPr>
                <w:sz w:val="20"/>
                <w:szCs w:val="20"/>
                <w:color w:val="auto"/>
              </w:rPr>
            </w:pPr>
            <w:r>
              <w:rPr>
                <w:rFonts w:ascii="Arial" w:cs="Arial" w:eastAsia="Arial" w:hAnsi="Arial"/>
                <w:sz w:val="17"/>
                <w:szCs w:val="17"/>
                <w:color w:val="auto"/>
              </w:rPr>
              <w:t>(0.8)%</w:t>
            </w: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1.5 %</w:t>
            </w:r>
          </w:p>
        </w:tc>
        <w:tc>
          <w:tcPr>
            <w:tcW w:w="1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7"/>
                <w:szCs w:val="17"/>
                <w:color w:val="auto"/>
              </w:rPr>
              <w:t>(2.0)</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780" w:type="dxa"/>
            <w:vAlign w:val="bottom"/>
          </w:tcPr>
          <w:p>
            <w:pPr>
              <w:spacing w:after="0"/>
              <w:rPr>
                <w:sz w:val="20"/>
                <w:szCs w:val="20"/>
                <w:color w:val="auto"/>
              </w:rPr>
            </w:pPr>
            <w:r>
              <w:rPr>
                <w:rFonts w:ascii="Arial" w:cs="Arial" w:eastAsia="Arial" w:hAnsi="Arial"/>
                <w:sz w:val="17"/>
                <w:szCs w:val="17"/>
                <w:b w:val="1"/>
                <w:bCs w:val="1"/>
                <w:color w:val="auto"/>
              </w:rPr>
              <w:t>Direct-to-customers</w:t>
            </w:r>
          </w:p>
        </w:tc>
        <w:tc>
          <w:tcPr>
            <w:tcW w:w="9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7"/>
                <w:szCs w:val="17"/>
                <w:color w:val="auto"/>
              </w:rPr>
              <w:t>Sales</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60" w:type="dxa"/>
            <w:vAlign w:val="bottom"/>
            <w:shd w:val="clear" w:color="auto" w:fill="CCEEFF"/>
          </w:tcPr>
          <w:p>
            <w:pPr>
              <w:jc w:val="right"/>
              <w:ind w:right="174"/>
              <w:spacing w:after="0"/>
              <w:rPr>
                <w:sz w:val="20"/>
                <w:szCs w:val="20"/>
                <w:color w:val="auto"/>
              </w:rPr>
            </w:pPr>
            <w:r>
              <w:rPr>
                <w:rFonts w:ascii="Arial" w:cs="Arial" w:eastAsia="Arial" w:hAnsi="Arial"/>
                <w:sz w:val="17"/>
                <w:szCs w:val="17"/>
                <w:b w:val="1"/>
                <w:bCs w:val="1"/>
                <w:color w:val="auto"/>
              </w:rPr>
              <w:t>253</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ind w:right="275"/>
              <w:spacing w:after="0"/>
              <w:rPr>
                <w:sz w:val="20"/>
                <w:szCs w:val="20"/>
                <w:color w:val="auto"/>
              </w:rPr>
            </w:pPr>
            <w:r>
              <w:rPr>
                <w:rFonts w:ascii="Arial" w:cs="Arial" w:eastAsia="Arial" w:hAnsi="Arial"/>
                <w:sz w:val="17"/>
                <w:szCs w:val="17"/>
                <w:color w:val="auto"/>
              </w:rPr>
              <w:t>240</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80" w:type="dxa"/>
            <w:vAlign w:val="bottom"/>
            <w:shd w:val="clear" w:color="auto" w:fill="CCEEFF"/>
          </w:tcPr>
          <w:p>
            <w:pPr>
              <w:jc w:val="right"/>
              <w:ind w:right="175"/>
              <w:spacing w:after="0"/>
              <w:rPr>
                <w:sz w:val="20"/>
                <w:szCs w:val="20"/>
                <w:color w:val="auto"/>
              </w:rPr>
            </w:pPr>
            <w:r>
              <w:rPr>
                <w:rFonts w:ascii="Arial" w:cs="Arial" w:eastAsia="Arial" w:hAnsi="Arial"/>
                <w:sz w:val="17"/>
                <w:szCs w:val="17"/>
                <w:b w:val="1"/>
                <w:bCs w:val="1"/>
                <w:color w:val="auto"/>
              </w:rPr>
              <w:t>573</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522</w:t>
            </w:r>
          </w:p>
        </w:tc>
        <w:tc>
          <w:tcPr>
            <w:tcW w:w="0" w:type="dxa"/>
            <w:vAlign w:val="bottom"/>
          </w:tcPr>
          <w:p>
            <w:pPr>
              <w:spacing w:after="0"/>
              <w:rPr>
                <w:sz w:val="1"/>
                <w:szCs w:val="1"/>
                <w:color w:val="auto"/>
              </w:rPr>
            </w:pPr>
          </w:p>
        </w:tc>
      </w:tr>
      <w:tr>
        <w:trPr>
          <w:trHeight w:val="203"/>
        </w:trPr>
        <w:tc>
          <w:tcPr>
            <w:tcW w:w="2800" w:type="dxa"/>
            <w:vAlign w:val="bottom"/>
            <w:gridSpan w:val="2"/>
          </w:tcPr>
          <w:p>
            <w:pPr>
              <w:spacing w:after="0"/>
              <w:rPr>
                <w:sz w:val="20"/>
                <w:szCs w:val="20"/>
                <w:color w:val="auto"/>
              </w:rPr>
            </w:pPr>
            <w:r>
              <w:rPr>
                <w:rFonts w:ascii="Arial" w:cs="Arial" w:eastAsia="Arial" w:hAnsi="Arial"/>
                <w:sz w:val="17"/>
                <w:szCs w:val="17"/>
                <w:color w:val="auto"/>
              </w:rPr>
              <w:t>$ Change</w:t>
            </w: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160" w:type="dxa"/>
            <w:vAlign w:val="bottom"/>
          </w:tcPr>
          <w:p>
            <w:pPr>
              <w:jc w:val="right"/>
              <w:ind w:right="174"/>
              <w:spacing w:after="0"/>
              <w:rPr>
                <w:sz w:val="20"/>
                <w:szCs w:val="20"/>
                <w:color w:val="auto"/>
              </w:rPr>
            </w:pPr>
            <w:r>
              <w:rPr>
                <w:rFonts w:ascii="Arial" w:cs="Arial" w:eastAsia="Arial" w:hAnsi="Arial"/>
                <w:sz w:val="17"/>
                <w:szCs w:val="17"/>
                <w:b w:val="1"/>
                <w:bCs w:val="1"/>
                <w:color w:val="auto"/>
              </w:rPr>
              <w:t>13</w:t>
            </w: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180" w:type="dxa"/>
            <w:vAlign w:val="bottom"/>
          </w:tcPr>
          <w:p>
            <w:pPr>
              <w:jc w:val="right"/>
              <w:ind w:right="175"/>
              <w:spacing w:after="0"/>
              <w:rPr>
                <w:sz w:val="20"/>
                <w:szCs w:val="20"/>
                <w:color w:val="auto"/>
              </w:rPr>
            </w:pPr>
            <w:r>
              <w:rPr>
                <w:rFonts w:ascii="Arial" w:cs="Arial" w:eastAsia="Arial" w:hAnsi="Arial"/>
                <w:sz w:val="17"/>
                <w:szCs w:val="17"/>
                <w:b w:val="1"/>
                <w:bCs w:val="1"/>
                <w:color w:val="auto"/>
              </w:rPr>
              <w:t>51</w:t>
            </w: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7"/>
                <w:szCs w:val="17"/>
                <w:color w:val="auto"/>
              </w:rPr>
              <w:t>% Change</w:t>
            </w:r>
          </w:p>
        </w:tc>
        <w:tc>
          <w:tcPr>
            <w:tcW w:w="9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5.4 %</w:t>
            </w: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9.8 %</w:t>
            </w: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0" w:type="dxa"/>
            <w:vAlign w:val="bottom"/>
            <w:gridSpan w:val="2"/>
          </w:tcPr>
          <w:p>
            <w:pPr>
              <w:spacing w:after="0"/>
              <w:rPr>
                <w:sz w:val="20"/>
                <w:szCs w:val="20"/>
                <w:color w:val="auto"/>
              </w:rPr>
            </w:pPr>
            <w:r>
              <w:rPr>
                <w:rFonts w:ascii="Arial" w:cs="Arial" w:eastAsia="Arial" w:hAnsi="Arial"/>
                <w:sz w:val="17"/>
                <w:szCs w:val="17"/>
                <w:color w:val="auto"/>
              </w:rPr>
              <w:t>% of total sales</w:t>
            </w:r>
          </w:p>
        </w:tc>
        <w:tc>
          <w:tcPr>
            <w:tcW w:w="9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14.3 %</w:t>
            </w:r>
          </w:p>
        </w:tc>
        <w:tc>
          <w:tcPr>
            <w:tcW w:w="180" w:type="dxa"/>
            <w:vAlign w:val="bottom"/>
          </w:tcPr>
          <w:p>
            <w:pPr>
              <w:spacing w:after="0"/>
              <w:rPr>
                <w:sz w:val="17"/>
                <w:szCs w:val="17"/>
                <w:color w:val="auto"/>
              </w:rPr>
            </w:pPr>
          </w:p>
        </w:tc>
        <w:tc>
          <w:tcPr>
            <w:tcW w:w="1260" w:type="dxa"/>
            <w:vAlign w:val="bottom"/>
          </w:tcPr>
          <w:p>
            <w:pPr>
              <w:jc w:val="right"/>
              <w:ind w:right="55"/>
              <w:spacing w:after="0"/>
              <w:rPr>
                <w:sz w:val="20"/>
                <w:szCs w:val="20"/>
                <w:color w:val="auto"/>
              </w:rPr>
            </w:pPr>
            <w:r>
              <w:rPr>
                <w:rFonts w:ascii="Arial" w:cs="Arial" w:eastAsia="Arial" w:hAnsi="Arial"/>
                <w:sz w:val="17"/>
                <w:szCs w:val="17"/>
                <w:color w:val="auto"/>
              </w:rPr>
              <w:t>13.5 %</w:t>
            </w: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14.9 %</w:t>
            </w:r>
          </w:p>
        </w:tc>
        <w:tc>
          <w:tcPr>
            <w:tcW w:w="1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7"/>
                <w:szCs w:val="17"/>
                <w:color w:val="auto"/>
              </w:rPr>
              <w:t xml:space="preserve">13.7 </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Comparable sales change</w:t>
            </w:r>
          </w:p>
        </w:tc>
        <w:tc>
          <w:tcPr>
            <w:tcW w:w="9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6.5 %</w:t>
            </w:r>
          </w:p>
        </w:tc>
        <w:tc>
          <w:tcPr>
            <w:tcW w:w="1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9.3 %</w:t>
            </w: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10.9 %</w:t>
            </w:r>
          </w:p>
        </w:tc>
        <w:tc>
          <w:tcPr>
            <w:tcW w:w="1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7"/>
                <w:szCs w:val="17"/>
                <w:color w:val="auto"/>
              </w:rPr>
              <w:t xml:space="preserve">3.8 </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42"/>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60" w:type="dxa"/>
            <w:vAlign w:val="bottom"/>
          </w:tcPr>
          <w:p>
            <w:pPr>
              <w:jc w:val="right"/>
              <w:ind w:right="154"/>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517" w:right="141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Sales decreased by $ 8 million, or 0.4 percent, to $1,774 million for the thirteen weeks ended August 3, 2019, from $1,782 million for the thirteen weeks ended August 4, 2018. For the twenty-six weeks ended August 3, 2019, sales of $3,852 million increased by 1.2 percent from sales of $3,807 million in the corresponding prior-year period. Excluding the effect of foreign currency fluctuations, total sales increased by 0.8 percent and 2.9 percent for the thirteen and twenty-six weeks ended August 3, 2019, respectively.</w:t>
      </w:r>
    </w:p>
    <w:p>
      <w:pPr>
        <w:spacing w:after="0" w:line="20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Total comparable sales increased by 0.8 percent and 2.8 percent for the thirteen and twenty-six weeks ended August 3, 2019, respectively. For both the thirteen and twenty-six weeks ended August 3, 2019, our direct-to-customers channel generated positive comparable sales results as compared with the corresponding prior-year periods. The penetration of our direct-to-customer channel increased by 80 basis points to 14.3 percent. For the twenty-six weeks ended August 3, 2019, the stores channel generated positive comparable sales results, however the stores channel had a 0.1 percent decline during the thirteen-weeks ended August 3, 2019. The improvement in our direct-to-customers channel is due in part to continued positive customer satisfaction as a result of our various e-commerce enhancements.</w:t>
      </w:r>
    </w:p>
    <w:p>
      <w:pPr>
        <w:spacing w:after="0" w:line="208"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Each of our operating segments generated a comparable sales increase during the second quarter and year-to-date periods of 2019.</w:t>
      </w:r>
    </w:p>
    <w:p>
      <w:pPr>
        <w:spacing w:after="0" w:line="19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North America, Foot Locker Canada and Champs Sports led the second quarter results, with increases in the low double digits and mid-single digits, respectively. Foot Locker U.S. generated a low single-digits comparable sales increase, while Eastbay’s sales declined high-single digits. Footaction and Kids Foot Locker continued to experience declines consistent with the first quarter. Additionally, North America’s sales were negatively affected by the closure of the SIX:02 banner, as substantially all stores were closed by the end of the second quarter. The decline in Footaction’s sales primarily reflected the lack of product availability of certain key men’s footwear styles. Management is implementing various merchandising initiatives to improve Footaction’s results and will continue to monitor this banner during the third quarter and will assess, if necessary, the effect of various initiatives on the projected performance, which may include an impairment review. Kids Foot Locker’s decline was primarily related to declines in sales of apparel. The decline in Eastbay’s sales for the second quarter was primarily due to softer demand for performance-related products.</w:t>
      </w:r>
    </w:p>
    <w:p>
      <w:pPr>
        <w:spacing w:after="0" w:line="20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Our positive EMEA operating segment sales performance was primarily related to our Foot Locker Europe e-commerce business, with Runners Point and Sidestep’s comparable sales remaining relatively flat.</w:t>
      </w:r>
    </w:p>
    <w:p>
      <w:pPr>
        <w:spacing w:after="0" w:line="197"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The Asia Pacific operating segment continued to increase both from the store expansion in Asia and increased sales from our operations in Australia, which was primarily the result of growth in our e-commerce business.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year-to-date comparable sales changes are consistent with the factors noted above.</w:t>
      </w:r>
    </w:p>
    <w:p>
      <w:pPr>
        <w:spacing w:after="0" w:line="21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From a product perspective for the combined channels, the increase in comparable sales for both the quarter and year-to-date periods was primarily driven by footwear. For both periods, the increase was partially offset by a decline in apparel sales. Within the footwear category, sales of women’s and children’s footwear contributed the most to the increase. Court and casual footwear styles continued to resonate well with our customers. Sales of men’s footwear, particularly sales of basketball styles, were negatively affected by the timing of certain product launches and declined slightly for the quarter, as compared with a low single-digit increase for the year-to-date period. Apparel sales declined for both the quarter and year-to-date period across all wearer segments.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Margin</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384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2"/>
          </w:tcPr>
          <w:p>
            <w:pPr>
              <w:jc w:val="right"/>
              <w:ind w:right="435"/>
              <w:spacing w:after="0"/>
              <w:rPr>
                <w:sz w:val="20"/>
                <w:szCs w:val="20"/>
                <w:color w:val="auto"/>
              </w:rPr>
            </w:pPr>
            <w:r>
              <w:rPr>
                <w:rFonts w:ascii="Arial" w:cs="Arial" w:eastAsia="Arial" w:hAnsi="Arial"/>
                <w:sz w:val="17"/>
                <w:szCs w:val="17"/>
                <w:b w:val="1"/>
                <w:bCs w:val="1"/>
                <w:color w:val="auto"/>
              </w:rPr>
              <w:t>Thirteen weeks ended</w:t>
            </w:r>
          </w:p>
        </w:tc>
        <w:tc>
          <w:tcPr>
            <w:tcW w:w="2540" w:type="dxa"/>
            <w:vAlign w:val="bottom"/>
            <w:tcBorders>
              <w:bottom w:val="single" w:sz="8" w:color="auto"/>
            </w:tcBorders>
            <w:gridSpan w:val="2"/>
          </w:tcPr>
          <w:p>
            <w:pPr>
              <w:jc w:val="right"/>
              <w:ind w:right="175"/>
              <w:spacing w:after="0"/>
              <w:rPr>
                <w:sz w:val="20"/>
                <w:szCs w:val="20"/>
                <w:color w:val="auto"/>
              </w:rPr>
            </w:pPr>
            <w:r>
              <w:rPr>
                <w:rFonts w:ascii="Arial" w:cs="Arial" w:eastAsia="Arial" w:hAnsi="Arial"/>
                <w:sz w:val="17"/>
                <w:szCs w:val="17"/>
                <w:b w:val="1"/>
                <w:bCs w:val="1"/>
                <w:color w:val="auto"/>
              </w:rPr>
              <w:t>Twenty-six weeks ended</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320" w:type="dxa"/>
            <w:vAlign w:val="bottom"/>
          </w:tcPr>
          <w:p>
            <w:pPr>
              <w:jc w:val="right"/>
              <w:ind w:right="215"/>
              <w:spacing w:after="0" w:line="157" w:lineRule="exact"/>
              <w:rPr>
                <w:sz w:val="20"/>
                <w:szCs w:val="20"/>
                <w:color w:val="auto"/>
              </w:rPr>
            </w:pPr>
            <w:r>
              <w:rPr>
                <w:rFonts w:ascii="Arial" w:cs="Arial" w:eastAsia="Arial" w:hAnsi="Arial"/>
                <w:sz w:val="17"/>
                <w:szCs w:val="17"/>
                <w:b w:val="1"/>
                <w:bCs w:val="1"/>
                <w:color w:val="auto"/>
              </w:rPr>
              <w:t>August 3,</w:t>
            </w:r>
          </w:p>
        </w:tc>
        <w:tc>
          <w:tcPr>
            <w:tcW w:w="1340" w:type="dxa"/>
            <w:vAlign w:val="bottom"/>
          </w:tcPr>
          <w:p>
            <w:pPr>
              <w:jc w:val="center"/>
              <w:ind w:right="155"/>
              <w:spacing w:after="0" w:line="157" w:lineRule="exact"/>
              <w:rPr>
                <w:sz w:val="20"/>
                <w:szCs w:val="20"/>
                <w:color w:val="auto"/>
              </w:rPr>
            </w:pPr>
            <w:r>
              <w:rPr>
                <w:rFonts w:ascii="Arial" w:cs="Arial" w:eastAsia="Arial" w:hAnsi="Arial"/>
                <w:sz w:val="17"/>
                <w:szCs w:val="17"/>
                <w:b w:val="1"/>
                <w:bCs w:val="1"/>
                <w:color w:val="auto"/>
              </w:rPr>
              <w:t>August 4,</w:t>
            </w:r>
          </w:p>
        </w:tc>
        <w:tc>
          <w:tcPr>
            <w:tcW w:w="1340" w:type="dxa"/>
            <w:vAlign w:val="bottom"/>
          </w:tcPr>
          <w:p>
            <w:pPr>
              <w:jc w:val="right"/>
              <w:ind w:right="195"/>
              <w:spacing w:after="0" w:line="157" w:lineRule="exact"/>
              <w:rPr>
                <w:sz w:val="20"/>
                <w:szCs w:val="20"/>
                <w:color w:val="auto"/>
              </w:rPr>
            </w:pPr>
            <w:r>
              <w:rPr>
                <w:rFonts w:ascii="Arial" w:cs="Arial" w:eastAsia="Arial" w:hAnsi="Arial"/>
                <w:sz w:val="17"/>
                <w:szCs w:val="17"/>
                <w:b w:val="1"/>
                <w:bCs w:val="1"/>
                <w:color w:val="auto"/>
              </w:rPr>
              <w:t>August 3,</w:t>
            </w:r>
          </w:p>
        </w:tc>
        <w:tc>
          <w:tcPr>
            <w:tcW w:w="1200" w:type="dxa"/>
            <w:vAlign w:val="bottom"/>
          </w:tcPr>
          <w:p>
            <w:pPr>
              <w:jc w:val="center"/>
              <w:spacing w:after="0" w:line="157" w:lineRule="exact"/>
              <w:rPr>
                <w:sz w:val="20"/>
                <w:szCs w:val="20"/>
                <w:color w:val="auto"/>
              </w:rPr>
            </w:pPr>
            <w:r>
              <w:rPr>
                <w:rFonts w:ascii="Arial" w:cs="Arial" w:eastAsia="Arial" w:hAnsi="Arial"/>
                <w:sz w:val="17"/>
                <w:szCs w:val="17"/>
                <w:b w:val="1"/>
                <w:bCs w:val="1"/>
                <w:color w:val="auto"/>
              </w:rPr>
              <w:t>August 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8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b w:val="1"/>
                <w:bCs w:val="1"/>
                <w:color w:val="auto"/>
              </w:rPr>
              <w:t>2019</w:t>
            </w:r>
          </w:p>
        </w:tc>
        <w:tc>
          <w:tcPr>
            <w:tcW w:w="134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b w:val="1"/>
                <w:bCs w:val="1"/>
                <w:color w:val="auto"/>
              </w:rPr>
              <w:t>2018</w:t>
            </w:r>
          </w:p>
        </w:tc>
        <w:tc>
          <w:tcPr>
            <w:tcW w:w="134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2019</w:t>
            </w:r>
          </w:p>
        </w:tc>
        <w:tc>
          <w:tcPr>
            <w:tcW w:w="120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2018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8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Gross margin rate</w:t>
            </w:r>
          </w:p>
        </w:tc>
        <w:tc>
          <w:tcPr>
            <w:tcW w:w="132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30.1 %</w:t>
            </w:r>
          </w:p>
        </w:tc>
        <w:tc>
          <w:tcPr>
            <w:tcW w:w="1340" w:type="dxa"/>
            <w:vAlign w:val="bottom"/>
            <w:shd w:val="clear" w:color="auto" w:fill="CCEEFF"/>
          </w:tcPr>
          <w:p>
            <w:pPr>
              <w:jc w:val="right"/>
              <w:ind w:right="175"/>
              <w:spacing w:after="0" w:line="183" w:lineRule="exact"/>
              <w:rPr>
                <w:sz w:val="20"/>
                <w:szCs w:val="20"/>
                <w:color w:val="auto"/>
              </w:rPr>
            </w:pPr>
            <w:r>
              <w:rPr>
                <w:rFonts w:ascii="Arial" w:cs="Arial" w:eastAsia="Arial" w:hAnsi="Arial"/>
                <w:sz w:val="17"/>
                <w:szCs w:val="17"/>
                <w:color w:val="auto"/>
              </w:rPr>
              <w:t>30.2 %</w:t>
            </w:r>
          </w:p>
        </w:tc>
        <w:tc>
          <w:tcPr>
            <w:tcW w:w="134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31.7 %</w:t>
            </w:r>
          </w:p>
        </w:tc>
        <w:tc>
          <w:tcPr>
            <w:tcW w:w="1200" w:type="dxa"/>
            <w:vAlign w:val="bottom"/>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31.7 %</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40" w:type="dxa"/>
            <w:vAlign w:val="bottom"/>
          </w:tcPr>
          <w:p>
            <w:pPr>
              <w:spacing w:after="0" w:line="189" w:lineRule="exact"/>
              <w:rPr>
                <w:sz w:val="20"/>
                <w:szCs w:val="20"/>
                <w:color w:val="auto"/>
              </w:rPr>
            </w:pPr>
            <w:r>
              <w:rPr>
                <w:rFonts w:ascii="Arial" w:cs="Arial" w:eastAsia="Arial" w:hAnsi="Arial"/>
                <w:sz w:val="17"/>
                <w:szCs w:val="17"/>
                <w:color w:val="auto"/>
              </w:rPr>
              <w:t>Basis point increase in the gross margin rate</w:t>
            </w:r>
          </w:p>
        </w:tc>
        <w:tc>
          <w:tcPr>
            <w:tcW w:w="1320" w:type="dxa"/>
            <w:vAlign w:val="bottom"/>
          </w:tcPr>
          <w:p>
            <w:pPr>
              <w:jc w:val="right"/>
              <w:ind w:right="235"/>
              <w:spacing w:after="0" w:line="189" w:lineRule="exact"/>
              <w:rPr>
                <w:sz w:val="20"/>
                <w:szCs w:val="20"/>
                <w:color w:val="auto"/>
              </w:rPr>
            </w:pPr>
            <w:r>
              <w:rPr>
                <w:rFonts w:ascii="Arial" w:cs="Arial" w:eastAsia="Arial" w:hAnsi="Arial"/>
                <w:sz w:val="17"/>
                <w:szCs w:val="17"/>
                <w:b w:val="1"/>
                <w:bCs w:val="1"/>
                <w:color w:val="auto"/>
              </w:rPr>
              <w:t>(10)</w:t>
            </w:r>
          </w:p>
        </w:tc>
        <w:tc>
          <w:tcPr>
            <w:tcW w:w="1340" w:type="dxa"/>
            <w:vAlign w:val="bottom"/>
          </w:tcPr>
          <w:p>
            <w:pPr>
              <w:spacing w:after="0"/>
              <w:rPr>
                <w:sz w:val="16"/>
                <w:szCs w:val="16"/>
                <w:color w:val="auto"/>
              </w:rPr>
            </w:pPr>
          </w:p>
        </w:tc>
        <w:tc>
          <w:tcPr>
            <w:tcW w:w="1340" w:type="dxa"/>
            <w:vAlign w:val="bottom"/>
          </w:tcPr>
          <w:p>
            <w:pPr>
              <w:jc w:val="right"/>
              <w:ind w:right="275"/>
              <w:spacing w:after="0" w:line="189" w:lineRule="exact"/>
              <w:rPr>
                <w:sz w:val="20"/>
                <w:szCs w:val="20"/>
                <w:color w:val="auto"/>
              </w:rPr>
            </w:pPr>
            <w:r>
              <w:rPr>
                <w:rFonts w:ascii="Arial" w:cs="Arial" w:eastAsia="Arial" w:hAnsi="Arial"/>
                <w:sz w:val="17"/>
                <w:szCs w:val="17"/>
                <w:b w:val="1"/>
                <w:bCs w:val="1"/>
                <w:color w:val="auto"/>
              </w:rPr>
              <w:t>—</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40" w:type="dxa"/>
            <w:vAlign w:val="bottom"/>
            <w:shd w:val="clear" w:color="auto" w:fill="CCEEFF"/>
          </w:tcPr>
          <w:p>
            <w:pPr>
              <w:ind w:left="100"/>
              <w:spacing w:after="0" w:line="189" w:lineRule="exact"/>
              <w:rPr>
                <w:sz w:val="20"/>
                <w:szCs w:val="20"/>
                <w:color w:val="auto"/>
              </w:rPr>
            </w:pPr>
            <w:r>
              <w:rPr>
                <w:rFonts w:ascii="Arial" w:cs="Arial" w:eastAsia="Arial" w:hAnsi="Arial"/>
                <w:sz w:val="17"/>
                <w:szCs w:val="17"/>
                <w:color w:val="auto"/>
              </w:rPr>
              <w:t>Components of the change-</w:t>
            </w:r>
          </w:p>
        </w:tc>
        <w:tc>
          <w:tcPr>
            <w:tcW w:w="13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40" w:type="dxa"/>
            <w:vAlign w:val="bottom"/>
          </w:tcPr>
          <w:p>
            <w:pPr>
              <w:ind w:left="200"/>
              <w:spacing w:after="0" w:line="189" w:lineRule="exact"/>
              <w:rPr>
                <w:sz w:val="20"/>
                <w:szCs w:val="20"/>
                <w:color w:val="auto"/>
              </w:rPr>
            </w:pPr>
            <w:r>
              <w:rPr>
                <w:rFonts w:ascii="Arial" w:cs="Arial" w:eastAsia="Arial" w:hAnsi="Arial"/>
                <w:sz w:val="17"/>
                <w:szCs w:val="17"/>
                <w:color w:val="auto"/>
              </w:rPr>
              <w:t>Merchandise margin rate decline</w:t>
            </w:r>
          </w:p>
        </w:tc>
        <w:tc>
          <w:tcPr>
            <w:tcW w:w="1320" w:type="dxa"/>
            <w:vAlign w:val="bottom"/>
          </w:tcPr>
          <w:p>
            <w:pPr>
              <w:jc w:val="right"/>
              <w:ind w:right="235"/>
              <w:spacing w:after="0" w:line="189" w:lineRule="exact"/>
              <w:rPr>
                <w:sz w:val="20"/>
                <w:szCs w:val="20"/>
                <w:color w:val="auto"/>
              </w:rPr>
            </w:pPr>
            <w:r>
              <w:rPr>
                <w:rFonts w:ascii="Arial" w:cs="Arial" w:eastAsia="Arial" w:hAnsi="Arial"/>
                <w:sz w:val="17"/>
                <w:szCs w:val="17"/>
                <w:b w:val="1"/>
                <w:bCs w:val="1"/>
                <w:color w:val="auto"/>
              </w:rPr>
              <w:t>(20)</w:t>
            </w:r>
          </w:p>
        </w:tc>
        <w:tc>
          <w:tcPr>
            <w:tcW w:w="1340" w:type="dxa"/>
            <w:vAlign w:val="bottom"/>
          </w:tcPr>
          <w:p>
            <w:pPr>
              <w:spacing w:after="0"/>
              <w:rPr>
                <w:sz w:val="16"/>
                <w:szCs w:val="16"/>
                <w:color w:val="auto"/>
              </w:rPr>
            </w:pPr>
          </w:p>
        </w:tc>
        <w:tc>
          <w:tcPr>
            <w:tcW w:w="1340" w:type="dxa"/>
            <w:vAlign w:val="bottom"/>
          </w:tcPr>
          <w:p>
            <w:pPr>
              <w:jc w:val="right"/>
              <w:ind w:right="235"/>
              <w:spacing w:after="0" w:line="189" w:lineRule="exact"/>
              <w:rPr>
                <w:sz w:val="20"/>
                <w:szCs w:val="20"/>
                <w:color w:val="auto"/>
              </w:rPr>
            </w:pPr>
            <w:r>
              <w:rPr>
                <w:rFonts w:ascii="Arial" w:cs="Arial" w:eastAsia="Arial" w:hAnsi="Arial"/>
                <w:sz w:val="17"/>
                <w:szCs w:val="17"/>
                <w:b w:val="1"/>
                <w:bCs w:val="1"/>
                <w:color w:val="auto"/>
              </w:rPr>
              <w:t>(40)</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840" w:type="dxa"/>
            <w:vAlign w:val="bottom"/>
            <w:shd w:val="clear" w:color="auto" w:fill="CCEEFF"/>
          </w:tcPr>
          <w:p>
            <w:pPr>
              <w:ind w:left="200"/>
              <w:spacing w:after="0" w:line="183" w:lineRule="exact"/>
              <w:rPr>
                <w:sz w:val="20"/>
                <w:szCs w:val="20"/>
                <w:color w:val="auto"/>
              </w:rPr>
            </w:pPr>
            <w:r>
              <w:rPr>
                <w:rFonts w:ascii="Arial" w:cs="Arial" w:eastAsia="Arial" w:hAnsi="Arial"/>
                <w:sz w:val="17"/>
                <w:szCs w:val="17"/>
                <w:color w:val="auto"/>
              </w:rPr>
              <w:t>Lower occupancy and buyers’ compensation</w:t>
            </w:r>
          </w:p>
        </w:tc>
        <w:tc>
          <w:tcPr>
            <w:tcW w:w="1320" w:type="dxa"/>
            <w:vAlign w:val="bottom"/>
            <w:vMerge w:val="restart"/>
            <w:shd w:val="clear" w:color="auto" w:fill="CCEEFF"/>
          </w:tcPr>
          <w:p>
            <w:pPr>
              <w:jc w:val="right"/>
              <w:ind w:right="295"/>
              <w:spacing w:after="0"/>
              <w:rPr>
                <w:sz w:val="20"/>
                <w:szCs w:val="20"/>
                <w:color w:val="auto"/>
              </w:rPr>
            </w:pPr>
            <w:r>
              <w:rPr>
                <w:rFonts w:ascii="Arial" w:cs="Arial" w:eastAsia="Arial" w:hAnsi="Arial"/>
                <w:sz w:val="17"/>
                <w:szCs w:val="17"/>
                <w:b w:val="1"/>
                <w:bCs w:val="1"/>
                <w:color w:val="auto"/>
              </w:rPr>
              <w:t>10</w:t>
            </w:r>
          </w:p>
        </w:tc>
        <w:tc>
          <w:tcPr>
            <w:tcW w:w="134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ind w:right="275"/>
              <w:spacing w:after="0"/>
              <w:rPr>
                <w:sz w:val="20"/>
                <w:szCs w:val="20"/>
                <w:color w:val="auto"/>
              </w:rPr>
            </w:pPr>
            <w:r>
              <w:rPr>
                <w:rFonts w:ascii="Arial" w:cs="Arial" w:eastAsia="Arial" w:hAnsi="Arial"/>
                <w:sz w:val="17"/>
                <w:szCs w:val="17"/>
                <w:b w:val="1"/>
                <w:bCs w:val="1"/>
                <w:color w:val="auto"/>
              </w:rPr>
              <w:t>40</w:t>
            </w: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8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7"/>
                <w:szCs w:val="17"/>
                <w:color w:val="auto"/>
              </w:rPr>
              <w:t>expense rate</w:t>
            </w:r>
          </w:p>
        </w:tc>
        <w:tc>
          <w:tcPr>
            <w:tcW w:w="1320" w:type="dxa"/>
            <w:vAlign w:val="bottom"/>
            <w:tcBorders>
              <w:bottom w:val="single" w:sz="8" w:color="auto"/>
            </w:tcBorders>
            <w:vMerge w:val="continue"/>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vMerge w:val="continue"/>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Gross margin is calculated as sales minus cost of sales. Cost of sales includes: the cost of merchandise, freight, distribution costs including related depreciation expense, shipping and handling, occupancy and buyers’ compensation. Occupancy costs include rent, common area maintenance charges, real estate taxes, general maintenance, and utilities.</w:t>
      </w:r>
    </w:p>
    <w:p>
      <w:pPr>
        <w:spacing w:after="0" w:line="20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gross margin rate decreased by 10 basis points for the thirteen weeks ended August 3, 2019 and remained unchanged for the twenty-six weeks ended August 3, 2019, as compared with the corresponding prior-year periods. The merchandise margin rate decline reflected a higher proportion of direct-to-customer sales, which bear a higher freight cost. The occupancy and buyers’ compensation expense rate decreased for the thirteen and twenty-six weeks ended August 3, 2019, which was primarily the result of higher sales as compared with a relatively fixed rent cost.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Expenses (SG&amp;A)</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6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2"/>
          </w:tcPr>
          <w:p>
            <w:pPr>
              <w:ind w:left="200"/>
              <w:spacing w:after="0"/>
              <w:rPr>
                <w:sz w:val="20"/>
                <w:szCs w:val="20"/>
                <w:color w:val="auto"/>
              </w:rPr>
            </w:pPr>
            <w:r>
              <w:rPr>
                <w:rFonts w:ascii="Arial" w:cs="Arial" w:eastAsia="Arial" w:hAnsi="Arial"/>
                <w:sz w:val="17"/>
                <w:szCs w:val="17"/>
                <w:b w:val="1"/>
                <w:bCs w:val="1"/>
                <w:color w:val="auto"/>
              </w:rPr>
              <w:t>Thirteen weeks ended</w:t>
            </w:r>
          </w:p>
        </w:tc>
        <w:tc>
          <w:tcPr>
            <w:tcW w:w="7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2"/>
          </w:tcPr>
          <w:p>
            <w:pPr>
              <w:ind w:left="60"/>
              <w:spacing w:after="0"/>
              <w:rPr>
                <w:sz w:val="20"/>
                <w:szCs w:val="20"/>
                <w:color w:val="auto"/>
              </w:rPr>
            </w:pPr>
            <w:r>
              <w:rPr>
                <w:rFonts w:ascii="Arial" w:cs="Arial" w:eastAsia="Arial" w:hAnsi="Arial"/>
                <w:sz w:val="17"/>
                <w:szCs w:val="17"/>
                <w:b w:val="1"/>
                <w:bCs w:val="1"/>
                <w:color w:val="auto"/>
                <w:w w:val="98"/>
              </w:rPr>
              <w:t>Twenty-six weeks ended</w:t>
            </w:r>
          </w:p>
        </w:tc>
        <w:tc>
          <w:tcPr>
            <w:tcW w:w="660" w:type="dxa"/>
            <w:vAlign w:val="bottom"/>
            <w:tcBorders>
              <w:bottom w:val="single" w:sz="8" w:color="auto"/>
            </w:tcBorders>
          </w:tcPr>
          <w:p>
            <w:pPr>
              <w:spacing w:after="0"/>
              <w:rPr>
                <w:sz w:val="18"/>
                <w:szCs w:val="18"/>
                <w:color w:val="auto"/>
              </w:rPr>
            </w:pPr>
          </w:p>
        </w:tc>
      </w:tr>
      <w:tr>
        <w:trPr>
          <w:trHeight w:val="183"/>
        </w:trPr>
        <w:tc>
          <w:tcPr>
            <w:tcW w:w="20" w:type="dxa"/>
            <w:vAlign w:val="bottom"/>
          </w:tcPr>
          <w:p>
            <w:pPr>
              <w:spacing w:after="0"/>
              <w:rPr>
                <w:sz w:val="15"/>
                <w:szCs w:val="15"/>
                <w:color w:val="auto"/>
              </w:rPr>
            </w:pPr>
          </w:p>
        </w:tc>
        <w:tc>
          <w:tcPr>
            <w:tcW w:w="26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2"/>
          </w:tcPr>
          <w:p>
            <w:pPr>
              <w:ind w:left="240"/>
              <w:spacing w:after="0" w:line="183" w:lineRule="exact"/>
              <w:rPr>
                <w:sz w:val="20"/>
                <w:szCs w:val="20"/>
                <w:color w:val="auto"/>
              </w:rPr>
            </w:pPr>
            <w:r>
              <w:rPr>
                <w:rFonts w:ascii="Arial" w:cs="Arial" w:eastAsia="Arial" w:hAnsi="Arial"/>
                <w:sz w:val="17"/>
                <w:szCs w:val="17"/>
                <w:b w:val="1"/>
                <w:bCs w:val="1"/>
                <w:color w:val="auto"/>
              </w:rPr>
              <w:t>August 3, 2019</w:t>
            </w:r>
          </w:p>
        </w:tc>
        <w:tc>
          <w:tcPr>
            <w:tcW w:w="1600" w:type="dxa"/>
            <w:vAlign w:val="bottom"/>
            <w:tcBorders>
              <w:bottom w:val="single" w:sz="8" w:color="auto"/>
            </w:tcBorders>
            <w:gridSpan w:val="2"/>
          </w:tcPr>
          <w:p>
            <w:pPr>
              <w:ind w:left="60"/>
              <w:spacing w:after="0" w:line="183" w:lineRule="exact"/>
              <w:rPr>
                <w:sz w:val="20"/>
                <w:szCs w:val="20"/>
                <w:color w:val="auto"/>
              </w:rPr>
            </w:pPr>
            <w:r>
              <w:rPr>
                <w:rFonts w:ascii="Arial" w:cs="Arial" w:eastAsia="Arial" w:hAnsi="Arial"/>
                <w:sz w:val="17"/>
                <w:szCs w:val="17"/>
                <w:b w:val="1"/>
                <w:bCs w:val="1"/>
                <w:color w:val="auto"/>
              </w:rPr>
              <w:t>August 4, 2018</w:t>
            </w:r>
          </w:p>
        </w:tc>
        <w:tc>
          <w:tcPr>
            <w:tcW w:w="1600" w:type="dxa"/>
            <w:vAlign w:val="bottom"/>
            <w:tcBorders>
              <w:bottom w:val="single" w:sz="8" w:color="auto"/>
            </w:tcBorders>
            <w:gridSpan w:val="2"/>
          </w:tcPr>
          <w:p>
            <w:pPr>
              <w:ind w:left="180"/>
              <w:spacing w:after="0" w:line="183" w:lineRule="exact"/>
              <w:rPr>
                <w:sz w:val="20"/>
                <w:szCs w:val="20"/>
                <w:color w:val="auto"/>
              </w:rPr>
            </w:pPr>
            <w:r>
              <w:rPr>
                <w:rFonts w:ascii="Arial" w:cs="Arial" w:eastAsia="Arial" w:hAnsi="Arial"/>
                <w:sz w:val="17"/>
                <w:szCs w:val="17"/>
                <w:b w:val="1"/>
                <w:bCs w:val="1"/>
                <w:color w:val="auto"/>
              </w:rPr>
              <w:t>August 3, 2019</w:t>
            </w:r>
          </w:p>
        </w:tc>
        <w:tc>
          <w:tcPr>
            <w:tcW w:w="1580" w:type="dxa"/>
            <w:vAlign w:val="bottom"/>
            <w:tcBorders>
              <w:bottom w:val="single" w:sz="8" w:color="auto"/>
            </w:tcBorders>
            <w:gridSpan w:val="2"/>
          </w:tcPr>
          <w:p>
            <w:pPr>
              <w:ind w:left="80"/>
              <w:spacing w:after="0" w:line="183" w:lineRule="exact"/>
              <w:rPr>
                <w:sz w:val="20"/>
                <w:szCs w:val="20"/>
                <w:color w:val="auto"/>
              </w:rPr>
            </w:pPr>
            <w:r>
              <w:rPr>
                <w:rFonts w:ascii="Arial" w:cs="Arial" w:eastAsia="Arial" w:hAnsi="Arial"/>
                <w:sz w:val="17"/>
                <w:szCs w:val="17"/>
                <w:b w:val="1"/>
                <w:bCs w:val="1"/>
                <w:color w:val="auto"/>
              </w:rPr>
              <w:t>August 4, 2018</w:t>
            </w:r>
          </w:p>
        </w:tc>
      </w:tr>
      <w:tr>
        <w:trPr>
          <w:trHeight w:val="183"/>
        </w:trPr>
        <w:tc>
          <w:tcPr>
            <w:tcW w:w="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20" w:type="dxa"/>
            <w:vAlign w:val="bottom"/>
            <w:gridSpan w:val="2"/>
          </w:tcPr>
          <w:p>
            <w:pPr>
              <w:ind w:left="160"/>
              <w:spacing w:after="0" w:line="183" w:lineRule="exact"/>
              <w:rPr>
                <w:sz w:val="20"/>
                <w:szCs w:val="20"/>
                <w:color w:val="auto"/>
              </w:rPr>
            </w:pPr>
            <w:r>
              <w:rPr>
                <w:rFonts w:ascii="Arial" w:cs="Arial" w:eastAsia="Arial" w:hAnsi="Arial"/>
                <w:sz w:val="17"/>
                <w:szCs w:val="17"/>
                <w:color w:val="auto"/>
              </w:rPr>
              <w:t>($ in millions)</w:t>
            </w:r>
          </w:p>
        </w:tc>
        <w:tc>
          <w:tcPr>
            <w:tcW w:w="1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26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SG&amp;A</w:t>
            </w:r>
          </w:p>
        </w:tc>
        <w:tc>
          <w:tcPr>
            <w:tcW w:w="500" w:type="dxa"/>
            <w:vAlign w:val="bottom"/>
            <w:shd w:val="clear" w:color="auto" w:fill="CCEEFF"/>
          </w:tcPr>
          <w:p>
            <w:pPr>
              <w:ind w:left="220"/>
              <w:spacing w:after="0" w:line="189" w:lineRule="exact"/>
              <w:rPr>
                <w:sz w:val="20"/>
                <w:szCs w:val="20"/>
                <w:color w:val="auto"/>
              </w:rPr>
            </w:pPr>
            <w:r>
              <w:rPr>
                <w:rFonts w:ascii="Arial" w:cs="Arial" w:eastAsia="Arial" w:hAnsi="Arial"/>
                <w:sz w:val="17"/>
                <w:szCs w:val="17"/>
                <w:b w:val="1"/>
                <w:bCs w:val="1"/>
                <w:color w:val="auto"/>
              </w:rPr>
              <w:t>$</w:t>
            </w:r>
          </w:p>
        </w:tc>
        <w:tc>
          <w:tcPr>
            <w:tcW w:w="1160" w:type="dxa"/>
            <w:vAlign w:val="bottom"/>
            <w:shd w:val="clear" w:color="auto" w:fill="CCEEFF"/>
          </w:tcPr>
          <w:p>
            <w:pPr>
              <w:jc w:val="right"/>
              <w:ind w:right="175"/>
              <w:spacing w:after="0" w:line="189" w:lineRule="exact"/>
              <w:rPr>
                <w:sz w:val="20"/>
                <w:szCs w:val="20"/>
                <w:color w:val="auto"/>
              </w:rPr>
            </w:pPr>
            <w:r>
              <w:rPr>
                <w:rFonts w:ascii="Arial" w:cs="Arial" w:eastAsia="Arial" w:hAnsi="Arial"/>
                <w:sz w:val="17"/>
                <w:szCs w:val="17"/>
                <w:b w:val="1"/>
                <w:bCs w:val="1"/>
                <w:color w:val="auto"/>
              </w:rPr>
              <w:t>393</w:t>
            </w:r>
          </w:p>
        </w:tc>
        <w:tc>
          <w:tcPr>
            <w:tcW w:w="860" w:type="dxa"/>
            <w:vAlign w:val="bottom"/>
            <w:shd w:val="clear" w:color="auto" w:fill="CCEEFF"/>
          </w:tcPr>
          <w:p>
            <w:pPr>
              <w:ind w:left="60"/>
              <w:spacing w:after="0" w:line="189" w:lineRule="exact"/>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ind w:right="275"/>
              <w:spacing w:after="0" w:line="189" w:lineRule="exact"/>
              <w:rPr>
                <w:sz w:val="20"/>
                <w:szCs w:val="20"/>
                <w:color w:val="auto"/>
              </w:rPr>
            </w:pPr>
            <w:r>
              <w:rPr>
                <w:rFonts w:ascii="Arial" w:cs="Arial" w:eastAsia="Arial" w:hAnsi="Arial"/>
                <w:sz w:val="17"/>
                <w:szCs w:val="17"/>
                <w:color w:val="auto"/>
              </w:rPr>
              <w:t>380</w:t>
            </w:r>
          </w:p>
        </w:tc>
        <w:tc>
          <w:tcPr>
            <w:tcW w:w="480" w:type="dxa"/>
            <w:vAlign w:val="bottom"/>
            <w:shd w:val="clear" w:color="auto" w:fill="CCEEFF"/>
          </w:tcPr>
          <w:p>
            <w:pPr>
              <w:ind w:left="160"/>
              <w:spacing w:after="0" w:line="189" w:lineRule="exact"/>
              <w:rPr>
                <w:sz w:val="20"/>
                <w:szCs w:val="20"/>
                <w:color w:val="auto"/>
              </w:rPr>
            </w:pPr>
            <w:r>
              <w:rPr>
                <w:rFonts w:ascii="Arial" w:cs="Arial" w:eastAsia="Arial" w:hAnsi="Arial"/>
                <w:sz w:val="17"/>
                <w:szCs w:val="17"/>
                <w:b w:val="1"/>
                <w:bCs w:val="1"/>
                <w:color w:val="auto"/>
              </w:rPr>
              <w:t>$</w:t>
            </w:r>
          </w:p>
        </w:tc>
        <w:tc>
          <w:tcPr>
            <w:tcW w:w="1120" w:type="dxa"/>
            <w:vAlign w:val="bottom"/>
            <w:shd w:val="clear" w:color="auto" w:fill="CCEEFF"/>
          </w:tcPr>
          <w:p>
            <w:pPr>
              <w:jc w:val="right"/>
              <w:ind w:right="175"/>
              <w:spacing w:after="0" w:line="189" w:lineRule="exact"/>
              <w:rPr>
                <w:sz w:val="20"/>
                <w:szCs w:val="20"/>
                <w:color w:val="auto"/>
              </w:rPr>
            </w:pPr>
            <w:r>
              <w:rPr>
                <w:rFonts w:ascii="Arial" w:cs="Arial" w:eastAsia="Arial" w:hAnsi="Arial"/>
                <w:sz w:val="17"/>
                <w:szCs w:val="17"/>
                <w:b w:val="1"/>
                <w:bCs w:val="1"/>
                <w:color w:val="auto"/>
              </w:rPr>
              <w:t>809</w:t>
            </w:r>
          </w:p>
        </w:tc>
        <w:tc>
          <w:tcPr>
            <w:tcW w:w="920" w:type="dxa"/>
            <w:vAlign w:val="bottom"/>
            <w:shd w:val="clear" w:color="auto" w:fill="CCEEFF"/>
          </w:tcPr>
          <w:p>
            <w:pPr>
              <w:ind w:left="60"/>
              <w:spacing w:after="0" w:line="189" w:lineRule="exact"/>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ind w:right="235"/>
              <w:spacing w:after="0" w:line="189" w:lineRule="exact"/>
              <w:rPr>
                <w:sz w:val="20"/>
                <w:szCs w:val="20"/>
                <w:color w:val="auto"/>
              </w:rPr>
            </w:pPr>
            <w:r>
              <w:rPr>
                <w:rFonts w:ascii="Arial" w:cs="Arial" w:eastAsia="Arial" w:hAnsi="Arial"/>
                <w:sz w:val="17"/>
                <w:szCs w:val="17"/>
                <w:color w:val="auto"/>
              </w:rPr>
              <w:t>765</w:t>
            </w:r>
          </w:p>
        </w:tc>
      </w:tr>
      <w:tr>
        <w:trPr>
          <w:trHeight w:val="189"/>
        </w:trPr>
        <w:tc>
          <w:tcPr>
            <w:tcW w:w="20" w:type="dxa"/>
            <w:vAlign w:val="bottom"/>
          </w:tcPr>
          <w:p>
            <w:pPr>
              <w:spacing w:after="0"/>
              <w:rPr>
                <w:sz w:val="16"/>
                <w:szCs w:val="16"/>
                <w:color w:val="auto"/>
              </w:rPr>
            </w:pPr>
          </w:p>
        </w:tc>
        <w:tc>
          <w:tcPr>
            <w:tcW w:w="2600" w:type="dxa"/>
            <w:vAlign w:val="bottom"/>
          </w:tcPr>
          <w:p>
            <w:pPr>
              <w:spacing w:after="0" w:line="189" w:lineRule="exact"/>
              <w:rPr>
                <w:sz w:val="20"/>
                <w:szCs w:val="20"/>
                <w:color w:val="auto"/>
              </w:rPr>
            </w:pPr>
            <w:r>
              <w:rPr>
                <w:rFonts w:ascii="Arial" w:cs="Arial" w:eastAsia="Arial" w:hAnsi="Arial"/>
                <w:sz w:val="17"/>
                <w:szCs w:val="17"/>
                <w:color w:val="auto"/>
              </w:rPr>
              <w:t>$ Change</w:t>
            </w:r>
          </w:p>
        </w:tc>
        <w:tc>
          <w:tcPr>
            <w:tcW w:w="500" w:type="dxa"/>
            <w:vAlign w:val="bottom"/>
          </w:tcPr>
          <w:p>
            <w:pPr>
              <w:ind w:left="220"/>
              <w:spacing w:after="0" w:line="189" w:lineRule="exact"/>
              <w:rPr>
                <w:sz w:val="20"/>
                <w:szCs w:val="20"/>
                <w:color w:val="auto"/>
              </w:rPr>
            </w:pPr>
            <w:r>
              <w:rPr>
                <w:rFonts w:ascii="Arial" w:cs="Arial" w:eastAsia="Arial" w:hAnsi="Arial"/>
                <w:sz w:val="17"/>
                <w:szCs w:val="17"/>
                <w:b w:val="1"/>
                <w:bCs w:val="1"/>
                <w:color w:val="auto"/>
              </w:rPr>
              <w:t>$</w:t>
            </w:r>
          </w:p>
        </w:tc>
        <w:tc>
          <w:tcPr>
            <w:tcW w:w="1160" w:type="dxa"/>
            <w:vAlign w:val="bottom"/>
          </w:tcPr>
          <w:p>
            <w:pPr>
              <w:jc w:val="right"/>
              <w:ind w:right="175"/>
              <w:spacing w:after="0" w:line="189" w:lineRule="exact"/>
              <w:rPr>
                <w:sz w:val="20"/>
                <w:szCs w:val="20"/>
                <w:color w:val="auto"/>
              </w:rPr>
            </w:pPr>
            <w:r>
              <w:rPr>
                <w:rFonts w:ascii="Arial" w:cs="Arial" w:eastAsia="Arial" w:hAnsi="Arial"/>
                <w:sz w:val="17"/>
                <w:szCs w:val="17"/>
                <w:b w:val="1"/>
                <w:bCs w:val="1"/>
                <w:color w:val="auto"/>
              </w:rPr>
              <w:t>13</w:t>
            </w:r>
          </w:p>
        </w:tc>
        <w:tc>
          <w:tcPr>
            <w:tcW w:w="8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80" w:type="dxa"/>
            <w:vAlign w:val="bottom"/>
          </w:tcPr>
          <w:p>
            <w:pPr>
              <w:ind w:left="160"/>
              <w:spacing w:after="0" w:line="189" w:lineRule="exact"/>
              <w:rPr>
                <w:sz w:val="20"/>
                <w:szCs w:val="20"/>
                <w:color w:val="auto"/>
              </w:rPr>
            </w:pPr>
            <w:r>
              <w:rPr>
                <w:rFonts w:ascii="Arial" w:cs="Arial" w:eastAsia="Arial" w:hAnsi="Arial"/>
                <w:sz w:val="17"/>
                <w:szCs w:val="17"/>
                <w:b w:val="1"/>
                <w:bCs w:val="1"/>
                <w:color w:val="auto"/>
              </w:rPr>
              <w:t>$</w:t>
            </w:r>
          </w:p>
        </w:tc>
        <w:tc>
          <w:tcPr>
            <w:tcW w:w="1120" w:type="dxa"/>
            <w:vAlign w:val="bottom"/>
          </w:tcPr>
          <w:p>
            <w:pPr>
              <w:jc w:val="right"/>
              <w:ind w:right="175"/>
              <w:spacing w:after="0" w:line="189" w:lineRule="exact"/>
              <w:rPr>
                <w:sz w:val="20"/>
                <w:szCs w:val="20"/>
                <w:color w:val="auto"/>
              </w:rPr>
            </w:pPr>
            <w:r>
              <w:rPr>
                <w:rFonts w:ascii="Arial" w:cs="Arial" w:eastAsia="Arial" w:hAnsi="Arial"/>
                <w:sz w:val="17"/>
                <w:szCs w:val="17"/>
                <w:b w:val="1"/>
                <w:bCs w:val="1"/>
                <w:color w:val="auto"/>
              </w:rPr>
              <w:t>44</w:t>
            </w:r>
          </w:p>
        </w:tc>
        <w:tc>
          <w:tcPr>
            <w:tcW w:w="92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26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 Change</w:t>
            </w:r>
          </w:p>
        </w:tc>
        <w:tc>
          <w:tcPr>
            <w:tcW w:w="5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3.4 %</w:t>
            </w:r>
          </w:p>
        </w:tc>
        <w:tc>
          <w:tcPr>
            <w:tcW w:w="8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5.8 %</w:t>
            </w:r>
          </w:p>
        </w:tc>
        <w:tc>
          <w:tcPr>
            <w:tcW w:w="9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r>
      <w:tr>
        <w:trPr>
          <w:trHeight w:val="189"/>
        </w:trPr>
        <w:tc>
          <w:tcPr>
            <w:tcW w:w="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SG&amp;A as a percentage of sales</w:t>
            </w:r>
          </w:p>
        </w:tc>
        <w:tc>
          <w:tcPr>
            <w:tcW w:w="5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22.2 %</w:t>
            </w:r>
          </w:p>
        </w:tc>
        <w:tc>
          <w:tcPr>
            <w:tcW w:w="8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rPr>
              <w:t>21.3 %</w:t>
            </w:r>
          </w:p>
        </w:tc>
        <w:tc>
          <w:tcPr>
            <w:tcW w:w="4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21.0 %</w:t>
            </w:r>
          </w:p>
        </w:tc>
        <w:tc>
          <w:tcPr>
            <w:tcW w:w="9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color w:val="auto"/>
                <w:w w:val="98"/>
              </w:rPr>
              <w:t>20.1 %</w:t>
            </w:r>
          </w:p>
        </w:tc>
      </w:tr>
    </w:tbl>
    <w:p>
      <w:pPr>
        <w:spacing w:after="0" w:line="20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SG&amp;A increased by $13 million, or by 90 basis points, to $393 million for the thirteen weeks ended August 3, 2019, as compared with the corresponding prior-year period. For the twenty-six weeks ended August 3, 2019, SG&amp;A increased by $44 million, or by 90 basis points, to $809 million, as compared with the corresponding prior-year period. Excluding the effect of foreign currency fluctuations, SG&amp;A increased by $18 million and $60 million for the thirteen and twenty-six weeks ended August 3, 2019, respectively, as compared with the corresponding prior-year periods.</w:t>
      </w:r>
    </w:p>
    <w:p>
      <w:pPr>
        <w:spacing w:after="0" w:line="20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higher SG&amp;A expense rate for the quarter reflected higher wages and an increase in costs incurred in connection with our ongoing investment in various technology and infrastructure projects. Corporate expense (a component of SG&amp;A) increased during the quarter, also reflecting the same factors noted previously and higher share-based compensation that is tied to the Company’s performance.</w:t>
      </w:r>
    </w:p>
    <w:p>
      <w:pPr>
        <w:spacing w:after="0" w:line="202"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Affecting the year-to-date comparison is a benefit of $5 million that was recorded in the first quarter of 2018 relating to insurance recoveries for damaged inventory and fixed assets for losses incurred during Hurricane Maria in 2017.</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Depreciation and Amortization</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260" w:type="dxa"/>
            <w:vAlign w:val="bottom"/>
            <w:gridSpan w:val="4"/>
          </w:tcPr>
          <w:p>
            <w:pPr>
              <w:jc w:val="right"/>
              <w:ind w:right="435"/>
              <w:spacing w:after="0"/>
              <w:rPr>
                <w:sz w:val="20"/>
                <w:szCs w:val="20"/>
                <w:color w:val="auto"/>
              </w:rPr>
            </w:pPr>
            <w:r>
              <w:rPr>
                <w:rFonts w:ascii="Arial" w:cs="Arial" w:eastAsia="Arial" w:hAnsi="Arial"/>
                <w:sz w:val="17"/>
                <w:szCs w:val="17"/>
                <w:b w:val="1"/>
                <w:bCs w:val="1"/>
                <w:color w:val="auto"/>
              </w:rPr>
              <w:t>Thirteen weeks ended</w:t>
            </w:r>
          </w:p>
        </w:tc>
        <w:tc>
          <w:tcPr>
            <w:tcW w:w="340" w:type="dxa"/>
            <w:vAlign w:val="bottom"/>
          </w:tcPr>
          <w:p>
            <w:pPr>
              <w:spacing w:after="0"/>
              <w:rPr>
                <w:sz w:val="18"/>
                <w:szCs w:val="18"/>
                <w:color w:val="auto"/>
              </w:rPr>
            </w:pPr>
          </w:p>
        </w:tc>
        <w:tc>
          <w:tcPr>
            <w:tcW w:w="2560" w:type="dxa"/>
            <w:vAlign w:val="bottom"/>
            <w:gridSpan w:val="4"/>
          </w:tcPr>
          <w:p>
            <w:pPr>
              <w:ind w:left="120"/>
              <w:spacing w:after="0"/>
              <w:rPr>
                <w:sz w:val="20"/>
                <w:szCs w:val="20"/>
                <w:color w:val="auto"/>
              </w:rPr>
            </w:pPr>
            <w:r>
              <w:rPr>
                <w:rFonts w:ascii="Arial" w:cs="Arial" w:eastAsia="Arial" w:hAnsi="Arial"/>
                <w:sz w:val="17"/>
                <w:szCs w:val="17"/>
                <w:b w:val="1"/>
                <w:bCs w:val="1"/>
                <w:color w:val="auto"/>
              </w:rPr>
              <w:t>Twenty-six weeks ended</w:t>
            </w:r>
          </w:p>
        </w:tc>
      </w:tr>
      <w:tr>
        <w:trPr>
          <w:trHeight w:val="156"/>
        </w:trPr>
        <w:tc>
          <w:tcPr>
            <w:tcW w:w="20" w:type="dxa"/>
            <w:vAlign w:val="bottom"/>
          </w:tcPr>
          <w:p>
            <w:pPr>
              <w:spacing w:after="0"/>
              <w:rPr>
                <w:sz w:val="13"/>
                <w:szCs w:val="13"/>
                <w:color w:val="auto"/>
              </w:rPr>
            </w:pPr>
          </w:p>
        </w:tc>
        <w:tc>
          <w:tcPr>
            <w:tcW w:w="2880" w:type="dxa"/>
            <w:vAlign w:val="bottom"/>
            <w:tcBorders>
              <w:top w:val="single" w:sz="8" w:color="auto"/>
            </w:tcBorders>
          </w:tcPr>
          <w:p>
            <w:pPr>
              <w:spacing w:after="0"/>
              <w:rPr>
                <w:sz w:val="13"/>
                <w:szCs w:val="13"/>
                <w:color w:val="auto"/>
              </w:rPr>
            </w:pPr>
          </w:p>
        </w:tc>
        <w:tc>
          <w:tcPr>
            <w:tcW w:w="1940" w:type="dxa"/>
            <w:vAlign w:val="bottom"/>
            <w:tcBorders>
              <w:top w:val="single" w:sz="8" w:color="auto"/>
            </w:tcBorders>
            <w:gridSpan w:val="2"/>
          </w:tcPr>
          <w:p>
            <w:pPr>
              <w:jc w:val="right"/>
              <w:ind w:right="275"/>
              <w:spacing w:after="0" w:line="157" w:lineRule="exact"/>
              <w:rPr>
                <w:sz w:val="20"/>
                <w:szCs w:val="20"/>
                <w:color w:val="auto"/>
              </w:rPr>
            </w:pPr>
            <w:r>
              <w:rPr>
                <w:rFonts w:ascii="Arial" w:cs="Arial" w:eastAsia="Arial" w:hAnsi="Arial"/>
                <w:sz w:val="17"/>
                <w:szCs w:val="17"/>
                <w:b w:val="1"/>
                <w:bCs w:val="1"/>
                <w:color w:val="auto"/>
              </w:rPr>
              <w:t>August 3,</w:t>
            </w:r>
          </w:p>
        </w:tc>
        <w:tc>
          <w:tcPr>
            <w:tcW w:w="18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center"/>
              <w:ind w:right="235"/>
              <w:spacing w:after="0" w:line="157" w:lineRule="exact"/>
              <w:rPr>
                <w:sz w:val="20"/>
                <w:szCs w:val="20"/>
                <w:color w:val="auto"/>
              </w:rPr>
            </w:pPr>
            <w:r>
              <w:rPr>
                <w:rFonts w:ascii="Arial" w:cs="Arial" w:eastAsia="Arial" w:hAnsi="Arial"/>
                <w:sz w:val="17"/>
                <w:szCs w:val="17"/>
                <w:b w:val="1"/>
                <w:bCs w:val="1"/>
                <w:color w:val="auto"/>
              </w:rPr>
              <w:t>August 4,</w:t>
            </w:r>
          </w:p>
        </w:tc>
        <w:tc>
          <w:tcPr>
            <w:tcW w:w="3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255"/>
              <w:spacing w:after="0" w:line="157" w:lineRule="exact"/>
              <w:rPr>
                <w:sz w:val="20"/>
                <w:szCs w:val="20"/>
                <w:color w:val="auto"/>
              </w:rPr>
            </w:pPr>
            <w:r>
              <w:rPr>
                <w:rFonts w:ascii="Arial" w:cs="Arial" w:eastAsia="Arial" w:hAnsi="Arial"/>
                <w:sz w:val="17"/>
                <w:szCs w:val="17"/>
                <w:b w:val="1"/>
                <w:bCs w:val="1"/>
                <w:color w:val="auto"/>
              </w:rPr>
              <w:t>August 3,</w:t>
            </w:r>
          </w:p>
        </w:tc>
        <w:tc>
          <w:tcPr>
            <w:tcW w:w="2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center"/>
              <w:ind w:right="35"/>
              <w:spacing w:after="0" w:line="157" w:lineRule="exact"/>
              <w:rPr>
                <w:sz w:val="20"/>
                <w:szCs w:val="20"/>
                <w:color w:val="auto"/>
              </w:rPr>
            </w:pPr>
            <w:r>
              <w:rPr>
                <w:rFonts w:ascii="Arial" w:cs="Arial" w:eastAsia="Arial" w:hAnsi="Arial"/>
                <w:sz w:val="17"/>
                <w:szCs w:val="17"/>
                <w:b w:val="1"/>
                <w:bCs w:val="1"/>
                <w:color w:val="auto"/>
              </w:rPr>
              <w:t>August 4,</w:t>
            </w:r>
          </w:p>
        </w:tc>
        <w:tc>
          <w:tcPr>
            <w:tcW w:w="220" w:type="dxa"/>
            <w:vAlign w:val="bottom"/>
          </w:tcPr>
          <w:p>
            <w:pPr>
              <w:spacing w:after="0"/>
              <w:rPr>
                <w:sz w:val="13"/>
                <w:szCs w:val="13"/>
                <w:color w:val="auto"/>
              </w:rPr>
            </w:pPr>
          </w:p>
        </w:tc>
      </w:tr>
      <w:tr>
        <w:trPr>
          <w:trHeight w:val="215"/>
        </w:trPr>
        <w:tc>
          <w:tcPr>
            <w:tcW w:w="20" w:type="dxa"/>
            <w:vAlign w:val="bottom"/>
          </w:tcPr>
          <w:p>
            <w:pPr>
              <w:spacing w:after="0"/>
              <w:rPr>
                <w:sz w:val="18"/>
                <w:szCs w:val="18"/>
                <w:color w:val="auto"/>
              </w:rPr>
            </w:pPr>
          </w:p>
        </w:tc>
        <w:tc>
          <w:tcPr>
            <w:tcW w:w="28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2019</w:t>
            </w:r>
          </w:p>
        </w:tc>
        <w:tc>
          <w:tcPr>
            <w:tcW w:w="5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2018</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2019</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b w:val="1"/>
                <w:bCs w:val="1"/>
                <w:color w:val="auto"/>
              </w:rPr>
              <w:t>2018</w:t>
            </w:r>
          </w:p>
        </w:tc>
        <w:tc>
          <w:tcPr>
            <w:tcW w:w="220" w:type="dxa"/>
            <w:vAlign w:val="bottom"/>
            <w:tcBorders>
              <w:bottom w:val="single" w:sz="8" w:color="auto"/>
            </w:tcBorders>
          </w:tcPr>
          <w:p>
            <w:pPr>
              <w:spacing w:after="0"/>
              <w:rPr>
                <w:sz w:val="18"/>
                <w:szCs w:val="18"/>
                <w:color w:val="auto"/>
              </w:rPr>
            </w:pPr>
          </w:p>
        </w:tc>
      </w:tr>
      <w:tr>
        <w:trPr>
          <w:trHeight w:val="183"/>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40" w:type="dxa"/>
            <w:vAlign w:val="bottom"/>
            <w:gridSpan w:val="3"/>
          </w:tcPr>
          <w:p>
            <w:pPr>
              <w:jc w:val="right"/>
              <w:ind w:right="875"/>
              <w:spacing w:after="0" w:line="183" w:lineRule="exact"/>
              <w:rPr>
                <w:sz w:val="20"/>
                <w:szCs w:val="20"/>
                <w:color w:val="auto"/>
              </w:rPr>
            </w:pPr>
            <w:r>
              <w:rPr>
                <w:rFonts w:ascii="Arial" w:cs="Arial" w:eastAsia="Arial" w:hAnsi="Arial"/>
                <w:sz w:val="17"/>
                <w:szCs w:val="17"/>
                <w:color w:val="auto"/>
              </w:rPr>
              <w:t>($ in millions)</w:t>
            </w: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28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Depreciation and amortization</w:t>
            </w:r>
          </w:p>
        </w:tc>
        <w:tc>
          <w:tcPr>
            <w:tcW w:w="1400" w:type="dxa"/>
            <w:vAlign w:val="bottom"/>
            <w:shd w:val="clear" w:color="auto" w:fill="CCEEFF"/>
          </w:tcPr>
          <w:p>
            <w:pPr>
              <w:jc w:val="right"/>
              <w:ind w:right="595"/>
              <w:spacing w:after="0" w:line="189" w:lineRule="exact"/>
              <w:rPr>
                <w:sz w:val="20"/>
                <w:szCs w:val="20"/>
                <w:color w:val="auto"/>
              </w:rPr>
            </w:pPr>
            <w:r>
              <w:rPr>
                <w:rFonts w:ascii="Arial" w:cs="Arial" w:eastAsia="Arial" w:hAnsi="Arial"/>
                <w:sz w:val="17"/>
                <w:szCs w:val="17"/>
                <w:b w:val="1"/>
                <w:bCs w:val="1"/>
                <w:color w:val="auto"/>
              </w:rPr>
              <w:t>$</w:t>
            </w:r>
          </w:p>
        </w:tc>
        <w:tc>
          <w:tcPr>
            <w:tcW w:w="540" w:type="dxa"/>
            <w:vAlign w:val="bottom"/>
            <w:shd w:val="clear" w:color="auto" w:fill="CCEEFF"/>
          </w:tcPr>
          <w:p>
            <w:pPr>
              <w:jc w:val="right"/>
              <w:ind w:right="175"/>
              <w:spacing w:after="0" w:line="189" w:lineRule="exact"/>
              <w:rPr>
                <w:sz w:val="20"/>
                <w:szCs w:val="20"/>
                <w:color w:val="auto"/>
              </w:rPr>
            </w:pPr>
            <w:r>
              <w:rPr>
                <w:rFonts w:ascii="Arial" w:cs="Arial" w:eastAsia="Arial" w:hAnsi="Arial"/>
                <w:sz w:val="17"/>
                <w:szCs w:val="17"/>
                <w:b w:val="1"/>
                <w:bCs w:val="1"/>
                <w:color w:val="auto"/>
              </w:rPr>
              <w:t>46</w:t>
            </w:r>
          </w:p>
        </w:tc>
        <w:tc>
          <w:tcPr>
            <w:tcW w:w="1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155"/>
              <w:spacing w:after="0" w:line="189" w:lineRule="exact"/>
              <w:rPr>
                <w:sz w:val="20"/>
                <w:szCs w:val="20"/>
                <w:color w:val="auto"/>
              </w:rPr>
            </w:pPr>
            <w:r>
              <w:rPr>
                <w:rFonts w:ascii="Arial" w:cs="Arial" w:eastAsia="Arial" w:hAnsi="Arial"/>
                <w:sz w:val="17"/>
                <w:szCs w:val="17"/>
                <w:color w:val="auto"/>
              </w:rPr>
              <w:t>44</w:t>
            </w:r>
          </w:p>
        </w:tc>
        <w:tc>
          <w:tcPr>
            <w:tcW w:w="3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160" w:type="dxa"/>
            <w:vAlign w:val="bottom"/>
            <w:shd w:val="clear" w:color="auto" w:fill="CCEEFF"/>
          </w:tcPr>
          <w:p>
            <w:pPr>
              <w:jc w:val="right"/>
              <w:ind w:right="155"/>
              <w:spacing w:after="0" w:line="189" w:lineRule="exact"/>
              <w:rPr>
                <w:sz w:val="20"/>
                <w:szCs w:val="20"/>
                <w:color w:val="auto"/>
              </w:rPr>
            </w:pPr>
            <w:r>
              <w:rPr>
                <w:rFonts w:ascii="Arial" w:cs="Arial" w:eastAsia="Arial" w:hAnsi="Arial"/>
                <w:sz w:val="17"/>
                <w:szCs w:val="17"/>
                <w:b w:val="1"/>
                <w:bCs w:val="1"/>
                <w:color w:val="auto"/>
              </w:rPr>
              <w:t>90</w:t>
            </w:r>
          </w:p>
        </w:tc>
        <w:tc>
          <w:tcPr>
            <w:tcW w:w="2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89</w:t>
            </w:r>
          </w:p>
        </w:tc>
        <w:tc>
          <w:tcPr>
            <w:tcW w:w="220" w:type="dxa"/>
            <w:vAlign w:val="bottom"/>
            <w:shd w:val="clear" w:color="auto" w:fill="CCEEFF"/>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2880" w:type="dxa"/>
            <w:vAlign w:val="bottom"/>
          </w:tcPr>
          <w:p>
            <w:pPr>
              <w:spacing w:after="0" w:line="189" w:lineRule="exact"/>
              <w:rPr>
                <w:sz w:val="20"/>
                <w:szCs w:val="20"/>
                <w:color w:val="auto"/>
              </w:rPr>
            </w:pPr>
            <w:r>
              <w:rPr>
                <w:rFonts w:ascii="Arial" w:cs="Arial" w:eastAsia="Arial" w:hAnsi="Arial"/>
                <w:sz w:val="17"/>
                <w:szCs w:val="17"/>
                <w:color w:val="auto"/>
              </w:rPr>
              <w:t>$ Change</w:t>
            </w:r>
          </w:p>
        </w:tc>
        <w:tc>
          <w:tcPr>
            <w:tcW w:w="1400" w:type="dxa"/>
            <w:vAlign w:val="bottom"/>
          </w:tcPr>
          <w:p>
            <w:pPr>
              <w:jc w:val="right"/>
              <w:ind w:right="595"/>
              <w:spacing w:after="0" w:line="189" w:lineRule="exact"/>
              <w:rPr>
                <w:sz w:val="20"/>
                <w:szCs w:val="20"/>
                <w:color w:val="auto"/>
              </w:rPr>
            </w:pPr>
            <w:r>
              <w:rPr>
                <w:rFonts w:ascii="Arial" w:cs="Arial" w:eastAsia="Arial" w:hAnsi="Arial"/>
                <w:sz w:val="17"/>
                <w:szCs w:val="17"/>
                <w:b w:val="1"/>
                <w:bCs w:val="1"/>
                <w:color w:val="auto"/>
              </w:rPr>
              <w:t>$</w:t>
            </w:r>
          </w:p>
        </w:tc>
        <w:tc>
          <w:tcPr>
            <w:tcW w:w="540" w:type="dxa"/>
            <w:vAlign w:val="bottom"/>
          </w:tcPr>
          <w:p>
            <w:pPr>
              <w:jc w:val="right"/>
              <w:ind w:right="175"/>
              <w:spacing w:after="0" w:line="189" w:lineRule="exact"/>
              <w:rPr>
                <w:sz w:val="20"/>
                <w:szCs w:val="20"/>
                <w:color w:val="auto"/>
              </w:rPr>
            </w:pPr>
            <w:r>
              <w:rPr>
                <w:rFonts w:ascii="Arial" w:cs="Arial" w:eastAsia="Arial" w:hAnsi="Arial"/>
                <w:sz w:val="17"/>
                <w:szCs w:val="17"/>
                <w:b w:val="1"/>
                <w:bCs w:val="1"/>
                <w:color w:val="auto"/>
              </w:rPr>
              <w:t>2</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160" w:type="dxa"/>
            <w:vAlign w:val="bottom"/>
          </w:tcPr>
          <w:p>
            <w:pPr>
              <w:jc w:val="right"/>
              <w:ind w:right="155"/>
              <w:spacing w:after="0" w:line="189" w:lineRule="exact"/>
              <w:rPr>
                <w:sz w:val="20"/>
                <w:szCs w:val="20"/>
                <w:color w:val="auto"/>
              </w:rPr>
            </w:pPr>
            <w:r>
              <w:rPr>
                <w:rFonts w:ascii="Arial" w:cs="Arial" w:eastAsia="Arial" w:hAnsi="Arial"/>
                <w:sz w:val="17"/>
                <w:szCs w:val="17"/>
                <w:b w:val="1"/>
                <w:bCs w:val="1"/>
                <w:color w:val="auto"/>
              </w:rPr>
              <w:t>1</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288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 Change</w:t>
            </w:r>
          </w:p>
        </w:tc>
        <w:tc>
          <w:tcPr>
            <w:tcW w:w="140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4.5 %</w:t>
            </w:r>
          </w:p>
        </w:tc>
        <w:tc>
          <w:tcPr>
            <w:tcW w:w="18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1.1 %</w:t>
            </w:r>
          </w:p>
        </w:tc>
        <w:tc>
          <w:tcPr>
            <w:tcW w:w="2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r>
    </w:tbl>
    <w:p>
      <w:pPr>
        <w:spacing w:after="0" w:line="20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Depreciation and amortization increased by $2 million and $1 million for the thirteen and twenty-six weeks ended August 3, 2019, respectively, as compared with the corresponding prior-year periods. Excluding the effect of foreign currency fluctuations, depreciation and amortization increased by $3 million for both the quarter and the year-to-date periods. The increase in depreciation and amortization reflects ongoing capital spending.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Division Profit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6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3"/>
          </w:tcPr>
          <w:p>
            <w:pPr>
              <w:jc w:val="right"/>
              <w:ind w:right="515"/>
              <w:spacing w:after="0"/>
              <w:rPr>
                <w:sz w:val="20"/>
                <w:szCs w:val="20"/>
                <w:color w:val="auto"/>
              </w:rPr>
            </w:pPr>
            <w:r>
              <w:rPr>
                <w:rFonts w:ascii="Arial" w:cs="Arial" w:eastAsia="Arial" w:hAnsi="Arial"/>
                <w:sz w:val="17"/>
                <w:szCs w:val="17"/>
                <w:b w:val="1"/>
                <w:bCs w:val="1"/>
                <w:color w:val="auto"/>
              </w:rPr>
              <w:t>Thirteen weeks ended</w:t>
            </w:r>
          </w:p>
        </w:tc>
        <w:tc>
          <w:tcPr>
            <w:tcW w:w="26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3"/>
          </w:tcPr>
          <w:p>
            <w:pPr>
              <w:jc w:val="right"/>
              <w:ind w:right="315"/>
              <w:spacing w:after="0"/>
              <w:rPr>
                <w:sz w:val="20"/>
                <w:szCs w:val="20"/>
                <w:color w:val="auto"/>
              </w:rPr>
            </w:pPr>
            <w:r>
              <w:rPr>
                <w:rFonts w:ascii="Arial" w:cs="Arial" w:eastAsia="Arial" w:hAnsi="Arial"/>
                <w:sz w:val="17"/>
                <w:szCs w:val="17"/>
                <w:b w:val="1"/>
                <w:bCs w:val="1"/>
                <w:color w:val="auto"/>
              </w:rPr>
              <w:t>Twenty-six weeks ended</w:t>
            </w:r>
          </w:p>
        </w:tc>
      </w:tr>
      <w:tr>
        <w:trPr>
          <w:trHeight w:val="156"/>
        </w:trPr>
        <w:tc>
          <w:tcPr>
            <w:tcW w:w="26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60" w:type="dxa"/>
            <w:vAlign w:val="bottom"/>
          </w:tcPr>
          <w:p>
            <w:pPr>
              <w:jc w:val="right"/>
              <w:ind w:right="275"/>
              <w:spacing w:after="0" w:line="157" w:lineRule="exact"/>
              <w:rPr>
                <w:sz w:val="20"/>
                <w:szCs w:val="20"/>
                <w:color w:val="auto"/>
              </w:rPr>
            </w:pPr>
            <w:r>
              <w:rPr>
                <w:rFonts w:ascii="Arial" w:cs="Arial" w:eastAsia="Arial" w:hAnsi="Arial"/>
                <w:sz w:val="17"/>
                <w:szCs w:val="17"/>
                <w:b w:val="1"/>
                <w:bCs w:val="1"/>
                <w:color w:val="auto"/>
              </w:rPr>
              <w:t>August 3,</w:t>
            </w:r>
          </w:p>
        </w:tc>
        <w:tc>
          <w:tcPr>
            <w:tcW w:w="180" w:type="dxa"/>
            <w:vAlign w:val="bottom"/>
          </w:tcPr>
          <w:p>
            <w:pPr>
              <w:spacing w:after="0"/>
              <w:rPr>
                <w:sz w:val="13"/>
                <w:szCs w:val="13"/>
                <w:color w:val="auto"/>
              </w:rPr>
            </w:pPr>
          </w:p>
        </w:tc>
        <w:tc>
          <w:tcPr>
            <w:tcW w:w="1240" w:type="dxa"/>
            <w:vAlign w:val="bottom"/>
          </w:tcPr>
          <w:p>
            <w:pPr>
              <w:jc w:val="right"/>
              <w:ind w:right="355"/>
              <w:spacing w:after="0" w:line="157" w:lineRule="exact"/>
              <w:rPr>
                <w:sz w:val="20"/>
                <w:szCs w:val="20"/>
                <w:color w:val="auto"/>
              </w:rPr>
            </w:pPr>
            <w:r>
              <w:rPr>
                <w:rFonts w:ascii="Arial" w:cs="Arial" w:eastAsia="Arial" w:hAnsi="Arial"/>
                <w:sz w:val="17"/>
                <w:szCs w:val="17"/>
                <w:b w:val="1"/>
                <w:bCs w:val="1"/>
                <w:color w:val="auto"/>
              </w:rPr>
              <w:t>August 4,</w:t>
            </w:r>
          </w:p>
        </w:tc>
        <w:tc>
          <w:tcPr>
            <w:tcW w:w="260" w:type="dxa"/>
            <w:vAlign w:val="bottom"/>
          </w:tcPr>
          <w:p>
            <w:pPr>
              <w:spacing w:after="0"/>
              <w:rPr>
                <w:sz w:val="13"/>
                <w:szCs w:val="13"/>
                <w:color w:val="auto"/>
              </w:rPr>
            </w:pPr>
          </w:p>
        </w:tc>
        <w:tc>
          <w:tcPr>
            <w:tcW w:w="1180" w:type="dxa"/>
            <w:vAlign w:val="bottom"/>
          </w:tcPr>
          <w:p>
            <w:pPr>
              <w:jc w:val="right"/>
              <w:ind w:right="275"/>
              <w:spacing w:after="0" w:line="157" w:lineRule="exact"/>
              <w:rPr>
                <w:sz w:val="20"/>
                <w:szCs w:val="20"/>
                <w:color w:val="auto"/>
              </w:rPr>
            </w:pPr>
            <w:r>
              <w:rPr>
                <w:rFonts w:ascii="Arial" w:cs="Arial" w:eastAsia="Arial" w:hAnsi="Arial"/>
                <w:sz w:val="17"/>
                <w:szCs w:val="17"/>
                <w:b w:val="1"/>
                <w:bCs w:val="1"/>
                <w:color w:val="auto"/>
              </w:rPr>
              <w:t>August 3,</w:t>
            </w:r>
          </w:p>
        </w:tc>
        <w:tc>
          <w:tcPr>
            <w:tcW w:w="180" w:type="dxa"/>
            <w:vAlign w:val="bottom"/>
          </w:tcPr>
          <w:p>
            <w:pPr>
              <w:spacing w:after="0"/>
              <w:rPr>
                <w:sz w:val="13"/>
                <w:szCs w:val="13"/>
                <w:color w:val="auto"/>
              </w:rPr>
            </w:pPr>
          </w:p>
        </w:tc>
        <w:tc>
          <w:tcPr>
            <w:tcW w:w="1140" w:type="dxa"/>
            <w:vAlign w:val="bottom"/>
          </w:tcPr>
          <w:p>
            <w:pPr>
              <w:jc w:val="right"/>
              <w:ind w:right="255"/>
              <w:spacing w:after="0" w:line="157" w:lineRule="exact"/>
              <w:rPr>
                <w:sz w:val="20"/>
                <w:szCs w:val="20"/>
                <w:color w:val="auto"/>
              </w:rPr>
            </w:pPr>
            <w:r>
              <w:rPr>
                <w:rFonts w:ascii="Arial" w:cs="Arial" w:eastAsia="Arial" w:hAnsi="Arial"/>
                <w:sz w:val="17"/>
                <w:szCs w:val="17"/>
                <w:b w:val="1"/>
                <w:bCs w:val="1"/>
                <w:color w:val="auto"/>
              </w:rPr>
              <w:t>August 4,</w:t>
            </w:r>
          </w:p>
        </w:tc>
      </w:tr>
      <w:tr>
        <w:trPr>
          <w:trHeight w:val="215"/>
        </w:trPr>
        <w:tc>
          <w:tcPr>
            <w:tcW w:w="26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2019</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b w:val="1"/>
                <w:bCs w:val="1"/>
                <w:color w:val="auto"/>
              </w:rPr>
              <w:t>2018</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2019</w:t>
            </w: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b w:val="1"/>
                <w:bCs w:val="1"/>
                <w:color w:val="auto"/>
              </w:rPr>
              <w:t>2018</w:t>
            </w:r>
          </w:p>
        </w:tc>
      </w:tr>
      <w:tr>
        <w:trPr>
          <w:trHeight w:val="183"/>
        </w:trPr>
        <w:tc>
          <w:tcPr>
            <w:tcW w:w="26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80" w:type="dxa"/>
            <w:vAlign w:val="bottom"/>
            <w:gridSpan w:val="3"/>
          </w:tcPr>
          <w:p>
            <w:pPr>
              <w:jc w:val="right"/>
              <w:ind w:right="915"/>
              <w:spacing w:after="0" w:line="183" w:lineRule="exact"/>
              <w:rPr>
                <w:sz w:val="20"/>
                <w:szCs w:val="20"/>
                <w:color w:val="auto"/>
              </w:rPr>
            </w:pPr>
            <w:r>
              <w:rPr>
                <w:rFonts w:ascii="Arial" w:cs="Arial" w:eastAsia="Arial" w:hAnsi="Arial"/>
                <w:sz w:val="17"/>
                <w:szCs w:val="17"/>
                <w:color w:val="auto"/>
              </w:rPr>
              <w:t>($ in millions)</w:t>
            </w: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03"/>
        </w:trPr>
        <w:tc>
          <w:tcPr>
            <w:tcW w:w="2600" w:type="dxa"/>
            <w:vAlign w:val="bottom"/>
            <w:shd w:val="clear" w:color="auto" w:fill="CCEEFF"/>
          </w:tcPr>
          <w:p>
            <w:pPr>
              <w:spacing w:after="0"/>
              <w:rPr>
                <w:sz w:val="20"/>
                <w:szCs w:val="20"/>
                <w:color w:val="auto"/>
              </w:rPr>
            </w:pPr>
            <w:r>
              <w:rPr>
                <w:rFonts w:ascii="Arial" w:cs="Arial" w:eastAsia="Arial" w:hAnsi="Arial"/>
                <w:sz w:val="17"/>
                <w:szCs w:val="17"/>
                <w:color w:val="auto"/>
              </w:rPr>
              <w:t>Division profit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60" w:type="dxa"/>
            <w:vAlign w:val="bottom"/>
            <w:shd w:val="clear" w:color="auto" w:fill="CCEEFF"/>
          </w:tcPr>
          <w:p>
            <w:pPr>
              <w:jc w:val="right"/>
              <w:ind w:right="175"/>
              <w:spacing w:after="0"/>
              <w:rPr>
                <w:sz w:val="20"/>
                <w:szCs w:val="20"/>
                <w:color w:val="auto"/>
              </w:rPr>
            </w:pPr>
            <w:r>
              <w:rPr>
                <w:rFonts w:ascii="Arial" w:cs="Arial" w:eastAsia="Arial" w:hAnsi="Arial"/>
                <w:sz w:val="17"/>
                <w:szCs w:val="17"/>
                <w:b w:val="1"/>
                <w:bCs w:val="1"/>
                <w:color w:val="auto"/>
              </w:rPr>
              <w:t>115</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rPr>
              <w:t>131</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80" w:type="dxa"/>
            <w:vAlign w:val="bottom"/>
            <w:shd w:val="clear" w:color="auto" w:fill="CCEEFF"/>
          </w:tcPr>
          <w:p>
            <w:pPr>
              <w:jc w:val="right"/>
              <w:ind w:right="175"/>
              <w:spacing w:after="0"/>
              <w:rPr>
                <w:sz w:val="20"/>
                <w:szCs w:val="20"/>
                <w:color w:val="auto"/>
              </w:rPr>
            </w:pPr>
            <w:r>
              <w:rPr>
                <w:rFonts w:ascii="Arial" w:cs="Arial" w:eastAsia="Arial" w:hAnsi="Arial"/>
                <w:sz w:val="17"/>
                <w:szCs w:val="17"/>
                <w:b w:val="1"/>
                <w:bCs w:val="1"/>
                <w:color w:val="auto"/>
              </w:rPr>
              <w:t>365</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378</w:t>
            </w:r>
          </w:p>
        </w:tc>
      </w:tr>
      <w:tr>
        <w:trPr>
          <w:trHeight w:val="203"/>
        </w:trPr>
        <w:tc>
          <w:tcPr>
            <w:tcW w:w="26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Division profit margin</w:t>
            </w:r>
          </w:p>
        </w:tc>
        <w:tc>
          <w:tcPr>
            <w:tcW w:w="1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6.5 %</w:t>
            </w: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7.4 %</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9.5 %</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7"/>
                <w:szCs w:val="17"/>
                <w:color w:val="auto"/>
              </w:rPr>
              <w:t xml:space="preserve">9.9 </w:t>
            </w:r>
            <w:r>
              <w:rPr>
                <w:rFonts w:ascii="Arial" w:cs="Arial" w:eastAsia="Arial" w:hAnsi="Arial"/>
                <w:sz w:val="18"/>
                <w:szCs w:val="18"/>
                <w:color w:val="auto"/>
              </w:rPr>
              <w:t>%</w:t>
            </w:r>
          </w:p>
        </w:tc>
      </w:tr>
    </w:tbl>
    <w:p>
      <w:pPr>
        <w:spacing w:after="0" w:line="2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Division profit margin decreased by 90 and 40 basis points for the thirteen and twenty-six weeks ended August 3, 2019, as compared with the corresponding prior-year periods. The decrease in division profit for the thirteen and twenty-six weeks ended August 3, 2019 was primarily due to higher SG&amp;A expenses.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 Income, Net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5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3"/>
          </w:tcPr>
          <w:p>
            <w:pPr>
              <w:jc w:val="right"/>
              <w:ind w:right="395"/>
              <w:spacing w:after="0"/>
              <w:rPr>
                <w:sz w:val="20"/>
                <w:szCs w:val="20"/>
                <w:color w:val="auto"/>
              </w:rPr>
            </w:pPr>
            <w:r>
              <w:rPr>
                <w:rFonts w:ascii="Arial" w:cs="Arial" w:eastAsia="Arial" w:hAnsi="Arial"/>
                <w:sz w:val="17"/>
                <w:szCs w:val="17"/>
                <w:b w:val="1"/>
                <w:bCs w:val="1"/>
                <w:color w:val="auto"/>
              </w:rPr>
              <w:t>Thirteen weeks ended</w:t>
            </w:r>
          </w:p>
        </w:tc>
        <w:tc>
          <w:tcPr>
            <w:tcW w:w="26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3"/>
          </w:tcPr>
          <w:p>
            <w:pPr>
              <w:jc w:val="right"/>
              <w:ind w:right="215"/>
              <w:spacing w:after="0"/>
              <w:rPr>
                <w:sz w:val="20"/>
                <w:szCs w:val="20"/>
                <w:color w:val="auto"/>
              </w:rPr>
            </w:pPr>
            <w:r>
              <w:rPr>
                <w:rFonts w:ascii="Arial" w:cs="Arial" w:eastAsia="Arial" w:hAnsi="Arial"/>
                <w:sz w:val="17"/>
                <w:szCs w:val="17"/>
                <w:b w:val="1"/>
                <w:bCs w:val="1"/>
                <w:color w:val="auto"/>
              </w:rPr>
              <w:t>Twenty-six weeks ended</w:t>
            </w:r>
          </w:p>
        </w:tc>
      </w:tr>
      <w:tr>
        <w:trPr>
          <w:trHeight w:val="156"/>
        </w:trPr>
        <w:tc>
          <w:tcPr>
            <w:tcW w:w="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140" w:type="dxa"/>
            <w:vAlign w:val="bottom"/>
          </w:tcPr>
          <w:p>
            <w:pPr>
              <w:jc w:val="right"/>
              <w:ind w:right="215"/>
              <w:spacing w:after="0" w:line="157" w:lineRule="exact"/>
              <w:rPr>
                <w:sz w:val="20"/>
                <w:szCs w:val="20"/>
                <w:color w:val="auto"/>
              </w:rPr>
            </w:pPr>
            <w:r>
              <w:rPr>
                <w:rFonts w:ascii="Arial" w:cs="Arial" w:eastAsia="Arial" w:hAnsi="Arial"/>
                <w:sz w:val="17"/>
                <w:szCs w:val="17"/>
                <w:b w:val="1"/>
                <w:bCs w:val="1"/>
                <w:color w:val="auto"/>
              </w:rPr>
              <w:t>August 3,</w:t>
            </w:r>
          </w:p>
        </w:tc>
        <w:tc>
          <w:tcPr>
            <w:tcW w:w="240" w:type="dxa"/>
            <w:vAlign w:val="bottom"/>
          </w:tcPr>
          <w:p>
            <w:pPr>
              <w:spacing w:after="0"/>
              <w:rPr>
                <w:sz w:val="13"/>
                <w:szCs w:val="13"/>
                <w:color w:val="auto"/>
              </w:rPr>
            </w:pPr>
          </w:p>
        </w:tc>
        <w:tc>
          <w:tcPr>
            <w:tcW w:w="1140" w:type="dxa"/>
            <w:vAlign w:val="bottom"/>
          </w:tcPr>
          <w:p>
            <w:pPr>
              <w:jc w:val="right"/>
              <w:ind w:right="215"/>
              <w:spacing w:after="0" w:line="157" w:lineRule="exact"/>
              <w:rPr>
                <w:sz w:val="20"/>
                <w:szCs w:val="20"/>
                <w:color w:val="auto"/>
              </w:rPr>
            </w:pPr>
            <w:r>
              <w:rPr>
                <w:rFonts w:ascii="Arial" w:cs="Arial" w:eastAsia="Arial" w:hAnsi="Arial"/>
                <w:sz w:val="17"/>
                <w:szCs w:val="17"/>
                <w:b w:val="1"/>
                <w:bCs w:val="1"/>
                <w:color w:val="auto"/>
              </w:rPr>
              <w:t>August 4,</w:t>
            </w:r>
          </w:p>
        </w:tc>
        <w:tc>
          <w:tcPr>
            <w:tcW w:w="260" w:type="dxa"/>
            <w:vAlign w:val="bottom"/>
          </w:tcPr>
          <w:p>
            <w:pPr>
              <w:spacing w:after="0"/>
              <w:rPr>
                <w:sz w:val="13"/>
                <w:szCs w:val="13"/>
                <w:color w:val="auto"/>
              </w:rPr>
            </w:pPr>
          </w:p>
        </w:tc>
        <w:tc>
          <w:tcPr>
            <w:tcW w:w="1140" w:type="dxa"/>
            <w:vAlign w:val="bottom"/>
          </w:tcPr>
          <w:p>
            <w:pPr>
              <w:jc w:val="right"/>
              <w:ind w:right="235"/>
              <w:spacing w:after="0" w:line="157" w:lineRule="exact"/>
              <w:rPr>
                <w:sz w:val="20"/>
                <w:szCs w:val="20"/>
                <w:color w:val="auto"/>
              </w:rPr>
            </w:pPr>
            <w:r>
              <w:rPr>
                <w:rFonts w:ascii="Arial" w:cs="Arial" w:eastAsia="Arial" w:hAnsi="Arial"/>
                <w:sz w:val="17"/>
                <w:szCs w:val="17"/>
                <w:b w:val="1"/>
                <w:bCs w:val="1"/>
                <w:color w:val="auto"/>
              </w:rPr>
              <w:t>August 3,</w:t>
            </w:r>
          </w:p>
        </w:tc>
        <w:tc>
          <w:tcPr>
            <w:tcW w:w="240" w:type="dxa"/>
            <w:vAlign w:val="bottom"/>
          </w:tcPr>
          <w:p>
            <w:pPr>
              <w:spacing w:after="0"/>
              <w:rPr>
                <w:sz w:val="13"/>
                <w:szCs w:val="13"/>
                <w:color w:val="auto"/>
              </w:rPr>
            </w:pPr>
          </w:p>
        </w:tc>
        <w:tc>
          <w:tcPr>
            <w:tcW w:w="1060" w:type="dxa"/>
            <w:vAlign w:val="bottom"/>
          </w:tcPr>
          <w:p>
            <w:pPr>
              <w:jc w:val="right"/>
              <w:ind w:right="135"/>
              <w:spacing w:after="0" w:line="157" w:lineRule="exact"/>
              <w:rPr>
                <w:sz w:val="20"/>
                <w:szCs w:val="20"/>
                <w:color w:val="auto"/>
              </w:rPr>
            </w:pPr>
            <w:r>
              <w:rPr>
                <w:rFonts w:ascii="Arial" w:cs="Arial" w:eastAsia="Arial" w:hAnsi="Arial"/>
                <w:sz w:val="17"/>
                <w:szCs w:val="17"/>
                <w:b w:val="1"/>
                <w:bCs w:val="1"/>
                <w:color w:val="auto"/>
              </w:rPr>
              <w:t>August 4,</w:t>
            </w:r>
          </w:p>
        </w:tc>
      </w:tr>
      <w:tr>
        <w:trPr>
          <w:trHeight w:val="215"/>
        </w:trPr>
        <w:tc>
          <w:tcPr>
            <w:tcW w:w="20" w:type="dxa"/>
            <w:vAlign w:val="bottom"/>
          </w:tcPr>
          <w:p>
            <w:pPr>
              <w:spacing w:after="0"/>
              <w:rPr>
                <w:sz w:val="18"/>
                <w:szCs w:val="18"/>
                <w:color w:val="auto"/>
              </w:rPr>
            </w:pPr>
          </w:p>
        </w:tc>
        <w:tc>
          <w:tcPr>
            <w:tcW w:w="25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b w:val="1"/>
                <w:bCs w:val="1"/>
                <w:color w:val="auto"/>
              </w:rPr>
              <w:t>2019</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b w:val="1"/>
                <w:bCs w:val="1"/>
                <w:color w:val="auto"/>
              </w:rPr>
              <w:t>2018</w:t>
            </w: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b w:val="1"/>
                <w:bCs w:val="1"/>
                <w:color w:val="auto"/>
              </w:rPr>
              <w:t>2019</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auto"/>
              </w:rPr>
              <w:t>2018</w:t>
            </w:r>
          </w:p>
        </w:tc>
      </w:tr>
      <w:tr>
        <w:trPr>
          <w:trHeight w:val="183"/>
        </w:trPr>
        <w:tc>
          <w:tcPr>
            <w:tcW w:w="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40" w:type="dxa"/>
            <w:vAlign w:val="bottom"/>
            <w:gridSpan w:val="3"/>
          </w:tcPr>
          <w:p>
            <w:pPr>
              <w:jc w:val="right"/>
              <w:ind w:right="795"/>
              <w:spacing w:after="0" w:line="183" w:lineRule="exact"/>
              <w:rPr>
                <w:sz w:val="20"/>
                <w:szCs w:val="20"/>
                <w:color w:val="auto"/>
              </w:rPr>
            </w:pPr>
            <w:r>
              <w:rPr>
                <w:rFonts w:ascii="Arial" w:cs="Arial" w:eastAsia="Arial" w:hAnsi="Arial"/>
                <w:sz w:val="17"/>
                <w:szCs w:val="17"/>
                <w:color w:val="auto"/>
              </w:rPr>
              <w:t>($ in millions)</w:t>
            </w: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25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Interest expense</w:t>
            </w: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14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b w:val="1"/>
                <w:bCs w:val="1"/>
                <w:color w:val="auto"/>
              </w:rPr>
              <w:t>(3)</w:t>
            </w:r>
          </w:p>
        </w:tc>
        <w:tc>
          <w:tcPr>
            <w:tcW w:w="2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(3)</w:t>
            </w:r>
          </w:p>
        </w:tc>
        <w:tc>
          <w:tcPr>
            <w:tcW w:w="2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14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b w:val="1"/>
                <w:bCs w:val="1"/>
                <w:color w:val="auto"/>
              </w:rPr>
              <w:t>(5)</w:t>
            </w:r>
          </w:p>
        </w:tc>
        <w:tc>
          <w:tcPr>
            <w:tcW w:w="2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(6)</w:t>
            </w:r>
          </w:p>
        </w:tc>
      </w:tr>
      <w:tr>
        <w:trPr>
          <w:trHeight w:val="189"/>
        </w:trPr>
        <w:tc>
          <w:tcPr>
            <w:tcW w:w="20" w:type="dxa"/>
            <w:vAlign w:val="bottom"/>
          </w:tcPr>
          <w:p>
            <w:pPr>
              <w:spacing w:after="0"/>
              <w:rPr>
                <w:sz w:val="16"/>
                <w:szCs w:val="16"/>
                <w:color w:val="auto"/>
              </w:rPr>
            </w:pPr>
          </w:p>
        </w:tc>
        <w:tc>
          <w:tcPr>
            <w:tcW w:w="258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Interest income</w:t>
            </w:r>
          </w:p>
        </w:tc>
        <w:tc>
          <w:tcPr>
            <w:tcW w:w="1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5</w:t>
            </w: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rPr>
              <w:t>4</w:t>
            </w: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11</w:t>
            </w: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9</w:t>
            </w:r>
          </w:p>
        </w:tc>
      </w:tr>
      <w:tr>
        <w:trPr>
          <w:trHeight w:val="183"/>
        </w:trPr>
        <w:tc>
          <w:tcPr>
            <w:tcW w:w="20" w:type="dxa"/>
            <w:vAlign w:val="bottom"/>
          </w:tcPr>
          <w:p>
            <w:pPr>
              <w:spacing w:after="0"/>
              <w:rPr>
                <w:sz w:val="15"/>
                <w:szCs w:val="15"/>
                <w:color w:val="auto"/>
              </w:rPr>
            </w:pPr>
          </w:p>
        </w:tc>
        <w:tc>
          <w:tcPr>
            <w:tcW w:w="258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Interest income, net</w:t>
            </w:r>
          </w:p>
        </w:tc>
        <w:tc>
          <w:tcPr>
            <w:tcW w:w="12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4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2</w:t>
            </w:r>
          </w:p>
        </w:tc>
        <w:tc>
          <w:tcPr>
            <w:tcW w:w="2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1</w:t>
            </w:r>
          </w:p>
        </w:tc>
        <w:tc>
          <w:tcPr>
            <w:tcW w:w="2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4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6</w:t>
            </w:r>
          </w:p>
        </w:tc>
        <w:tc>
          <w:tcPr>
            <w:tcW w:w="2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w:t>
            </w:r>
          </w:p>
        </w:tc>
      </w:tr>
      <w:tr>
        <w:trPr>
          <w:trHeight w:val="20"/>
        </w:trPr>
        <w:tc>
          <w:tcPr>
            <w:tcW w:w="20" w:type="dxa"/>
            <w:vAlign w:val="bottom"/>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Net interest income increased by $1 million and $3 million for the thirteen and twenty-six weeks ended August 3, 2019, as compared with the corresponding prior-year periods. Interest income for both periods increased primarily as a result of cash repatriation to the U.S., where we earned a higher average interest rate.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3"/>
          </w:tcPr>
          <w:p>
            <w:pPr>
              <w:jc w:val="right"/>
              <w:ind w:right="455"/>
              <w:spacing w:after="0"/>
              <w:rPr>
                <w:sz w:val="20"/>
                <w:szCs w:val="20"/>
                <w:color w:val="auto"/>
              </w:rPr>
            </w:pPr>
            <w:r>
              <w:rPr>
                <w:rFonts w:ascii="Arial" w:cs="Arial" w:eastAsia="Arial" w:hAnsi="Arial"/>
                <w:sz w:val="17"/>
                <w:szCs w:val="17"/>
                <w:b w:val="1"/>
                <w:bCs w:val="1"/>
                <w:color w:val="auto"/>
              </w:rPr>
              <w:t>Thirteen weeks ended</w:t>
            </w:r>
          </w:p>
        </w:tc>
        <w:tc>
          <w:tcPr>
            <w:tcW w:w="20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3"/>
          </w:tcPr>
          <w:p>
            <w:pPr>
              <w:jc w:val="right"/>
              <w:ind w:right="375"/>
              <w:spacing w:after="0"/>
              <w:rPr>
                <w:sz w:val="20"/>
                <w:szCs w:val="20"/>
                <w:color w:val="auto"/>
              </w:rPr>
            </w:pPr>
            <w:r>
              <w:rPr>
                <w:rFonts w:ascii="Arial" w:cs="Arial" w:eastAsia="Arial" w:hAnsi="Arial"/>
                <w:sz w:val="17"/>
                <w:szCs w:val="17"/>
                <w:b w:val="1"/>
                <w:bCs w:val="1"/>
                <w:color w:val="auto"/>
              </w:rPr>
              <w:t>Twenty-six weeks ended</w:t>
            </w:r>
          </w:p>
        </w:tc>
      </w:tr>
      <w:tr>
        <w:trPr>
          <w:trHeight w:val="183"/>
        </w:trPr>
        <w:tc>
          <w:tcPr>
            <w:tcW w:w="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80" w:type="dxa"/>
            <w:vAlign w:val="bottom"/>
          </w:tcPr>
          <w:p>
            <w:pPr>
              <w:jc w:val="right"/>
              <w:ind w:right="275"/>
              <w:spacing w:after="0" w:line="184" w:lineRule="exact"/>
              <w:rPr>
                <w:sz w:val="20"/>
                <w:szCs w:val="20"/>
                <w:color w:val="auto"/>
              </w:rPr>
            </w:pPr>
            <w:r>
              <w:rPr>
                <w:rFonts w:ascii="Arial" w:cs="Arial" w:eastAsia="Arial" w:hAnsi="Arial"/>
                <w:sz w:val="17"/>
                <w:szCs w:val="17"/>
                <w:b w:val="1"/>
                <w:bCs w:val="1"/>
                <w:color w:val="auto"/>
              </w:rPr>
              <w:t>August 3,</w:t>
            </w:r>
          </w:p>
        </w:tc>
        <w:tc>
          <w:tcPr>
            <w:tcW w:w="180" w:type="dxa"/>
            <w:vAlign w:val="bottom"/>
          </w:tcPr>
          <w:p>
            <w:pPr>
              <w:spacing w:after="0"/>
              <w:rPr>
                <w:sz w:val="15"/>
                <w:szCs w:val="15"/>
                <w:color w:val="auto"/>
              </w:rPr>
            </w:pPr>
          </w:p>
        </w:tc>
        <w:tc>
          <w:tcPr>
            <w:tcW w:w="1180" w:type="dxa"/>
            <w:vAlign w:val="bottom"/>
          </w:tcPr>
          <w:p>
            <w:pPr>
              <w:jc w:val="right"/>
              <w:ind w:right="275"/>
              <w:spacing w:after="0" w:line="184" w:lineRule="exact"/>
              <w:rPr>
                <w:sz w:val="20"/>
                <w:szCs w:val="20"/>
                <w:color w:val="auto"/>
              </w:rPr>
            </w:pPr>
            <w:r>
              <w:rPr>
                <w:rFonts w:ascii="Arial" w:cs="Arial" w:eastAsia="Arial" w:hAnsi="Arial"/>
                <w:sz w:val="17"/>
                <w:szCs w:val="17"/>
                <w:b w:val="1"/>
                <w:bCs w:val="1"/>
                <w:color w:val="auto"/>
              </w:rPr>
              <w:t>August 4,</w:t>
            </w:r>
          </w:p>
        </w:tc>
        <w:tc>
          <w:tcPr>
            <w:tcW w:w="200" w:type="dxa"/>
            <w:vAlign w:val="bottom"/>
          </w:tcPr>
          <w:p>
            <w:pPr>
              <w:spacing w:after="0"/>
              <w:rPr>
                <w:sz w:val="15"/>
                <w:szCs w:val="15"/>
                <w:color w:val="auto"/>
              </w:rPr>
            </w:pPr>
          </w:p>
        </w:tc>
        <w:tc>
          <w:tcPr>
            <w:tcW w:w="1180" w:type="dxa"/>
            <w:vAlign w:val="bottom"/>
          </w:tcPr>
          <w:p>
            <w:pPr>
              <w:jc w:val="right"/>
              <w:ind w:right="295"/>
              <w:spacing w:after="0" w:line="184" w:lineRule="exact"/>
              <w:rPr>
                <w:sz w:val="20"/>
                <w:szCs w:val="20"/>
                <w:color w:val="auto"/>
              </w:rPr>
            </w:pPr>
            <w:r>
              <w:rPr>
                <w:rFonts w:ascii="Arial" w:cs="Arial" w:eastAsia="Arial" w:hAnsi="Arial"/>
                <w:sz w:val="17"/>
                <w:szCs w:val="17"/>
                <w:b w:val="1"/>
                <w:bCs w:val="1"/>
                <w:color w:val="auto"/>
              </w:rPr>
              <w:t>August 3,</w:t>
            </w:r>
          </w:p>
        </w:tc>
        <w:tc>
          <w:tcPr>
            <w:tcW w:w="200" w:type="dxa"/>
            <w:vAlign w:val="bottom"/>
          </w:tcPr>
          <w:p>
            <w:pPr>
              <w:spacing w:after="0"/>
              <w:rPr>
                <w:sz w:val="15"/>
                <w:szCs w:val="15"/>
                <w:color w:val="auto"/>
              </w:rPr>
            </w:pPr>
          </w:p>
        </w:tc>
        <w:tc>
          <w:tcPr>
            <w:tcW w:w="1180" w:type="dxa"/>
            <w:vAlign w:val="bottom"/>
          </w:tcPr>
          <w:p>
            <w:pPr>
              <w:jc w:val="right"/>
              <w:ind w:right="275"/>
              <w:spacing w:after="0" w:line="184" w:lineRule="exact"/>
              <w:rPr>
                <w:sz w:val="20"/>
                <w:szCs w:val="20"/>
                <w:color w:val="auto"/>
              </w:rPr>
            </w:pPr>
            <w:r>
              <w:rPr>
                <w:rFonts w:ascii="Arial" w:cs="Arial" w:eastAsia="Arial" w:hAnsi="Arial"/>
                <w:sz w:val="17"/>
                <w:szCs w:val="17"/>
                <w:b w:val="1"/>
                <w:bCs w:val="1"/>
                <w:color w:val="auto"/>
              </w:rPr>
              <w:t>August 4,</w:t>
            </w:r>
          </w:p>
        </w:tc>
      </w:tr>
      <w:tr>
        <w:trPr>
          <w:trHeight w:val="215"/>
        </w:trPr>
        <w:tc>
          <w:tcPr>
            <w:tcW w:w="20" w:type="dxa"/>
            <w:vAlign w:val="bottom"/>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2019</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2018</w:t>
            </w: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5"/>
              <w:spacing w:after="0"/>
              <w:rPr>
                <w:sz w:val="20"/>
                <w:szCs w:val="20"/>
                <w:color w:val="auto"/>
              </w:rPr>
            </w:pPr>
            <w:r>
              <w:rPr>
                <w:rFonts w:ascii="Arial" w:cs="Arial" w:eastAsia="Arial" w:hAnsi="Arial"/>
                <w:sz w:val="17"/>
                <w:szCs w:val="17"/>
                <w:b w:val="1"/>
                <w:bCs w:val="1"/>
                <w:color w:val="auto"/>
              </w:rPr>
              <w:t>2019</w:t>
            </w: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2018</w:t>
            </w:r>
          </w:p>
        </w:tc>
      </w:tr>
      <w:tr>
        <w:trPr>
          <w:trHeight w:val="196"/>
        </w:trPr>
        <w:tc>
          <w:tcPr>
            <w:tcW w:w="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60" w:type="dxa"/>
            <w:vAlign w:val="bottom"/>
            <w:gridSpan w:val="3"/>
          </w:tcPr>
          <w:p>
            <w:pPr>
              <w:jc w:val="right"/>
              <w:ind w:right="835"/>
              <w:spacing w:after="0"/>
              <w:rPr>
                <w:sz w:val="20"/>
                <w:szCs w:val="20"/>
                <w:color w:val="auto"/>
              </w:rPr>
            </w:pPr>
            <w:r>
              <w:rPr>
                <w:rFonts w:ascii="Arial" w:cs="Arial" w:eastAsia="Arial" w:hAnsi="Arial"/>
                <w:sz w:val="17"/>
                <w:szCs w:val="17"/>
                <w:color w:val="auto"/>
              </w:rPr>
              <w:t>($ in millions)</w:t>
            </w: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7"/>
                <w:szCs w:val="17"/>
                <w:color w:val="auto"/>
              </w:rPr>
              <w:t>Provision for income taxes</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80" w:type="dxa"/>
            <w:vAlign w:val="bottom"/>
            <w:shd w:val="clear" w:color="auto" w:fill="CCEEFF"/>
          </w:tcPr>
          <w:p>
            <w:pPr>
              <w:jc w:val="right"/>
              <w:ind w:right="175"/>
              <w:spacing w:after="0"/>
              <w:rPr>
                <w:sz w:val="20"/>
                <w:szCs w:val="20"/>
                <w:color w:val="auto"/>
              </w:rPr>
            </w:pPr>
            <w:r>
              <w:rPr>
                <w:rFonts w:ascii="Arial" w:cs="Arial" w:eastAsia="Arial" w:hAnsi="Arial"/>
                <w:sz w:val="17"/>
                <w:szCs w:val="17"/>
                <w:b w:val="1"/>
                <w:bCs w:val="1"/>
                <w:color w:val="auto"/>
              </w:rPr>
              <w:t>25</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27</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80" w:type="dxa"/>
            <w:vAlign w:val="bottom"/>
            <w:shd w:val="clear" w:color="auto" w:fill="CCEEFF"/>
          </w:tcPr>
          <w:p>
            <w:pPr>
              <w:jc w:val="right"/>
              <w:ind w:right="175"/>
              <w:spacing w:after="0"/>
              <w:rPr>
                <w:sz w:val="20"/>
                <w:szCs w:val="20"/>
                <w:color w:val="auto"/>
              </w:rPr>
            </w:pPr>
            <w:r>
              <w:rPr>
                <w:rFonts w:ascii="Arial" w:cs="Arial" w:eastAsia="Arial" w:hAnsi="Arial"/>
                <w:sz w:val="17"/>
                <w:szCs w:val="17"/>
                <w:b w:val="1"/>
                <w:bCs w:val="1"/>
                <w:color w:val="auto"/>
              </w:rPr>
              <w:t>87</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91</w:t>
            </w:r>
          </w:p>
        </w:tc>
      </w:tr>
      <w:tr>
        <w:trPr>
          <w:trHeight w:val="203"/>
        </w:trPr>
        <w:tc>
          <w:tcPr>
            <w:tcW w:w="28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Effective tax rate</w:t>
            </w:r>
          </w:p>
        </w:tc>
        <w:tc>
          <w:tcPr>
            <w:tcW w:w="9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29.5 %</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23.6 %</w:t>
            </w: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27.2 %</w:t>
            </w: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7"/>
                <w:szCs w:val="17"/>
                <w:color w:val="auto"/>
              </w:rPr>
              <w:t xml:space="preserve">26.4 </w:t>
            </w:r>
            <w:r>
              <w:rPr>
                <w:rFonts w:ascii="Arial" w:cs="Arial" w:eastAsia="Arial" w:hAnsi="Arial"/>
                <w:sz w:val="18"/>
                <w:szCs w:val="18"/>
                <w:color w:val="auto"/>
              </w:rPr>
              <w:t>%</w:t>
            </w:r>
          </w:p>
        </w:tc>
      </w:tr>
    </w:tbl>
    <w:p>
      <w:pPr>
        <w:spacing w:after="0" w:line="2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Company’s interim provision for income taxes is measured using an annual effective tax rate, adjusted for discrete items that occur within the periods presented. The discrete items discussed below represented the main reasons for the changes in the effective tax rate.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Company regularly assesses the adequacy of the Company’s provisions for income tax contingencies in accordance with applicable authoritative guidance on accounting for income taxes. As a result, the Company may adjust the reserves for unrecognized tax benefits considering new facts and developments, such as changes to interpretations of relevant tax law, assessments from taxing authorities, settlements with taxing authorities, and lapses of statutes of limitation. The changes in the tax reserves were not significant for the thirteen and twenty-six weeks ended August 3, 2019. The effective tax rate for the thirteen weeks ended August 4, 2018 included a tax benefit of $3 million from a reserve release due to a settlement of an international tax examination.</w:t>
      </w:r>
    </w:p>
    <w:p>
      <w:pPr>
        <w:spacing w:after="0" w:line="203"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For the thirteen weeks ended August 3, 2019, the Company recognized a tax expense of $2 million due to an adjustment to U.S. tax on foreign income attributable to tax reform.</w:t>
      </w:r>
    </w:p>
    <w:p>
      <w:pPr>
        <w:spacing w:after="0" w:line="197" w:lineRule="exact"/>
        <w:rPr>
          <w:sz w:val="20"/>
          <w:szCs w:val="20"/>
          <w:color w:val="auto"/>
        </w:rPr>
      </w:pPr>
    </w:p>
    <w:p>
      <w:pPr>
        <w:jc w:val="both"/>
        <w:spacing w:after="0"/>
        <w:rPr>
          <w:sz w:val="20"/>
          <w:szCs w:val="20"/>
          <w:color w:val="auto"/>
        </w:rPr>
      </w:pPr>
      <w:r>
        <w:rPr>
          <w:rFonts w:ascii="Arial" w:cs="Arial" w:eastAsia="Arial" w:hAnsi="Arial"/>
          <w:sz w:val="18"/>
          <w:szCs w:val="18"/>
          <w:color w:val="auto"/>
        </w:rPr>
        <w:t>During the thirteen weeks ended August 3, 2019, the Company recorded charges totaling $14 million, which primarily related to the costs to terminate the SIX:02 leases, the tax benefit recorded in connection with these charges was $4 million.</w:t>
      </w:r>
    </w:p>
    <w:p>
      <w:pPr>
        <w:spacing w:after="0" w:line="20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For the twenty-six weeks ended August 3, 2019, the Company recognized a tax benefit of $3 million due to an adjustment to a foreign tax credit valuation allowance.</w:t>
      </w:r>
    </w:p>
    <w:p>
      <w:pPr>
        <w:spacing w:after="0" w:line="19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For the twenty-six weeks ended August 4, 2018, the Company reduced its provisional net expense related to mandatory deemed repatriation of foreign sourced net earnings by $1 million. In addition, the Company reduced its income tax provision in the amount of $1 million as a result of the delay in the effective date of certain tax regulations.</w:t>
      </w:r>
    </w:p>
    <w:p>
      <w:pPr>
        <w:spacing w:after="0" w:line="2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Company currently expects its full-year tax rate to approximate 27.5 percent excluding the effect of any nonrecurring items that may occur. The actual tax rate will vary depending on the level and mix of income earned in the various jurisdictions in which we operate.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Income</w:t>
      </w:r>
    </w:p>
    <w:p>
      <w:pPr>
        <w:spacing w:after="0" w:line="23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For the thirteen and twenty-six weeks ended August 3, 2019, net income decreased by $28 million, or 31.8 percent, and by $21 million, or 8.3 percent, respectively, as compared with the corresponding prior-year periods. Diluted earnings per share decreased by 26.7 percent to $0.55 per share, and by 2.8 percent to $2.08 per share as compared with the corresponding prior-year period.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Liquidity</w:t>
      </w:r>
    </w:p>
    <w:p>
      <w:pPr>
        <w:spacing w:after="0" w:line="23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primary source of liquidity continues to be cash flow from operations, while the principal uses of cash are to: fund inventory and other working capital requirements; finance capital expenditures related to store openings, store remodelings, internet and mobile sites, information systems, and other support facilities; make retirement plan contributions, quarterly dividend payments, and interest payments; and fund other cash requirements to support the development of our short-term and long-term operating strategies. We also from time to time may make investments in other companies that we feel can enable us to achieve our vision of serving youth culture. We generally finance real estate with operating leases. We believe our cash, cash equivalents, and future cash flow from operations will be adequate to fund these requirements.</w:t>
      </w:r>
    </w:p>
    <w:p>
      <w:pPr>
        <w:spacing w:after="0" w:line="20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Company may also from time to time repurchase its common stock or seek to retire or purchase outstanding debt through open market purchases, privately negotiated transactions, or otherwise. Share repurchases and retirement of debt, if any, will depend on prevailing market conditions, liquidity requirements, contractual restrictions, strategic considerations, and other factors. The amounts involved may be material. As of August 3, 2019, $1.08 billion remained available under the Company’s current 3-year share repurchase program.</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Any material adverse change in customer demand, fashion trends, competitive market forces, or customer acceptance of our merchandise mix, retail locations and websites, uncertainties related to the effect of competitive products and pricing, our reliance on a few key vendors for a significant portion of our merchandise purchases and risks associated with global product sourcing, economic conditions worldwide, the effects of currency fluctuations, as well as other factors listed under the heading “Disclosure Regarding Forward-Looking Statements,” could affect our ability to continue to fund our needs from business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Operating Activities</w:t>
      </w:r>
    </w:p>
    <w:p>
      <w:pPr>
        <w:spacing w:after="0" w:line="218" w:lineRule="exact"/>
        <w:rPr>
          <w:sz w:val="20"/>
          <w:szCs w:val="20"/>
          <w:color w:val="auto"/>
        </w:rPr>
      </w:pPr>
    </w:p>
    <w:p>
      <w:pPr>
        <w:ind w:left="6280"/>
        <w:spacing w:after="0"/>
        <w:rPr>
          <w:sz w:val="20"/>
          <w:szCs w:val="20"/>
          <w:color w:val="auto"/>
        </w:rPr>
      </w:pPr>
      <w:r>
        <w:rPr>
          <w:rFonts w:ascii="Arial" w:cs="Arial" w:eastAsia="Arial" w:hAnsi="Arial"/>
          <w:sz w:val="17"/>
          <w:szCs w:val="17"/>
          <w:b w:val="1"/>
          <w:bCs w:val="1"/>
          <w:color w:val="auto"/>
        </w:rPr>
        <w:t>Twenty-six weeks ended</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4260" w:type="dxa"/>
            <w:vAlign w:val="bottom"/>
            <w:tcBorders>
              <w:top w:val="single" w:sz="8" w:color="auto"/>
            </w:tcBorders>
          </w:tcPr>
          <w:p>
            <w:pPr>
              <w:spacing w:after="0"/>
              <w:rPr>
                <w:sz w:val="13"/>
                <w:szCs w:val="13"/>
                <w:color w:val="auto"/>
              </w:rPr>
            </w:pPr>
          </w:p>
        </w:tc>
        <w:tc>
          <w:tcPr>
            <w:tcW w:w="244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7"/>
                <w:szCs w:val="17"/>
                <w:b w:val="1"/>
                <w:bCs w:val="1"/>
                <w:color w:val="auto"/>
              </w:rPr>
              <w:t>August 3,</w:t>
            </w:r>
          </w:p>
        </w:tc>
        <w:tc>
          <w:tcPr>
            <w:tcW w:w="5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center"/>
              <w:ind w:right="315"/>
              <w:spacing w:after="0" w:line="157" w:lineRule="exact"/>
              <w:rPr>
                <w:sz w:val="20"/>
                <w:szCs w:val="20"/>
                <w:color w:val="auto"/>
              </w:rPr>
            </w:pPr>
            <w:r>
              <w:rPr>
                <w:rFonts w:ascii="Arial" w:cs="Arial" w:eastAsia="Arial" w:hAnsi="Arial"/>
                <w:sz w:val="17"/>
                <w:szCs w:val="17"/>
                <w:b w:val="1"/>
                <w:bCs w:val="1"/>
                <w:color w:val="auto"/>
              </w:rPr>
              <w:t>August 4,</w:t>
            </w:r>
          </w:p>
        </w:tc>
      </w:tr>
      <w:tr>
        <w:trPr>
          <w:trHeight w:val="215"/>
        </w:trPr>
        <w:tc>
          <w:tcPr>
            <w:tcW w:w="20" w:type="dxa"/>
            <w:vAlign w:val="bottom"/>
          </w:tcPr>
          <w:p>
            <w:pPr>
              <w:spacing w:after="0"/>
              <w:rPr>
                <w:sz w:val="18"/>
                <w:szCs w:val="18"/>
                <w:color w:val="auto"/>
              </w:rPr>
            </w:pPr>
          </w:p>
        </w:tc>
        <w:tc>
          <w:tcPr>
            <w:tcW w:w="426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rPr>
              <w:t>2019</w:t>
            </w:r>
          </w:p>
        </w:tc>
        <w:tc>
          <w:tcPr>
            <w:tcW w:w="5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b w:val="1"/>
                <w:bCs w:val="1"/>
                <w:color w:val="auto"/>
              </w:rPr>
              <w:t>2018</w:t>
            </w:r>
          </w:p>
        </w:tc>
      </w:tr>
      <w:tr>
        <w:trPr>
          <w:trHeight w:val="183"/>
        </w:trPr>
        <w:tc>
          <w:tcPr>
            <w:tcW w:w="2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08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 in millions)</w:t>
            </w:r>
          </w:p>
        </w:tc>
        <w:tc>
          <w:tcPr>
            <w:tcW w:w="1260" w:type="dxa"/>
            <w:vAlign w:val="bottom"/>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42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cash provided by operating activities</w:t>
            </w:r>
          </w:p>
        </w:tc>
        <w:tc>
          <w:tcPr>
            <w:tcW w:w="2440" w:type="dxa"/>
            <w:vAlign w:val="bottom"/>
            <w:shd w:val="clear" w:color="auto" w:fill="CCEEFF"/>
          </w:tcPr>
          <w:p>
            <w:pPr>
              <w:jc w:val="right"/>
              <w:ind w:right="1075"/>
              <w:spacing w:after="0" w:line="189" w:lineRule="exact"/>
              <w:rPr>
                <w:sz w:val="20"/>
                <w:szCs w:val="20"/>
                <w:color w:val="auto"/>
              </w:rPr>
            </w:pPr>
            <w:r>
              <w:rPr>
                <w:rFonts w:ascii="Arial" w:cs="Arial" w:eastAsia="Arial" w:hAnsi="Arial"/>
                <w:sz w:val="17"/>
                <w:szCs w:val="17"/>
                <w:b w:val="1"/>
                <w:bCs w:val="1"/>
                <w:color w:val="auto"/>
              </w:rPr>
              <w:t>$</w:t>
            </w:r>
          </w:p>
        </w:tc>
        <w:tc>
          <w:tcPr>
            <w:tcW w:w="54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b w:val="1"/>
                <w:bCs w:val="1"/>
                <w:color w:val="auto"/>
              </w:rPr>
              <w:t>328</w:t>
            </w:r>
          </w:p>
        </w:tc>
        <w:tc>
          <w:tcPr>
            <w:tcW w:w="540" w:type="dxa"/>
            <w:vAlign w:val="bottom"/>
            <w:shd w:val="clear" w:color="auto" w:fill="CCEEFF"/>
          </w:tcPr>
          <w:p>
            <w:pPr>
              <w:jc w:val="right"/>
              <w:ind w:right="215"/>
              <w:spacing w:after="0" w:line="189" w:lineRule="exact"/>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427</w:t>
            </w:r>
          </w:p>
        </w:tc>
      </w:tr>
      <w:tr>
        <w:trPr>
          <w:trHeight w:val="189"/>
        </w:trPr>
        <w:tc>
          <w:tcPr>
            <w:tcW w:w="20" w:type="dxa"/>
            <w:vAlign w:val="bottom"/>
            <w:tcBorders>
              <w:bottom w:val="single" w:sz="8" w:color="auto"/>
            </w:tcBorders>
          </w:tcPr>
          <w:p>
            <w:pPr>
              <w:spacing w:after="0"/>
              <w:rPr>
                <w:sz w:val="16"/>
                <w:szCs w:val="16"/>
                <w:color w:val="auto"/>
              </w:rPr>
            </w:pPr>
          </w:p>
        </w:tc>
        <w:tc>
          <w:tcPr>
            <w:tcW w:w="426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 Change</w:t>
            </w:r>
          </w:p>
        </w:tc>
        <w:tc>
          <w:tcPr>
            <w:tcW w:w="2440" w:type="dxa"/>
            <w:vAlign w:val="bottom"/>
            <w:tcBorders>
              <w:bottom w:val="single" w:sz="8" w:color="auto"/>
            </w:tcBorders>
          </w:tcPr>
          <w:p>
            <w:pPr>
              <w:jc w:val="right"/>
              <w:ind w:right="1075"/>
              <w:spacing w:after="0" w:line="189" w:lineRule="exact"/>
              <w:rPr>
                <w:sz w:val="20"/>
                <w:szCs w:val="20"/>
                <w:color w:val="auto"/>
              </w:rPr>
            </w:pPr>
            <w:r>
              <w:rPr>
                <w:rFonts w:ascii="Arial" w:cs="Arial" w:eastAsia="Arial" w:hAnsi="Arial"/>
                <w:sz w:val="17"/>
                <w:szCs w:val="17"/>
                <w:b w:val="1"/>
                <w:bCs w:val="1"/>
                <w:color w:val="auto"/>
              </w:rPr>
              <w:t>$</w:t>
            </w:r>
          </w:p>
        </w:tc>
        <w:tc>
          <w:tcPr>
            <w:tcW w:w="54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b w:val="1"/>
                <w:bCs w:val="1"/>
                <w:color w:val="auto"/>
              </w:rPr>
              <w:t>(99)</w:t>
            </w:r>
          </w:p>
        </w:tc>
        <w:tc>
          <w:tcPr>
            <w:tcW w:w="5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bl>
    <w:p>
      <w:pPr>
        <w:spacing w:after="0" w:line="2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amount provided by operating activities reflects net income adjusted for non-cash items and working capital changes. Adjustments to net income for non-cash items include depreciation and amortization, and share-based compensation expense.</w:t>
      </w:r>
    </w:p>
    <w:p>
      <w:pPr>
        <w:spacing w:after="0" w:line="20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decrease in cash provided by operating activities, compared with the same period of last year, reflected a decrease in net income and lower net inflows associated with changes in working capital. Also, during the thirteen weeks ended May 4, 2019, we contributed $55 million to our U.S. qualified pension plan primarily representing the funds available in the qualified settlement fund established in connection with our pension litigation matter, which compares with $30 million contributed during the corresponding prior-year period. During the second quarter of 2018, the Company paid class counsel $97 million in connection with the pension litigation matter.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Investing Activities</w:t>
      </w:r>
    </w:p>
    <w:p>
      <w:pPr>
        <w:spacing w:after="0" w:line="218" w:lineRule="exact"/>
        <w:rPr>
          <w:sz w:val="20"/>
          <w:szCs w:val="20"/>
          <w:color w:val="auto"/>
        </w:rPr>
      </w:pPr>
    </w:p>
    <w:p>
      <w:pPr>
        <w:ind w:left="6280"/>
        <w:spacing w:after="0"/>
        <w:rPr>
          <w:sz w:val="20"/>
          <w:szCs w:val="20"/>
          <w:color w:val="auto"/>
        </w:rPr>
      </w:pPr>
      <w:r>
        <w:rPr>
          <w:rFonts w:ascii="Arial" w:cs="Arial" w:eastAsia="Arial" w:hAnsi="Arial"/>
          <w:sz w:val="17"/>
          <w:szCs w:val="17"/>
          <w:b w:val="1"/>
          <w:bCs w:val="1"/>
          <w:color w:val="auto"/>
        </w:rPr>
        <w:t>Twenty-six weeks ended</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4060" w:type="dxa"/>
            <w:vAlign w:val="bottom"/>
            <w:tcBorders>
              <w:top w:val="single" w:sz="8" w:color="auto"/>
            </w:tcBorders>
          </w:tcPr>
          <w:p>
            <w:pPr>
              <w:spacing w:after="0"/>
              <w:rPr>
                <w:sz w:val="13"/>
                <w:szCs w:val="13"/>
                <w:color w:val="auto"/>
              </w:rPr>
            </w:pPr>
          </w:p>
        </w:tc>
        <w:tc>
          <w:tcPr>
            <w:tcW w:w="264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7"/>
                <w:szCs w:val="17"/>
                <w:b w:val="1"/>
                <w:bCs w:val="1"/>
                <w:color w:val="auto"/>
              </w:rPr>
              <w:t>August 3,</w:t>
            </w:r>
          </w:p>
        </w:tc>
        <w:tc>
          <w:tcPr>
            <w:tcW w:w="5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center"/>
              <w:ind w:right="315"/>
              <w:spacing w:after="0" w:line="157" w:lineRule="exact"/>
              <w:rPr>
                <w:sz w:val="20"/>
                <w:szCs w:val="20"/>
                <w:color w:val="auto"/>
              </w:rPr>
            </w:pPr>
            <w:r>
              <w:rPr>
                <w:rFonts w:ascii="Arial" w:cs="Arial" w:eastAsia="Arial" w:hAnsi="Arial"/>
                <w:sz w:val="17"/>
                <w:szCs w:val="17"/>
                <w:b w:val="1"/>
                <w:bCs w:val="1"/>
                <w:color w:val="auto"/>
              </w:rPr>
              <w:t>August 4,</w:t>
            </w:r>
          </w:p>
        </w:tc>
      </w:tr>
      <w:tr>
        <w:trPr>
          <w:trHeight w:val="215"/>
        </w:trPr>
        <w:tc>
          <w:tcPr>
            <w:tcW w:w="20" w:type="dxa"/>
            <w:vAlign w:val="bottom"/>
          </w:tcPr>
          <w:p>
            <w:pPr>
              <w:spacing w:after="0"/>
              <w:rPr>
                <w:sz w:val="18"/>
                <w:szCs w:val="18"/>
                <w:color w:val="auto"/>
              </w:rPr>
            </w:pPr>
          </w:p>
        </w:tc>
        <w:tc>
          <w:tcPr>
            <w:tcW w:w="406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rPr>
              <w:t>2019</w:t>
            </w:r>
          </w:p>
        </w:tc>
        <w:tc>
          <w:tcPr>
            <w:tcW w:w="5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b w:val="1"/>
                <w:bCs w:val="1"/>
                <w:color w:val="auto"/>
              </w:rPr>
              <w:t>2018</w:t>
            </w:r>
          </w:p>
        </w:tc>
      </w:tr>
      <w:tr>
        <w:trPr>
          <w:trHeight w:val="183"/>
        </w:trPr>
        <w:tc>
          <w:tcPr>
            <w:tcW w:w="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08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 in millions)</w:t>
            </w:r>
          </w:p>
        </w:tc>
        <w:tc>
          <w:tcPr>
            <w:tcW w:w="1260" w:type="dxa"/>
            <w:vAlign w:val="bottom"/>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40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cash used in investing activities</w:t>
            </w:r>
          </w:p>
        </w:tc>
        <w:tc>
          <w:tcPr>
            <w:tcW w:w="2640" w:type="dxa"/>
            <w:vAlign w:val="bottom"/>
            <w:shd w:val="clear" w:color="auto" w:fill="CCEEFF"/>
          </w:tcPr>
          <w:p>
            <w:pPr>
              <w:jc w:val="right"/>
              <w:ind w:right="1075"/>
              <w:spacing w:after="0" w:line="189" w:lineRule="exact"/>
              <w:rPr>
                <w:sz w:val="20"/>
                <w:szCs w:val="20"/>
                <w:color w:val="auto"/>
              </w:rPr>
            </w:pPr>
            <w:r>
              <w:rPr>
                <w:rFonts w:ascii="Arial" w:cs="Arial" w:eastAsia="Arial" w:hAnsi="Arial"/>
                <w:sz w:val="17"/>
                <w:szCs w:val="17"/>
                <w:b w:val="1"/>
                <w:bCs w:val="1"/>
                <w:color w:val="auto"/>
              </w:rPr>
              <w:t>$</w:t>
            </w:r>
          </w:p>
        </w:tc>
        <w:tc>
          <w:tcPr>
            <w:tcW w:w="50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126</w:t>
            </w:r>
          </w:p>
        </w:tc>
        <w:tc>
          <w:tcPr>
            <w:tcW w:w="580" w:type="dxa"/>
            <w:vAlign w:val="bottom"/>
            <w:shd w:val="clear" w:color="auto" w:fill="CCEEFF"/>
          </w:tcPr>
          <w:p>
            <w:pPr>
              <w:jc w:val="right"/>
              <w:ind w:right="215"/>
              <w:spacing w:after="0" w:line="189" w:lineRule="exact"/>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113</w:t>
            </w:r>
          </w:p>
        </w:tc>
      </w:tr>
      <w:tr>
        <w:trPr>
          <w:trHeight w:val="189"/>
        </w:trPr>
        <w:tc>
          <w:tcPr>
            <w:tcW w:w="20" w:type="dxa"/>
            <w:vAlign w:val="bottom"/>
            <w:tcBorders>
              <w:bottom w:val="single" w:sz="8" w:color="auto"/>
            </w:tcBorders>
          </w:tcPr>
          <w:p>
            <w:pPr>
              <w:spacing w:after="0"/>
              <w:rPr>
                <w:sz w:val="16"/>
                <w:szCs w:val="16"/>
                <w:color w:val="auto"/>
              </w:rPr>
            </w:pPr>
          </w:p>
        </w:tc>
        <w:tc>
          <w:tcPr>
            <w:tcW w:w="406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 Change</w:t>
            </w:r>
          </w:p>
        </w:tc>
        <w:tc>
          <w:tcPr>
            <w:tcW w:w="2640" w:type="dxa"/>
            <w:vAlign w:val="bottom"/>
            <w:tcBorders>
              <w:bottom w:val="single" w:sz="8" w:color="auto"/>
            </w:tcBorders>
          </w:tcPr>
          <w:p>
            <w:pPr>
              <w:jc w:val="right"/>
              <w:ind w:right="1075"/>
              <w:spacing w:after="0" w:line="189" w:lineRule="exact"/>
              <w:rPr>
                <w:sz w:val="20"/>
                <w:szCs w:val="20"/>
                <w:color w:val="auto"/>
              </w:rPr>
            </w:pPr>
            <w:r>
              <w:rPr>
                <w:rFonts w:ascii="Arial" w:cs="Arial" w:eastAsia="Arial" w:hAnsi="Arial"/>
                <w:sz w:val="17"/>
                <w:szCs w:val="17"/>
                <w:b w:val="1"/>
                <w:bCs w:val="1"/>
                <w:color w:val="auto"/>
              </w:rPr>
              <w:t>$</w:t>
            </w:r>
          </w:p>
        </w:tc>
        <w:tc>
          <w:tcPr>
            <w:tcW w:w="50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13</w:t>
            </w:r>
          </w:p>
        </w:tc>
        <w:tc>
          <w:tcPr>
            <w:tcW w:w="5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bl>
    <w:p>
      <w:pPr>
        <w:spacing w:after="0" w:line="20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Capital expenditures decreased for the twenty-six weeks ended August 3, 2019 by $34 million as compared with the corresponding prior-year period. This represented an increase in spending on store projects and technology projects partially offset by a decrease related to logistics. The Company’s full-year capital spending is expected to be approximately $250 million, which is approximately $25 million lower than the target that was established at the beginning of the year and reflects changes in the timing of certain projects. The revised forecast includes $155 million related to the remodeling or relocation of approximately 160 existing stores and the opening of approximately 65 new stores, as well as $95 million for the development of information systems, websites, and infrastructure, including supply chain initiatives.</w:t>
      </w:r>
    </w:p>
    <w:p>
      <w:pPr>
        <w:spacing w:after="0" w:line="208" w:lineRule="exact"/>
        <w:rPr>
          <w:sz w:val="20"/>
          <w:szCs w:val="20"/>
          <w:color w:val="auto"/>
        </w:rPr>
      </w:pPr>
    </w:p>
    <w:p>
      <w:pPr>
        <w:jc w:val="both"/>
        <w:spacing w:after="0"/>
        <w:rPr>
          <w:sz w:val="20"/>
          <w:szCs w:val="20"/>
          <w:color w:val="auto"/>
        </w:rPr>
      </w:pPr>
      <w:r>
        <w:rPr>
          <w:rFonts w:ascii="Arial" w:cs="Arial" w:eastAsia="Arial" w:hAnsi="Arial"/>
          <w:sz w:val="18"/>
          <w:szCs w:val="18"/>
          <w:color w:val="auto"/>
        </w:rPr>
        <w:t>Additionally, investing activities for the twenty-six weeks ended August 3, 2019 included $45 million in minority investments. Investing outflows for the twenty-six weeks ended May 5, 2018 were partially offset by the receipt of insurance proceeds of $2 million for fixed assets from an insurance claim relating to Hurricane Maria.</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Financing Activities</w:t>
      </w:r>
    </w:p>
    <w:p>
      <w:pPr>
        <w:spacing w:after="0" w:line="218" w:lineRule="exact"/>
        <w:rPr>
          <w:sz w:val="20"/>
          <w:szCs w:val="20"/>
          <w:color w:val="auto"/>
        </w:rPr>
      </w:pPr>
    </w:p>
    <w:p>
      <w:pPr>
        <w:ind w:left="6280"/>
        <w:spacing w:after="0"/>
        <w:rPr>
          <w:sz w:val="20"/>
          <w:szCs w:val="20"/>
          <w:color w:val="auto"/>
        </w:rPr>
      </w:pPr>
      <w:r>
        <w:rPr>
          <w:rFonts w:ascii="Arial" w:cs="Arial" w:eastAsia="Arial" w:hAnsi="Arial"/>
          <w:sz w:val="17"/>
          <w:szCs w:val="17"/>
          <w:b w:val="1"/>
          <w:bCs w:val="1"/>
          <w:color w:val="auto"/>
        </w:rPr>
        <w:t>Twenty-six weeks ended</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4080" w:type="dxa"/>
            <w:vAlign w:val="bottom"/>
            <w:tcBorders>
              <w:top w:val="single" w:sz="8" w:color="auto"/>
            </w:tcBorders>
          </w:tcPr>
          <w:p>
            <w:pPr>
              <w:spacing w:after="0"/>
              <w:rPr>
                <w:sz w:val="13"/>
                <w:szCs w:val="13"/>
                <w:color w:val="auto"/>
              </w:rPr>
            </w:pPr>
          </w:p>
        </w:tc>
        <w:tc>
          <w:tcPr>
            <w:tcW w:w="262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7"/>
                <w:szCs w:val="17"/>
                <w:b w:val="1"/>
                <w:bCs w:val="1"/>
                <w:color w:val="auto"/>
              </w:rPr>
              <w:t>August 3,</w:t>
            </w:r>
          </w:p>
        </w:tc>
        <w:tc>
          <w:tcPr>
            <w:tcW w:w="5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center"/>
              <w:ind w:right="315"/>
              <w:spacing w:after="0" w:line="157" w:lineRule="exact"/>
              <w:rPr>
                <w:sz w:val="20"/>
                <w:szCs w:val="20"/>
                <w:color w:val="auto"/>
              </w:rPr>
            </w:pPr>
            <w:r>
              <w:rPr>
                <w:rFonts w:ascii="Arial" w:cs="Arial" w:eastAsia="Arial" w:hAnsi="Arial"/>
                <w:sz w:val="17"/>
                <w:szCs w:val="17"/>
                <w:b w:val="1"/>
                <w:bCs w:val="1"/>
                <w:color w:val="auto"/>
              </w:rPr>
              <w:t>August 4,</w:t>
            </w:r>
          </w:p>
        </w:tc>
      </w:tr>
      <w:tr>
        <w:trPr>
          <w:trHeight w:val="215"/>
        </w:trPr>
        <w:tc>
          <w:tcPr>
            <w:tcW w:w="20" w:type="dxa"/>
            <w:vAlign w:val="bottom"/>
          </w:tcPr>
          <w:p>
            <w:pPr>
              <w:spacing w:after="0"/>
              <w:rPr>
                <w:sz w:val="18"/>
                <w:szCs w:val="18"/>
                <w:color w:val="auto"/>
              </w:rPr>
            </w:pPr>
          </w:p>
        </w:tc>
        <w:tc>
          <w:tcPr>
            <w:tcW w:w="408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rPr>
              <w:t>2019</w:t>
            </w:r>
          </w:p>
        </w:tc>
        <w:tc>
          <w:tcPr>
            <w:tcW w:w="5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b w:val="1"/>
                <w:bCs w:val="1"/>
                <w:color w:val="auto"/>
              </w:rPr>
              <w:t>2018</w:t>
            </w:r>
          </w:p>
        </w:tc>
      </w:tr>
      <w:tr>
        <w:trPr>
          <w:trHeight w:val="183"/>
        </w:trPr>
        <w:tc>
          <w:tcPr>
            <w:tcW w:w="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08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 in millions)</w:t>
            </w:r>
          </w:p>
        </w:tc>
        <w:tc>
          <w:tcPr>
            <w:tcW w:w="1260" w:type="dxa"/>
            <w:vAlign w:val="bottom"/>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40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cash used in financing activities</w:t>
            </w:r>
          </w:p>
        </w:tc>
        <w:tc>
          <w:tcPr>
            <w:tcW w:w="2620" w:type="dxa"/>
            <w:vAlign w:val="bottom"/>
            <w:shd w:val="clear" w:color="auto" w:fill="CCEEFF"/>
          </w:tcPr>
          <w:p>
            <w:pPr>
              <w:jc w:val="right"/>
              <w:ind w:right="1075"/>
              <w:spacing w:after="0" w:line="189" w:lineRule="exact"/>
              <w:rPr>
                <w:sz w:val="20"/>
                <w:szCs w:val="20"/>
                <w:color w:val="auto"/>
              </w:rPr>
            </w:pPr>
            <w:r>
              <w:rPr>
                <w:rFonts w:ascii="Arial" w:cs="Arial" w:eastAsia="Arial" w:hAnsi="Arial"/>
                <w:sz w:val="17"/>
                <w:szCs w:val="17"/>
                <w:b w:val="1"/>
                <w:bCs w:val="1"/>
                <w:color w:val="auto"/>
              </w:rPr>
              <w:t>$</w:t>
            </w:r>
          </w:p>
        </w:tc>
        <w:tc>
          <w:tcPr>
            <w:tcW w:w="54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b w:val="1"/>
                <w:bCs w:val="1"/>
                <w:color w:val="auto"/>
              </w:rPr>
              <w:t>201</w:t>
            </w:r>
          </w:p>
        </w:tc>
        <w:tc>
          <w:tcPr>
            <w:tcW w:w="540" w:type="dxa"/>
            <w:vAlign w:val="bottom"/>
            <w:shd w:val="clear" w:color="auto" w:fill="CCEEFF"/>
          </w:tcPr>
          <w:p>
            <w:pPr>
              <w:jc w:val="right"/>
              <w:ind w:right="215"/>
              <w:spacing w:after="0" w:line="189" w:lineRule="exact"/>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281</w:t>
            </w:r>
          </w:p>
        </w:tc>
      </w:tr>
      <w:tr>
        <w:trPr>
          <w:trHeight w:val="189"/>
        </w:trPr>
        <w:tc>
          <w:tcPr>
            <w:tcW w:w="20" w:type="dxa"/>
            <w:vAlign w:val="bottom"/>
            <w:tcBorders>
              <w:bottom w:val="single" w:sz="8" w:color="auto"/>
            </w:tcBorders>
          </w:tcPr>
          <w:p>
            <w:pPr>
              <w:spacing w:after="0"/>
              <w:rPr>
                <w:sz w:val="16"/>
                <w:szCs w:val="16"/>
                <w:color w:val="auto"/>
              </w:rPr>
            </w:pPr>
          </w:p>
        </w:tc>
        <w:tc>
          <w:tcPr>
            <w:tcW w:w="408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 Change</w:t>
            </w:r>
          </w:p>
        </w:tc>
        <w:tc>
          <w:tcPr>
            <w:tcW w:w="2620" w:type="dxa"/>
            <w:vAlign w:val="bottom"/>
            <w:tcBorders>
              <w:bottom w:val="single" w:sz="8" w:color="auto"/>
            </w:tcBorders>
          </w:tcPr>
          <w:p>
            <w:pPr>
              <w:jc w:val="right"/>
              <w:ind w:right="1075"/>
              <w:spacing w:after="0" w:line="189" w:lineRule="exact"/>
              <w:rPr>
                <w:sz w:val="20"/>
                <w:szCs w:val="20"/>
                <w:color w:val="auto"/>
              </w:rPr>
            </w:pPr>
            <w:r>
              <w:rPr>
                <w:rFonts w:ascii="Arial" w:cs="Arial" w:eastAsia="Arial" w:hAnsi="Arial"/>
                <w:sz w:val="17"/>
                <w:szCs w:val="17"/>
                <w:b w:val="1"/>
                <w:bCs w:val="1"/>
                <w:color w:val="auto"/>
              </w:rPr>
              <w:t>$</w:t>
            </w:r>
          </w:p>
        </w:tc>
        <w:tc>
          <w:tcPr>
            <w:tcW w:w="54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b w:val="1"/>
                <w:bCs w:val="1"/>
                <w:color w:val="auto"/>
              </w:rPr>
              <w:t>(80)</w:t>
            </w:r>
          </w:p>
        </w:tc>
        <w:tc>
          <w:tcPr>
            <w:tcW w:w="5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bl>
    <w:p>
      <w:pPr>
        <w:spacing w:after="0" w:line="20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During the twenty-six weeks ended August 3, 2019, we repurchased 2,932,100 shares of our common stock for $122 million, as compared with 4,452,405 shares repurchased for $ 205 million in the corresponding prior-year period. The Company also declared and paid dividends of $84 million and $81 million during the first two quarters of 2019 and 2018, respectively. This represented quarterly rates of $0.38 and $0.345 per share for 2019 and 2018, respectively. Also, during the twenty-six weeks ended August 3, 2019 and August 4, 2018, we paid $2 million and $1 million, respectively, to satisfy tax withholding obligations relating to the vesting of share-based equity awards. Offsetting the amounts above were proceeds received from the issuance of common stock and treasury stock in connection with employee stock programs of $7 million and $6 million for the twenty-six weeks ended August 3, 2019 and August 4, 2018,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4"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There have been no significant changes to our critical accounting policies and estimates from the information provided in Item 7, “Management’s Discussion and Analysis of Financial Condition and Results of Operations,” included in the Annual Report on Form 10-K for the fiscal year ended February 2,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4"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Descriptions of the recently issued and adopted accounting principles are included in Item 1. “Financial Statements” in Note 1,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to the Condensed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4. Controls and Procedures</w:t>
      </w:r>
    </w:p>
    <w:p>
      <w:pPr>
        <w:spacing w:after="0" w:line="23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During the quarter, the Company’s management performed an evaluation, under the supervision and with the participation of the Company’s Chief Executive Officer (“CEO”) and Chief Financial Officer (“CFO”), of the effectiveness of the design and operation of the Company’s disclosure controls and procedures (as that term is defined in Rules 13a-15(e) and 15d-15(e) under the Securities Exchange Act of 1934, as amended (the “Exchange Act”)). Based on that evaluation, the Company’s CEO and CFO concluded that the Company’s disclosure controls and procedures were effective to ensure that information relating to the Company that is required to be disclosed in the reports that we file or submit under the Exchange Act is recorded, processed, summarized and reported, within the time periods specified in the SEC rules and forms, and is accumulated and communicated to management, including the CEO and CFO, as appropriate to allow timely decisions regarding required disclosure.</w:t>
      </w:r>
    </w:p>
    <w:p>
      <w:pPr>
        <w:spacing w:after="0" w:line="20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are currently migrating our point-of-sale software to a new platform. Approximately 2,400 stores have been converted to the new software platform as of August 3, 2019, and we currently expect to complete the implementation during the second half of 2019. In connection with this implementation and resulting business process changes, we may make changes to the design and operation of our internal control over financial reporting.</w:t>
      </w:r>
    </w:p>
    <w:p>
      <w:pPr>
        <w:spacing w:after="0" w:line="20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Additionally, during the fourth quarter of 2018 the Company implemented a new lease accounting system in advance of the adoption of the new leasing standard that was effective the first quarter of 2019. We revised our controls in connection with this adoption and are continuing to refine business processes and make changes to the design and implementation of our internal controls as appropriate.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During the quarter ended August 3, 2019, there were no changes in the Company’s internal control over financial reporting, other than the implementation of new point-of-sale software and lease accounting system noted above, (as defined in Rules 13a-15(f) of the Exchange Act) that materially affected or are reasonably likely to affect the Company’s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Legal Proceedings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Information regarding the Company’s legal proceedings is contained in the </w:t>
      </w:r>
      <w:r>
        <w:rPr>
          <w:rFonts w:ascii="Arial" w:cs="Arial" w:eastAsia="Arial" w:hAnsi="Arial"/>
          <w:sz w:val="18"/>
          <w:szCs w:val="18"/>
          <w:i w:val="1"/>
          <w:iCs w:val="1"/>
          <w:color w:val="auto"/>
        </w:rPr>
        <w:t>Legal Proceedings</w:t>
      </w:r>
      <w:r>
        <w:rPr>
          <w:rFonts w:ascii="Arial" w:cs="Arial" w:eastAsia="Arial" w:hAnsi="Arial"/>
          <w:sz w:val="18"/>
          <w:szCs w:val="18"/>
          <w:color w:val="auto"/>
        </w:rPr>
        <w:t xml:space="preserve"> note under Item 1.</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Statements” in Part I.</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1A. Risk Factors</w:t>
      </w:r>
    </w:p>
    <w:p>
      <w:pPr>
        <w:spacing w:after="0" w:line="234"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addition to the other information discussed in this report, the factors described in Part I, Item 1A. “Risk Factors” in our 2018 Annual Report on Form 10-K filed with the SEC on April 2, 2019 should be considered as they could materially affect our business, financial condition, or future results.</w:t>
      </w:r>
    </w:p>
    <w:p>
      <w:pPr>
        <w:spacing w:after="0" w:line="203"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There have not been any significant changes with respect to the risks described in our 2018 Form 10-K. Additional risks and uncertainties not currently known to us or that we currently deem to be immaterial also may adversely affect our business, financial condition or operating results.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with respect to shares of the Company’s common stock that the</w:t>
      </w:r>
    </w:p>
    <w:p>
      <w:pPr>
        <w:spacing w:after="0"/>
        <w:rPr>
          <w:sz w:val="20"/>
          <w:szCs w:val="20"/>
          <w:color w:val="auto"/>
        </w:rPr>
      </w:pPr>
      <w:r>
        <w:rPr>
          <w:rFonts w:ascii="Arial" w:cs="Arial" w:eastAsia="Arial" w:hAnsi="Arial"/>
          <w:sz w:val="18"/>
          <w:szCs w:val="18"/>
          <w:color w:val="auto"/>
        </w:rPr>
        <w:t>Company repurchased during the thirteen weeks ended August 3, 2019:</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center"/>
              <w:ind w:right="35"/>
              <w:spacing w:after="0"/>
              <w:rPr>
                <w:sz w:val="20"/>
                <w:szCs w:val="20"/>
                <w:color w:val="auto"/>
              </w:rPr>
            </w:pPr>
            <w:r>
              <w:rPr>
                <w:rFonts w:ascii="Arial" w:cs="Arial" w:eastAsia="Arial" w:hAnsi="Arial"/>
                <w:sz w:val="17"/>
                <w:szCs w:val="17"/>
                <w:b w:val="1"/>
                <w:bCs w:val="1"/>
                <w:color w:val="auto"/>
              </w:rPr>
              <w:t>Approximate</w:t>
            </w:r>
          </w:p>
        </w:tc>
      </w:tr>
      <w:tr>
        <w:trPr>
          <w:trHeight w:val="189"/>
        </w:trPr>
        <w:tc>
          <w:tcPr>
            <w:tcW w:w="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96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8"/>
              </w:rPr>
              <w:t>Total Number of</w:t>
            </w:r>
          </w:p>
        </w:tc>
        <w:tc>
          <w:tcPr>
            <w:tcW w:w="240" w:type="dxa"/>
            <w:vAlign w:val="bottom"/>
          </w:tcPr>
          <w:p>
            <w:pPr>
              <w:spacing w:after="0"/>
              <w:rPr>
                <w:sz w:val="16"/>
                <w:szCs w:val="16"/>
                <w:color w:val="auto"/>
              </w:rPr>
            </w:pPr>
          </w:p>
        </w:tc>
        <w:tc>
          <w:tcPr>
            <w:tcW w:w="1340" w:type="dxa"/>
            <w:vAlign w:val="bottom"/>
          </w:tcPr>
          <w:p>
            <w:pPr>
              <w:jc w:val="center"/>
              <w:ind w:right="35"/>
              <w:spacing w:after="0" w:line="189" w:lineRule="exact"/>
              <w:rPr>
                <w:sz w:val="20"/>
                <w:szCs w:val="20"/>
                <w:color w:val="auto"/>
              </w:rPr>
            </w:pPr>
            <w:r>
              <w:rPr>
                <w:rFonts w:ascii="Arial" w:cs="Arial" w:eastAsia="Arial" w:hAnsi="Arial"/>
                <w:sz w:val="17"/>
                <w:szCs w:val="17"/>
                <w:b w:val="1"/>
                <w:bCs w:val="1"/>
                <w:color w:val="auto"/>
                <w:w w:val="99"/>
              </w:rPr>
              <w:t>Dollar Value of</w:t>
            </w:r>
          </w:p>
        </w:tc>
      </w:tr>
      <w:tr>
        <w:trPr>
          <w:trHeight w:val="189"/>
        </w:trPr>
        <w:tc>
          <w:tcPr>
            <w:tcW w:w="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980" w:type="dxa"/>
            <w:vAlign w:val="bottom"/>
          </w:tcPr>
          <w:p>
            <w:pPr>
              <w:jc w:val="center"/>
              <w:ind w:left="615"/>
              <w:spacing w:after="0" w:line="189" w:lineRule="exact"/>
              <w:rPr>
                <w:sz w:val="20"/>
                <w:szCs w:val="20"/>
                <w:color w:val="auto"/>
              </w:rPr>
            </w:pPr>
            <w:r>
              <w:rPr>
                <w:rFonts w:ascii="Arial" w:cs="Arial" w:eastAsia="Arial" w:hAnsi="Arial"/>
                <w:sz w:val="17"/>
                <w:szCs w:val="17"/>
                <w:b w:val="1"/>
                <w:bCs w:val="1"/>
                <w:color w:val="auto"/>
                <w:w w:val="98"/>
              </w:rPr>
              <w:t>Total</w:t>
            </w:r>
          </w:p>
        </w:tc>
        <w:tc>
          <w:tcPr>
            <w:tcW w:w="920" w:type="dxa"/>
            <w:vAlign w:val="bottom"/>
            <w:gridSpan w:val="2"/>
          </w:tcPr>
          <w:p>
            <w:pPr>
              <w:ind w:left="120"/>
              <w:spacing w:after="0" w:line="189" w:lineRule="exact"/>
              <w:rPr>
                <w:sz w:val="20"/>
                <w:szCs w:val="20"/>
                <w:color w:val="auto"/>
              </w:rPr>
            </w:pPr>
            <w:r>
              <w:rPr>
                <w:rFonts w:ascii="Arial" w:cs="Arial" w:eastAsia="Arial" w:hAnsi="Arial"/>
                <w:sz w:val="17"/>
                <w:szCs w:val="17"/>
                <w:b w:val="1"/>
                <w:bCs w:val="1"/>
                <w:color w:val="auto"/>
              </w:rPr>
              <w:t>Average</w:t>
            </w:r>
          </w:p>
        </w:tc>
        <w:tc>
          <w:tcPr>
            <w:tcW w:w="196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9"/>
              </w:rPr>
              <w:t>Shares Purchased as</w:t>
            </w:r>
          </w:p>
        </w:tc>
        <w:tc>
          <w:tcPr>
            <w:tcW w:w="1580" w:type="dxa"/>
            <w:vAlign w:val="bottom"/>
            <w:gridSpan w:val="2"/>
          </w:tcPr>
          <w:p>
            <w:pPr>
              <w:jc w:val="center"/>
              <w:ind w:left="15"/>
              <w:spacing w:after="0" w:line="189" w:lineRule="exact"/>
              <w:rPr>
                <w:sz w:val="20"/>
                <w:szCs w:val="20"/>
                <w:color w:val="auto"/>
              </w:rPr>
            </w:pPr>
            <w:r>
              <w:rPr>
                <w:rFonts w:ascii="Arial" w:cs="Arial" w:eastAsia="Arial" w:hAnsi="Arial"/>
                <w:sz w:val="17"/>
                <w:szCs w:val="17"/>
                <w:b w:val="1"/>
                <w:bCs w:val="1"/>
                <w:color w:val="auto"/>
              </w:rPr>
              <w:t>Shares that may</w:t>
            </w:r>
          </w:p>
        </w:tc>
      </w:tr>
      <w:tr>
        <w:trPr>
          <w:trHeight w:val="189"/>
        </w:trPr>
        <w:tc>
          <w:tcPr>
            <w:tcW w:w="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980" w:type="dxa"/>
            <w:vAlign w:val="bottom"/>
          </w:tcPr>
          <w:p>
            <w:pPr>
              <w:jc w:val="center"/>
              <w:ind w:left="615"/>
              <w:spacing w:after="0" w:line="189" w:lineRule="exact"/>
              <w:rPr>
                <w:sz w:val="20"/>
                <w:szCs w:val="20"/>
                <w:color w:val="auto"/>
              </w:rPr>
            </w:pPr>
            <w:r>
              <w:rPr>
                <w:rFonts w:ascii="Arial" w:cs="Arial" w:eastAsia="Arial" w:hAnsi="Arial"/>
                <w:sz w:val="17"/>
                <w:szCs w:val="17"/>
                <w:b w:val="1"/>
                <w:bCs w:val="1"/>
                <w:color w:val="auto"/>
                <w:w w:val="99"/>
              </w:rPr>
              <w:t>Number</w:t>
            </w:r>
          </w:p>
        </w:tc>
        <w:tc>
          <w:tcPr>
            <w:tcW w:w="220" w:type="dxa"/>
            <w:vAlign w:val="bottom"/>
          </w:tcPr>
          <w:p>
            <w:pPr>
              <w:spacing w:after="0"/>
              <w:rPr>
                <w:sz w:val="16"/>
                <w:szCs w:val="16"/>
                <w:color w:val="auto"/>
              </w:rPr>
            </w:pPr>
          </w:p>
        </w:tc>
        <w:tc>
          <w:tcPr>
            <w:tcW w:w="700" w:type="dxa"/>
            <w:vAlign w:val="bottom"/>
          </w:tcPr>
          <w:p>
            <w:pPr>
              <w:jc w:val="right"/>
              <w:ind w:right="175"/>
              <w:spacing w:after="0" w:line="189" w:lineRule="exact"/>
              <w:rPr>
                <w:sz w:val="20"/>
                <w:szCs w:val="20"/>
                <w:color w:val="auto"/>
              </w:rPr>
            </w:pPr>
            <w:r>
              <w:rPr>
                <w:rFonts w:ascii="Arial" w:cs="Arial" w:eastAsia="Arial" w:hAnsi="Arial"/>
                <w:sz w:val="17"/>
                <w:szCs w:val="17"/>
                <w:b w:val="1"/>
                <w:bCs w:val="1"/>
                <w:color w:val="auto"/>
              </w:rPr>
              <w:t>Price</w:t>
            </w:r>
          </w:p>
        </w:tc>
        <w:tc>
          <w:tcPr>
            <w:tcW w:w="196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Part of Publicly</w:t>
            </w:r>
          </w:p>
        </w:tc>
        <w:tc>
          <w:tcPr>
            <w:tcW w:w="1580" w:type="dxa"/>
            <w:vAlign w:val="bottom"/>
            <w:gridSpan w:val="2"/>
          </w:tcPr>
          <w:p>
            <w:pPr>
              <w:jc w:val="center"/>
              <w:ind w:left="35"/>
              <w:spacing w:after="0" w:line="189" w:lineRule="exact"/>
              <w:rPr>
                <w:sz w:val="20"/>
                <w:szCs w:val="20"/>
                <w:color w:val="auto"/>
              </w:rPr>
            </w:pPr>
            <w:r>
              <w:rPr>
                <w:rFonts w:ascii="Arial" w:cs="Arial" w:eastAsia="Arial" w:hAnsi="Arial"/>
                <w:sz w:val="17"/>
                <w:szCs w:val="17"/>
                <w:b w:val="1"/>
                <w:bCs w:val="1"/>
                <w:color w:val="auto"/>
              </w:rPr>
              <w:t>yet be Purchased</w:t>
            </w:r>
          </w:p>
        </w:tc>
      </w:tr>
      <w:tr>
        <w:trPr>
          <w:trHeight w:val="189"/>
        </w:trPr>
        <w:tc>
          <w:tcPr>
            <w:tcW w:w="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980" w:type="dxa"/>
            <w:vAlign w:val="bottom"/>
          </w:tcPr>
          <w:p>
            <w:pPr>
              <w:jc w:val="center"/>
              <w:ind w:left="595"/>
              <w:spacing w:after="0" w:line="189" w:lineRule="exact"/>
              <w:rPr>
                <w:sz w:val="20"/>
                <w:szCs w:val="20"/>
                <w:color w:val="auto"/>
              </w:rPr>
            </w:pPr>
            <w:r>
              <w:rPr>
                <w:rFonts w:ascii="Arial" w:cs="Arial" w:eastAsia="Arial" w:hAnsi="Arial"/>
                <w:sz w:val="17"/>
                <w:szCs w:val="17"/>
                <w:b w:val="1"/>
                <w:bCs w:val="1"/>
                <w:color w:val="auto"/>
              </w:rPr>
              <w:t>of Shares</w:t>
            </w:r>
          </w:p>
        </w:tc>
        <w:tc>
          <w:tcPr>
            <w:tcW w:w="920" w:type="dxa"/>
            <w:vAlign w:val="bottom"/>
            <w:gridSpan w:val="2"/>
          </w:tcPr>
          <w:p>
            <w:pPr>
              <w:ind w:left="100"/>
              <w:spacing w:after="0" w:line="189" w:lineRule="exact"/>
              <w:rPr>
                <w:sz w:val="20"/>
                <w:szCs w:val="20"/>
                <w:color w:val="auto"/>
              </w:rPr>
            </w:pPr>
            <w:r>
              <w:rPr>
                <w:rFonts w:ascii="Arial" w:cs="Arial" w:eastAsia="Arial" w:hAnsi="Arial"/>
                <w:sz w:val="17"/>
                <w:szCs w:val="17"/>
                <w:b w:val="1"/>
                <w:bCs w:val="1"/>
                <w:color w:val="auto"/>
              </w:rPr>
              <w:t>Paid Per</w:t>
            </w:r>
          </w:p>
        </w:tc>
        <w:tc>
          <w:tcPr>
            <w:tcW w:w="196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Announced</w:t>
            </w:r>
          </w:p>
        </w:tc>
        <w:tc>
          <w:tcPr>
            <w:tcW w:w="240" w:type="dxa"/>
            <w:vAlign w:val="bottom"/>
          </w:tcPr>
          <w:p>
            <w:pPr>
              <w:spacing w:after="0"/>
              <w:rPr>
                <w:sz w:val="16"/>
                <w:szCs w:val="16"/>
                <w:color w:val="auto"/>
              </w:rPr>
            </w:pPr>
          </w:p>
        </w:tc>
        <w:tc>
          <w:tcPr>
            <w:tcW w:w="1340" w:type="dxa"/>
            <w:vAlign w:val="bottom"/>
          </w:tcPr>
          <w:p>
            <w:pPr>
              <w:jc w:val="center"/>
              <w:ind w:right="35"/>
              <w:spacing w:after="0" w:line="189" w:lineRule="exact"/>
              <w:rPr>
                <w:sz w:val="20"/>
                <w:szCs w:val="20"/>
                <w:color w:val="auto"/>
              </w:rPr>
            </w:pPr>
            <w:r>
              <w:rPr>
                <w:rFonts w:ascii="Arial" w:cs="Arial" w:eastAsia="Arial" w:hAnsi="Arial"/>
                <w:sz w:val="17"/>
                <w:szCs w:val="17"/>
                <w:b w:val="1"/>
                <w:bCs w:val="1"/>
                <w:color w:val="auto"/>
                <w:w w:val="98"/>
              </w:rPr>
              <w:t>Under the</w:t>
            </w:r>
          </w:p>
        </w:tc>
      </w:tr>
      <w:tr>
        <w:trPr>
          <w:trHeight w:val="215"/>
        </w:trPr>
        <w:tc>
          <w:tcPr>
            <w:tcW w:w="2620" w:type="dxa"/>
            <w:vAlign w:val="bottom"/>
            <w:gridSpan w:val="2"/>
          </w:tcPr>
          <w:p>
            <w:pPr>
              <w:spacing w:after="0"/>
              <w:rPr>
                <w:sz w:val="20"/>
                <w:szCs w:val="20"/>
                <w:color w:val="auto"/>
              </w:rPr>
            </w:pPr>
            <w:r>
              <w:rPr>
                <w:rFonts w:ascii="Arial" w:cs="Arial" w:eastAsia="Arial" w:hAnsi="Arial"/>
                <w:sz w:val="17"/>
                <w:szCs w:val="17"/>
                <w:b w:val="1"/>
                <w:bCs w:val="1"/>
                <w:color w:val="auto"/>
              </w:rPr>
              <w:t>Date Purchased</w:t>
            </w:r>
          </w:p>
        </w:tc>
        <w:tc>
          <w:tcPr>
            <w:tcW w:w="1980" w:type="dxa"/>
            <w:vAlign w:val="bottom"/>
          </w:tcPr>
          <w:p>
            <w:pPr>
              <w:jc w:val="center"/>
              <w:ind w:left="615"/>
              <w:spacing w:after="0"/>
              <w:rPr>
                <w:sz w:val="20"/>
                <w:szCs w:val="20"/>
                <w:color w:val="auto"/>
              </w:rPr>
            </w:pPr>
            <w:r>
              <w:rPr>
                <w:rFonts w:ascii="Arial" w:cs="Arial" w:eastAsia="Arial" w:hAnsi="Arial"/>
                <w:sz w:val="17"/>
                <w:szCs w:val="17"/>
                <w:b w:val="1"/>
                <w:bCs w:val="1"/>
                <w:color w:val="auto"/>
              </w:rPr>
              <w:t xml:space="preserve">Purchased </w:t>
            </w:r>
            <w:r>
              <w:rPr>
                <w:rFonts w:ascii="Arial" w:cs="Arial" w:eastAsia="Arial" w:hAnsi="Arial"/>
                <w:sz w:val="12"/>
                <w:szCs w:val="12"/>
                <w:color w:val="auto"/>
              </w:rPr>
              <w:t>(1)</w:t>
            </w:r>
          </w:p>
        </w:tc>
        <w:tc>
          <w:tcPr>
            <w:tcW w:w="920" w:type="dxa"/>
            <w:vAlign w:val="bottom"/>
            <w:gridSpan w:val="2"/>
          </w:tcPr>
          <w:p>
            <w:pPr>
              <w:ind w:left="100"/>
              <w:spacing w:after="0"/>
              <w:rPr>
                <w:sz w:val="20"/>
                <w:szCs w:val="20"/>
                <w:color w:val="auto"/>
              </w:rPr>
            </w:pPr>
            <w:r>
              <w:rPr>
                <w:rFonts w:ascii="Arial" w:cs="Arial" w:eastAsia="Arial" w:hAnsi="Arial"/>
                <w:sz w:val="17"/>
                <w:szCs w:val="17"/>
                <w:b w:val="1"/>
                <w:bCs w:val="1"/>
                <w:color w:val="auto"/>
              </w:rPr>
              <w:t xml:space="preserve">Share </w:t>
            </w:r>
            <w:r>
              <w:rPr>
                <w:rFonts w:ascii="Arial" w:cs="Arial" w:eastAsia="Arial" w:hAnsi="Arial"/>
                <w:sz w:val="12"/>
                <w:szCs w:val="12"/>
                <w:color w:val="auto"/>
              </w:rPr>
              <w:t>(1)</w:t>
            </w:r>
          </w:p>
        </w:tc>
        <w:tc>
          <w:tcPr>
            <w:tcW w:w="1960" w:type="dxa"/>
            <w:vAlign w:val="bottom"/>
          </w:tcPr>
          <w:p>
            <w:pPr>
              <w:jc w:val="center"/>
              <w:spacing w:after="0"/>
              <w:rPr>
                <w:sz w:val="20"/>
                <w:szCs w:val="20"/>
                <w:color w:val="auto"/>
              </w:rPr>
            </w:pPr>
            <w:r>
              <w:rPr>
                <w:rFonts w:ascii="Arial" w:cs="Arial" w:eastAsia="Arial" w:hAnsi="Arial"/>
                <w:sz w:val="17"/>
                <w:szCs w:val="17"/>
                <w:b w:val="1"/>
                <w:bCs w:val="1"/>
                <w:color w:val="auto"/>
              </w:rPr>
              <w:t xml:space="preserve">Program </w:t>
            </w:r>
            <w:r>
              <w:rPr>
                <w:rFonts w:ascii="Arial" w:cs="Arial" w:eastAsia="Arial" w:hAnsi="Arial"/>
                <w:sz w:val="12"/>
                <w:szCs w:val="12"/>
                <w:color w:val="auto"/>
              </w:rPr>
              <w:t>(2)</w:t>
            </w:r>
          </w:p>
        </w:tc>
        <w:tc>
          <w:tcPr>
            <w:tcW w:w="240" w:type="dxa"/>
            <w:vAlign w:val="bottom"/>
          </w:tcPr>
          <w:p>
            <w:pPr>
              <w:spacing w:after="0"/>
              <w:rPr>
                <w:sz w:val="18"/>
                <w:szCs w:val="18"/>
                <w:color w:val="auto"/>
              </w:rPr>
            </w:pPr>
          </w:p>
        </w:tc>
        <w:tc>
          <w:tcPr>
            <w:tcW w:w="1340" w:type="dxa"/>
            <w:vAlign w:val="bottom"/>
          </w:tcPr>
          <w:p>
            <w:pPr>
              <w:jc w:val="center"/>
              <w:ind w:right="35"/>
              <w:spacing w:after="0"/>
              <w:rPr>
                <w:sz w:val="20"/>
                <w:szCs w:val="20"/>
                <w:color w:val="auto"/>
              </w:rPr>
            </w:pPr>
            <w:r>
              <w:rPr>
                <w:rFonts w:ascii="Arial" w:cs="Arial" w:eastAsia="Arial" w:hAnsi="Arial"/>
                <w:sz w:val="17"/>
                <w:szCs w:val="17"/>
                <w:b w:val="1"/>
                <w:bCs w:val="1"/>
                <w:color w:val="auto"/>
              </w:rPr>
              <w:t xml:space="preserve">Program </w:t>
            </w:r>
            <w:r>
              <w:rPr>
                <w:rFonts w:ascii="Arial" w:cs="Arial" w:eastAsia="Arial" w:hAnsi="Arial"/>
                <w:sz w:val="12"/>
                <w:szCs w:val="12"/>
                <w:color w:val="auto"/>
              </w:rPr>
              <w:t>(2)</w:t>
            </w:r>
          </w:p>
        </w:tc>
      </w:tr>
      <w:tr>
        <w:trPr>
          <w:trHeight w:val="183"/>
        </w:trPr>
        <w:tc>
          <w:tcPr>
            <w:tcW w:w="20" w:type="dxa"/>
            <w:vAlign w:val="bottom"/>
          </w:tcPr>
          <w:p>
            <w:pPr>
              <w:spacing w:after="0"/>
              <w:rPr>
                <w:sz w:val="15"/>
                <w:szCs w:val="15"/>
                <w:color w:val="auto"/>
              </w:rPr>
            </w:pPr>
          </w:p>
        </w:tc>
        <w:tc>
          <w:tcPr>
            <w:tcW w:w="260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May 5 to June 1, 2019</w:t>
            </w:r>
          </w:p>
        </w:tc>
        <w:tc>
          <w:tcPr>
            <w:tcW w:w="1980" w:type="dxa"/>
            <w:vAlign w:val="bottom"/>
            <w:tcBorders>
              <w:top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90</w:t>
            </w:r>
          </w:p>
        </w:tc>
        <w:tc>
          <w:tcPr>
            <w:tcW w:w="220" w:type="dxa"/>
            <w:vAlign w:val="bottom"/>
            <w:tcBorders>
              <w:top w:val="single" w:sz="8" w:color="auto"/>
            </w:tcBorders>
            <w:shd w:val="clear" w:color="auto" w:fill="CCEEFF"/>
          </w:tcPr>
          <w:p>
            <w:pPr>
              <w:ind w:left="100"/>
              <w:spacing w:after="0" w:line="183" w:lineRule="exact"/>
              <w:rPr>
                <w:sz w:val="20"/>
                <w:szCs w:val="20"/>
                <w:color w:val="auto"/>
              </w:rPr>
            </w:pPr>
            <w:r>
              <w:rPr>
                <w:rFonts w:ascii="Arial" w:cs="Arial" w:eastAsia="Arial" w:hAnsi="Arial"/>
                <w:sz w:val="17"/>
                <w:szCs w:val="17"/>
                <w:color w:val="auto"/>
              </w:rPr>
              <w:t>$</w:t>
            </w:r>
          </w:p>
        </w:tc>
        <w:tc>
          <w:tcPr>
            <w:tcW w:w="700" w:type="dxa"/>
            <w:vAlign w:val="bottom"/>
            <w:tcBorders>
              <w:top w:val="single" w:sz="8" w:color="auto"/>
            </w:tcBorders>
            <w:shd w:val="clear" w:color="auto" w:fill="CCEEFF"/>
          </w:tcPr>
          <w:p>
            <w:pPr>
              <w:jc w:val="right"/>
              <w:ind w:right="95"/>
              <w:spacing w:after="0" w:line="183" w:lineRule="exact"/>
              <w:rPr>
                <w:sz w:val="20"/>
                <w:szCs w:val="20"/>
                <w:color w:val="auto"/>
              </w:rPr>
            </w:pPr>
            <w:r>
              <w:rPr>
                <w:rFonts w:ascii="Arial" w:cs="Arial" w:eastAsia="Arial" w:hAnsi="Arial"/>
                <w:sz w:val="17"/>
                <w:szCs w:val="17"/>
                <w:color w:val="auto"/>
              </w:rPr>
              <w:t>39.35</w:t>
            </w:r>
          </w:p>
        </w:tc>
        <w:tc>
          <w:tcPr>
            <w:tcW w:w="1960" w:type="dxa"/>
            <w:vAlign w:val="bottom"/>
            <w:tcBorders>
              <w:top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w:t>
            </w:r>
          </w:p>
        </w:tc>
        <w:tc>
          <w:tcPr>
            <w:tcW w:w="2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3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1,200,000,000</w:t>
            </w:r>
          </w:p>
        </w:tc>
      </w:tr>
      <w:tr>
        <w:trPr>
          <w:trHeight w:val="189"/>
        </w:trPr>
        <w:tc>
          <w:tcPr>
            <w:tcW w:w="20" w:type="dxa"/>
            <w:vAlign w:val="bottom"/>
          </w:tcPr>
          <w:p>
            <w:pPr>
              <w:spacing w:after="0"/>
              <w:rPr>
                <w:sz w:val="16"/>
                <w:szCs w:val="16"/>
                <w:color w:val="auto"/>
              </w:rPr>
            </w:pPr>
          </w:p>
        </w:tc>
        <w:tc>
          <w:tcPr>
            <w:tcW w:w="2600" w:type="dxa"/>
            <w:vAlign w:val="bottom"/>
          </w:tcPr>
          <w:p>
            <w:pPr>
              <w:spacing w:after="0" w:line="189" w:lineRule="exact"/>
              <w:rPr>
                <w:sz w:val="20"/>
                <w:szCs w:val="20"/>
                <w:color w:val="auto"/>
              </w:rPr>
            </w:pPr>
            <w:r>
              <w:rPr>
                <w:rFonts w:ascii="Arial" w:cs="Arial" w:eastAsia="Arial" w:hAnsi="Arial"/>
                <w:sz w:val="17"/>
                <w:szCs w:val="17"/>
                <w:color w:val="auto"/>
              </w:rPr>
              <w:t>June 2 to July 6, 2019</w:t>
            </w:r>
          </w:p>
        </w:tc>
        <w:tc>
          <w:tcPr>
            <w:tcW w:w="1980" w:type="dxa"/>
            <w:vAlign w:val="bottom"/>
          </w:tcPr>
          <w:p>
            <w:pPr>
              <w:jc w:val="right"/>
              <w:ind w:right="75"/>
              <w:spacing w:after="0" w:line="189" w:lineRule="exact"/>
              <w:rPr>
                <w:sz w:val="20"/>
                <w:szCs w:val="20"/>
                <w:color w:val="auto"/>
              </w:rPr>
            </w:pPr>
            <w:r>
              <w:rPr>
                <w:rFonts w:ascii="Arial" w:cs="Arial" w:eastAsia="Arial" w:hAnsi="Arial"/>
                <w:sz w:val="17"/>
                <w:szCs w:val="17"/>
                <w:color w:val="auto"/>
              </w:rPr>
              <w:t>2,900,085</w:t>
            </w:r>
          </w:p>
        </w:tc>
        <w:tc>
          <w:tcPr>
            <w:tcW w:w="220" w:type="dxa"/>
            <w:vAlign w:val="bottom"/>
          </w:tcPr>
          <w:p>
            <w:pPr>
              <w:spacing w:after="0"/>
              <w:rPr>
                <w:sz w:val="16"/>
                <w:szCs w:val="16"/>
                <w:color w:val="auto"/>
              </w:rPr>
            </w:pPr>
          </w:p>
        </w:tc>
        <w:tc>
          <w:tcPr>
            <w:tcW w:w="700" w:type="dxa"/>
            <w:vAlign w:val="bottom"/>
          </w:tcPr>
          <w:p>
            <w:pPr>
              <w:jc w:val="right"/>
              <w:ind w:right="95"/>
              <w:spacing w:after="0" w:line="189" w:lineRule="exact"/>
              <w:rPr>
                <w:sz w:val="20"/>
                <w:szCs w:val="20"/>
                <w:color w:val="auto"/>
              </w:rPr>
            </w:pPr>
            <w:r>
              <w:rPr>
                <w:rFonts w:ascii="Arial" w:cs="Arial" w:eastAsia="Arial" w:hAnsi="Arial"/>
                <w:sz w:val="17"/>
                <w:szCs w:val="17"/>
                <w:color w:val="auto"/>
              </w:rPr>
              <w:t>41.37</w:t>
            </w:r>
          </w:p>
        </w:tc>
        <w:tc>
          <w:tcPr>
            <w:tcW w:w="1960" w:type="dxa"/>
            <w:vAlign w:val="bottom"/>
          </w:tcPr>
          <w:p>
            <w:pPr>
              <w:jc w:val="right"/>
              <w:ind w:right="55"/>
              <w:spacing w:after="0" w:line="189" w:lineRule="exact"/>
              <w:rPr>
                <w:sz w:val="20"/>
                <w:szCs w:val="20"/>
                <w:color w:val="auto"/>
              </w:rPr>
            </w:pPr>
            <w:r>
              <w:rPr>
                <w:rFonts w:ascii="Arial" w:cs="Arial" w:eastAsia="Arial" w:hAnsi="Arial"/>
                <w:sz w:val="17"/>
                <w:szCs w:val="17"/>
                <w:color w:val="auto"/>
              </w:rPr>
              <w:t>2,900,000</w:t>
            </w:r>
          </w:p>
        </w:tc>
        <w:tc>
          <w:tcPr>
            <w:tcW w:w="240" w:type="dxa"/>
            <w:vAlign w:val="bottom"/>
          </w:tcPr>
          <w:p>
            <w:pPr>
              <w:spacing w:after="0"/>
              <w:rPr>
                <w:sz w:val="16"/>
                <w:szCs w:val="16"/>
                <w:color w:val="auto"/>
              </w:rPr>
            </w:pPr>
          </w:p>
        </w:tc>
        <w:tc>
          <w:tcPr>
            <w:tcW w:w="1340" w:type="dxa"/>
            <w:vAlign w:val="bottom"/>
          </w:tcPr>
          <w:p>
            <w:pPr>
              <w:jc w:val="right"/>
              <w:spacing w:after="0" w:line="189" w:lineRule="exact"/>
              <w:rPr>
                <w:sz w:val="20"/>
                <w:szCs w:val="20"/>
                <w:color w:val="auto"/>
              </w:rPr>
            </w:pPr>
            <w:r>
              <w:rPr>
                <w:rFonts w:ascii="Arial" w:cs="Arial" w:eastAsia="Arial" w:hAnsi="Arial"/>
                <w:sz w:val="17"/>
                <w:szCs w:val="17"/>
                <w:color w:val="auto"/>
              </w:rPr>
              <w:t>1,080,032,419</w:t>
            </w:r>
          </w:p>
        </w:tc>
      </w:tr>
      <w:tr>
        <w:trPr>
          <w:trHeight w:val="189"/>
        </w:trPr>
        <w:tc>
          <w:tcPr>
            <w:tcW w:w="20" w:type="dxa"/>
            <w:vAlign w:val="bottom"/>
          </w:tcPr>
          <w:p>
            <w:pPr>
              <w:spacing w:after="0"/>
              <w:rPr>
                <w:sz w:val="16"/>
                <w:szCs w:val="16"/>
                <w:color w:val="auto"/>
              </w:rPr>
            </w:pPr>
          </w:p>
        </w:tc>
        <w:tc>
          <w:tcPr>
            <w:tcW w:w="260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July 7 to August 3, 2019</w:t>
            </w:r>
          </w:p>
        </w:tc>
        <w:tc>
          <w:tcPr>
            <w:tcW w:w="198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316</w:t>
            </w:r>
          </w:p>
        </w:tc>
        <w:tc>
          <w:tcPr>
            <w:tcW w:w="2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39.36</w:t>
            </w:r>
          </w:p>
        </w:tc>
        <w:tc>
          <w:tcPr>
            <w:tcW w:w="196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1,080,032,419</w:t>
            </w:r>
          </w:p>
        </w:tc>
      </w:tr>
      <w:tr>
        <w:trPr>
          <w:trHeight w:val="183"/>
        </w:trPr>
        <w:tc>
          <w:tcPr>
            <w:tcW w:w="20" w:type="dxa"/>
            <w:vAlign w:val="bottom"/>
          </w:tcPr>
          <w:p>
            <w:pPr>
              <w:spacing w:after="0"/>
              <w:rPr>
                <w:sz w:val="15"/>
                <w:szCs w:val="15"/>
                <w:color w:val="auto"/>
              </w:rPr>
            </w:pPr>
          </w:p>
        </w:tc>
        <w:tc>
          <w:tcPr>
            <w:tcW w:w="260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color w:val="auto"/>
              </w:rPr>
              <w:t>2,900,491</w:t>
            </w:r>
          </w:p>
        </w:tc>
        <w:tc>
          <w:tcPr>
            <w:tcW w:w="220" w:type="dxa"/>
            <w:vAlign w:val="bottom"/>
            <w:tcBorders>
              <w:bottom w:val="single" w:sz="8" w:color="auto"/>
            </w:tcBorders>
          </w:tcPr>
          <w:p>
            <w:pPr>
              <w:ind w:left="100"/>
              <w:spacing w:after="0" w:line="183" w:lineRule="exact"/>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tcPr>
          <w:p>
            <w:pPr>
              <w:jc w:val="right"/>
              <w:ind w:right="95"/>
              <w:spacing w:after="0" w:line="183" w:lineRule="exact"/>
              <w:rPr>
                <w:sz w:val="20"/>
                <w:szCs w:val="20"/>
                <w:color w:val="auto"/>
              </w:rPr>
            </w:pPr>
            <w:r>
              <w:rPr>
                <w:rFonts w:ascii="Arial" w:cs="Arial" w:eastAsia="Arial" w:hAnsi="Arial"/>
                <w:sz w:val="17"/>
                <w:szCs w:val="17"/>
                <w:color w:val="auto"/>
              </w:rPr>
              <w:t>41.37</w:t>
            </w:r>
          </w:p>
        </w:tc>
        <w:tc>
          <w:tcPr>
            <w:tcW w:w="196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color w:val="auto"/>
              </w:rPr>
              <w:t>2,900,000</w:t>
            </w: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r>
    </w:tbl>
    <w:p>
      <w:pPr>
        <w:spacing w:after="0" w:line="207" w:lineRule="exact"/>
        <w:rPr>
          <w:sz w:val="20"/>
          <w:szCs w:val="20"/>
          <w:color w:val="auto"/>
        </w:rPr>
      </w:pPr>
    </w:p>
    <w:p>
      <w:pPr>
        <w:jc w:val="both"/>
        <w:ind w:left="340" w:hanging="331"/>
        <w:spacing w:after="0" w:line="250" w:lineRule="auto"/>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These columns also reflect shares acquired in satisfaction of the tax withholding obligations of holders of restricted stock unit awards, which vested during the quarter. The calculation of the average price paid per share includes all fees, commissions, and other costs associated with the repurchase of such shares.</w:t>
      </w:r>
    </w:p>
    <w:p>
      <w:pPr>
        <w:spacing w:after="0" w:line="199" w:lineRule="exact"/>
        <w:rPr>
          <w:rFonts w:ascii="Arial" w:cs="Arial" w:eastAsia="Arial" w:hAnsi="Arial"/>
          <w:sz w:val="14"/>
          <w:szCs w:val="14"/>
          <w:color w:val="auto"/>
        </w:rPr>
      </w:pPr>
    </w:p>
    <w:p>
      <w:pPr>
        <w:ind w:left="340" w:hanging="331"/>
        <w:spacing w:after="0" w:line="258" w:lineRule="auto"/>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On February 20, 2019, the Board of Directors approved a new 3-year, $1.2 billion share repurchase program extending through January 2022.</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Item 6. Exhibits</w:t>
      </w:r>
    </w:p>
    <w:p>
      <w:pPr>
        <w:sectPr>
          <w:pgSz w:w="11900" w:h="16838" w:orient="portrait"/>
          <w:cols w:equalWidth="0" w:num="1">
            <w:col w:w="9060"/>
          </w:cols>
          <w:pgMar w:left="1420" w:top="517" w:right="1419" w:bottom="1440" w:gutter="0" w:footer="0" w:header="0"/>
        </w:sectPr>
      </w:pPr>
    </w:p>
    <w:p>
      <w:pPr>
        <w:spacing w:after="0" w:line="237" w:lineRule="exact"/>
        <w:rPr>
          <w:sz w:val="20"/>
          <w:szCs w:val="20"/>
          <w:color w:val="auto"/>
        </w:rPr>
      </w:pPr>
    </w:p>
    <w:p>
      <w:pPr>
        <w:ind w:left="20"/>
        <w:spacing w:after="0"/>
        <w:rPr>
          <w:sz w:val="20"/>
          <w:szCs w:val="20"/>
          <w:color w:val="auto"/>
        </w:rPr>
      </w:pPr>
      <w:r>
        <w:rPr>
          <w:rFonts w:ascii="Arial" w:cs="Arial" w:eastAsia="Arial" w:hAnsi="Arial"/>
          <w:sz w:val="17"/>
          <w:szCs w:val="17"/>
          <w:b w:val="1"/>
          <w:bCs w:val="1"/>
          <w:u w:val="single" w:color="auto"/>
          <w:color w:val="auto"/>
        </w:rPr>
        <w:t>Exhibit No.</w:t>
      </w:r>
    </w:p>
    <w:p>
      <w:pPr>
        <w:spacing w:after="0" w:line="3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10.1*</w:t>
      </w:r>
    </w:p>
    <w:p>
      <w:pPr>
        <w:jc w:val="center"/>
        <w:ind w:left="20"/>
        <w:spacing w:after="0"/>
        <w:rPr>
          <w:sz w:val="20"/>
          <w:szCs w:val="20"/>
          <w:color w:val="auto"/>
        </w:rPr>
      </w:pPr>
      <w:r>
        <w:rPr>
          <w:rFonts w:ascii="Arial" w:cs="Arial" w:eastAsia="Arial" w:hAnsi="Arial"/>
          <w:sz w:val="18"/>
          <w:szCs w:val="18"/>
          <w:color w:val="auto"/>
        </w:rPr>
        <w:t>15*</w:t>
      </w:r>
    </w:p>
    <w:p>
      <w:pPr>
        <w:spacing w:after="0" w:line="90" w:lineRule="exact"/>
        <w:rPr>
          <w:sz w:val="20"/>
          <w:szCs w:val="20"/>
          <w:color w:val="auto"/>
        </w:rPr>
      </w:pPr>
    </w:p>
    <w:p>
      <w:pPr>
        <w:jc w:val="center"/>
        <w:ind w:left="20"/>
        <w:spacing w:after="0"/>
        <w:rPr>
          <w:sz w:val="20"/>
          <w:szCs w:val="20"/>
          <w:color w:val="auto"/>
        </w:rPr>
      </w:pPr>
      <w:r>
        <w:rPr>
          <w:rFonts w:ascii="Arial" w:cs="Arial" w:eastAsia="Arial" w:hAnsi="Arial"/>
          <w:sz w:val="18"/>
          <w:szCs w:val="18"/>
          <w:color w:val="auto"/>
        </w:rPr>
        <w:t>31.1*</w:t>
      </w:r>
    </w:p>
    <w:p>
      <w:pPr>
        <w:spacing w:after="0" w:line="19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31.2*</w:t>
      </w:r>
    </w:p>
    <w:p>
      <w:pPr>
        <w:spacing w:after="0" w:line="19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32**</w:t>
      </w:r>
    </w:p>
    <w:p>
      <w:pPr>
        <w:spacing w:after="0" w:line="99" w:lineRule="exact"/>
        <w:rPr>
          <w:sz w:val="20"/>
          <w:szCs w:val="20"/>
          <w:color w:val="auto"/>
        </w:rPr>
      </w:pPr>
    </w:p>
    <w:p>
      <w:pPr>
        <w:jc w:val="center"/>
        <w:ind w:left="20"/>
        <w:spacing w:after="0"/>
        <w:rPr>
          <w:sz w:val="20"/>
          <w:szCs w:val="20"/>
          <w:color w:val="auto"/>
        </w:rPr>
      </w:pPr>
      <w:r>
        <w:rPr>
          <w:rFonts w:ascii="Arial" w:cs="Arial" w:eastAsia="Arial" w:hAnsi="Arial"/>
          <w:sz w:val="18"/>
          <w:szCs w:val="18"/>
          <w:color w:val="auto"/>
        </w:rPr>
        <w:t>99*</w:t>
      </w:r>
    </w:p>
    <w:p>
      <w:pPr>
        <w:jc w:val="center"/>
        <w:ind w:left="20"/>
        <w:spacing w:after="0" w:line="234" w:lineRule="auto"/>
        <w:rPr>
          <w:sz w:val="20"/>
          <w:szCs w:val="20"/>
          <w:color w:val="auto"/>
        </w:rPr>
      </w:pPr>
      <w:r>
        <w:rPr>
          <w:rFonts w:ascii="Arial" w:cs="Arial" w:eastAsia="Arial" w:hAnsi="Arial"/>
          <w:sz w:val="18"/>
          <w:szCs w:val="18"/>
          <w:color w:val="auto"/>
        </w:rPr>
        <w:t>101.INS*</w:t>
      </w:r>
    </w:p>
    <w:p>
      <w:pPr>
        <w:jc w:val="center"/>
        <w:ind w:left="20"/>
        <w:spacing w:after="0" w:line="235" w:lineRule="auto"/>
        <w:rPr>
          <w:sz w:val="20"/>
          <w:szCs w:val="20"/>
          <w:color w:val="auto"/>
        </w:rPr>
      </w:pPr>
      <w:r>
        <w:rPr>
          <w:rFonts w:ascii="Arial" w:cs="Arial" w:eastAsia="Arial" w:hAnsi="Arial"/>
          <w:sz w:val="18"/>
          <w:szCs w:val="18"/>
          <w:color w:val="auto"/>
        </w:rPr>
        <w:t>101.SCH*</w:t>
      </w:r>
    </w:p>
    <w:p>
      <w:pPr>
        <w:jc w:val="center"/>
        <w:ind w:left="20"/>
        <w:spacing w:after="0" w:line="235" w:lineRule="auto"/>
        <w:rPr>
          <w:sz w:val="20"/>
          <w:szCs w:val="20"/>
          <w:color w:val="auto"/>
        </w:rPr>
      </w:pPr>
      <w:r>
        <w:rPr>
          <w:rFonts w:ascii="Arial" w:cs="Arial" w:eastAsia="Arial" w:hAnsi="Arial"/>
          <w:sz w:val="18"/>
          <w:szCs w:val="18"/>
          <w:color w:val="auto"/>
        </w:rPr>
        <w:t>101.CAL*</w:t>
      </w:r>
    </w:p>
    <w:p>
      <w:pPr>
        <w:jc w:val="center"/>
        <w:ind w:left="20"/>
        <w:spacing w:after="0" w:line="235" w:lineRule="auto"/>
        <w:rPr>
          <w:sz w:val="20"/>
          <w:szCs w:val="20"/>
          <w:color w:val="auto"/>
        </w:rPr>
      </w:pPr>
      <w:r>
        <w:rPr>
          <w:rFonts w:ascii="Arial" w:cs="Arial" w:eastAsia="Arial" w:hAnsi="Arial"/>
          <w:sz w:val="18"/>
          <w:szCs w:val="18"/>
          <w:color w:val="auto"/>
        </w:rPr>
        <w:t>101.DEF*</w:t>
      </w:r>
    </w:p>
    <w:p>
      <w:pPr>
        <w:jc w:val="center"/>
        <w:ind w:left="20"/>
        <w:spacing w:after="0" w:line="235" w:lineRule="auto"/>
        <w:rPr>
          <w:sz w:val="20"/>
          <w:szCs w:val="20"/>
          <w:color w:val="auto"/>
        </w:rPr>
      </w:pPr>
      <w:r>
        <w:rPr>
          <w:rFonts w:ascii="Arial" w:cs="Arial" w:eastAsia="Arial" w:hAnsi="Arial"/>
          <w:sz w:val="18"/>
          <w:szCs w:val="18"/>
          <w:color w:val="auto"/>
        </w:rPr>
        <w:t>101.LAB*</w:t>
      </w:r>
    </w:p>
    <w:p>
      <w:pPr>
        <w:jc w:val="center"/>
        <w:ind w:left="20"/>
        <w:spacing w:after="0"/>
        <w:rPr>
          <w:sz w:val="20"/>
          <w:szCs w:val="20"/>
          <w:color w:val="auto"/>
        </w:rPr>
      </w:pPr>
      <w:r>
        <w:rPr>
          <w:rFonts w:ascii="Arial" w:cs="Arial" w:eastAsia="Arial" w:hAnsi="Arial"/>
          <w:sz w:val="18"/>
          <w:szCs w:val="18"/>
          <w:color w:val="auto"/>
        </w:rPr>
        <w:t>101.PRE*</w:t>
      </w:r>
    </w:p>
    <w:p>
      <w:pPr>
        <w:spacing w:after="0" w:line="9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-737870</wp:posOffset>
            </wp:positionH>
            <wp:positionV relativeFrom="paragraph">
              <wp:posOffset>11430</wp:posOffset>
            </wp:positionV>
            <wp:extent cx="5746115"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46115" cy="137160"/>
                    </a:xfrm>
                    <a:prstGeom prst="rect">
                      <a:avLst/>
                    </a:prstGeom>
                    <a:noFill/>
                  </pic:spPr>
                </pic:pic>
              </a:graphicData>
            </a:graphic>
          </wp:anchor>
        </w:drawing>
      </w:r>
    </w:p>
    <w:p>
      <w:pPr>
        <w:spacing w:after="0" w:line="7" w:lineRule="exact"/>
        <w:rPr>
          <w:sz w:val="20"/>
          <w:szCs w:val="20"/>
          <w:color w:val="auto"/>
        </w:rPr>
      </w:pPr>
    </w:p>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Amendment Number Four to the Foot Locker Supplemental Executive Retirement Plan.</w:t>
        </w:r>
      </w:hyperlink>
    </w:p>
    <w:p>
      <w:pPr>
        <w:spacing w:after="0" w:line="234" w:lineRule="auto"/>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Accountants’ Acknowledgement.</w:t>
        </w:r>
      </w:hyperlink>
    </w:p>
    <w:p>
      <w:pPr>
        <w:spacing w:after="0" w:line="1" w:lineRule="exact"/>
        <w:rPr>
          <w:sz w:val="20"/>
          <w:szCs w:val="20"/>
          <w:color w:val="auto"/>
        </w:rPr>
      </w:pPr>
    </w:p>
    <w:p>
      <w:pPr>
        <w:ind w:right="20"/>
        <w:spacing w:after="0" w:line="234" w:lineRule="auto"/>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Certification of Chief Executive Officer Pursuant to Rule 13a14(a) or 15d14(a), as adopted</w:t>
        </w:r>
      </w:hyperlink>
      <w:r>
        <w:rPr>
          <w:rFonts w:ascii="Arial" w:cs="Arial" w:eastAsia="Arial" w:hAnsi="Arial"/>
          <w:sz w:val="18"/>
          <w:szCs w:val="18"/>
          <w:u w:val="single" w:color="auto"/>
          <w:color w:val="0000EE"/>
        </w:rPr>
        <w:t xml:space="preserve"> </w:t>
      </w:r>
      <w:hyperlink w:anchor="page38">
        <w:r>
          <w:rPr>
            <w:rFonts w:ascii="Arial" w:cs="Arial" w:eastAsia="Arial" w:hAnsi="Arial"/>
            <w:sz w:val="18"/>
            <w:szCs w:val="18"/>
            <w:u w:val="single" w:color="auto"/>
            <w:color w:val="0000EE"/>
          </w:rPr>
          <w:t>pursuant to Section 302 of the Sarbanes-Oxley Act of 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-737870</wp:posOffset>
            </wp:positionH>
            <wp:positionV relativeFrom="paragraph">
              <wp:posOffset>-255270</wp:posOffset>
            </wp:positionV>
            <wp:extent cx="5746115" cy="2571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46115" cy="257175"/>
                    </a:xfrm>
                    <a:prstGeom prst="rect">
                      <a:avLst/>
                    </a:prstGeom>
                    <a:noFill/>
                  </pic:spPr>
                </pic:pic>
              </a:graphicData>
            </a:graphic>
          </wp:anchor>
        </w:drawing>
      </w:r>
    </w:p>
    <w:p>
      <w:pPr>
        <w:ind w:right="20"/>
        <w:spacing w:after="0" w:line="234" w:lineRule="auto"/>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Certification of Chief Financial Officer Pursuant to Rule 13a14(a) or 15d14(a), as adopted pursuant</w:t>
        </w:r>
      </w:hyperlink>
      <w:r>
        <w:rPr>
          <w:rFonts w:ascii="Arial" w:cs="Arial" w:eastAsia="Arial" w:hAnsi="Arial"/>
          <w:sz w:val="18"/>
          <w:szCs w:val="18"/>
          <w:u w:val="single" w:color="auto"/>
          <w:color w:val="0000EE"/>
        </w:rPr>
        <w:t xml:space="preserve"> </w:t>
      </w:r>
      <w:hyperlink w:anchor="page39">
        <w:r>
          <w:rPr>
            <w:rFonts w:ascii="Arial" w:cs="Arial" w:eastAsia="Arial" w:hAnsi="Arial"/>
            <w:sz w:val="18"/>
            <w:szCs w:val="18"/>
            <w:u w:val="single" w:color="auto"/>
            <w:color w:val="0000EE"/>
          </w:rPr>
          <w:t>to Section 302 of the Sarbanes-Oxley Act of 2002.</w:t>
        </w:r>
      </w:hyperlink>
    </w:p>
    <w:p>
      <w:pPr>
        <w:spacing w:after="0" w:line="236" w:lineRule="auto"/>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Certification of Chief Executive Officer and Chief Financial Officer Pursuant to 18 U.S.C.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-737870</wp:posOffset>
            </wp:positionH>
            <wp:positionV relativeFrom="paragraph">
              <wp:posOffset>-127000</wp:posOffset>
            </wp:positionV>
            <wp:extent cx="5746115" cy="2571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46115" cy="257175"/>
                    </a:xfrm>
                    <a:prstGeom prst="rect">
                      <a:avLst/>
                    </a:prstGeom>
                    <a:noFill/>
                  </pic:spPr>
                </pic:pic>
              </a:graphicData>
            </a:graphic>
          </wp:anchor>
        </w:drawing>
      </w:r>
    </w:p>
    <w:p>
      <w:pPr>
        <w:spacing w:after="0" w:line="235" w:lineRule="auto"/>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Section 1350, as adopted pursuant to Section 906 of the Sarbanes-Oxley Act of 2002.</w:t>
        </w:r>
      </w:hyperlink>
    </w:p>
    <w:p>
      <w:pPr>
        <w:spacing w:after="0" w:line="235" w:lineRule="auto"/>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Report of Independent Registered Public Accounting Firm.</w:t>
        </w:r>
      </w:hyperlink>
    </w:p>
    <w:p>
      <w:pPr>
        <w:spacing w:after="0" w:line="235" w:lineRule="auto"/>
        <w:rPr>
          <w:sz w:val="20"/>
          <w:szCs w:val="20"/>
          <w:color w:val="auto"/>
        </w:rPr>
      </w:pPr>
      <w:r>
        <w:rPr>
          <w:rFonts w:ascii="Arial" w:cs="Arial" w:eastAsia="Arial" w:hAnsi="Arial"/>
          <w:sz w:val="18"/>
          <w:szCs w:val="18"/>
          <w:color w:val="auto"/>
        </w:rPr>
        <w:t>Inline XBRL Instance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-737870</wp:posOffset>
            </wp:positionH>
            <wp:positionV relativeFrom="paragraph">
              <wp:posOffset>-127000</wp:posOffset>
            </wp:positionV>
            <wp:extent cx="574611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46115" cy="128905"/>
                    </a:xfrm>
                    <a:prstGeom prst="rect">
                      <a:avLst/>
                    </a:prstGeom>
                    <a:noFill/>
                  </pic:spPr>
                </pic:pic>
              </a:graphicData>
            </a:graphic>
          </wp:anchor>
        </w:drawing>
      </w:r>
    </w:p>
    <w:p>
      <w:pPr>
        <w:spacing w:after="0" w:line="235" w:lineRule="auto"/>
        <w:rPr>
          <w:sz w:val="20"/>
          <w:szCs w:val="20"/>
          <w:color w:val="auto"/>
        </w:rPr>
      </w:pPr>
      <w:r>
        <w:rPr>
          <w:rFonts w:ascii="Arial" w:cs="Arial" w:eastAsia="Arial" w:hAnsi="Arial"/>
          <w:sz w:val="18"/>
          <w:szCs w:val="18"/>
          <w:color w:val="auto"/>
        </w:rPr>
        <w:t>Inline XBRL Taxonomy Extension Schema.</w:t>
      </w:r>
    </w:p>
    <w:p>
      <w:pPr>
        <w:spacing w:after="0" w:line="235" w:lineRule="auto"/>
        <w:rPr>
          <w:sz w:val="20"/>
          <w:szCs w:val="20"/>
          <w:color w:val="auto"/>
        </w:rPr>
      </w:pPr>
      <w:r>
        <w:rPr>
          <w:rFonts w:ascii="Arial" w:cs="Arial" w:eastAsia="Arial" w:hAnsi="Arial"/>
          <w:sz w:val="18"/>
          <w:szCs w:val="18"/>
          <w:color w:val="auto"/>
        </w:rPr>
        <w:t>Inline XBRL Taxonomy Extension Calculation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-737870</wp:posOffset>
            </wp:positionH>
            <wp:positionV relativeFrom="paragraph">
              <wp:posOffset>-127635</wp:posOffset>
            </wp:positionV>
            <wp:extent cx="5746115" cy="1289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46115" cy="128905"/>
                    </a:xfrm>
                    <a:prstGeom prst="rect">
                      <a:avLst/>
                    </a:prstGeom>
                    <a:noFill/>
                  </pic:spPr>
                </pic:pic>
              </a:graphicData>
            </a:graphic>
          </wp:anchor>
        </w:drawing>
      </w:r>
    </w:p>
    <w:p>
      <w:pPr>
        <w:spacing w:after="0" w:line="235" w:lineRule="auto"/>
        <w:rPr>
          <w:sz w:val="20"/>
          <w:szCs w:val="20"/>
          <w:color w:val="auto"/>
        </w:rPr>
      </w:pPr>
      <w:r>
        <w:rPr>
          <w:rFonts w:ascii="Arial" w:cs="Arial" w:eastAsia="Arial" w:hAnsi="Arial"/>
          <w:sz w:val="18"/>
          <w:szCs w:val="18"/>
          <w:color w:val="auto"/>
        </w:rPr>
        <w:t>Inline XBRL Taxonomy Extension Definition Linkbase.</w:t>
      </w:r>
    </w:p>
    <w:p>
      <w:pPr>
        <w:spacing w:after="0" w:line="234" w:lineRule="auto"/>
        <w:rPr>
          <w:sz w:val="20"/>
          <w:szCs w:val="20"/>
          <w:color w:val="auto"/>
        </w:rPr>
      </w:pPr>
      <w:r>
        <w:rPr>
          <w:rFonts w:ascii="Arial" w:cs="Arial" w:eastAsia="Arial" w:hAnsi="Arial"/>
          <w:sz w:val="18"/>
          <w:szCs w:val="18"/>
          <w:color w:val="auto"/>
        </w:rPr>
        <w:t>Inline XBRL Taxonomy Extension Label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-737870</wp:posOffset>
            </wp:positionH>
            <wp:positionV relativeFrom="paragraph">
              <wp:posOffset>-127000</wp:posOffset>
            </wp:positionV>
            <wp:extent cx="5746115"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46115" cy="128905"/>
                    </a:xfrm>
                    <a:prstGeom prst="rect">
                      <a:avLst/>
                    </a:prstGeom>
                    <a:noFill/>
                  </pic:spPr>
                </pic:pic>
              </a:graphicData>
            </a:graphic>
          </wp:anchor>
        </w:drawing>
      </w:r>
    </w:p>
    <w:p>
      <w:pPr>
        <w:spacing w:after="0" w:line="235" w:lineRule="auto"/>
        <w:rPr>
          <w:sz w:val="20"/>
          <w:szCs w:val="20"/>
          <w:color w:val="auto"/>
        </w:rPr>
      </w:pPr>
      <w:r>
        <w:rPr>
          <w:rFonts w:ascii="Arial" w:cs="Arial" w:eastAsia="Arial" w:hAnsi="Arial"/>
          <w:sz w:val="18"/>
          <w:szCs w:val="18"/>
          <w:color w:val="auto"/>
        </w:rPr>
        <w:t>Inline XBRL Taxonomy Extension Presentation Linkbase.</w:t>
      </w:r>
    </w:p>
    <w:p>
      <w:pPr>
        <w:spacing w:after="0" w:line="1"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cover page from the Company’s Quarterly Report on Form 10-Q for the quarter ended August 3, 2019, formatted, in Inline XBRL (included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-737870</wp:posOffset>
            </wp:positionH>
            <wp:positionV relativeFrom="paragraph">
              <wp:posOffset>-267970</wp:posOffset>
            </wp:positionV>
            <wp:extent cx="5746115" cy="2660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46115" cy="2660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60" w:space="220"/>
            <w:col w:w="7880"/>
          </w:cols>
          <w:pgMar w:left="1420" w:top="517" w:right="1419" w:bottom="1440" w:gutter="0" w:footer="0" w:header="0"/>
          <w:type w:val="continuous"/>
        </w:sectPr>
      </w:pPr>
    </w:p>
    <w:p>
      <w:pPr>
        <w:spacing w:after="0" w:line="3" w:lineRule="exact"/>
        <w:rPr>
          <w:sz w:val="20"/>
          <w:szCs w:val="20"/>
          <w:color w:val="auto"/>
        </w:rPr>
      </w:pPr>
    </w:p>
    <w:p>
      <w:pPr>
        <w:ind w:left="220" w:hanging="211"/>
        <w:spacing w:after="0"/>
        <w:tabs>
          <w:tab w:leader="none" w:pos="2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1" w:lineRule="exact"/>
        <w:rPr>
          <w:sz w:val="20"/>
          <w:szCs w:val="20"/>
          <w:color w:val="auto"/>
        </w:rPr>
      </w:pPr>
    </w:p>
    <w:p>
      <w:pPr>
        <w:spacing w:after="0"/>
        <w:tabs>
          <w:tab w:leader="none" w:pos="220" w:val="left"/>
        </w:tabs>
        <w:rPr>
          <w:sz w:val="20"/>
          <w:szCs w:val="20"/>
          <w:color w:val="auto"/>
        </w:rPr>
      </w:pPr>
      <w:r>
        <w:rPr>
          <w:rFonts w:ascii="Arial" w:cs="Arial" w:eastAsia="Arial" w:hAnsi="Arial"/>
          <w:sz w:val="14"/>
          <w:szCs w:val="14"/>
          <w:color w:val="auto"/>
        </w:rPr>
        <w:t>**</w:t>
        <w:tab/>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347980</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3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Pursuant to the requirements of the Securities Exchange Act of 1934, the Company has duly caused this report to be signed on its behalf by the undersigned thereunto duly authorized.</w:t>
      </w:r>
    </w:p>
    <w:p>
      <w:pPr>
        <w:spacing w:after="0" w:line="205" w:lineRule="exact"/>
        <w:rPr>
          <w:sz w:val="20"/>
          <w:szCs w:val="20"/>
          <w:color w:val="auto"/>
        </w:rPr>
      </w:pPr>
    </w:p>
    <w:p>
      <w:pPr>
        <w:spacing w:after="0"/>
        <w:tabs>
          <w:tab w:leader="none" w:pos="4520" w:val="left"/>
        </w:tabs>
        <w:rPr>
          <w:sz w:val="20"/>
          <w:szCs w:val="20"/>
          <w:color w:val="auto"/>
        </w:rPr>
      </w:pPr>
      <w:r>
        <w:rPr>
          <w:rFonts w:ascii="Arial" w:cs="Arial" w:eastAsia="Arial" w:hAnsi="Arial"/>
          <w:sz w:val="17"/>
          <w:szCs w:val="17"/>
          <w:color w:val="auto"/>
        </w:rPr>
        <w:t>Date: September 11, 2019</w:t>
      </w:r>
      <w:r>
        <w:rPr>
          <w:sz w:val="20"/>
          <w:szCs w:val="20"/>
          <w:color w:val="auto"/>
        </w:rPr>
        <w:tab/>
      </w:r>
      <w:r>
        <w:rPr>
          <w:rFonts w:ascii="Arial" w:cs="Arial" w:eastAsia="Arial" w:hAnsi="Arial"/>
          <w:sz w:val="17"/>
          <w:szCs w:val="17"/>
          <w:color w:val="auto"/>
        </w:rPr>
        <w:t>FOOT LOCKER, INC.</w:t>
      </w:r>
    </w:p>
    <w:p>
      <w:pPr>
        <w:spacing w:after="0" w:line="372" w:lineRule="exact"/>
        <w:rPr>
          <w:sz w:val="20"/>
          <w:szCs w:val="20"/>
          <w:color w:val="auto"/>
        </w:rPr>
      </w:pPr>
    </w:p>
    <w:p>
      <w:pPr>
        <w:ind w:left="4540"/>
        <w:spacing w:after="0"/>
        <w:rPr>
          <w:sz w:val="20"/>
          <w:szCs w:val="20"/>
          <w:color w:val="auto"/>
        </w:rPr>
      </w:pPr>
      <w:r>
        <w:rPr>
          <w:rFonts w:ascii="Arial" w:cs="Arial" w:eastAsia="Arial" w:hAnsi="Arial"/>
          <w:sz w:val="17"/>
          <w:szCs w:val="17"/>
          <w:color w:val="auto"/>
        </w:rPr>
        <w:t>/s/ Lauren B. Peters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0</wp:posOffset>
            </wp:positionV>
            <wp:extent cx="287274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4540"/>
        <w:spacing w:after="0"/>
        <w:rPr>
          <w:sz w:val="20"/>
          <w:szCs w:val="20"/>
          <w:color w:val="auto"/>
        </w:rPr>
      </w:pPr>
      <w:r>
        <w:rPr>
          <w:rFonts w:ascii="Arial" w:cs="Arial" w:eastAsia="Arial" w:hAnsi="Arial"/>
          <w:sz w:val="17"/>
          <w:szCs w:val="17"/>
          <w:color w:val="auto"/>
        </w:rPr>
        <w:t>LAUREN B. PETERS</w:t>
      </w:r>
    </w:p>
    <w:p>
      <w:pPr>
        <w:ind w:left="4540"/>
        <w:spacing w:after="0"/>
        <w:rPr>
          <w:sz w:val="20"/>
          <w:szCs w:val="20"/>
          <w:color w:val="auto"/>
        </w:rPr>
      </w:pPr>
      <w:r>
        <w:rPr>
          <w:rFonts w:ascii="Arial" w:cs="Arial" w:eastAsia="Arial" w:hAnsi="Arial"/>
          <w:sz w:val="17"/>
          <w:szCs w:val="17"/>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34" w:name="page35"/>
    <w:bookmarkEnd w:id="34"/>
    <w:p>
      <w:pPr>
        <w:jc w:val="right"/>
        <w:ind w:right="139"/>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AMENDMENT NUMBER FOUR</w:t>
      </w:r>
    </w:p>
    <w:p>
      <w:pPr>
        <w:spacing w:after="0" w:line="1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TO THE</w:t>
      </w:r>
    </w:p>
    <w:p>
      <w:pPr>
        <w:spacing w:after="0" w:line="1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FOOT LOCKER SUPPLEMENTAL EXECUTIVE RETIREMENT PLAN</w:t>
      </w:r>
    </w:p>
    <w:p>
      <w:pPr>
        <w:spacing w:after="0" w:line="200" w:lineRule="exact"/>
        <w:rPr>
          <w:sz w:val="20"/>
          <w:szCs w:val="20"/>
          <w:color w:val="auto"/>
        </w:rPr>
      </w:pPr>
    </w:p>
    <w:p>
      <w:pPr>
        <w:spacing w:after="0" w:line="336" w:lineRule="exact"/>
        <w:rPr>
          <w:sz w:val="20"/>
          <w:szCs w:val="20"/>
          <w:color w:val="auto"/>
        </w:rPr>
      </w:pPr>
    </w:p>
    <w:p>
      <w:pPr>
        <w:ind w:left="160" w:right="139" w:firstLine="1296"/>
        <w:spacing w:after="0" w:line="444"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Foot Locker, Inc. (the “Company”) maintains the Foot Locker Supplemental</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Retirement Plan, as amended and restated as of January 1, 2005 (the “Plan”);</w:t>
      </w:r>
    </w:p>
    <w:p>
      <w:pPr>
        <w:spacing w:after="0" w:line="85" w:lineRule="exact"/>
        <w:rPr>
          <w:sz w:val="20"/>
          <w:szCs w:val="20"/>
          <w:color w:val="auto"/>
        </w:rPr>
      </w:pPr>
    </w:p>
    <w:p>
      <w:pPr>
        <w:ind w:left="160" w:right="139" w:firstLine="1296"/>
        <w:spacing w:after="0" w:line="444"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Section 18 of the Plan, the Board of Directors of the Company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may amend the Plan;</w:t>
      </w:r>
    </w:p>
    <w:p>
      <w:pPr>
        <w:spacing w:after="0" w:line="71" w:lineRule="exact"/>
        <w:rPr>
          <w:sz w:val="20"/>
          <w:szCs w:val="20"/>
          <w:color w:val="auto"/>
        </w:rPr>
      </w:pPr>
    </w:p>
    <w:p>
      <w:pPr>
        <w:ind w:left="160" w:right="239" w:firstLine="1296"/>
        <w:spacing w:after="0" w:line="414"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Board resolved on May 22, 2019 to (1) freeze the Plan in stages, (2) modify</w:t>
      </w:r>
      <w:r>
        <w:rPr>
          <w:rFonts w:ascii="Arial" w:cs="Arial" w:eastAsia="Arial" w:hAnsi="Arial"/>
          <w:sz w:val="18"/>
          <w:szCs w:val="18"/>
          <w:b w:val="1"/>
          <w:bCs w:val="1"/>
          <w:color w:val="auto"/>
        </w:rPr>
        <w:t xml:space="preserve"> </w:t>
      </w:r>
      <w:r>
        <w:rPr>
          <w:rFonts w:ascii="Arial" w:cs="Arial" w:eastAsia="Arial" w:hAnsi="Arial"/>
          <w:sz w:val="18"/>
          <w:szCs w:val="18"/>
          <w:color w:val="auto"/>
        </w:rPr>
        <w:t>the interest crediting rate under the Plan that will apply after 2022, (3) adopt Amendment No. 3 to the Plan substantially in the form attached to the Board’s resolutions, and (4) authorize, empower, and direct the Appropriate Officers to take all actions and to execute and deliver all documents and agreements, notices, and instruments deemed by them to be necessary or desirable in effectuating the adoption of Amendment No. 3 to the Plan and the intent of the resolutions;</w:t>
      </w:r>
    </w:p>
    <w:p>
      <w:pPr>
        <w:spacing w:after="0" w:line="113"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executed Amendment No. 3 to the Plan pursuant to the Board’s</w:t>
      </w:r>
    </w:p>
    <w:p>
      <w:pPr>
        <w:spacing w:after="0" w:line="16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resolutions; and</w:t>
      </w:r>
    </w:p>
    <w:p>
      <w:pPr>
        <w:spacing w:after="0" w:line="271" w:lineRule="exact"/>
        <w:rPr>
          <w:sz w:val="20"/>
          <w:szCs w:val="20"/>
          <w:color w:val="auto"/>
        </w:rPr>
      </w:pPr>
    </w:p>
    <w:p>
      <w:pPr>
        <w:ind w:left="160" w:right="159" w:firstLine="1296"/>
        <w:spacing w:after="0" w:line="419"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desires to amend the Plan to clarify that with respect to any Plan</w:t>
      </w:r>
      <w:r>
        <w:rPr>
          <w:rFonts w:ascii="Arial" w:cs="Arial" w:eastAsia="Arial" w:hAnsi="Arial"/>
          <w:sz w:val="18"/>
          <w:szCs w:val="18"/>
          <w:b w:val="1"/>
          <w:bCs w:val="1"/>
          <w:color w:val="auto"/>
        </w:rPr>
        <w:t xml:space="preserve"> </w:t>
      </w:r>
      <w:r>
        <w:rPr>
          <w:rFonts w:ascii="Arial" w:cs="Arial" w:eastAsia="Arial" w:hAnsi="Arial"/>
          <w:sz w:val="18"/>
          <w:szCs w:val="18"/>
          <w:color w:val="auto"/>
        </w:rPr>
        <w:t>Year (as defined in the Plan) that begins on or after January 1, 2023, no Participant shall be eligible to receive Awards (as defined in the Plan) or to have any Awards (as defined in the Plan) credited to his or her account (other than interest), and Participants are subject to the modified interest credit rate.</w:t>
      </w:r>
    </w:p>
    <w:p>
      <w:pPr>
        <w:spacing w:after="0" w:line="9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the Plan is hereby amended and clarified as follows:</w:t>
      </w:r>
    </w:p>
    <w:p>
      <w:pPr>
        <w:spacing w:after="0" w:line="315" w:lineRule="exact"/>
        <w:rPr>
          <w:sz w:val="20"/>
          <w:szCs w:val="20"/>
          <w:color w:val="auto"/>
        </w:rPr>
      </w:pPr>
    </w:p>
    <w:p>
      <w:pPr>
        <w:ind w:left="160" w:right="279" w:firstLine="639"/>
        <w:spacing w:after="0" w:line="281" w:lineRule="auto"/>
        <w:tabs>
          <w:tab w:leader="none" w:pos="1501" w:val="left"/>
        </w:tabs>
        <w:numPr>
          <w:ilvl w:val="0"/>
          <w:numId w:val="11"/>
        </w:numPr>
        <w:rPr>
          <w:rFonts w:ascii="Arial" w:cs="Arial" w:eastAsia="Arial" w:hAnsi="Arial"/>
          <w:sz w:val="22"/>
          <w:szCs w:val="22"/>
          <w:color w:val="auto"/>
        </w:rPr>
      </w:pPr>
      <w:r>
        <w:rPr>
          <w:rFonts w:ascii="Arial" w:cs="Arial" w:eastAsia="Arial" w:hAnsi="Arial"/>
          <w:sz w:val="18"/>
          <w:szCs w:val="18"/>
          <w:color w:val="auto"/>
        </w:rPr>
        <w:t>Section 1 of the Plan is hereby clarified by replacing the last two sentences thereof with the following language:</w:t>
      </w:r>
    </w:p>
    <w:p>
      <w:pPr>
        <w:jc w:val="center"/>
        <w:ind w:right="-20"/>
        <w:spacing w:after="0" w:line="221" w:lineRule="auto"/>
        <w:rPr>
          <w:sz w:val="20"/>
          <w:szCs w:val="20"/>
          <w:color w:val="auto"/>
        </w:rPr>
      </w:pPr>
      <w:r>
        <w:rPr>
          <w:rFonts w:ascii="Arial" w:cs="Arial" w:eastAsia="Arial" w:hAnsi="Arial"/>
          <w:sz w:val="18"/>
          <w:szCs w:val="18"/>
          <w:color w:val="auto"/>
        </w:rPr>
        <w:t>Effective as of January 1, 2019, an Employee who was not a Participant in</w:t>
      </w:r>
    </w:p>
    <w:p>
      <w:pPr>
        <w:jc w:val="both"/>
        <w:ind w:left="160" w:right="1439"/>
        <w:spacing w:after="0" w:line="219" w:lineRule="auto"/>
        <w:rPr>
          <w:sz w:val="20"/>
          <w:szCs w:val="20"/>
          <w:color w:val="auto"/>
        </w:rPr>
      </w:pPr>
      <w:r>
        <w:rPr>
          <w:rFonts w:ascii="Arial" w:cs="Arial" w:eastAsia="Arial" w:hAnsi="Arial"/>
          <w:sz w:val="18"/>
          <w:szCs w:val="18"/>
          <w:color w:val="auto"/>
        </w:rPr>
        <w:t>the Plan on December 31, 2018 shall not become eligible to become a Participant under the Plan. Effective as of December 31, 2022, all Participants shall cease to be eligible to receive Awards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327025</wp:posOffset>
            </wp:positionV>
            <wp:extent cx="554863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5" w:name="page36"/>
    <w:bookmarkEnd w:id="35"/>
    <w:p>
      <w:pPr>
        <w:ind w:left="1440" w:right="1439"/>
        <w:spacing w:after="0" w:line="227" w:lineRule="auto"/>
        <w:rPr>
          <w:sz w:val="20"/>
          <w:szCs w:val="20"/>
          <w:color w:val="auto"/>
        </w:rPr>
      </w:pPr>
      <w:r>
        <w:rPr>
          <w:rFonts w:ascii="Arial" w:cs="Arial" w:eastAsia="Arial" w:hAnsi="Arial"/>
          <w:sz w:val="18"/>
          <w:szCs w:val="18"/>
          <w:color w:val="auto"/>
        </w:rPr>
        <w:t>(however, interest credit shall continue to accrue as provided herein) with respect to any Plan Year that begins on or after January 1, 2023.</w:t>
      </w:r>
    </w:p>
    <w:p>
      <w:pPr>
        <w:spacing w:after="0" w:line="216" w:lineRule="exact"/>
        <w:rPr>
          <w:sz w:val="20"/>
          <w:szCs w:val="20"/>
          <w:color w:val="auto"/>
        </w:rPr>
      </w:pPr>
    </w:p>
    <w:p>
      <w:pPr>
        <w:ind w:left="160" w:right="159" w:firstLine="639"/>
        <w:spacing w:after="0" w:line="281" w:lineRule="auto"/>
        <w:tabs>
          <w:tab w:leader="none" w:pos="1501" w:val="left"/>
        </w:tabs>
        <w:numPr>
          <w:ilvl w:val="0"/>
          <w:numId w:val="12"/>
        </w:numPr>
        <w:rPr>
          <w:rFonts w:ascii="Arial" w:cs="Arial" w:eastAsia="Arial" w:hAnsi="Arial"/>
          <w:sz w:val="22"/>
          <w:szCs w:val="22"/>
          <w:color w:val="auto"/>
        </w:rPr>
      </w:pPr>
      <w:r>
        <w:rPr>
          <w:rFonts w:ascii="Arial" w:cs="Arial" w:eastAsia="Arial" w:hAnsi="Arial"/>
          <w:sz w:val="18"/>
          <w:szCs w:val="18"/>
          <w:color w:val="auto"/>
        </w:rPr>
        <w:t>Section 3 of the Plan is hereby clarified by replacing the last three sentences thereof with the following language:</w:t>
      </w:r>
    </w:p>
    <w:p>
      <w:pPr>
        <w:jc w:val="center"/>
        <w:ind w:right="-20"/>
        <w:spacing w:after="0" w:line="221" w:lineRule="auto"/>
        <w:rPr>
          <w:sz w:val="20"/>
          <w:szCs w:val="20"/>
          <w:color w:val="auto"/>
        </w:rPr>
      </w:pPr>
      <w:r>
        <w:rPr>
          <w:rFonts w:ascii="Arial" w:cs="Arial" w:eastAsia="Arial" w:hAnsi="Arial"/>
          <w:sz w:val="18"/>
          <w:szCs w:val="18"/>
          <w:color w:val="auto"/>
        </w:rPr>
        <w:t>Notwithstanding anything herein to the contrary, effective as of January 1,</w:t>
      </w:r>
    </w:p>
    <w:p>
      <w:pPr>
        <w:jc w:val="both"/>
        <w:ind w:left="160" w:right="1439"/>
        <w:spacing w:after="0" w:line="209" w:lineRule="auto"/>
        <w:rPr>
          <w:sz w:val="20"/>
          <w:szCs w:val="20"/>
          <w:color w:val="auto"/>
        </w:rPr>
      </w:pPr>
      <w:r>
        <w:rPr>
          <w:rFonts w:ascii="Arial" w:cs="Arial" w:eastAsia="Arial" w:hAnsi="Arial"/>
          <w:sz w:val="18"/>
          <w:szCs w:val="18"/>
          <w:color w:val="auto"/>
        </w:rPr>
        <w:t>2019, no Employee who was not a Participant in the Plan on December 31, 2018, shall become a Participant in the Plan or become eligible to receive an Award. Effective as of January 1, 2019, an Employee who is rehired on or after such date shall not be eligible to become a Participant in the Plan and any such rehired Employee who previously became a Participant in the Plan shall not receive any Awards on or after the date of rehire, regardless of any prior Plan eligibility or participation. Effective as of December 31, 2022, all Participants shall cease to be eligible to receive Awards under the Plan with respect to any Plan Year that begins on or after January 1, 2023.</w:t>
      </w:r>
    </w:p>
    <w:p>
      <w:pPr>
        <w:spacing w:after="0" w:line="224" w:lineRule="exact"/>
        <w:rPr>
          <w:sz w:val="20"/>
          <w:szCs w:val="20"/>
          <w:color w:val="auto"/>
        </w:rPr>
      </w:pPr>
    </w:p>
    <w:p>
      <w:pPr>
        <w:ind w:left="1500" w:hanging="701"/>
        <w:spacing w:after="0"/>
        <w:tabs>
          <w:tab w:leader="none" w:pos="1500" w:val="left"/>
        </w:tabs>
        <w:numPr>
          <w:ilvl w:val="0"/>
          <w:numId w:val="13"/>
        </w:numPr>
        <w:rPr>
          <w:rFonts w:ascii="Arial" w:cs="Arial" w:eastAsia="Arial" w:hAnsi="Arial"/>
          <w:sz w:val="22"/>
          <w:szCs w:val="22"/>
          <w:color w:val="auto"/>
        </w:rPr>
      </w:pPr>
      <w:r>
        <w:rPr>
          <w:rFonts w:ascii="Arial" w:cs="Arial" w:eastAsia="Arial" w:hAnsi="Arial"/>
          <w:sz w:val="18"/>
          <w:szCs w:val="18"/>
          <w:color w:val="auto"/>
        </w:rPr>
        <w:t>Section 5 of the Plan is hereby clarified to read in its entirety as follows:</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Award credited on a Participant’s behalf, calculated in accordance with</w:t>
      </w:r>
    </w:p>
    <w:p>
      <w:pPr>
        <w:jc w:val="both"/>
        <w:ind w:left="160" w:right="1439"/>
        <w:spacing w:after="0" w:line="210" w:lineRule="auto"/>
        <w:rPr>
          <w:sz w:val="20"/>
          <w:szCs w:val="20"/>
          <w:color w:val="auto"/>
        </w:rPr>
      </w:pPr>
      <w:r>
        <w:rPr>
          <w:rFonts w:ascii="Arial" w:cs="Arial" w:eastAsia="Arial" w:hAnsi="Arial"/>
          <w:sz w:val="18"/>
          <w:szCs w:val="18"/>
          <w:color w:val="auto"/>
        </w:rPr>
        <w:t>Section 4 hereof, shall be credited to the Participant’s Account. Notwithstanding anything herein to the contrary, effective as of December 31, 2022, and solely with respect to any Plan Year that begins on or after January 1, 2023, all Participants shall cease to be eligible to receive Awards under the Plan and shall cease to have his or her Account credited with respect to any Award (however, interest credit shall continue to accrue as provided herein). For the avoidance of doubt, a Participant shall remain eligible to have credited to his or her Account any Awards granted with respect to the Plan Year that begins in 2022.</w:t>
      </w:r>
    </w:p>
    <w:p>
      <w:pPr>
        <w:spacing w:after="0" w:line="177" w:lineRule="exact"/>
        <w:rPr>
          <w:sz w:val="20"/>
          <w:szCs w:val="20"/>
          <w:color w:val="auto"/>
        </w:rPr>
      </w:pPr>
    </w:p>
    <w:p>
      <w:pPr>
        <w:jc w:val="both"/>
        <w:ind w:left="1440" w:right="1439"/>
        <w:spacing w:after="0" w:line="209" w:lineRule="auto"/>
        <w:rPr>
          <w:sz w:val="20"/>
          <w:szCs w:val="20"/>
          <w:color w:val="auto"/>
        </w:rPr>
      </w:pPr>
      <w:r>
        <w:rPr>
          <w:rFonts w:ascii="Arial" w:cs="Arial" w:eastAsia="Arial" w:hAnsi="Arial"/>
          <w:sz w:val="18"/>
          <w:szCs w:val="18"/>
          <w:color w:val="auto"/>
        </w:rPr>
        <w:t>With respect to any Plan Year that begins prior to January 1, 2023, a Participant’s Account shall accrue simple interest at a rate of six percent (6%) per annum. With respect to any Plan Year that begins on or after January 1, 2023, a Participant’s Account shall accrue simple interest per annum at a rate of one hundred twenty percent (120%) of the annually compounded long-term applicable federal rate determined in accordance with Section 1274(d) of the Code, as published by the Internal Revenue Service as of the December of the prior Plan Year.</w:t>
      </w:r>
    </w:p>
    <w:p>
      <w:pPr>
        <w:spacing w:after="0" w:line="332" w:lineRule="exact"/>
        <w:rPr>
          <w:sz w:val="20"/>
          <w:szCs w:val="20"/>
          <w:color w:val="auto"/>
        </w:rPr>
      </w:pPr>
    </w:p>
    <w:p>
      <w:pPr>
        <w:ind w:left="160" w:right="559" w:firstLine="648"/>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Company has caused this amendment to be executed this 10 day</w:t>
      </w:r>
      <w:r>
        <w:rPr>
          <w:rFonts w:ascii="Arial" w:cs="Arial" w:eastAsia="Arial" w:hAnsi="Arial"/>
          <w:sz w:val="18"/>
          <w:szCs w:val="18"/>
          <w:b w:val="1"/>
          <w:bCs w:val="1"/>
          <w:color w:val="auto"/>
        </w:rPr>
        <w:t xml:space="preserve"> </w:t>
      </w:r>
      <w:r>
        <w:rPr>
          <w:rFonts w:ascii="Arial" w:cs="Arial" w:eastAsia="Arial" w:hAnsi="Arial"/>
          <w:sz w:val="18"/>
          <w:szCs w:val="18"/>
          <w:color w:val="auto"/>
        </w:rPr>
        <w:t>of September, 2019.</w:t>
      </w:r>
    </w:p>
    <w:p>
      <w:pPr>
        <w:spacing w:after="0" w:line="256"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FOOT LOCKER, INC.</w:t>
      </w:r>
    </w:p>
    <w:p>
      <w:pPr>
        <w:spacing w:after="0" w:line="29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Elizabeth Norberg</w:t>
      </w:r>
    </w:p>
    <w:p>
      <w:pPr>
        <w:spacing w:after="0" w:line="279"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u w:val="single" w:color="auto"/>
          <w:color w:val="auto"/>
        </w:rPr>
        <w:t>SVP, Chief Human Resource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606425</wp:posOffset>
            </wp:positionV>
            <wp:extent cx="554863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15</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ACCOUNTANTS’ ACKNOWLEDGEMENT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rPr>
          <w:sz w:val="20"/>
          <w:szCs w:val="20"/>
          <w:color w:val="auto"/>
        </w:rPr>
      </w:pPr>
      <w:r>
        <w:rPr>
          <w:rFonts w:ascii="Arial" w:cs="Arial" w:eastAsia="Arial" w:hAnsi="Arial"/>
          <w:sz w:val="18"/>
          <w:szCs w:val="18"/>
          <w:color w:val="auto"/>
        </w:rPr>
        <w:t>Foot Locker, Inc.:</w:t>
      </w:r>
    </w:p>
    <w:p>
      <w:pPr>
        <w:spacing w:after="0" w:line="225"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We hereby acknowledge our awareness of the use of our report dated September 11, 2019 related to our review of interim financial information in the following Registration Statements:</w:t>
      </w:r>
    </w:p>
    <w:p>
      <w:pPr>
        <w:spacing w:after="0" w:line="224" w:lineRule="exact"/>
        <w:rPr>
          <w:sz w:val="20"/>
          <w:szCs w:val="20"/>
          <w:color w:val="auto"/>
        </w:rPr>
      </w:pPr>
    </w:p>
    <w:p>
      <w:pPr>
        <w:ind w:left="460" w:hanging="266"/>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Form S-8 No. 33-10783</w:t>
      </w:r>
    </w:p>
    <w:p>
      <w:pPr>
        <w:spacing w:after="0" w:line="9" w:lineRule="exact"/>
        <w:rPr>
          <w:rFonts w:ascii="Arial" w:cs="Arial" w:eastAsia="Arial" w:hAnsi="Arial"/>
          <w:sz w:val="18"/>
          <w:szCs w:val="18"/>
          <w:color w:val="auto"/>
        </w:rPr>
      </w:pPr>
    </w:p>
    <w:p>
      <w:pPr>
        <w:ind w:left="460" w:hanging="266"/>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Form S-8 No. 33-91888</w:t>
      </w:r>
    </w:p>
    <w:p>
      <w:pPr>
        <w:spacing w:after="0" w:line="9" w:lineRule="exact"/>
        <w:rPr>
          <w:rFonts w:ascii="Arial" w:cs="Arial" w:eastAsia="Arial" w:hAnsi="Arial"/>
          <w:sz w:val="18"/>
          <w:szCs w:val="18"/>
          <w:color w:val="auto"/>
        </w:rPr>
      </w:pPr>
    </w:p>
    <w:p>
      <w:pPr>
        <w:ind w:left="460" w:hanging="266"/>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Form S-8 No. 33-91886</w:t>
      </w:r>
    </w:p>
    <w:p>
      <w:pPr>
        <w:spacing w:after="0" w:line="9" w:lineRule="exact"/>
        <w:rPr>
          <w:rFonts w:ascii="Arial" w:cs="Arial" w:eastAsia="Arial" w:hAnsi="Arial"/>
          <w:sz w:val="18"/>
          <w:szCs w:val="18"/>
          <w:color w:val="auto"/>
        </w:rPr>
      </w:pPr>
    </w:p>
    <w:p>
      <w:pPr>
        <w:ind w:left="460" w:hanging="266"/>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Form S-8 No. 33-97832</w:t>
      </w:r>
    </w:p>
    <w:p>
      <w:pPr>
        <w:spacing w:after="0" w:line="9" w:lineRule="exact"/>
        <w:rPr>
          <w:rFonts w:ascii="Arial" w:cs="Arial" w:eastAsia="Arial" w:hAnsi="Arial"/>
          <w:sz w:val="18"/>
          <w:szCs w:val="18"/>
          <w:color w:val="auto"/>
        </w:rPr>
      </w:pPr>
    </w:p>
    <w:p>
      <w:pPr>
        <w:ind w:left="460" w:hanging="266"/>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Form S-8 No. 333-07215</w:t>
      </w:r>
    </w:p>
    <w:p>
      <w:pPr>
        <w:spacing w:after="0" w:line="9" w:lineRule="exact"/>
        <w:rPr>
          <w:rFonts w:ascii="Arial" w:cs="Arial" w:eastAsia="Arial" w:hAnsi="Arial"/>
          <w:sz w:val="18"/>
          <w:szCs w:val="18"/>
          <w:color w:val="auto"/>
        </w:rPr>
      </w:pPr>
    </w:p>
    <w:p>
      <w:pPr>
        <w:ind w:left="460" w:hanging="266"/>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Form S-8 No. 333-21131</w:t>
      </w:r>
    </w:p>
    <w:p>
      <w:pPr>
        <w:spacing w:after="0" w:line="9" w:lineRule="exact"/>
        <w:rPr>
          <w:rFonts w:ascii="Arial" w:cs="Arial" w:eastAsia="Arial" w:hAnsi="Arial"/>
          <w:sz w:val="18"/>
          <w:szCs w:val="18"/>
          <w:color w:val="auto"/>
        </w:rPr>
      </w:pPr>
    </w:p>
    <w:p>
      <w:pPr>
        <w:ind w:left="460" w:hanging="266"/>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Form S-8 No. 333-62425</w:t>
      </w:r>
    </w:p>
    <w:p>
      <w:pPr>
        <w:spacing w:after="0" w:line="9" w:lineRule="exact"/>
        <w:rPr>
          <w:rFonts w:ascii="Arial" w:cs="Arial" w:eastAsia="Arial" w:hAnsi="Arial"/>
          <w:sz w:val="18"/>
          <w:szCs w:val="18"/>
          <w:color w:val="auto"/>
        </w:rPr>
      </w:pPr>
    </w:p>
    <w:p>
      <w:pPr>
        <w:ind w:left="460" w:hanging="266"/>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Form S-8 No. 333-33120</w:t>
      </w:r>
    </w:p>
    <w:p>
      <w:pPr>
        <w:spacing w:after="0" w:line="9" w:lineRule="exact"/>
        <w:rPr>
          <w:rFonts w:ascii="Arial" w:cs="Arial" w:eastAsia="Arial" w:hAnsi="Arial"/>
          <w:sz w:val="18"/>
          <w:szCs w:val="18"/>
          <w:color w:val="auto"/>
        </w:rPr>
      </w:pPr>
    </w:p>
    <w:p>
      <w:pPr>
        <w:ind w:left="460" w:hanging="266"/>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Form S-8 No. 333-41056</w:t>
      </w:r>
    </w:p>
    <w:p>
      <w:pPr>
        <w:spacing w:after="0" w:line="9" w:lineRule="exact"/>
        <w:rPr>
          <w:rFonts w:ascii="Arial" w:cs="Arial" w:eastAsia="Arial" w:hAnsi="Arial"/>
          <w:sz w:val="18"/>
          <w:szCs w:val="18"/>
          <w:color w:val="auto"/>
        </w:rPr>
      </w:pPr>
    </w:p>
    <w:p>
      <w:pPr>
        <w:ind w:left="460" w:hanging="266"/>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Form S-8 No. 333-41058</w:t>
      </w:r>
    </w:p>
    <w:p>
      <w:pPr>
        <w:spacing w:after="0" w:line="9" w:lineRule="exact"/>
        <w:rPr>
          <w:rFonts w:ascii="Arial" w:cs="Arial" w:eastAsia="Arial" w:hAnsi="Arial"/>
          <w:sz w:val="18"/>
          <w:szCs w:val="18"/>
          <w:color w:val="auto"/>
        </w:rPr>
      </w:pPr>
    </w:p>
    <w:p>
      <w:pPr>
        <w:ind w:left="460" w:hanging="266"/>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Form S-8 No. 333-74688</w:t>
      </w:r>
    </w:p>
    <w:p>
      <w:pPr>
        <w:spacing w:after="0" w:line="9" w:lineRule="exact"/>
        <w:rPr>
          <w:rFonts w:ascii="Arial" w:cs="Arial" w:eastAsia="Arial" w:hAnsi="Arial"/>
          <w:sz w:val="18"/>
          <w:szCs w:val="18"/>
          <w:color w:val="auto"/>
        </w:rPr>
      </w:pPr>
    </w:p>
    <w:p>
      <w:pPr>
        <w:ind w:left="460" w:hanging="266"/>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Form S-8 No. 333-99829</w:t>
      </w:r>
    </w:p>
    <w:p>
      <w:pPr>
        <w:spacing w:after="0" w:line="9" w:lineRule="exact"/>
        <w:rPr>
          <w:rFonts w:ascii="Arial" w:cs="Arial" w:eastAsia="Arial" w:hAnsi="Arial"/>
          <w:sz w:val="18"/>
          <w:szCs w:val="18"/>
          <w:color w:val="auto"/>
        </w:rPr>
      </w:pPr>
    </w:p>
    <w:p>
      <w:pPr>
        <w:ind w:left="460" w:hanging="266"/>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Form S-8 No. 333-111222</w:t>
      </w:r>
    </w:p>
    <w:p>
      <w:pPr>
        <w:spacing w:after="0" w:line="9" w:lineRule="exact"/>
        <w:rPr>
          <w:rFonts w:ascii="Arial" w:cs="Arial" w:eastAsia="Arial" w:hAnsi="Arial"/>
          <w:sz w:val="18"/>
          <w:szCs w:val="18"/>
          <w:color w:val="auto"/>
        </w:rPr>
      </w:pPr>
    </w:p>
    <w:p>
      <w:pPr>
        <w:ind w:left="460" w:hanging="266"/>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Form S-8 No. 333-121515</w:t>
      </w:r>
    </w:p>
    <w:p>
      <w:pPr>
        <w:spacing w:after="0" w:line="9" w:lineRule="exact"/>
        <w:rPr>
          <w:rFonts w:ascii="Arial" w:cs="Arial" w:eastAsia="Arial" w:hAnsi="Arial"/>
          <w:sz w:val="18"/>
          <w:szCs w:val="18"/>
          <w:color w:val="auto"/>
        </w:rPr>
      </w:pPr>
    </w:p>
    <w:p>
      <w:pPr>
        <w:ind w:left="460" w:hanging="266"/>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Form S-8 No. 333-144044</w:t>
      </w:r>
    </w:p>
    <w:p>
      <w:pPr>
        <w:spacing w:after="0" w:line="9" w:lineRule="exact"/>
        <w:rPr>
          <w:rFonts w:ascii="Arial" w:cs="Arial" w:eastAsia="Arial" w:hAnsi="Arial"/>
          <w:sz w:val="18"/>
          <w:szCs w:val="18"/>
          <w:color w:val="auto"/>
        </w:rPr>
      </w:pPr>
    </w:p>
    <w:p>
      <w:pPr>
        <w:ind w:left="460" w:hanging="266"/>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Form S-8 No. 333-149803</w:t>
      </w:r>
    </w:p>
    <w:p>
      <w:pPr>
        <w:spacing w:after="0" w:line="9" w:lineRule="exact"/>
        <w:rPr>
          <w:rFonts w:ascii="Arial" w:cs="Arial" w:eastAsia="Arial" w:hAnsi="Arial"/>
          <w:sz w:val="18"/>
          <w:szCs w:val="18"/>
          <w:color w:val="auto"/>
        </w:rPr>
      </w:pPr>
    </w:p>
    <w:p>
      <w:pPr>
        <w:ind w:left="460" w:hanging="266"/>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Form S-3 No. 33-43334</w:t>
      </w:r>
    </w:p>
    <w:p>
      <w:pPr>
        <w:spacing w:after="0" w:line="9" w:lineRule="exact"/>
        <w:rPr>
          <w:rFonts w:ascii="Arial" w:cs="Arial" w:eastAsia="Arial" w:hAnsi="Arial"/>
          <w:sz w:val="18"/>
          <w:szCs w:val="18"/>
          <w:color w:val="auto"/>
        </w:rPr>
      </w:pPr>
    </w:p>
    <w:p>
      <w:pPr>
        <w:ind w:left="460" w:hanging="266"/>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Form S-3 No. 33-86300</w:t>
      </w:r>
    </w:p>
    <w:p>
      <w:pPr>
        <w:spacing w:after="0" w:line="9" w:lineRule="exact"/>
        <w:rPr>
          <w:rFonts w:ascii="Arial" w:cs="Arial" w:eastAsia="Arial" w:hAnsi="Arial"/>
          <w:sz w:val="18"/>
          <w:szCs w:val="18"/>
          <w:color w:val="auto"/>
        </w:rPr>
      </w:pPr>
    </w:p>
    <w:p>
      <w:pPr>
        <w:ind w:left="460" w:hanging="266"/>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Form S-3 No. 333-64930</w:t>
      </w:r>
    </w:p>
    <w:p>
      <w:pPr>
        <w:spacing w:after="0" w:line="9" w:lineRule="exact"/>
        <w:rPr>
          <w:rFonts w:ascii="Arial" w:cs="Arial" w:eastAsia="Arial" w:hAnsi="Arial"/>
          <w:sz w:val="18"/>
          <w:szCs w:val="18"/>
          <w:color w:val="auto"/>
        </w:rPr>
      </w:pPr>
    </w:p>
    <w:p>
      <w:pPr>
        <w:ind w:left="460" w:hanging="266"/>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Form S-8 No. 333-167066</w:t>
      </w:r>
    </w:p>
    <w:p>
      <w:pPr>
        <w:spacing w:after="0" w:line="9" w:lineRule="exact"/>
        <w:rPr>
          <w:rFonts w:ascii="Arial" w:cs="Arial" w:eastAsia="Arial" w:hAnsi="Arial"/>
          <w:sz w:val="18"/>
          <w:szCs w:val="18"/>
          <w:color w:val="auto"/>
        </w:rPr>
      </w:pPr>
    </w:p>
    <w:p>
      <w:pPr>
        <w:ind w:left="460" w:hanging="266"/>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Form S-8 No. 333-171523</w:t>
      </w:r>
    </w:p>
    <w:p>
      <w:pPr>
        <w:spacing w:after="0" w:line="9" w:lineRule="exact"/>
        <w:rPr>
          <w:rFonts w:ascii="Arial" w:cs="Arial" w:eastAsia="Arial" w:hAnsi="Arial"/>
          <w:sz w:val="18"/>
          <w:szCs w:val="18"/>
          <w:color w:val="auto"/>
        </w:rPr>
      </w:pPr>
    </w:p>
    <w:p>
      <w:pPr>
        <w:ind w:left="460" w:hanging="266"/>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Form S-8 No. 333-190680</w:t>
      </w:r>
    </w:p>
    <w:p>
      <w:pPr>
        <w:spacing w:after="0" w:line="9" w:lineRule="exact"/>
        <w:rPr>
          <w:rFonts w:ascii="Arial" w:cs="Arial" w:eastAsia="Arial" w:hAnsi="Arial"/>
          <w:sz w:val="18"/>
          <w:szCs w:val="18"/>
          <w:color w:val="auto"/>
        </w:rPr>
      </w:pPr>
    </w:p>
    <w:p>
      <w:pPr>
        <w:ind w:left="460" w:hanging="266"/>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Form S-8 No. 333-196899</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18"/>
          <w:szCs w:val="18"/>
          <w:color w:val="auto"/>
        </w:rPr>
        <w:t>Pursuant to Rule 436(c) under the Securities Act of 1933 (the Act), such report is not considered a part of the registration statement prepared or certified by an independent registered public accounting firm or a report prepared or certified by an independent registered public accounting firm within the meaning of Sections 7 and 11 of the Act.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4" w:lineRule="auto"/>
        <w:rPr>
          <w:sz w:val="20"/>
          <w:szCs w:val="20"/>
          <w:color w:val="auto"/>
        </w:rPr>
      </w:pPr>
      <w:r>
        <w:rPr>
          <w:rFonts w:ascii="Arial" w:cs="Arial" w:eastAsia="Arial" w:hAnsi="Arial"/>
          <w:sz w:val="18"/>
          <w:szCs w:val="18"/>
          <w:color w:val="auto"/>
        </w:rPr>
        <w:t>New York, New York</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September 11,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469265</wp:posOffset>
            </wp:positionV>
            <wp:extent cx="638873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0" w:lineRule="exact"/>
        <w:rPr>
          <w:sz w:val="20"/>
          <w:szCs w:val="20"/>
          <w:color w:val="auto"/>
        </w:rPr>
      </w:pPr>
    </w:p>
    <w:p>
      <w:pPr>
        <w:ind w:left="1"/>
        <w:spacing w:after="0"/>
        <w:rPr>
          <w:sz w:val="20"/>
          <w:szCs w:val="20"/>
          <w:color w:val="auto"/>
        </w:rPr>
      </w:pPr>
      <w:r>
        <w:rPr>
          <w:rFonts w:ascii="Arial" w:cs="Arial" w:eastAsia="Arial" w:hAnsi="Arial"/>
          <w:sz w:val="18"/>
          <w:szCs w:val="18"/>
          <w:color w:val="auto"/>
        </w:rPr>
        <w:t>I, Richard A. Johnson, certify that:</w:t>
      </w:r>
    </w:p>
    <w:p>
      <w:pPr>
        <w:spacing w:after="0" w:line="198" w:lineRule="exact"/>
        <w:rPr>
          <w:sz w:val="20"/>
          <w:szCs w:val="20"/>
          <w:color w:val="auto"/>
        </w:rPr>
      </w:pPr>
    </w:p>
    <w:p>
      <w:pPr>
        <w:ind w:left="641" w:hanging="641"/>
        <w:spacing w:after="0"/>
        <w:tabs>
          <w:tab w:leader="none" w:pos="641"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Foot Locker, Inc. (the “Registrant”);</w:t>
      </w:r>
    </w:p>
    <w:p>
      <w:pPr>
        <w:spacing w:after="0" w:line="198" w:lineRule="exact"/>
        <w:rPr>
          <w:rFonts w:ascii="Arial" w:cs="Arial" w:eastAsia="Arial" w:hAnsi="Arial"/>
          <w:sz w:val="18"/>
          <w:szCs w:val="18"/>
          <w:color w:val="auto"/>
        </w:rPr>
      </w:pPr>
    </w:p>
    <w:p>
      <w:pPr>
        <w:jc w:val="both"/>
        <w:ind w:left="641" w:hanging="641"/>
        <w:spacing w:after="0"/>
        <w:tabs>
          <w:tab w:leader="none" w:pos="863"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9" w:lineRule="exact"/>
        <w:rPr>
          <w:rFonts w:ascii="Arial" w:cs="Arial" w:eastAsia="Arial" w:hAnsi="Arial"/>
          <w:sz w:val="18"/>
          <w:szCs w:val="18"/>
          <w:color w:val="auto"/>
        </w:rPr>
      </w:pPr>
    </w:p>
    <w:p>
      <w:pPr>
        <w:jc w:val="both"/>
        <w:ind w:left="641" w:hanging="641"/>
        <w:spacing w:after="0"/>
        <w:tabs>
          <w:tab w:leader="none" w:pos="663"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Arial" w:cs="Arial" w:eastAsia="Arial" w:hAnsi="Arial"/>
          <w:sz w:val="18"/>
          <w:szCs w:val="18"/>
          <w:color w:val="auto"/>
        </w:rPr>
      </w:pPr>
    </w:p>
    <w:p>
      <w:pPr>
        <w:jc w:val="both"/>
        <w:ind w:left="641" w:hanging="641"/>
        <w:spacing w:after="0"/>
        <w:tabs>
          <w:tab w:leader="none" w:pos="693"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Arial" w:cs="Arial" w:eastAsia="Arial" w:hAnsi="Arial"/>
          <w:sz w:val="18"/>
          <w:szCs w:val="18"/>
          <w:color w:val="auto"/>
        </w:rPr>
      </w:pPr>
    </w:p>
    <w:p>
      <w:pPr>
        <w:jc w:val="both"/>
        <w:ind w:left="1301" w:hanging="652"/>
        <w:spacing w:after="0" w:line="239" w:lineRule="auto"/>
        <w:tabs>
          <w:tab w:leader="none" w:pos="1337"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8" w:lineRule="exact"/>
        <w:rPr>
          <w:rFonts w:ascii="Arial" w:cs="Arial" w:eastAsia="Arial" w:hAnsi="Arial"/>
          <w:sz w:val="18"/>
          <w:szCs w:val="18"/>
          <w:color w:val="auto"/>
        </w:rPr>
      </w:pPr>
    </w:p>
    <w:p>
      <w:pPr>
        <w:jc w:val="both"/>
        <w:ind w:left="1301" w:hanging="652"/>
        <w:spacing w:after="0" w:line="239" w:lineRule="auto"/>
        <w:tabs>
          <w:tab w:leader="none" w:pos="1341"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8"/>
          <w:szCs w:val="18"/>
          <w:color w:val="auto"/>
        </w:rPr>
      </w:pPr>
    </w:p>
    <w:p>
      <w:pPr>
        <w:jc w:val="both"/>
        <w:ind w:left="1301" w:hanging="652"/>
        <w:spacing w:after="0"/>
        <w:tabs>
          <w:tab w:leader="none" w:pos="1303"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Arial" w:cs="Arial" w:eastAsia="Arial" w:hAnsi="Arial"/>
          <w:sz w:val="18"/>
          <w:szCs w:val="18"/>
          <w:color w:val="auto"/>
        </w:rPr>
      </w:pPr>
    </w:p>
    <w:p>
      <w:pPr>
        <w:jc w:val="both"/>
        <w:ind w:left="1301" w:hanging="652"/>
        <w:spacing w:after="0" w:line="239" w:lineRule="auto"/>
        <w:tabs>
          <w:tab w:leader="none" w:pos="1432"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rFonts w:ascii="Arial" w:cs="Arial" w:eastAsia="Arial" w:hAnsi="Arial"/>
          <w:sz w:val="18"/>
          <w:szCs w:val="18"/>
          <w:color w:val="auto"/>
        </w:rPr>
      </w:pPr>
    </w:p>
    <w:p>
      <w:pPr>
        <w:jc w:val="both"/>
        <w:ind w:left="641" w:hanging="641"/>
        <w:spacing w:after="0"/>
        <w:tabs>
          <w:tab w:leader="none" w:pos="639"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Arial" w:cs="Arial" w:eastAsia="Arial" w:hAnsi="Arial"/>
          <w:sz w:val="18"/>
          <w:szCs w:val="18"/>
          <w:color w:val="auto"/>
        </w:rPr>
      </w:pPr>
    </w:p>
    <w:p>
      <w:pPr>
        <w:jc w:val="both"/>
        <w:ind w:left="1301" w:hanging="652"/>
        <w:spacing w:after="0"/>
        <w:tabs>
          <w:tab w:leader="none" w:pos="1293"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Arial" w:cs="Arial" w:eastAsia="Arial" w:hAnsi="Arial"/>
          <w:sz w:val="18"/>
          <w:szCs w:val="18"/>
          <w:color w:val="auto"/>
        </w:rPr>
      </w:pPr>
    </w:p>
    <w:p>
      <w:pPr>
        <w:ind w:left="1301" w:hanging="652"/>
        <w:spacing w:after="0" w:line="246" w:lineRule="auto"/>
        <w:tabs>
          <w:tab w:leader="none" w:pos="1316"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6" w:lineRule="exact"/>
        <w:rPr>
          <w:sz w:val="20"/>
          <w:szCs w:val="20"/>
          <w:color w:val="auto"/>
        </w:rPr>
      </w:pPr>
    </w:p>
    <w:p>
      <w:pPr>
        <w:ind w:left="1"/>
        <w:spacing w:after="0"/>
        <w:rPr>
          <w:sz w:val="20"/>
          <w:szCs w:val="20"/>
          <w:color w:val="auto"/>
        </w:rPr>
      </w:pPr>
      <w:r>
        <w:rPr>
          <w:rFonts w:ascii="Arial" w:cs="Arial" w:eastAsia="Arial" w:hAnsi="Arial"/>
          <w:sz w:val="18"/>
          <w:szCs w:val="18"/>
          <w:color w:val="auto"/>
        </w:rPr>
        <w:t>September 11, 2019</w:t>
      </w:r>
    </w:p>
    <w:p>
      <w:pPr>
        <w:ind w:left="5041"/>
        <w:spacing w:after="0"/>
        <w:rPr>
          <w:sz w:val="20"/>
          <w:szCs w:val="20"/>
          <w:color w:val="auto"/>
        </w:rPr>
      </w:pPr>
      <w:r>
        <w:rPr>
          <w:rFonts w:ascii="Arial" w:cs="Arial" w:eastAsia="Arial" w:hAnsi="Arial"/>
          <w:sz w:val="18"/>
          <w:szCs w:val="18"/>
          <w:color w:val="auto"/>
        </w:rPr>
        <w:t>/s/ Richard A.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3201670</wp:posOffset>
            </wp:positionH>
            <wp:positionV relativeFrom="paragraph">
              <wp:posOffset>-1905</wp:posOffset>
            </wp:positionV>
            <wp:extent cx="319024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ind w:left="5041"/>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469265</wp:posOffset>
            </wp:positionV>
            <wp:extent cx="638873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8" w:right="91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0" w:lineRule="exact"/>
        <w:rPr>
          <w:sz w:val="20"/>
          <w:szCs w:val="20"/>
          <w:color w:val="auto"/>
        </w:rPr>
      </w:pPr>
    </w:p>
    <w:p>
      <w:pPr>
        <w:ind w:left="1"/>
        <w:spacing w:after="0"/>
        <w:rPr>
          <w:sz w:val="20"/>
          <w:szCs w:val="20"/>
          <w:color w:val="auto"/>
        </w:rPr>
      </w:pPr>
      <w:r>
        <w:rPr>
          <w:rFonts w:ascii="Arial" w:cs="Arial" w:eastAsia="Arial" w:hAnsi="Arial"/>
          <w:sz w:val="18"/>
          <w:szCs w:val="18"/>
          <w:color w:val="auto"/>
        </w:rPr>
        <w:t>I, Lauren B. Peters, certify that:</w:t>
      </w:r>
    </w:p>
    <w:p>
      <w:pPr>
        <w:spacing w:after="0" w:line="198" w:lineRule="exact"/>
        <w:rPr>
          <w:sz w:val="20"/>
          <w:szCs w:val="20"/>
          <w:color w:val="auto"/>
        </w:rPr>
      </w:pPr>
    </w:p>
    <w:p>
      <w:pPr>
        <w:ind w:left="641" w:hanging="641"/>
        <w:spacing w:after="0"/>
        <w:tabs>
          <w:tab w:leader="none" w:pos="641"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Foot Locker, Inc. (the “Registrant”);</w:t>
      </w:r>
    </w:p>
    <w:p>
      <w:pPr>
        <w:spacing w:after="0" w:line="198" w:lineRule="exact"/>
        <w:rPr>
          <w:rFonts w:ascii="Arial" w:cs="Arial" w:eastAsia="Arial" w:hAnsi="Arial"/>
          <w:sz w:val="18"/>
          <w:szCs w:val="18"/>
          <w:color w:val="auto"/>
        </w:rPr>
      </w:pPr>
    </w:p>
    <w:p>
      <w:pPr>
        <w:jc w:val="both"/>
        <w:ind w:left="641" w:hanging="641"/>
        <w:spacing w:after="0"/>
        <w:tabs>
          <w:tab w:leader="none" w:pos="863"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9" w:lineRule="exact"/>
        <w:rPr>
          <w:rFonts w:ascii="Arial" w:cs="Arial" w:eastAsia="Arial" w:hAnsi="Arial"/>
          <w:sz w:val="18"/>
          <w:szCs w:val="18"/>
          <w:color w:val="auto"/>
        </w:rPr>
      </w:pPr>
    </w:p>
    <w:p>
      <w:pPr>
        <w:jc w:val="both"/>
        <w:ind w:left="641" w:hanging="641"/>
        <w:spacing w:after="0"/>
        <w:tabs>
          <w:tab w:leader="none" w:pos="663"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Arial" w:cs="Arial" w:eastAsia="Arial" w:hAnsi="Arial"/>
          <w:sz w:val="18"/>
          <w:szCs w:val="18"/>
          <w:color w:val="auto"/>
        </w:rPr>
      </w:pPr>
    </w:p>
    <w:p>
      <w:pPr>
        <w:jc w:val="both"/>
        <w:ind w:left="641" w:hanging="641"/>
        <w:spacing w:after="0"/>
        <w:tabs>
          <w:tab w:leader="none" w:pos="693"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Arial" w:cs="Arial" w:eastAsia="Arial" w:hAnsi="Arial"/>
          <w:sz w:val="18"/>
          <w:szCs w:val="18"/>
          <w:color w:val="auto"/>
        </w:rPr>
      </w:pPr>
    </w:p>
    <w:p>
      <w:pPr>
        <w:jc w:val="both"/>
        <w:ind w:left="1301" w:hanging="652"/>
        <w:spacing w:after="0" w:line="239" w:lineRule="auto"/>
        <w:tabs>
          <w:tab w:leader="none" w:pos="1369"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8" w:lineRule="exact"/>
        <w:rPr>
          <w:rFonts w:ascii="Arial" w:cs="Arial" w:eastAsia="Arial" w:hAnsi="Arial"/>
          <w:sz w:val="18"/>
          <w:szCs w:val="18"/>
          <w:color w:val="auto"/>
        </w:rPr>
      </w:pPr>
    </w:p>
    <w:p>
      <w:pPr>
        <w:jc w:val="both"/>
        <w:ind w:left="1301" w:hanging="652"/>
        <w:spacing w:after="0" w:line="239" w:lineRule="auto"/>
        <w:tabs>
          <w:tab w:leader="none" w:pos="1341"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8"/>
          <w:szCs w:val="18"/>
          <w:color w:val="auto"/>
        </w:rPr>
      </w:pPr>
    </w:p>
    <w:p>
      <w:pPr>
        <w:jc w:val="both"/>
        <w:ind w:left="1301" w:hanging="652"/>
        <w:spacing w:after="0"/>
        <w:tabs>
          <w:tab w:leader="none" w:pos="1303" w:val="left"/>
        </w:tabs>
        <w:numPr>
          <w:ilvl w:val="1"/>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Arial" w:cs="Arial" w:eastAsia="Arial" w:hAnsi="Arial"/>
          <w:sz w:val="18"/>
          <w:szCs w:val="18"/>
          <w:color w:val="auto"/>
        </w:rPr>
      </w:pPr>
    </w:p>
    <w:p>
      <w:pPr>
        <w:jc w:val="both"/>
        <w:ind w:left="1301" w:hanging="652"/>
        <w:spacing w:after="0" w:line="239" w:lineRule="auto"/>
        <w:tabs>
          <w:tab w:leader="none" w:pos="1432"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rFonts w:ascii="Arial" w:cs="Arial" w:eastAsia="Arial" w:hAnsi="Arial"/>
          <w:sz w:val="18"/>
          <w:szCs w:val="18"/>
          <w:color w:val="auto"/>
        </w:rPr>
      </w:pPr>
    </w:p>
    <w:p>
      <w:pPr>
        <w:jc w:val="both"/>
        <w:ind w:left="641" w:hanging="641"/>
        <w:spacing w:after="0"/>
        <w:tabs>
          <w:tab w:leader="none" w:pos="639"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Arial" w:cs="Arial" w:eastAsia="Arial" w:hAnsi="Arial"/>
          <w:sz w:val="18"/>
          <w:szCs w:val="18"/>
          <w:color w:val="auto"/>
        </w:rPr>
      </w:pPr>
    </w:p>
    <w:p>
      <w:pPr>
        <w:jc w:val="both"/>
        <w:ind w:left="1301" w:hanging="652"/>
        <w:spacing w:after="0"/>
        <w:tabs>
          <w:tab w:leader="none" w:pos="1323"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Arial" w:cs="Arial" w:eastAsia="Arial" w:hAnsi="Arial"/>
          <w:sz w:val="18"/>
          <w:szCs w:val="18"/>
          <w:color w:val="auto"/>
        </w:rPr>
      </w:pPr>
    </w:p>
    <w:p>
      <w:pPr>
        <w:ind w:left="1301" w:hanging="652"/>
        <w:spacing w:after="0" w:line="246" w:lineRule="auto"/>
        <w:tabs>
          <w:tab w:leader="none" w:pos="1349"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6" w:lineRule="exact"/>
        <w:rPr>
          <w:sz w:val="20"/>
          <w:szCs w:val="20"/>
          <w:color w:val="auto"/>
        </w:rPr>
      </w:pPr>
    </w:p>
    <w:p>
      <w:pPr>
        <w:ind w:left="1"/>
        <w:spacing w:after="0"/>
        <w:rPr>
          <w:sz w:val="20"/>
          <w:szCs w:val="20"/>
          <w:color w:val="auto"/>
        </w:rPr>
      </w:pPr>
      <w:r>
        <w:rPr>
          <w:rFonts w:ascii="Arial" w:cs="Arial" w:eastAsia="Arial" w:hAnsi="Arial"/>
          <w:sz w:val="18"/>
          <w:szCs w:val="18"/>
          <w:color w:val="auto"/>
        </w:rPr>
        <w:t>September 11, 2019</w:t>
      </w:r>
    </w:p>
    <w:p>
      <w:pPr>
        <w:ind w:left="5041"/>
        <w:spacing w:after="0"/>
        <w:rPr>
          <w:sz w:val="20"/>
          <w:szCs w:val="20"/>
          <w:color w:val="auto"/>
        </w:rPr>
      </w:pPr>
      <w:r>
        <w:rPr>
          <w:rFonts w:ascii="Arial" w:cs="Arial" w:eastAsia="Arial" w:hAnsi="Arial"/>
          <w:sz w:val="18"/>
          <w:szCs w:val="18"/>
          <w:color w:val="auto"/>
        </w:rPr>
        <w:t>/s/ Lauren B. Peters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3201670</wp:posOffset>
            </wp:positionH>
            <wp:positionV relativeFrom="paragraph">
              <wp:posOffset>-1905</wp:posOffset>
            </wp:positionV>
            <wp:extent cx="319024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ind w:left="5041"/>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469265</wp:posOffset>
            </wp:positionV>
            <wp:extent cx="638873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8" w:right="91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w:t>
      </w:r>
    </w:p>
    <w:p>
      <w:pPr>
        <w:spacing w:after="0" w:line="197"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FOOT LOCKER, INC.</w:t>
      </w:r>
    </w:p>
    <w:p>
      <w:pPr>
        <w:spacing w:after="0" w:line="198"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connection with the Quarterly Report on Form 10-Q of Foot Locker, Inc. (the “Registrant”) for the quarterly period ended August 3, 2019, as filed with the Securities and Exchange Commission on the date hereof (the “Report”), Richard A. Johnson, as Chief Executive Officer of the Registrant and Lauren B. Peters, as Chief Financial Officer of the Registrant, each hereby certifies, pursuant to 18 U.S.C. Section 1350, as adopted pursuant to Section 906 of the Sarbanes-Oxley Act of 2002, that:</w:t>
      </w:r>
    </w:p>
    <w:p>
      <w:pPr>
        <w:spacing w:after="0" w:line="188" w:lineRule="exact"/>
        <w:rPr>
          <w:sz w:val="20"/>
          <w:szCs w:val="20"/>
          <w:color w:val="auto"/>
        </w:rPr>
      </w:pPr>
    </w:p>
    <w:p>
      <w:pPr>
        <w:ind w:left="520" w:hanging="326"/>
        <w:spacing w:after="0"/>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520" w:hanging="326"/>
        <w:spacing w:after="0" w:line="246" w:lineRule="auto"/>
        <w:tabs>
          <w:tab w:leader="none" w:pos="551"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11, 2019</w:t>
      </w:r>
    </w:p>
    <w:p>
      <w:pPr>
        <w:ind w:left="5040"/>
        <w:spacing w:after="0"/>
        <w:rPr>
          <w:sz w:val="20"/>
          <w:szCs w:val="20"/>
          <w:color w:val="auto"/>
        </w:rPr>
      </w:pPr>
      <w:r>
        <w:rPr>
          <w:rFonts w:ascii="Arial" w:cs="Arial" w:eastAsia="Arial" w:hAnsi="Arial"/>
          <w:sz w:val="18"/>
          <w:szCs w:val="18"/>
          <w:color w:val="auto"/>
        </w:rPr>
        <w:t>/s/ Richard A.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3201035</wp:posOffset>
            </wp:positionH>
            <wp:positionV relativeFrom="paragraph">
              <wp:posOffset>-1905</wp:posOffset>
            </wp:positionV>
            <wp:extent cx="319024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ind w:left="5040"/>
        <w:spacing w:after="0"/>
        <w:rPr>
          <w:sz w:val="20"/>
          <w:szCs w:val="20"/>
          <w:color w:val="auto"/>
        </w:rPr>
      </w:pPr>
      <w:r>
        <w:rPr>
          <w:rFonts w:ascii="Arial" w:cs="Arial" w:eastAsia="Arial" w:hAnsi="Arial"/>
          <w:sz w:val="18"/>
          <w:szCs w:val="18"/>
          <w:color w:val="auto"/>
        </w:rPr>
        <w:t>Richard A. Johnson</w:t>
      </w:r>
    </w:p>
    <w:p>
      <w:pPr>
        <w:ind w:left="5040"/>
        <w:spacing w:after="0"/>
        <w:rPr>
          <w:sz w:val="20"/>
          <w:szCs w:val="20"/>
          <w:color w:val="auto"/>
        </w:rPr>
      </w:pPr>
      <w:r>
        <w:rPr>
          <w:rFonts w:ascii="Arial" w:cs="Arial" w:eastAsia="Arial" w:hAnsi="Arial"/>
          <w:sz w:val="18"/>
          <w:szCs w:val="18"/>
          <w:color w:val="auto"/>
        </w:rPr>
        <w:t>Chief Executive Officer</w:t>
      </w:r>
    </w:p>
    <w:p>
      <w:pPr>
        <w:spacing w:after="0" w:line="198"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/s/ Lauren B. Peters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3201035</wp:posOffset>
            </wp:positionH>
            <wp:positionV relativeFrom="paragraph">
              <wp:posOffset>-1905</wp:posOffset>
            </wp:positionV>
            <wp:extent cx="319024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ind w:left="5040"/>
        <w:spacing w:after="0"/>
        <w:rPr>
          <w:sz w:val="20"/>
          <w:szCs w:val="20"/>
          <w:color w:val="auto"/>
        </w:rPr>
      </w:pPr>
      <w:r>
        <w:rPr>
          <w:rFonts w:ascii="Arial" w:cs="Arial" w:eastAsia="Arial" w:hAnsi="Arial"/>
          <w:sz w:val="18"/>
          <w:szCs w:val="18"/>
          <w:color w:val="auto"/>
        </w:rPr>
        <w:t>Lauren B. Peters</w:t>
      </w:r>
    </w:p>
    <w:p>
      <w:pPr>
        <w:ind w:left="5040"/>
        <w:spacing w:after="0"/>
        <w:rPr>
          <w:sz w:val="20"/>
          <w:szCs w:val="20"/>
          <w:color w:val="auto"/>
        </w:rPr>
      </w:pPr>
      <w:r>
        <w:rPr>
          <w:rFonts w:ascii="Arial" w:cs="Arial" w:eastAsia="Arial" w:hAnsi="Arial"/>
          <w:sz w:val="18"/>
          <w:szCs w:val="18"/>
          <w:color w:val="auto"/>
        </w:rPr>
        <w:t>Chief Financial Officer</w:t>
      </w:r>
    </w:p>
    <w:p>
      <w:pPr>
        <w:spacing w:after="0" w:line="19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 Such certification will not be deemed to be incorporated by reference into any filing under the Securities Act of 1933, as amended, or the Securities Exchange Act of 1934, as amended,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334645</wp:posOffset>
            </wp:positionV>
            <wp:extent cx="638873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99</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The Shareholders and Board of Directors</w:t>
      </w:r>
    </w:p>
    <w:p>
      <w:pPr>
        <w:spacing w:after="0"/>
        <w:rPr>
          <w:sz w:val="20"/>
          <w:szCs w:val="20"/>
          <w:color w:val="auto"/>
        </w:rPr>
      </w:pPr>
      <w:r>
        <w:rPr>
          <w:rFonts w:ascii="Arial" w:cs="Arial" w:eastAsia="Arial" w:hAnsi="Arial"/>
          <w:sz w:val="18"/>
          <w:szCs w:val="18"/>
          <w:color w:val="auto"/>
        </w:rPr>
        <w:t>Foot Locker, Inc.:</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of Review of Interim Financial Information</w:t>
      </w:r>
    </w:p>
    <w:p>
      <w:pPr>
        <w:spacing w:after="0" w:line="9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have reviewed the condensed consolidated balance sheets of Foot Locker, Inc. and subsidiaries (the Company) as of August 3, 2019 and August 4, 2018, the related condensed consolidated statements of operations and comprehensive income for the thirteen and twenty-six week periods ended August 3, 2019 and August 4, 2018, the related condensed consolidated statements of changes in shareholders’ equity for the thirteen and twenty-six week periods ended August 3, 2019 and August 4, 2018 and cash flows for the twenty-six week periods ended August 3, 2019 and August 4, 2018, and the related notes (collectively, the consolidated interim financial information). Based on our reviews, we are not aware of any material modifications that should be made to the consolidated interim financial information for it to be in conformity with U.S. generally accepted accounting principles.</w:t>
      </w:r>
    </w:p>
    <w:p>
      <w:pPr>
        <w:spacing w:after="0" w:line="18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have previously audited, in accordance with the standards of the Public Company Accounting Oversight Board (United States) (PCAOB), the consolidated balance sheet of the Company as of February 2, 2019, and the related consolidated statements of operations, comprehensive income, shareholders’ equity, and cash flows for the year then ended (not presented herein); and in our report dated April 2, 2019, we expressed an unqualified opinion on those consolidated financial statements. In our opinion, the information set forth in the accompanying condensed consolidated balance sheet as of February 2, 2019, is fairly stated, in all material respects, in relation to the consolidated balance sheet from which it has been derived.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108"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 discussed in Note 1 to the consolidated interim financial information, the Company changed its method of accounting for leases in 2019 due to the adoption of ASU No. 2016-02, Leases (Topic 842), as amended, effective February 3, 2019, using the optional transition method.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Review Results</w:t>
      </w:r>
    </w:p>
    <w:p>
      <w:pPr>
        <w:spacing w:after="0" w:line="108"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This consolidated interim financial information is the responsibility of the Company’s management.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conducted our reviews in accordance with the standards of the PCAOB. A review of consolidated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4" w:lineRule="auto"/>
        <w:rPr>
          <w:sz w:val="20"/>
          <w:szCs w:val="20"/>
          <w:color w:val="auto"/>
        </w:rPr>
      </w:pPr>
      <w:r>
        <w:rPr>
          <w:rFonts w:ascii="Arial" w:cs="Arial" w:eastAsia="Arial" w:hAnsi="Arial"/>
          <w:sz w:val="18"/>
          <w:szCs w:val="18"/>
          <w:color w:val="auto"/>
        </w:rPr>
        <w:t>New York, New York</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September 11,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726440</wp:posOffset>
            </wp:positionV>
            <wp:extent cx="638873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41" w:name="page42"/>
    <w:bookmarkEnd w:id="4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1."/>
      <w:numFmt w:val="decimal"/>
      <w:start w:val="2"/>
    </w:lvl>
  </w:abstractNum>
  <w:abstractNum w:abstractNumId="12">
    <w:nsid w:val="1BEFD79F"/>
    <w:multiLevelType w:val="hybridMultilevel"/>
    <w:lvl w:ilvl="0">
      <w:lvlJc w:val="left"/>
      <w:lvlText w:val="%1."/>
      <w:numFmt w:val="decimal"/>
      <w:start w:val="3"/>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2019-12-28T06:07:54Z</dcterms:created>
  <dcterms:modified xsi:type="dcterms:W3CDTF">2019-12-28T06:07:54Z</dcterms:modified>
</cp:coreProperties>
</file>