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49160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426720</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2540635</wp:posOffset>
            </wp:positionH>
            <wp:positionV relativeFrom="paragraph">
              <wp:posOffset>169545</wp:posOffset>
            </wp:positionV>
            <wp:extent cx="16205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FORM 10-Q</w:t>
      </w:r>
    </w:p>
    <w:p>
      <w:pPr>
        <w:spacing w:after="0" w:line="176" w:lineRule="exact"/>
        <w:rPr>
          <w:sz w:val="24"/>
          <w:szCs w:val="24"/>
          <w:color w:val="auto"/>
        </w:rPr>
      </w:pPr>
    </w:p>
    <w:p>
      <w:pPr>
        <w:ind w:left="160"/>
        <w:spacing w:after="0"/>
        <w:rPr>
          <w:sz w:val="20"/>
          <w:szCs w:val="20"/>
          <w:color w:val="auto"/>
        </w:rPr>
      </w:pPr>
      <w:r>
        <w:rPr>
          <w:rFonts w:ascii="Arial" w:cs="Arial" w:eastAsia="Arial" w:hAnsi="Arial"/>
          <w:sz w:val="14"/>
          <w:szCs w:val="14"/>
          <w:color w:val="auto"/>
        </w:rPr>
        <w:t>(Mark One)</w:t>
      </w:r>
    </w:p>
    <w:p>
      <w:pPr>
        <w:spacing w:after="0" w:line="307" w:lineRule="exact"/>
        <w:rPr>
          <w:sz w:val="24"/>
          <w:szCs w:val="24"/>
          <w:color w:val="auto"/>
        </w:rPr>
      </w:pPr>
    </w:p>
    <w:p>
      <w:pPr>
        <w:ind w:left="3580" w:right="2160" w:hanging="3294"/>
        <w:spacing w:after="0" w:line="476" w:lineRule="auto"/>
        <w:tabs>
          <w:tab w:leader="none" w:pos="71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QUARTERLY REPORT PURSUANT TO SECTION 13 OR 15(d) OF THE SECURITIES EXCHANGE ACT OF 1934 </w:t>
      </w:r>
      <w:r>
        <w:rPr>
          <w:rFonts w:ascii="Arial" w:cs="Arial" w:eastAsia="Arial" w:hAnsi="Arial"/>
          <w:sz w:val="14"/>
          <w:szCs w:val="14"/>
          <w:color w:val="auto"/>
        </w:rPr>
        <w:t>For the quarterly period ended: November 2, 2019</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OR</w:t>
      </w:r>
    </w:p>
    <w:p>
      <w:pPr>
        <w:spacing w:after="0" w:line="307" w:lineRule="exact"/>
        <w:rPr>
          <w:sz w:val="24"/>
          <w:szCs w:val="24"/>
          <w:color w:val="auto"/>
        </w:rPr>
      </w:pPr>
    </w:p>
    <w:p>
      <w:pPr>
        <w:ind w:left="3360" w:right="2160" w:hanging="3074"/>
        <w:spacing w:after="0" w:line="486" w:lineRule="auto"/>
        <w:tabs>
          <w:tab w:leader="none" w:pos="714"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4080"/>
        <w:spacing w:after="0"/>
        <w:rPr>
          <w:rFonts w:ascii="MS PGothic" w:cs="MS PGothic" w:eastAsia="MS PGothic" w:hAnsi="MS PGothic"/>
          <w:sz w:val="14"/>
          <w:szCs w:val="14"/>
          <w:color w:val="auto"/>
          <w:highlight w:val="black"/>
        </w:rPr>
      </w:pPr>
      <w:r>
        <w:rPr>
          <w:rFonts w:ascii="Arial" w:cs="Arial" w:eastAsia="Arial" w:hAnsi="Arial"/>
          <w:sz w:val="14"/>
          <w:szCs w:val="14"/>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2085975</wp:posOffset>
            </wp:positionH>
            <wp:positionV relativeFrom="paragraph">
              <wp:posOffset>288925</wp:posOffset>
            </wp:positionV>
            <wp:extent cx="2426970"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28321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143510</wp:posOffset>
            </wp:positionV>
            <wp:extent cx="16205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2540635</wp:posOffset>
            </wp:positionH>
            <wp:positionV relativeFrom="paragraph">
              <wp:posOffset>143510</wp:posOffset>
            </wp:positionV>
            <wp:extent cx="1620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ectPr>
          <w:pgSz w:w="11900" w:h="16838" w:orient="portrait"/>
          <w:cols w:equalWidth="0" w:num="1">
            <w:col w:w="10240"/>
          </w:cols>
          <w:pgMar w:left="920" w:top="665"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64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4"/>
          <w:szCs w:val="24"/>
          <w:color w:val="auto"/>
        </w:rPr>
      </w:pPr>
    </w:p>
    <w:p>
      <w:pPr>
        <w:jc w:val="center"/>
        <w:ind w:right="6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4" w:lineRule="exact"/>
        <w:rPr>
          <w:sz w:val="24"/>
          <w:szCs w:val="24"/>
          <w:color w:val="auto"/>
        </w:rPr>
      </w:pPr>
    </w:p>
    <w:p>
      <w:pPr>
        <w:jc w:val="center"/>
        <w:ind w:right="1380"/>
        <w:spacing w:after="0"/>
        <w:rPr>
          <w:sz w:val="20"/>
          <w:szCs w:val="20"/>
          <w:color w:val="auto"/>
        </w:rPr>
      </w:pPr>
      <w:r>
        <w:rPr>
          <w:rFonts w:ascii="Arial" w:cs="Arial" w:eastAsia="Arial" w:hAnsi="Arial"/>
          <w:sz w:val="14"/>
          <w:szCs w:val="14"/>
          <w:b w:val="1"/>
          <w:bCs w:val="1"/>
          <w:color w:val="auto"/>
        </w:rPr>
        <w:t>13-3513936</w:t>
      </w:r>
    </w:p>
    <w:p>
      <w:pPr>
        <w:spacing w:after="0" w:line="19" w:lineRule="exact"/>
        <w:rPr>
          <w:sz w:val="24"/>
          <w:szCs w:val="24"/>
          <w:color w:val="auto"/>
        </w:rPr>
      </w:pPr>
    </w:p>
    <w:p>
      <w:pPr>
        <w:jc w:val="center"/>
        <w:ind w:right="1380"/>
        <w:spacing w:after="0"/>
        <w:rPr>
          <w:sz w:val="20"/>
          <w:szCs w:val="20"/>
          <w:color w:val="auto"/>
        </w:rPr>
      </w:pPr>
      <w:r>
        <w:rPr>
          <w:rFonts w:ascii="Arial" w:cs="Arial" w:eastAsia="Arial" w:hAnsi="Arial"/>
          <w:sz w:val="14"/>
          <w:szCs w:val="14"/>
          <w:color w:val="auto"/>
        </w:rPr>
        <w:t>(I.R.S. Employer Identification No.)</w:t>
      </w:r>
    </w:p>
    <w:p>
      <w:pPr>
        <w:spacing w:after="0" w:line="84" w:lineRule="exact"/>
        <w:rPr>
          <w:sz w:val="24"/>
          <w:szCs w:val="24"/>
          <w:color w:val="auto"/>
        </w:rPr>
      </w:pPr>
    </w:p>
    <w:p>
      <w:pPr>
        <w:sectPr>
          <w:pgSz w:w="11900" w:h="16838" w:orient="portrait"/>
          <w:cols w:equalWidth="0" w:num="2">
            <w:col w:w="5920" w:space="720"/>
            <w:col w:w="3600"/>
          </w:cols>
          <w:pgMar w:left="920" w:top="665" w:right="739" w:bottom="1440" w:gutter="0" w:footer="0" w:header="0"/>
          <w:type w:val="continuous"/>
        </w:sectPr>
      </w:pPr>
    </w:p>
    <w:p>
      <w:pPr>
        <w:jc w:val="center"/>
        <w:ind w:right="-139"/>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21"/>
          <w:szCs w:val="21"/>
          <w:b w:val="1"/>
          <w:bCs w:val="1"/>
          <w:color w:val="auto"/>
          <w:vertAlign w:val="superscript"/>
        </w:rPr>
        <w:t>th</w:t>
      </w:r>
      <w:r>
        <w:rPr>
          <w:rFonts w:ascii="Arial" w:cs="Arial" w:eastAsia="Arial" w:hAnsi="Arial"/>
          <w:sz w:val="14"/>
          <w:szCs w:val="14"/>
          <w:b w:val="1"/>
          <w:bCs w:val="1"/>
          <w:color w:val="auto"/>
        </w:rPr>
        <w:t xml:space="preserve"> Street, New York, New York 10001</w:t>
      </w:r>
    </w:p>
    <w:p>
      <w:pPr>
        <w:jc w:val="center"/>
        <w:ind w:right="-159"/>
        <w:spacing w:after="0"/>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(212-720-3700)</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(Registrant’s telephone number, including area code)</w:t>
      </w:r>
    </w:p>
    <w:p>
      <w:pPr>
        <w:spacing w:after="0" w:line="125" w:lineRule="exact"/>
        <w:rPr>
          <w:sz w:val="24"/>
          <w:szCs w:val="24"/>
          <w:color w:val="auto"/>
        </w:rPr>
      </w:pPr>
    </w:p>
    <w:tbl>
      <w:tblPr>
        <w:tblLayout w:type="fixed"/>
        <w:tblInd w:w="1350" w:type="dxa"/>
        <w:tblCellMar>
          <w:top w:w="0" w:type="dxa"/>
          <w:left w:w="0" w:type="dxa"/>
          <w:bottom w:w="0" w:type="dxa"/>
          <w:right w:w="0" w:type="dxa"/>
        </w:tblCellMar>
      </w:tblPr>
      <w:tr>
        <w:trPr>
          <w:trHeight w:val="162"/>
        </w:trPr>
        <w:tc>
          <w:tcPr>
            <w:tcW w:w="3120" w:type="dxa"/>
            <w:vAlign w:val="bottom"/>
            <w:tcBorders>
              <w:top w:val="single" w:sz="8" w:color="auto"/>
              <w:left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Title of each class</w:t>
            </w:r>
          </w:p>
        </w:tc>
        <w:tc>
          <w:tcPr>
            <w:tcW w:w="1340" w:type="dxa"/>
            <w:vAlign w:val="bottom"/>
            <w:tcBorders>
              <w:top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Trading</w:t>
            </w:r>
          </w:p>
        </w:tc>
        <w:tc>
          <w:tcPr>
            <w:tcW w:w="310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w:t>
            </w:r>
          </w:p>
        </w:tc>
      </w:tr>
      <w:tr>
        <w:trPr>
          <w:trHeight w:val="190"/>
        </w:trPr>
        <w:tc>
          <w:tcPr>
            <w:tcW w:w="312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Symbol(s)</w:t>
            </w:r>
          </w:p>
        </w:tc>
        <w:tc>
          <w:tcPr>
            <w:tcW w:w="310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registered</w:t>
            </w:r>
          </w:p>
        </w:tc>
      </w:tr>
      <w:tr>
        <w:trPr>
          <w:trHeight w:val="134"/>
        </w:trPr>
        <w:tc>
          <w:tcPr>
            <w:tcW w:w="3120" w:type="dxa"/>
            <w:vAlign w:val="bottom"/>
            <w:tcBorders>
              <w:left w:val="single" w:sz="8" w:color="auto"/>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3100" w:type="dxa"/>
            <w:vAlign w:val="bottom"/>
            <w:tcBorders>
              <w:bottom w:val="single" w:sz="8" w:color="auto"/>
              <w:right w:val="single" w:sz="8" w:color="auto"/>
            </w:tcBorders>
          </w:tcPr>
          <w:p>
            <w:pPr>
              <w:spacing w:after="0"/>
              <w:rPr>
                <w:sz w:val="11"/>
                <w:szCs w:val="11"/>
                <w:color w:val="auto"/>
              </w:rPr>
            </w:pPr>
          </w:p>
        </w:tc>
      </w:tr>
      <w:tr>
        <w:trPr>
          <w:trHeight w:val="171"/>
        </w:trPr>
        <w:tc>
          <w:tcPr>
            <w:tcW w:w="3120" w:type="dxa"/>
            <w:vAlign w:val="bottom"/>
            <w:tcBorders>
              <w:left w:val="single" w:sz="8" w:color="auto"/>
              <w:right w:val="single" w:sz="8" w:color="auto"/>
            </w:tcBorders>
          </w:tcPr>
          <w:p>
            <w:pPr>
              <w:jc w:val="center"/>
              <w:ind w:left="68"/>
              <w:spacing w:after="0"/>
              <w:rPr>
                <w:sz w:val="20"/>
                <w:szCs w:val="20"/>
                <w:color w:val="auto"/>
              </w:rPr>
            </w:pPr>
            <w:r>
              <w:rPr>
                <w:rFonts w:ascii="Arial" w:cs="Arial" w:eastAsia="Arial" w:hAnsi="Arial"/>
                <w:sz w:val="14"/>
                <w:szCs w:val="14"/>
                <w:color w:val="auto"/>
              </w:rPr>
              <w:t>Common Stock, par value $0.01</w:t>
            </w:r>
          </w:p>
        </w:tc>
        <w:tc>
          <w:tcPr>
            <w:tcW w:w="134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rPr>
              <w:t>FL</w:t>
            </w:r>
          </w:p>
        </w:tc>
        <w:tc>
          <w:tcPr>
            <w:tcW w:w="3100" w:type="dxa"/>
            <w:vAlign w:val="bottom"/>
            <w:tcBorders>
              <w:right w:val="single" w:sz="8" w:color="auto"/>
            </w:tcBorders>
          </w:tcPr>
          <w:p>
            <w:pPr>
              <w:jc w:val="center"/>
              <w:ind w:left="68"/>
              <w:spacing w:after="0"/>
              <w:rPr>
                <w:sz w:val="20"/>
                <w:szCs w:val="20"/>
                <w:color w:val="auto"/>
              </w:rPr>
            </w:pPr>
            <w:r>
              <w:rPr>
                <w:rFonts w:ascii="Arial" w:cs="Arial" w:eastAsia="Arial" w:hAnsi="Arial"/>
                <w:sz w:val="14"/>
                <w:szCs w:val="14"/>
                <w:color w:val="auto"/>
              </w:rPr>
              <w:t>New York Stock Exchange</w:t>
            </w:r>
          </w:p>
        </w:tc>
      </w:tr>
      <w:tr>
        <w:trPr>
          <w:trHeight w:val="134"/>
        </w:trPr>
        <w:tc>
          <w:tcPr>
            <w:tcW w:w="3120" w:type="dxa"/>
            <w:vAlign w:val="bottom"/>
            <w:tcBorders>
              <w:left w:val="single" w:sz="8" w:color="auto"/>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3100" w:type="dxa"/>
            <w:vAlign w:val="bottom"/>
            <w:tcBorders>
              <w:bottom w:val="single" w:sz="8" w:color="auto"/>
              <w:right w:val="single" w:sz="8" w:color="auto"/>
            </w:tcBorders>
          </w:tcPr>
          <w:p>
            <w:pPr>
              <w:spacing w:after="0"/>
              <w:rPr>
                <w:sz w:val="11"/>
                <w:szCs w:val="11"/>
                <w:color w:val="auto"/>
              </w:rPr>
            </w:pPr>
          </w:p>
        </w:tc>
      </w:tr>
    </w:tbl>
    <w:p>
      <w:pPr>
        <w:spacing w:after="0" w:line="167" w:lineRule="exact"/>
        <w:rPr>
          <w:sz w:val="24"/>
          <w:szCs w:val="24"/>
          <w:color w:val="auto"/>
        </w:rPr>
      </w:pPr>
    </w:p>
    <w:p>
      <w:pPr>
        <w:jc w:val="both"/>
        <w:ind w:left="160"/>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7" w:lineRule="exact"/>
        <w:rPr>
          <w:sz w:val="24"/>
          <w:szCs w:val="24"/>
          <w:color w:val="auto"/>
        </w:rPr>
      </w:pPr>
    </w:p>
    <w:p>
      <w:pPr>
        <w:jc w:val="both"/>
        <w:ind w:left="160" w:right="20"/>
        <w:spacing w:after="0" w:line="23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340" w:hanging="179"/>
        <w:spacing w:after="0" w:line="161" w:lineRule="exact"/>
        <w:tabs>
          <w:tab w:leader="none" w:pos="3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66" w:lineRule="exact"/>
        <w:rPr>
          <w:sz w:val="24"/>
          <w:szCs w:val="24"/>
          <w:color w:val="auto"/>
        </w:rPr>
      </w:pPr>
    </w:p>
    <w:p>
      <w:pPr>
        <w:jc w:val="both"/>
        <w:ind w:left="160" w:right="20"/>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3" w:lineRule="exact"/>
        <w:rPr>
          <w:sz w:val="24"/>
          <w:szCs w:val="24"/>
          <w:color w:val="auto"/>
        </w:rPr>
      </w:pPr>
    </w:p>
    <w:p>
      <w:pPr>
        <w:ind w:left="160" w:right="520"/>
        <w:spacing w:after="0" w:line="20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50" w:lineRule="exact"/>
        <w:rPr>
          <w:sz w:val="24"/>
          <w:szCs w:val="24"/>
          <w:color w:val="auto"/>
        </w:rPr>
      </w:pPr>
    </w:p>
    <w:p>
      <w:pPr>
        <w:ind w:left="160" w:right="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160" w:right="2040"/>
        <w:spacing w:after="0" w:line="26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Common Stock outstanding as of December 6, 2019: 104,565,333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428625</wp:posOffset>
            </wp:positionV>
            <wp:extent cx="649160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160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wp:posOffset>
            </wp:positionV>
            <wp:extent cx="649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wp:posOffset>
            </wp:positionV>
            <wp:extent cx="649160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1605" cy="34290"/>
                    </a:xfrm>
                    <a:prstGeom prst="rect">
                      <a:avLst/>
                    </a:prstGeom>
                    <a:noFill/>
                  </pic:spPr>
                </pic:pic>
              </a:graphicData>
            </a:graphic>
          </wp:anchor>
        </w:drawing>
      </w:r>
    </w:p>
    <w:p>
      <w:pPr>
        <w:sectPr>
          <w:pgSz w:w="11900" w:h="16838" w:orient="portrait"/>
          <w:cols w:equalWidth="0" w:num="1">
            <w:col w:w="10240"/>
          </w:cols>
          <w:pgMar w:left="920" w:top="665" w:right="739" w:bottom="1440" w:gutter="0" w:footer="0" w:header="0"/>
          <w:type w:val="continuous"/>
        </w:sectPr>
      </w:pPr>
    </w:p>
    <w:bookmarkStart w:id="1" w:name="page2"/>
    <w:bookmarkEnd w:id="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900" w:type="dxa"/>
            <w:vAlign w:val="bottom"/>
            <w:tcBorders>
              <w:top w:val="single" w:sz="8" w:color="CCEEFF"/>
            </w:tcBorders>
            <w:gridSpan w:val="3"/>
            <w:shd w:val="clear" w:color="auto" w:fill="CCEEFF"/>
          </w:tcPr>
          <w:p>
            <w:pPr>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PART I</w:t>
              </w:r>
            </w:hyperlink>
          </w:p>
        </w:tc>
        <w:tc>
          <w:tcPr>
            <w:tcW w:w="7380" w:type="dxa"/>
            <w:vAlign w:val="bottom"/>
            <w:tcBorders>
              <w:top w:val="single" w:sz="8" w:color="CCEEFF"/>
            </w:tcBorders>
            <w:gridSpan w:val="20"/>
            <w:shd w:val="clear" w:color="auto" w:fill="CCEEFF"/>
          </w:tcPr>
          <w:p>
            <w:pPr>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FINANCIAL INFORMATION</w:t>
              </w:r>
            </w:hyperlink>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right w:val="single" w:sz="8" w:color="CCEEFF"/>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620" w:type="dxa"/>
            <w:vAlign w:val="bottom"/>
            <w:gridSpan w:val="16"/>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62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20" w:type="dxa"/>
            <w:vAlign w:val="bottom"/>
            <w:gridSpan w:val="1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62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20" w:type="dxa"/>
            <w:vAlign w:val="bottom"/>
            <w:gridSpan w:val="1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Changes in Shareholders’ Equity</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620" w:type="dxa"/>
            <w:vAlign w:val="bottom"/>
            <w:gridSpan w:val="1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20" w:type="dxa"/>
            <w:vAlign w:val="bottom"/>
            <w:gridSpan w:val="16"/>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23">
              <w:r>
                <w:rPr>
                  <w:rFonts w:ascii="Arial" w:cs="Arial" w:eastAsia="Arial" w:hAnsi="Arial"/>
                  <w:sz w:val="18"/>
                  <w:szCs w:val="18"/>
                  <w:color w:val="0000EE"/>
                  <w:w w:val="98"/>
                </w:rPr>
                <w:t>Item 2.</w:t>
              </w:r>
            </w:hyperlink>
          </w:p>
        </w:tc>
        <w:tc>
          <w:tcPr>
            <w:tcW w:w="200" w:type="dxa"/>
            <w:vAlign w:val="bottom"/>
            <w:tcBorders>
              <w:right w:val="single" w:sz="8" w:color="CCEEFF"/>
            </w:tcBorders>
            <w:gridSpan w:val="2"/>
            <w:shd w:val="clear" w:color="auto" w:fill="CCEEFF"/>
          </w:tcPr>
          <w:p>
            <w:pPr>
              <w:spacing w:after="0"/>
              <w:rPr>
                <w:sz w:val="15"/>
                <w:szCs w:val="15"/>
                <w:color w:val="auto"/>
              </w:rPr>
            </w:pPr>
          </w:p>
        </w:tc>
        <w:tc>
          <w:tcPr>
            <w:tcW w:w="6620" w:type="dxa"/>
            <w:vAlign w:val="bottom"/>
            <w:gridSpan w:val="16"/>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620" w:type="dxa"/>
            <w:vAlign w:val="bottom"/>
            <w:gridSpan w:val="16"/>
            <w:shd w:val="clear" w:color="auto" w:fill="CCEEFF"/>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Operations</w:t>
              </w:r>
            </w:hyperlink>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6620" w:type="dxa"/>
            <w:vAlign w:val="bottom"/>
            <w:gridSpan w:val="16"/>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00" w:type="dxa"/>
            <w:vAlign w:val="bottom"/>
            <w:gridSpan w:val="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PART II</w:t>
              </w:r>
            </w:hyperlink>
          </w:p>
        </w:tc>
        <w:tc>
          <w:tcPr>
            <w:tcW w:w="7380" w:type="dxa"/>
            <w:vAlign w:val="bottom"/>
            <w:gridSpan w:val="20"/>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Item 1.</w:t>
              </w:r>
            </w:hyperlink>
          </w:p>
        </w:tc>
        <w:tc>
          <w:tcPr>
            <w:tcW w:w="200" w:type="dxa"/>
            <w:vAlign w:val="bottom"/>
            <w:tcBorders>
              <w:right w:val="single" w:sz="8" w:color="CCEEFF"/>
            </w:tcBorders>
            <w:gridSpan w:val="2"/>
            <w:shd w:val="clear" w:color="auto" w:fill="CCEEFF"/>
          </w:tcPr>
          <w:p>
            <w:pPr>
              <w:spacing w:after="0"/>
              <w:rPr>
                <w:sz w:val="15"/>
                <w:szCs w:val="15"/>
                <w:color w:val="auto"/>
              </w:rPr>
            </w:pPr>
          </w:p>
        </w:tc>
        <w:tc>
          <w:tcPr>
            <w:tcW w:w="6620" w:type="dxa"/>
            <w:vAlign w:val="bottom"/>
            <w:gridSpan w:val="16"/>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6620" w:type="dxa"/>
            <w:vAlign w:val="bottom"/>
            <w:gridSpan w:val="16"/>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spacing w:after="0" w:line="176"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Item 2.</w:t>
              </w:r>
            </w:hyperlink>
          </w:p>
        </w:tc>
        <w:tc>
          <w:tcPr>
            <w:tcW w:w="200" w:type="dxa"/>
            <w:vAlign w:val="bottom"/>
            <w:tcBorders>
              <w:right w:val="single" w:sz="8" w:color="CCEEFF"/>
            </w:tcBorders>
            <w:gridSpan w:val="2"/>
            <w:shd w:val="clear" w:color="auto" w:fill="CCEEFF"/>
          </w:tcPr>
          <w:p>
            <w:pPr>
              <w:spacing w:after="0"/>
              <w:rPr>
                <w:sz w:val="15"/>
                <w:szCs w:val="15"/>
                <w:color w:val="auto"/>
              </w:rPr>
            </w:pPr>
          </w:p>
        </w:tc>
        <w:tc>
          <w:tcPr>
            <w:tcW w:w="6620" w:type="dxa"/>
            <w:vAlign w:val="bottom"/>
            <w:gridSpan w:val="16"/>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tcPr>
          <w:p>
            <w:pPr>
              <w:spacing w:after="0" w:line="176"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Item 6.</w:t>
              </w:r>
            </w:hyperlink>
          </w:p>
        </w:tc>
        <w:tc>
          <w:tcPr>
            <w:tcW w:w="200" w:type="dxa"/>
            <w:vAlign w:val="bottom"/>
            <w:gridSpan w:val="2"/>
          </w:tcPr>
          <w:p>
            <w:pPr>
              <w:spacing w:after="0"/>
              <w:rPr>
                <w:sz w:val="15"/>
                <w:szCs w:val="15"/>
                <w:color w:val="auto"/>
              </w:rPr>
            </w:pPr>
          </w:p>
        </w:tc>
        <w:tc>
          <w:tcPr>
            <w:tcW w:w="6620" w:type="dxa"/>
            <w:vAlign w:val="bottom"/>
            <w:gridSpan w:val="16"/>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60" w:type="dxa"/>
            <w:vAlign w:val="bottom"/>
            <w:gridSpan w:val="7"/>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SIGNATURE</w:t>
              </w:r>
            </w:hyperlink>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70"/>
        </w:trPr>
        <w:tc>
          <w:tcPr>
            <w:tcW w:w="5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235"/>
              <w:spacing w:after="0"/>
              <w:rPr>
                <w:sz w:val="20"/>
                <w:szCs w:val="20"/>
                <w:color w:val="auto"/>
              </w:rPr>
            </w:pPr>
            <w:r>
              <w:rPr>
                <w:rFonts w:ascii="Arial" w:cs="Arial" w:eastAsia="Arial" w:hAnsi="Arial"/>
                <w:sz w:val="17"/>
                <w:szCs w:val="17"/>
                <w:b w:val="1"/>
                <w:bCs w:val="1"/>
                <w:color w:val="auto"/>
              </w:rPr>
              <w:t>November 2,</w:t>
            </w:r>
          </w:p>
        </w:tc>
        <w:tc>
          <w:tcPr>
            <w:tcW w:w="260" w:type="dxa"/>
            <w:vAlign w:val="bottom"/>
          </w:tcPr>
          <w:p>
            <w:pPr>
              <w:spacing w:after="0"/>
              <w:rPr>
                <w:sz w:val="16"/>
                <w:szCs w:val="16"/>
                <w:color w:val="auto"/>
              </w:rPr>
            </w:pPr>
          </w:p>
        </w:tc>
        <w:tc>
          <w:tcPr>
            <w:tcW w:w="1380" w:type="dxa"/>
            <w:vAlign w:val="bottom"/>
          </w:tcPr>
          <w:p>
            <w:pPr>
              <w:jc w:val="right"/>
              <w:ind w:right="235"/>
              <w:spacing w:after="0"/>
              <w:rPr>
                <w:sz w:val="20"/>
                <w:szCs w:val="20"/>
                <w:color w:val="auto"/>
              </w:rPr>
            </w:pPr>
            <w:r>
              <w:rPr>
                <w:rFonts w:ascii="Arial" w:cs="Arial" w:eastAsia="Arial" w:hAnsi="Arial"/>
                <w:sz w:val="17"/>
                <w:szCs w:val="17"/>
                <w:b w:val="1"/>
                <w:bCs w:val="1"/>
                <w:color w:val="auto"/>
              </w:rPr>
              <w:t>November 3,</w:t>
            </w:r>
          </w:p>
        </w:tc>
        <w:tc>
          <w:tcPr>
            <w:tcW w:w="300" w:type="dxa"/>
            <w:vAlign w:val="bottom"/>
          </w:tcPr>
          <w:p>
            <w:pPr>
              <w:spacing w:after="0"/>
              <w:rPr>
                <w:sz w:val="16"/>
                <w:szCs w:val="16"/>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b w:val="1"/>
                <w:bCs w:val="1"/>
                <w:color w:val="auto"/>
              </w:rPr>
              <w:t>February 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right"/>
              <w:ind w:right="135"/>
              <w:spacing w:after="0" w:line="176" w:lineRule="exact"/>
              <w:rPr>
                <w:sz w:val="20"/>
                <w:szCs w:val="20"/>
                <w:color w:val="auto"/>
              </w:rPr>
            </w:pPr>
            <w:r>
              <w:rPr>
                <w:rFonts w:ascii="Arial" w:cs="Arial" w:eastAsia="Arial" w:hAnsi="Arial"/>
                <w:sz w:val="17"/>
                <w:szCs w:val="17"/>
                <w:b w:val="1"/>
                <w:bCs w:val="1"/>
                <w:color w:val="auto"/>
              </w:rPr>
              <w:t>(Unaudited)</w:t>
            </w:r>
          </w:p>
        </w:tc>
        <w:tc>
          <w:tcPr>
            <w:tcW w:w="260" w:type="dxa"/>
            <w:vAlign w:val="bottom"/>
          </w:tcPr>
          <w:p>
            <w:pPr>
              <w:spacing w:after="0"/>
              <w:rPr>
                <w:sz w:val="15"/>
                <w:szCs w:val="15"/>
                <w:color w:val="auto"/>
              </w:rPr>
            </w:pPr>
          </w:p>
        </w:tc>
        <w:tc>
          <w:tcPr>
            <w:tcW w:w="1380" w:type="dxa"/>
            <w:vAlign w:val="bottom"/>
          </w:tcPr>
          <w:p>
            <w:pPr>
              <w:jc w:val="right"/>
              <w:ind w:right="135"/>
              <w:spacing w:after="0" w:line="176" w:lineRule="exact"/>
              <w:rPr>
                <w:sz w:val="20"/>
                <w:szCs w:val="20"/>
                <w:color w:val="auto"/>
              </w:rPr>
            </w:pPr>
            <w:r>
              <w:rPr>
                <w:rFonts w:ascii="Arial" w:cs="Arial" w:eastAsia="Arial" w:hAnsi="Arial"/>
                <w:sz w:val="17"/>
                <w:szCs w:val="17"/>
                <w:b w:val="1"/>
                <w:bCs w:val="1"/>
                <w:color w:val="auto"/>
              </w:rPr>
              <w:t>(Unaudited)</w:t>
            </w:r>
          </w:p>
        </w:tc>
        <w:tc>
          <w:tcPr>
            <w:tcW w:w="300" w:type="dxa"/>
            <w:vAlign w:val="bottom"/>
          </w:tcPr>
          <w:p>
            <w:pPr>
              <w:spacing w:after="0"/>
              <w:rPr>
                <w:sz w:val="15"/>
                <w:szCs w:val="15"/>
                <w:color w:val="auto"/>
              </w:rPr>
            </w:pPr>
          </w:p>
        </w:tc>
        <w:tc>
          <w:tcPr>
            <w:tcW w:w="1240" w:type="dxa"/>
            <w:vAlign w:val="bottom"/>
          </w:tcPr>
          <w:p>
            <w:pPr>
              <w:jc w:val="right"/>
              <w:ind w:right="475"/>
              <w:spacing w:after="0" w:line="176"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assets:</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00"/>
              <w:spacing w:after="0" w:line="189" w:lineRule="exact"/>
              <w:rPr>
                <w:sz w:val="20"/>
                <w:szCs w:val="20"/>
                <w:color w:val="auto"/>
              </w:rPr>
            </w:pPr>
            <w:r>
              <w:rPr>
                <w:rFonts w:ascii="Arial" w:cs="Arial" w:eastAsia="Arial" w:hAnsi="Arial"/>
                <w:sz w:val="17"/>
                <w:szCs w:val="17"/>
                <w:color w:val="auto"/>
              </w:rPr>
              <w:t>Cash and cash equivalents</w:t>
            </w:r>
          </w:p>
        </w:tc>
        <w:tc>
          <w:tcPr>
            <w:tcW w:w="3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744</w:t>
            </w:r>
          </w:p>
        </w:tc>
        <w:tc>
          <w:tcPr>
            <w:tcW w:w="2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748</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Merchandise inventories</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1,304</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1,305</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Other current assets</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299</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325</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2,347</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2,378</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Property and equipment, net</w:t>
            </w:r>
          </w:p>
        </w:tc>
        <w:tc>
          <w:tcPr>
            <w:tcW w:w="320" w:type="dxa"/>
            <w:vAlign w:val="bottom"/>
          </w:tcPr>
          <w:p>
            <w:pPr>
              <w:spacing w:after="0"/>
              <w:rPr>
                <w:sz w:val="16"/>
                <w:szCs w:val="16"/>
                <w:color w:val="auto"/>
              </w:rPr>
            </w:pPr>
          </w:p>
        </w:tc>
        <w:tc>
          <w:tcPr>
            <w:tcW w:w="13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814</w:t>
            </w:r>
          </w:p>
        </w:tc>
        <w:tc>
          <w:tcPr>
            <w:tcW w:w="260" w:type="dxa"/>
            <w:vAlign w:val="bottom"/>
          </w:tcPr>
          <w:p>
            <w:pPr>
              <w:spacing w:after="0"/>
              <w:rPr>
                <w:sz w:val="16"/>
                <w:szCs w:val="16"/>
                <w:color w:val="auto"/>
              </w:rPr>
            </w:pPr>
          </w:p>
        </w:tc>
        <w:tc>
          <w:tcPr>
            <w:tcW w:w="13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824</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right-of-use assets</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2,956</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Deferred taxes</w:t>
            </w:r>
          </w:p>
        </w:tc>
        <w:tc>
          <w:tcPr>
            <w:tcW w:w="320" w:type="dxa"/>
            <w:vAlign w:val="bottom"/>
          </w:tcPr>
          <w:p>
            <w:pPr>
              <w:spacing w:after="0"/>
              <w:rPr>
                <w:sz w:val="16"/>
                <w:szCs w:val="16"/>
                <w:color w:val="auto"/>
              </w:rPr>
            </w:pPr>
          </w:p>
        </w:tc>
        <w:tc>
          <w:tcPr>
            <w:tcW w:w="13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93</w:t>
            </w:r>
          </w:p>
        </w:tc>
        <w:tc>
          <w:tcPr>
            <w:tcW w:w="260" w:type="dxa"/>
            <w:vAlign w:val="bottom"/>
          </w:tcPr>
          <w:p>
            <w:pPr>
              <w:spacing w:after="0"/>
              <w:rPr>
                <w:sz w:val="16"/>
                <w:szCs w:val="16"/>
                <w:color w:val="auto"/>
              </w:rPr>
            </w:pPr>
          </w:p>
        </w:tc>
        <w:tc>
          <w:tcPr>
            <w:tcW w:w="13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107</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Goodwill</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156</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157</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Other intangible assets, net</w:t>
            </w:r>
          </w:p>
        </w:tc>
        <w:tc>
          <w:tcPr>
            <w:tcW w:w="320" w:type="dxa"/>
            <w:vAlign w:val="bottom"/>
          </w:tcPr>
          <w:p>
            <w:pPr>
              <w:spacing w:after="0"/>
              <w:rPr>
                <w:sz w:val="16"/>
                <w:szCs w:val="16"/>
                <w:color w:val="auto"/>
              </w:rPr>
            </w:pPr>
          </w:p>
        </w:tc>
        <w:tc>
          <w:tcPr>
            <w:tcW w:w="13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21</w:t>
            </w:r>
          </w:p>
        </w:tc>
        <w:tc>
          <w:tcPr>
            <w:tcW w:w="260" w:type="dxa"/>
            <w:vAlign w:val="bottom"/>
          </w:tcPr>
          <w:p>
            <w:pPr>
              <w:spacing w:after="0"/>
              <w:rPr>
                <w:sz w:val="16"/>
                <w:szCs w:val="16"/>
                <w:color w:val="auto"/>
              </w:rPr>
            </w:pPr>
          </w:p>
        </w:tc>
        <w:tc>
          <w:tcPr>
            <w:tcW w:w="13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39</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234</w:t>
            </w:r>
          </w:p>
        </w:tc>
        <w:tc>
          <w:tcPr>
            <w:tcW w:w="2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175</w:t>
            </w: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6,621</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3,680</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3,820</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b w:val="1"/>
                <w:bCs w:val="1"/>
                <w:color w:val="auto"/>
              </w:rPr>
              <w:t>LIABILITIES AND SHAREHOLDERS’ EQUITY</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Current liabilities:</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Accounts payable</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396</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383</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00"/>
              <w:spacing w:after="0" w:line="189" w:lineRule="exact"/>
              <w:rPr>
                <w:sz w:val="20"/>
                <w:szCs w:val="20"/>
                <w:color w:val="auto"/>
              </w:rPr>
            </w:pPr>
            <w:r>
              <w:rPr>
                <w:rFonts w:ascii="Arial" w:cs="Arial" w:eastAsia="Arial" w:hAnsi="Arial"/>
                <w:sz w:val="17"/>
                <w:szCs w:val="17"/>
                <w:color w:val="auto"/>
              </w:rPr>
              <w:t>Accrued and other liabilities</w:t>
            </w:r>
          </w:p>
        </w:tc>
        <w:tc>
          <w:tcPr>
            <w:tcW w:w="320" w:type="dxa"/>
            <w:vAlign w:val="bottom"/>
          </w:tcPr>
          <w:p>
            <w:pPr>
              <w:spacing w:after="0"/>
              <w:rPr>
                <w:sz w:val="16"/>
                <w:szCs w:val="16"/>
                <w:color w:val="auto"/>
              </w:rPr>
            </w:pPr>
          </w:p>
        </w:tc>
        <w:tc>
          <w:tcPr>
            <w:tcW w:w="13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333</w:t>
            </w:r>
          </w:p>
        </w:tc>
        <w:tc>
          <w:tcPr>
            <w:tcW w:w="260" w:type="dxa"/>
            <w:vAlign w:val="bottom"/>
          </w:tcPr>
          <w:p>
            <w:pPr>
              <w:spacing w:after="0"/>
              <w:rPr>
                <w:sz w:val="16"/>
                <w:szCs w:val="16"/>
                <w:color w:val="auto"/>
              </w:rPr>
            </w:pPr>
          </w:p>
        </w:tc>
        <w:tc>
          <w:tcPr>
            <w:tcW w:w="13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312</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Current portion of lease obligations</w:t>
            </w:r>
          </w:p>
        </w:tc>
        <w:tc>
          <w:tcPr>
            <w:tcW w:w="3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508</w:t>
            </w:r>
          </w:p>
        </w:tc>
        <w:tc>
          <w:tcPr>
            <w:tcW w:w="2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right"/>
              <w:ind w:right="95"/>
              <w:spacing w:after="0" w:line="183" w:lineRule="exact"/>
              <w:rPr>
                <w:sz w:val="20"/>
                <w:szCs w:val="20"/>
                <w:color w:val="auto"/>
              </w:rPr>
            </w:pPr>
            <w:r>
              <w:rPr>
                <w:rFonts w:ascii="Arial" w:cs="Arial" w:eastAsia="Arial" w:hAnsi="Arial"/>
                <w:sz w:val="17"/>
                <w:szCs w:val="17"/>
                <w:b w:val="1"/>
                <w:bCs w:val="1"/>
                <w:color w:val="auto"/>
              </w:rPr>
              <w:t>1,237</w:t>
            </w:r>
          </w:p>
        </w:tc>
        <w:tc>
          <w:tcPr>
            <w:tcW w:w="260" w:type="dxa"/>
            <w:vAlign w:val="bottom"/>
          </w:tcPr>
          <w:p>
            <w:pPr>
              <w:spacing w:after="0"/>
              <w:rPr>
                <w:sz w:val="15"/>
                <w:szCs w:val="15"/>
                <w:color w:val="auto"/>
              </w:rPr>
            </w:pPr>
          </w:p>
        </w:tc>
        <w:tc>
          <w:tcPr>
            <w:tcW w:w="1380" w:type="dxa"/>
            <w:vAlign w:val="bottom"/>
          </w:tcPr>
          <w:p>
            <w:pPr>
              <w:jc w:val="right"/>
              <w:ind w:right="95"/>
              <w:spacing w:after="0" w:line="183" w:lineRule="exact"/>
              <w:rPr>
                <w:sz w:val="20"/>
                <w:szCs w:val="20"/>
                <w:color w:val="auto"/>
              </w:rPr>
            </w:pPr>
            <w:r>
              <w:rPr>
                <w:rFonts w:ascii="Arial" w:cs="Arial" w:eastAsia="Arial" w:hAnsi="Arial"/>
                <w:sz w:val="17"/>
                <w:szCs w:val="17"/>
                <w:color w:val="auto"/>
              </w:rPr>
              <w:t>695</w:t>
            </w:r>
          </w:p>
        </w:tc>
        <w:tc>
          <w:tcPr>
            <w:tcW w:w="30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debt</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122</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124</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Long-term lease obligations</w:t>
            </w:r>
          </w:p>
        </w:tc>
        <w:tc>
          <w:tcPr>
            <w:tcW w:w="320" w:type="dxa"/>
            <w:vAlign w:val="bottom"/>
          </w:tcPr>
          <w:p>
            <w:pPr>
              <w:spacing w:after="0"/>
              <w:rPr>
                <w:sz w:val="16"/>
                <w:szCs w:val="16"/>
                <w:color w:val="auto"/>
              </w:rPr>
            </w:pPr>
          </w:p>
        </w:tc>
        <w:tc>
          <w:tcPr>
            <w:tcW w:w="13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2,719</w:t>
            </w:r>
          </w:p>
        </w:tc>
        <w:tc>
          <w:tcPr>
            <w:tcW w:w="260" w:type="dxa"/>
            <w:vAlign w:val="bottom"/>
          </w:tcPr>
          <w:p>
            <w:pPr>
              <w:spacing w:after="0"/>
              <w:rPr>
                <w:sz w:val="16"/>
                <w:szCs w:val="16"/>
                <w:color w:val="auto"/>
              </w:rPr>
            </w:pPr>
          </w:p>
        </w:tc>
        <w:tc>
          <w:tcPr>
            <w:tcW w:w="13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liabilities</w:t>
            </w:r>
          </w:p>
        </w:tc>
        <w:tc>
          <w:tcPr>
            <w:tcW w:w="3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116</w:t>
            </w:r>
          </w:p>
        </w:tc>
        <w:tc>
          <w:tcPr>
            <w:tcW w:w="2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410</w:t>
            </w: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Pr>
          <w:p>
            <w:pPr>
              <w:spacing w:after="0" w:line="183" w:lineRule="exact"/>
              <w:rPr>
                <w:sz w:val="20"/>
                <w:szCs w:val="20"/>
                <w:color w:val="auto"/>
              </w:rPr>
            </w:pPr>
            <w:r>
              <w:rPr>
                <w:rFonts w:ascii="Arial" w:cs="Arial" w:eastAsia="Arial" w:hAnsi="Arial"/>
                <w:sz w:val="17"/>
                <w:szCs w:val="17"/>
                <w:color w:val="auto"/>
              </w:rPr>
              <w:t>Total liabilities</w:t>
            </w:r>
          </w:p>
        </w:tc>
        <w:tc>
          <w:tcPr>
            <w:tcW w:w="320" w:type="dxa"/>
            <w:vAlign w:val="bottom"/>
          </w:tcPr>
          <w:p>
            <w:pPr>
              <w:spacing w:after="0"/>
              <w:rPr>
                <w:sz w:val="15"/>
                <w:szCs w:val="15"/>
                <w:color w:val="auto"/>
              </w:rPr>
            </w:pPr>
          </w:p>
        </w:tc>
        <w:tc>
          <w:tcPr>
            <w:tcW w:w="1380" w:type="dxa"/>
            <w:vAlign w:val="bottom"/>
          </w:tcPr>
          <w:p>
            <w:pPr>
              <w:jc w:val="right"/>
              <w:ind w:right="95"/>
              <w:spacing w:after="0" w:line="183" w:lineRule="exact"/>
              <w:rPr>
                <w:sz w:val="20"/>
                <w:szCs w:val="20"/>
                <w:color w:val="auto"/>
              </w:rPr>
            </w:pPr>
            <w:r>
              <w:rPr>
                <w:rFonts w:ascii="Arial" w:cs="Arial" w:eastAsia="Arial" w:hAnsi="Arial"/>
                <w:sz w:val="17"/>
                <w:szCs w:val="17"/>
                <w:b w:val="1"/>
                <w:bCs w:val="1"/>
                <w:color w:val="auto"/>
              </w:rPr>
              <w:t>4,194</w:t>
            </w:r>
          </w:p>
        </w:tc>
        <w:tc>
          <w:tcPr>
            <w:tcW w:w="260" w:type="dxa"/>
            <w:vAlign w:val="bottom"/>
          </w:tcPr>
          <w:p>
            <w:pPr>
              <w:spacing w:after="0"/>
              <w:rPr>
                <w:sz w:val="15"/>
                <w:szCs w:val="15"/>
                <w:color w:val="auto"/>
              </w:rPr>
            </w:pPr>
          </w:p>
        </w:tc>
        <w:tc>
          <w:tcPr>
            <w:tcW w:w="1380" w:type="dxa"/>
            <w:vAlign w:val="bottom"/>
          </w:tcPr>
          <w:p>
            <w:pPr>
              <w:jc w:val="right"/>
              <w:ind w:right="95"/>
              <w:spacing w:after="0" w:line="183" w:lineRule="exact"/>
              <w:rPr>
                <w:sz w:val="20"/>
                <w:szCs w:val="20"/>
                <w:color w:val="auto"/>
              </w:rPr>
            </w:pPr>
            <w:r>
              <w:rPr>
                <w:rFonts w:ascii="Arial" w:cs="Arial" w:eastAsia="Arial" w:hAnsi="Arial"/>
                <w:sz w:val="17"/>
                <w:szCs w:val="17"/>
                <w:color w:val="auto"/>
              </w:rPr>
              <w:t>1,229</w:t>
            </w:r>
          </w:p>
        </w:tc>
        <w:tc>
          <w:tcPr>
            <w:tcW w:w="30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7"/>
                <w:szCs w:val="17"/>
                <w:color w:val="auto"/>
              </w:rPr>
              <w:t>1,314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Pr>
          <w:p>
            <w:pPr>
              <w:ind w:left="100"/>
              <w:spacing w:after="0" w:line="183" w:lineRule="exact"/>
              <w:rPr>
                <w:sz w:val="20"/>
                <w:szCs w:val="20"/>
                <w:color w:val="auto"/>
              </w:rPr>
            </w:pPr>
            <w:r>
              <w:rPr>
                <w:rFonts w:ascii="Arial" w:cs="Arial" w:eastAsia="Arial" w:hAnsi="Arial"/>
                <w:sz w:val="17"/>
                <w:szCs w:val="17"/>
                <w:color w:val="auto"/>
              </w:rPr>
              <w:t>Common stock and paid-in capital: 113,204,118;</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280"/>
              <w:spacing w:after="0" w:line="189" w:lineRule="exact"/>
              <w:rPr>
                <w:sz w:val="20"/>
                <w:szCs w:val="20"/>
                <w:color w:val="auto"/>
              </w:rPr>
            </w:pPr>
            <w:r>
              <w:rPr>
                <w:rFonts w:ascii="Arial" w:cs="Arial" w:eastAsia="Arial" w:hAnsi="Arial"/>
                <w:sz w:val="17"/>
                <w:szCs w:val="17"/>
                <w:color w:val="auto"/>
              </w:rPr>
              <w:t>121,500,846; and 112,932,605 shares</w:t>
            </w:r>
          </w:p>
        </w:tc>
        <w:tc>
          <w:tcPr>
            <w:tcW w:w="320" w:type="dxa"/>
            <w:vAlign w:val="bottom"/>
          </w:tcPr>
          <w:p>
            <w:pPr>
              <w:spacing w:after="0"/>
              <w:rPr>
                <w:sz w:val="16"/>
                <w:szCs w:val="16"/>
                <w:color w:val="auto"/>
              </w:rPr>
            </w:pPr>
          </w:p>
        </w:tc>
        <w:tc>
          <w:tcPr>
            <w:tcW w:w="138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832</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tcPr>
          <w:p>
            <w:pPr>
              <w:ind w:left="280"/>
              <w:spacing w:after="0"/>
              <w:rPr>
                <w:sz w:val="20"/>
                <w:szCs w:val="20"/>
                <w:color w:val="auto"/>
              </w:rPr>
            </w:pPr>
            <w:r>
              <w:rPr>
                <w:rFonts w:ascii="Arial" w:cs="Arial" w:eastAsia="Arial" w:hAnsi="Arial"/>
                <w:sz w:val="17"/>
                <w:szCs w:val="17"/>
                <w:color w:val="auto"/>
              </w:rPr>
              <w:t>outstanding, respectively</w:t>
            </w:r>
          </w:p>
        </w:tc>
        <w:tc>
          <w:tcPr>
            <w:tcW w:w="3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Arial" w:cs="Arial" w:eastAsia="Arial" w:hAnsi="Arial"/>
                <w:sz w:val="17"/>
                <w:szCs w:val="17"/>
                <w:color w:val="auto"/>
              </w:rPr>
              <w:t>864</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Retained earnings</w:t>
            </w: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2,310</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2,323</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00"/>
              <w:spacing w:after="0" w:line="189" w:lineRule="exact"/>
              <w:rPr>
                <w:sz w:val="20"/>
                <w:szCs w:val="20"/>
                <w:color w:val="auto"/>
              </w:rPr>
            </w:pPr>
            <w:r>
              <w:rPr>
                <w:rFonts w:ascii="Arial" w:cs="Arial" w:eastAsia="Arial" w:hAnsi="Arial"/>
                <w:sz w:val="17"/>
                <w:szCs w:val="17"/>
                <w:color w:val="auto"/>
              </w:rPr>
              <w:t>Accumulated other comprehensive loss</w:t>
            </w:r>
          </w:p>
        </w:tc>
        <w:tc>
          <w:tcPr>
            <w:tcW w:w="320" w:type="dxa"/>
            <w:vAlign w:val="bottom"/>
          </w:tcPr>
          <w:p>
            <w:pPr>
              <w:spacing w:after="0"/>
              <w:rPr>
                <w:sz w:val="16"/>
                <w:szCs w:val="16"/>
                <w:color w:val="auto"/>
              </w:rPr>
            </w:pPr>
          </w:p>
        </w:tc>
        <w:tc>
          <w:tcPr>
            <w:tcW w:w="13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(382)</w:t>
            </w:r>
          </w:p>
        </w:tc>
        <w:tc>
          <w:tcPr>
            <w:tcW w:w="260" w:type="dxa"/>
            <w:vAlign w:val="bottom"/>
          </w:tcPr>
          <w:p>
            <w:pPr>
              <w:spacing w:after="0"/>
              <w:rPr>
                <w:sz w:val="16"/>
                <w:szCs w:val="16"/>
                <w:color w:val="auto"/>
              </w:rPr>
            </w:pPr>
          </w:p>
        </w:tc>
        <w:tc>
          <w:tcPr>
            <w:tcW w:w="13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(361)</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Less: Treasury stock at cost: 8,139,520; 8,109,644;</w:t>
            </w:r>
          </w:p>
        </w:tc>
        <w:tc>
          <w:tcPr>
            <w:tcW w:w="3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(333)</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and 711,024 shares, respectively</w:t>
            </w:r>
          </w:p>
        </w:tc>
        <w:tc>
          <w:tcPr>
            <w:tcW w:w="3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(375)</w:t>
            </w: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shareholders' equity</w:t>
            </w: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2,427</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2,451</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2,506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6,621</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3,680</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340" w:hanging="331"/>
        <w:spacing w:after="0" w:line="223"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balance sheet at February 2, 2019 has been derived from the previously reported audited consolidated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February 2, 2019.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360" w:type="dxa"/>
            <w:vAlign w:val="bottom"/>
            <w:gridSpan w:val="2"/>
          </w:tcPr>
          <w:p>
            <w:pPr>
              <w:ind w:left="220"/>
              <w:spacing w:after="0" w:line="157" w:lineRule="exact"/>
              <w:rPr>
                <w:sz w:val="20"/>
                <w:szCs w:val="20"/>
                <w:color w:val="auto"/>
              </w:rPr>
            </w:pPr>
            <w:r>
              <w:rPr>
                <w:rFonts w:ascii="Arial" w:cs="Arial" w:eastAsia="Arial" w:hAnsi="Arial"/>
                <w:sz w:val="17"/>
                <w:szCs w:val="17"/>
                <w:b w:val="1"/>
                <w:bCs w:val="1"/>
                <w:color w:val="auto"/>
              </w:rPr>
              <w:t>November 2,</w:t>
            </w:r>
          </w:p>
        </w:tc>
        <w:tc>
          <w:tcPr>
            <w:tcW w:w="1240" w:type="dxa"/>
            <w:vAlign w:val="bottom"/>
            <w:gridSpan w:val="2"/>
          </w:tcPr>
          <w:p>
            <w:pPr>
              <w:ind w:left="120"/>
              <w:spacing w:after="0" w:line="157" w:lineRule="exact"/>
              <w:rPr>
                <w:sz w:val="20"/>
                <w:szCs w:val="20"/>
                <w:color w:val="auto"/>
              </w:rPr>
            </w:pPr>
            <w:r>
              <w:rPr>
                <w:rFonts w:ascii="Arial" w:cs="Arial" w:eastAsia="Arial" w:hAnsi="Arial"/>
                <w:sz w:val="17"/>
                <w:szCs w:val="17"/>
                <w:b w:val="1"/>
                <w:bCs w:val="1"/>
                <w:color w:val="auto"/>
              </w:rPr>
              <w:t>November 3,</w:t>
            </w:r>
          </w:p>
        </w:tc>
        <w:tc>
          <w:tcPr>
            <w:tcW w:w="1280" w:type="dxa"/>
            <w:vAlign w:val="bottom"/>
            <w:gridSpan w:val="2"/>
          </w:tcPr>
          <w:p>
            <w:pPr>
              <w:ind w:left="140"/>
              <w:spacing w:after="0" w:line="157" w:lineRule="exact"/>
              <w:rPr>
                <w:sz w:val="20"/>
                <w:szCs w:val="20"/>
                <w:color w:val="auto"/>
              </w:rPr>
            </w:pPr>
            <w:r>
              <w:rPr>
                <w:rFonts w:ascii="Arial" w:cs="Arial" w:eastAsia="Arial" w:hAnsi="Arial"/>
                <w:sz w:val="17"/>
                <w:szCs w:val="17"/>
                <w:b w:val="1"/>
                <w:bCs w:val="1"/>
                <w:color w:val="auto"/>
              </w:rPr>
              <w:t>November 2,</w:t>
            </w:r>
          </w:p>
        </w:tc>
        <w:tc>
          <w:tcPr>
            <w:tcW w:w="1160" w:type="dxa"/>
            <w:vAlign w:val="bottom"/>
            <w:gridSpan w:val="2"/>
          </w:tcPr>
          <w:p>
            <w:pPr>
              <w:ind w:left="120"/>
              <w:spacing w:after="0" w:line="157" w:lineRule="exact"/>
              <w:rPr>
                <w:sz w:val="20"/>
                <w:szCs w:val="20"/>
                <w:color w:val="auto"/>
              </w:rPr>
            </w:pPr>
            <w:r>
              <w:rPr>
                <w:rFonts w:ascii="Arial" w:cs="Arial" w:eastAsia="Arial" w:hAnsi="Arial"/>
                <w:sz w:val="17"/>
                <w:szCs w:val="17"/>
                <w:b w:val="1"/>
                <w:bCs w:val="1"/>
                <w:color w:val="auto"/>
                <w:w w:val="99"/>
              </w:rPr>
              <w:t>November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2018</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2019</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00" w:type="dxa"/>
            <w:vAlign w:val="bottom"/>
            <w:gridSpan w:val="6"/>
          </w:tcPr>
          <w:p>
            <w:pPr>
              <w:ind w:left="780"/>
              <w:spacing w:after="0" w:line="183" w:lineRule="exact"/>
              <w:rPr>
                <w:sz w:val="20"/>
                <w:szCs w:val="20"/>
                <w:color w:val="auto"/>
              </w:rPr>
            </w:pPr>
            <w:r>
              <w:rPr>
                <w:rFonts w:ascii="Arial" w:cs="Arial" w:eastAsia="Arial" w:hAnsi="Arial"/>
                <w:sz w:val="17"/>
                <w:szCs w:val="17"/>
                <w:color w:val="auto"/>
              </w:rPr>
              <w:t>($ in millions, except per share amounts)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1,932</w:t>
            </w:r>
          </w:p>
        </w:tc>
        <w:tc>
          <w:tcPr>
            <w:tcW w:w="3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1,860</w:t>
            </w:r>
          </w:p>
        </w:tc>
        <w:tc>
          <w:tcPr>
            <w:tcW w:w="24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5,784</w:t>
            </w:r>
          </w:p>
        </w:tc>
        <w:tc>
          <w:tcPr>
            <w:tcW w:w="4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5,667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1,312</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1,272</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3,941</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380" w:type="dxa"/>
            <w:vAlign w:val="bottom"/>
          </w:tcPr>
          <w:p>
            <w:pPr>
              <w:spacing w:after="0"/>
              <w:rPr>
                <w:sz w:val="16"/>
                <w:szCs w:val="16"/>
                <w:color w:val="auto"/>
              </w:rPr>
            </w:pP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411</w:t>
            </w:r>
          </w:p>
        </w:tc>
        <w:tc>
          <w:tcPr>
            <w:tcW w:w="320" w:type="dxa"/>
            <w:vAlign w:val="bottom"/>
          </w:tcPr>
          <w:p>
            <w:pPr>
              <w:spacing w:after="0"/>
              <w:rPr>
                <w:sz w:val="16"/>
                <w:szCs w:val="16"/>
                <w:color w:val="auto"/>
              </w:rPr>
            </w:pPr>
          </w:p>
        </w:tc>
        <w:tc>
          <w:tcPr>
            <w:tcW w:w="9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398</w:t>
            </w:r>
          </w:p>
        </w:tc>
        <w:tc>
          <w:tcPr>
            <w:tcW w:w="24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1,220</w:t>
            </w:r>
          </w:p>
        </w:tc>
        <w:tc>
          <w:tcPr>
            <w:tcW w:w="4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1,163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44</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44</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134</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Litigation and other charges</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16</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164</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144</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473</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income, net</w:t>
            </w: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8</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before income taxes</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171</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146</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490</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46</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16</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133</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w:t>
            </w:r>
          </w:p>
        </w:tc>
        <w:tc>
          <w:tcPr>
            <w:tcW w:w="380" w:type="dxa"/>
            <w:vAlign w:val="bottom"/>
            <w:tcBorders>
              <w:bottom w:val="single" w:sz="8" w:color="auto"/>
            </w:tcBorders>
            <w:shd w:val="clear" w:color="auto" w:fill="CCEEFF"/>
          </w:tcPr>
          <w:p>
            <w:pPr>
              <w:ind w:left="200"/>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125</w:t>
            </w:r>
          </w:p>
        </w:tc>
        <w:tc>
          <w:tcPr>
            <w:tcW w:w="3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130</w:t>
            </w:r>
          </w:p>
        </w:tc>
        <w:tc>
          <w:tcPr>
            <w:tcW w:w="24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357</w:t>
            </w:r>
          </w:p>
        </w:tc>
        <w:tc>
          <w:tcPr>
            <w:tcW w:w="4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Basic earnings per share</w:t>
            </w:r>
          </w:p>
        </w:tc>
        <w:tc>
          <w:tcPr>
            <w:tcW w:w="3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1.16</w:t>
            </w:r>
          </w:p>
        </w:tc>
        <w:tc>
          <w:tcPr>
            <w:tcW w:w="3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1.14</w:t>
            </w:r>
          </w:p>
        </w:tc>
        <w:tc>
          <w:tcPr>
            <w:tcW w:w="24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3.24</w:t>
            </w:r>
          </w:p>
        </w:tc>
        <w:tc>
          <w:tcPr>
            <w:tcW w:w="4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Pr>
          <w:p>
            <w:pPr>
              <w:ind w:left="100"/>
              <w:spacing w:after="0" w:line="189" w:lineRule="exact"/>
              <w:rPr>
                <w:sz w:val="20"/>
                <w:szCs w:val="20"/>
                <w:color w:val="auto"/>
              </w:rPr>
            </w:pPr>
            <w:r>
              <w:rPr>
                <w:rFonts w:ascii="Arial" w:cs="Arial" w:eastAsia="Arial" w:hAnsi="Arial"/>
                <w:sz w:val="17"/>
                <w:szCs w:val="17"/>
                <w:color w:val="auto"/>
              </w:rPr>
              <w:t>Weighted-average shares outstanding</w:t>
            </w:r>
          </w:p>
        </w:tc>
        <w:tc>
          <w:tcPr>
            <w:tcW w:w="380" w:type="dxa"/>
            <w:vAlign w:val="bottom"/>
          </w:tcPr>
          <w:p>
            <w:pPr>
              <w:spacing w:after="0"/>
              <w:rPr>
                <w:sz w:val="16"/>
                <w:szCs w:val="16"/>
                <w:color w:val="auto"/>
              </w:rPr>
            </w:pP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106.9</w:t>
            </w:r>
          </w:p>
        </w:tc>
        <w:tc>
          <w:tcPr>
            <w:tcW w:w="320" w:type="dxa"/>
            <w:vAlign w:val="bottom"/>
          </w:tcPr>
          <w:p>
            <w:pPr>
              <w:spacing w:after="0"/>
              <w:rPr>
                <w:sz w:val="16"/>
                <w:szCs w:val="16"/>
                <w:color w:val="auto"/>
              </w:rPr>
            </w:pPr>
          </w:p>
        </w:tc>
        <w:tc>
          <w:tcPr>
            <w:tcW w:w="9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114.5</w:t>
            </w:r>
          </w:p>
        </w:tc>
        <w:tc>
          <w:tcPr>
            <w:tcW w:w="24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110.0</w:t>
            </w:r>
          </w:p>
        </w:tc>
        <w:tc>
          <w:tcPr>
            <w:tcW w:w="4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116.6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tcPr>
          <w:p>
            <w:pPr>
              <w:ind w:left="100"/>
              <w:spacing w:after="0" w:line="189" w:lineRule="exact"/>
              <w:rPr>
                <w:sz w:val="20"/>
                <w:szCs w:val="20"/>
                <w:color w:val="auto"/>
              </w:rPr>
            </w:pPr>
            <w:r>
              <w:rPr>
                <w:rFonts w:ascii="Arial" w:cs="Arial" w:eastAsia="Arial" w:hAnsi="Arial"/>
                <w:sz w:val="17"/>
                <w:szCs w:val="17"/>
                <w:color w:val="auto"/>
              </w:rPr>
              <w:t>Diluted earnings per share</w:t>
            </w:r>
          </w:p>
        </w:tc>
        <w:tc>
          <w:tcPr>
            <w:tcW w:w="380" w:type="dxa"/>
            <w:vAlign w:val="bottom"/>
          </w:tcPr>
          <w:p>
            <w:pPr>
              <w:ind w:left="200"/>
              <w:spacing w:after="0" w:line="189" w:lineRule="exact"/>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1.16</w:t>
            </w:r>
          </w:p>
        </w:tc>
        <w:tc>
          <w:tcPr>
            <w:tcW w:w="320" w:type="dxa"/>
            <w:vAlign w:val="bottom"/>
          </w:tcPr>
          <w:p>
            <w:pPr>
              <w:ind w:left="100"/>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1.14</w:t>
            </w:r>
          </w:p>
        </w:tc>
        <w:tc>
          <w:tcPr>
            <w:tcW w:w="240" w:type="dxa"/>
            <w:vAlign w:val="bottom"/>
          </w:tcPr>
          <w:p>
            <w:pPr>
              <w:ind w:left="120"/>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3.23</w:t>
            </w:r>
          </w:p>
        </w:tc>
        <w:tc>
          <w:tcPr>
            <w:tcW w:w="400" w:type="dxa"/>
            <w:vAlign w:val="bottom"/>
          </w:tcPr>
          <w:p>
            <w:pPr>
              <w:ind w:left="100"/>
              <w:spacing w:after="0" w:line="189"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Weighted-average shares outstanding, assuming</w:t>
            </w:r>
          </w:p>
        </w:tc>
        <w:tc>
          <w:tcPr>
            <w:tcW w:w="3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107.2</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110.5</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dilution</w:t>
            </w: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115.0</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60" w:type="dxa"/>
            <w:vAlign w:val="bottom"/>
            <w:gridSpan w:val="2"/>
          </w:tcPr>
          <w:p>
            <w:pPr>
              <w:ind w:left="120"/>
              <w:spacing w:after="0" w:line="157" w:lineRule="exact"/>
              <w:rPr>
                <w:sz w:val="20"/>
                <w:szCs w:val="20"/>
                <w:color w:val="auto"/>
              </w:rPr>
            </w:pPr>
            <w:r>
              <w:rPr>
                <w:rFonts w:ascii="Arial" w:cs="Arial" w:eastAsia="Arial" w:hAnsi="Arial"/>
                <w:sz w:val="17"/>
                <w:szCs w:val="17"/>
                <w:b w:val="1"/>
                <w:bCs w:val="1"/>
                <w:color w:val="auto"/>
              </w:rPr>
              <w:t>November 2,</w:t>
            </w:r>
          </w:p>
        </w:tc>
        <w:tc>
          <w:tcPr>
            <w:tcW w:w="1260" w:type="dxa"/>
            <w:vAlign w:val="bottom"/>
            <w:gridSpan w:val="2"/>
          </w:tcPr>
          <w:p>
            <w:pPr>
              <w:ind w:left="120"/>
              <w:spacing w:after="0" w:line="157" w:lineRule="exact"/>
              <w:rPr>
                <w:sz w:val="20"/>
                <w:szCs w:val="20"/>
                <w:color w:val="auto"/>
              </w:rPr>
            </w:pPr>
            <w:r>
              <w:rPr>
                <w:rFonts w:ascii="Arial" w:cs="Arial" w:eastAsia="Arial" w:hAnsi="Arial"/>
                <w:sz w:val="17"/>
                <w:szCs w:val="17"/>
                <w:b w:val="1"/>
                <w:bCs w:val="1"/>
                <w:color w:val="auto"/>
              </w:rPr>
              <w:t>November 3,</w:t>
            </w:r>
          </w:p>
        </w:tc>
        <w:tc>
          <w:tcPr>
            <w:tcW w:w="1260" w:type="dxa"/>
            <w:vAlign w:val="bottom"/>
            <w:gridSpan w:val="2"/>
          </w:tcPr>
          <w:p>
            <w:pPr>
              <w:ind w:left="100"/>
              <w:spacing w:after="0" w:line="157" w:lineRule="exact"/>
              <w:rPr>
                <w:sz w:val="20"/>
                <w:szCs w:val="20"/>
                <w:color w:val="auto"/>
              </w:rPr>
            </w:pPr>
            <w:r>
              <w:rPr>
                <w:rFonts w:ascii="Arial" w:cs="Arial" w:eastAsia="Arial" w:hAnsi="Arial"/>
                <w:sz w:val="17"/>
                <w:szCs w:val="17"/>
                <w:b w:val="1"/>
                <w:bCs w:val="1"/>
                <w:color w:val="auto"/>
              </w:rPr>
              <w:t>November 2,</w:t>
            </w:r>
          </w:p>
        </w:tc>
        <w:tc>
          <w:tcPr>
            <w:tcW w:w="1160" w:type="dxa"/>
            <w:vAlign w:val="bottom"/>
            <w:gridSpan w:val="2"/>
          </w:tcPr>
          <w:p>
            <w:pPr>
              <w:ind w:left="120"/>
              <w:spacing w:after="0" w:line="157" w:lineRule="exact"/>
              <w:rPr>
                <w:sz w:val="20"/>
                <w:szCs w:val="20"/>
                <w:color w:val="auto"/>
              </w:rPr>
            </w:pPr>
            <w:r>
              <w:rPr>
                <w:rFonts w:ascii="Arial" w:cs="Arial" w:eastAsia="Arial" w:hAnsi="Arial"/>
                <w:sz w:val="17"/>
                <w:szCs w:val="17"/>
                <w:b w:val="1"/>
                <w:bCs w:val="1"/>
                <w:color w:val="auto"/>
                <w:w w:val="99"/>
              </w:rPr>
              <w:t>November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gridSpan w:val="3"/>
          </w:tcPr>
          <w:p>
            <w:pPr>
              <w:jc w:val="right"/>
              <w:ind w:right="575"/>
              <w:spacing w:after="0" w:line="183" w:lineRule="exact"/>
              <w:rPr>
                <w:sz w:val="20"/>
                <w:szCs w:val="20"/>
                <w:color w:val="auto"/>
              </w:rPr>
            </w:pPr>
            <w:r>
              <w:rPr>
                <w:rFonts w:ascii="Arial" w:cs="Arial" w:eastAsia="Arial" w:hAnsi="Arial"/>
                <w:sz w:val="17"/>
                <w:szCs w:val="17"/>
                <w:color w:val="auto"/>
              </w:rPr>
              <w:t>($ in millions)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income</w:t>
            </w:r>
          </w:p>
        </w:tc>
        <w:tc>
          <w:tcPr>
            <w:tcW w:w="30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125</w:t>
            </w:r>
          </w:p>
        </w:tc>
        <w:tc>
          <w:tcPr>
            <w:tcW w:w="3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130</w:t>
            </w:r>
          </w:p>
        </w:tc>
        <w:tc>
          <w:tcPr>
            <w:tcW w:w="2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357</w:t>
            </w:r>
          </w:p>
        </w:tc>
        <w:tc>
          <w:tcPr>
            <w:tcW w:w="3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Other comprehensive income, net of income tax</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Translation adjustment arising during the period,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ind w:left="280"/>
              <w:spacing w:after="0" w:line="189" w:lineRule="exact"/>
              <w:rPr>
                <w:sz w:val="20"/>
                <w:szCs w:val="20"/>
                <w:color w:val="auto"/>
              </w:rPr>
            </w:pPr>
            <w:r>
              <w:rPr>
                <w:rFonts w:ascii="Arial" w:cs="Arial" w:eastAsia="Arial" w:hAnsi="Arial"/>
                <w:sz w:val="17"/>
                <w:szCs w:val="17"/>
                <w:color w:val="auto"/>
              </w:rPr>
              <w:t>net of income tax (benefit) of $2, $(2), $1, and</w:t>
            </w: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5</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$(9) million, respectively</w:t>
            </w:r>
          </w:p>
        </w:tc>
        <w:tc>
          <w:tcPr>
            <w:tcW w:w="3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w:t>
            </w:r>
          </w:p>
        </w:tc>
        <w:tc>
          <w:tcPr>
            <w:tcW w:w="2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Cash flow hedges: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Pr>
          <w:p>
            <w:pPr>
              <w:ind w:left="100"/>
              <w:spacing w:after="0" w:line="183" w:lineRule="exact"/>
              <w:rPr>
                <w:sz w:val="20"/>
                <w:szCs w:val="20"/>
                <w:color w:val="auto"/>
              </w:rPr>
            </w:pPr>
            <w:r>
              <w:rPr>
                <w:rFonts w:ascii="Arial" w:cs="Arial" w:eastAsia="Arial" w:hAnsi="Arial"/>
                <w:sz w:val="17"/>
                <w:szCs w:val="17"/>
                <w:color w:val="auto"/>
              </w:rPr>
              <w:t>Change in fair value of derivatives, net of income</w:t>
            </w:r>
          </w:p>
        </w:tc>
        <w:tc>
          <w:tcPr>
            <w:tcW w:w="300" w:type="dxa"/>
            <w:vAlign w:val="bottom"/>
          </w:tcPr>
          <w:p>
            <w:pPr>
              <w:spacing w:after="0"/>
              <w:rPr>
                <w:sz w:val="15"/>
                <w:szCs w:val="15"/>
                <w:color w:val="auto"/>
              </w:rPr>
            </w:pPr>
          </w:p>
        </w:tc>
        <w:tc>
          <w:tcPr>
            <w:tcW w:w="96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(5)</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Pr>
          <w:p>
            <w:pPr>
              <w:ind w:left="100"/>
              <w:spacing w:after="0"/>
              <w:rPr>
                <w:sz w:val="20"/>
                <w:szCs w:val="20"/>
                <w:color w:val="auto"/>
              </w:rPr>
            </w:pPr>
            <w:r>
              <w:rPr>
                <w:rFonts w:ascii="Arial" w:cs="Arial" w:eastAsia="Arial" w:hAnsi="Arial"/>
                <w:sz w:val="17"/>
                <w:szCs w:val="17"/>
                <w:color w:val="auto"/>
              </w:rPr>
              <w:t>tax</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Amortization of net actuarial gain/loss and prior</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ind w:left="280"/>
              <w:spacing w:after="0" w:line="189" w:lineRule="exact"/>
              <w:rPr>
                <w:sz w:val="20"/>
                <w:szCs w:val="20"/>
                <w:color w:val="auto"/>
              </w:rPr>
            </w:pPr>
            <w:r>
              <w:rPr>
                <w:rFonts w:ascii="Arial" w:cs="Arial" w:eastAsia="Arial" w:hAnsi="Arial"/>
                <w:sz w:val="17"/>
                <w:szCs w:val="17"/>
                <w:color w:val="auto"/>
              </w:rPr>
              <w:t>service cost included in net periodic benefit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ind w:left="280"/>
              <w:spacing w:after="0" w:line="189" w:lineRule="exact"/>
              <w:rPr>
                <w:sz w:val="20"/>
                <w:szCs w:val="20"/>
                <w:color w:val="auto"/>
              </w:rPr>
            </w:pPr>
            <w:r>
              <w:rPr>
                <w:rFonts w:ascii="Arial" w:cs="Arial" w:eastAsia="Arial" w:hAnsi="Arial"/>
                <w:sz w:val="17"/>
                <w:szCs w:val="17"/>
                <w:color w:val="auto"/>
              </w:rPr>
              <w:t>costs, net of income tax expense of $1, $1, $2,</w:t>
            </w:r>
          </w:p>
        </w:tc>
        <w:tc>
          <w:tcPr>
            <w:tcW w:w="3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6</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and $2 million, respectively</w:t>
            </w:r>
          </w:p>
        </w:tc>
        <w:tc>
          <w:tcPr>
            <w:tcW w:w="3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Pr>
          <w:p>
            <w:pPr>
              <w:ind w:left="100"/>
              <w:spacing w:after="0" w:line="183" w:lineRule="exact"/>
              <w:rPr>
                <w:sz w:val="20"/>
                <w:szCs w:val="20"/>
                <w:color w:val="auto"/>
              </w:rPr>
            </w:pPr>
            <w:r>
              <w:rPr>
                <w:rFonts w:ascii="Arial" w:cs="Arial" w:eastAsia="Arial" w:hAnsi="Arial"/>
                <w:sz w:val="17"/>
                <w:szCs w:val="17"/>
                <w:color w:val="auto"/>
              </w:rPr>
              <w:t>Pension remeasurement and foreign currency</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ind w:left="280"/>
              <w:spacing w:after="0" w:line="189" w:lineRule="exact"/>
              <w:rPr>
                <w:sz w:val="20"/>
                <w:szCs w:val="20"/>
                <w:color w:val="auto"/>
              </w:rPr>
            </w:pPr>
            <w:r>
              <w:rPr>
                <w:rFonts w:ascii="Arial" w:cs="Arial" w:eastAsia="Arial" w:hAnsi="Arial"/>
                <w:sz w:val="17"/>
                <w:szCs w:val="17"/>
                <w:color w:val="auto"/>
              </w:rPr>
              <w:t>fluctuations arising during the year, net of income</w:t>
            </w:r>
          </w:p>
        </w:tc>
        <w:tc>
          <w:tcPr>
            <w:tcW w:w="300" w:type="dxa"/>
            <w:vAlign w:val="bottom"/>
          </w:tcPr>
          <w:p>
            <w:pPr>
              <w:spacing w:after="0"/>
              <w:rPr>
                <w:sz w:val="16"/>
                <w:szCs w:val="16"/>
                <w:color w:val="auto"/>
              </w:rPr>
            </w:pPr>
          </w:p>
        </w:tc>
        <w:tc>
          <w:tcPr>
            <w:tcW w:w="96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tax benefit of $-, $-, $-, and $3, respectively.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Comprehensive income</w:t>
            </w:r>
          </w:p>
        </w:tc>
        <w:tc>
          <w:tcPr>
            <w:tcW w:w="30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127</w:t>
            </w:r>
          </w:p>
        </w:tc>
        <w:tc>
          <w:tcPr>
            <w:tcW w:w="3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109</w:t>
            </w:r>
          </w:p>
        </w:tc>
        <w:tc>
          <w:tcPr>
            <w:tcW w:w="2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345</w:t>
            </w:r>
          </w:p>
        </w:tc>
        <w:tc>
          <w:tcPr>
            <w:tcW w:w="3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FOOT LOCKER,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CHANGES IN SHAREHOLDERS’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Additional Paid-In</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Accumulated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3400" w:type="dxa"/>
            <w:vAlign w:val="bottom"/>
          </w:tcPr>
          <w:p>
            <w:pPr>
              <w:spacing w:after="0"/>
              <w:rPr>
                <w:sz w:val="12"/>
                <w:szCs w:val="12"/>
                <w:color w:val="auto"/>
              </w:rPr>
            </w:pPr>
          </w:p>
        </w:tc>
        <w:tc>
          <w:tcPr>
            <w:tcW w:w="960" w:type="dxa"/>
            <w:vAlign w:val="bottom"/>
            <w:gridSpan w:val="2"/>
          </w:tcPr>
          <w:p>
            <w:pPr>
              <w:jc w:val="center"/>
              <w:ind w:left="232"/>
              <w:spacing w:after="0" w:line="149" w:lineRule="exact"/>
              <w:rPr>
                <w:sz w:val="20"/>
                <w:szCs w:val="20"/>
                <w:color w:val="auto"/>
              </w:rPr>
            </w:pPr>
            <w:r>
              <w:rPr>
                <w:rFonts w:ascii="Arial" w:cs="Arial" w:eastAsia="Arial" w:hAnsi="Arial"/>
                <w:sz w:val="14"/>
                <w:szCs w:val="14"/>
                <w:b w:val="1"/>
                <w:bCs w:val="1"/>
                <w:color w:val="auto"/>
                <w:w w:val="95"/>
              </w:rPr>
              <w:t>Capital &amp;</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7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5"/>
        </w:trPr>
        <w:tc>
          <w:tcPr>
            <w:tcW w:w="3400" w:type="dxa"/>
            <w:vAlign w:val="bottom"/>
          </w:tcPr>
          <w:p>
            <w:pPr>
              <w:spacing w:after="0"/>
              <w:rPr>
                <w:sz w:val="20"/>
                <w:szCs w:val="20"/>
                <w:color w:val="auto"/>
              </w:rPr>
            </w:pPr>
            <w:r>
              <w:rPr>
                <w:rFonts w:ascii="Arial" w:cs="Arial" w:eastAsia="Arial" w:hAnsi="Arial"/>
                <w:sz w:val="14"/>
                <w:szCs w:val="14"/>
                <w:color w:val="auto"/>
              </w:rPr>
              <w:t>Thirteen weeks ended</w:t>
            </w:r>
          </w:p>
        </w:tc>
        <w:tc>
          <w:tcPr>
            <w:tcW w:w="14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Common Stock</w:t>
            </w:r>
          </w:p>
        </w:tc>
        <w:tc>
          <w:tcPr>
            <w:tcW w:w="12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Shareholders'</w:t>
            </w:r>
          </w:p>
        </w:tc>
      </w:tr>
      <w:tr>
        <w:trPr>
          <w:trHeight w:val="142"/>
        </w:trPr>
        <w:tc>
          <w:tcPr>
            <w:tcW w:w="3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(shares in thousands, amounts in millions)</w:t>
            </w:r>
          </w:p>
        </w:tc>
        <w:tc>
          <w:tcPr>
            <w:tcW w:w="6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Shares</w:t>
            </w:r>
          </w:p>
        </w:tc>
        <w:tc>
          <w:tcPr>
            <w:tcW w:w="6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32"/>
              <w:spacing w:after="0" w:line="142" w:lineRule="exact"/>
              <w:rPr>
                <w:sz w:val="20"/>
                <w:szCs w:val="20"/>
                <w:color w:val="auto"/>
              </w:rPr>
            </w:pPr>
            <w:r>
              <w:rPr>
                <w:rFonts w:ascii="Arial" w:cs="Arial" w:eastAsia="Arial" w:hAnsi="Arial"/>
                <w:sz w:val="14"/>
                <w:szCs w:val="14"/>
                <w:b w:val="1"/>
                <w:bCs w:val="1"/>
                <w:color w:val="auto"/>
                <w:w w:val="97"/>
              </w:rPr>
              <w:t>Loss</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32"/>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142"/>
        </w:trPr>
        <w:tc>
          <w:tcPr>
            <w:tcW w:w="3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August 3, 2019</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113,200</w:t>
            </w:r>
          </w:p>
        </w:tc>
        <w:tc>
          <w:tcPr>
            <w:tcW w:w="360" w:type="dxa"/>
            <w:vAlign w:val="bottom"/>
            <w:shd w:val="clear" w:color="auto" w:fill="CCEEFF"/>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825</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w w:val="99"/>
              </w:rPr>
              <w:t>(3,579)</w:t>
            </w:r>
          </w:p>
        </w:tc>
        <w:tc>
          <w:tcPr>
            <w:tcW w:w="24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(155)</w:t>
            </w:r>
          </w:p>
        </w:tc>
        <w:tc>
          <w:tcPr>
            <w:tcW w:w="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2,226</w:t>
            </w:r>
          </w:p>
        </w:tc>
        <w:tc>
          <w:tcPr>
            <w:tcW w:w="18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(384)</w:t>
            </w:r>
          </w:p>
        </w:tc>
        <w:tc>
          <w:tcPr>
            <w:tcW w:w="2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2,512</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Issued under director and stock plans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Share repurchases</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9"/>
              </w:rPr>
              <w:t>(4,561)</w:t>
            </w:r>
          </w:p>
        </w:tc>
        <w:tc>
          <w:tcPr>
            <w:tcW w:w="2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125</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r>
      <w:tr>
        <w:trPr>
          <w:trHeight w:val="148"/>
        </w:trPr>
        <w:tc>
          <w:tcPr>
            <w:tcW w:w="3400" w:type="dxa"/>
            <w:vAlign w:val="bottom"/>
          </w:tcPr>
          <w:p>
            <w:pPr>
              <w:spacing w:after="0" w:line="148" w:lineRule="exact"/>
              <w:rPr>
                <w:sz w:val="20"/>
                <w:szCs w:val="20"/>
                <w:color w:val="auto"/>
              </w:rPr>
            </w:pPr>
            <w:r>
              <w:rPr>
                <w:rFonts w:ascii="Arial" w:cs="Arial" w:eastAsia="Arial" w:hAnsi="Arial"/>
                <w:sz w:val="14"/>
                <w:szCs w:val="14"/>
                <w:color w:val="auto"/>
              </w:rPr>
              <w:t>Cash dividends declared on common stock ($0.38 per</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share)</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 net of tax</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Change in cash flow hedges, net of tax</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r>
      <w:tr>
        <w:trPr>
          <w:trHeight w:val="149"/>
        </w:trPr>
        <w:tc>
          <w:tcPr>
            <w:tcW w:w="34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Pension and postretirement adjustments, net of tax</w:t>
            </w:r>
          </w:p>
        </w:tc>
        <w:tc>
          <w:tcPr>
            <w:tcW w:w="6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2"/>
        </w:trPr>
        <w:tc>
          <w:tcPr>
            <w:tcW w:w="3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at November 2, 2019</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113,204</w:t>
            </w:r>
          </w:p>
        </w:tc>
        <w:tc>
          <w:tcPr>
            <w:tcW w:w="3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832</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9"/>
              </w:rPr>
              <w:t>(8,140)</w:t>
            </w:r>
          </w:p>
        </w:tc>
        <w:tc>
          <w:tcPr>
            <w:tcW w:w="2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(333)</w:t>
            </w:r>
          </w:p>
        </w:tc>
        <w:tc>
          <w:tcPr>
            <w:tcW w:w="2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2,310</w:t>
            </w:r>
          </w:p>
        </w:tc>
        <w:tc>
          <w:tcPr>
            <w:tcW w:w="1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(382)</w:t>
            </w:r>
          </w:p>
        </w:tc>
        <w:tc>
          <w:tcPr>
            <w:tcW w:w="2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2,427</w:t>
            </w:r>
          </w:p>
        </w:tc>
      </w:tr>
      <w:tr>
        <w:trPr>
          <w:trHeight w:val="142"/>
        </w:trPr>
        <w:tc>
          <w:tcPr>
            <w:tcW w:w="3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August 4, 2018</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121,497</w:t>
            </w:r>
          </w:p>
        </w:tc>
        <w:tc>
          <w:tcPr>
            <w:tcW w:w="3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857</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9"/>
              </w:rPr>
              <w:t>(5,869)</w:t>
            </w:r>
          </w:p>
        </w:tc>
        <w:tc>
          <w:tcPr>
            <w:tcW w:w="2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(267)</w:t>
            </w:r>
          </w:p>
        </w:tc>
        <w:tc>
          <w:tcPr>
            <w:tcW w:w="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2,232</w:t>
            </w:r>
          </w:p>
        </w:tc>
        <w:tc>
          <w:tcPr>
            <w:tcW w:w="1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(340)</w:t>
            </w:r>
          </w:p>
        </w:tc>
        <w:tc>
          <w:tcPr>
            <w:tcW w:w="2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2,482</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issued</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r>
      <w:tr>
        <w:trPr>
          <w:trHeight w:val="148"/>
        </w:trPr>
        <w:tc>
          <w:tcPr>
            <w:tcW w:w="34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Shares of common stock used to satisfy tax</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3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withholding obligations</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Share repurchases</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9"/>
              </w:rPr>
              <w:t>(2,237)</w:t>
            </w:r>
          </w:p>
        </w:tc>
        <w:tc>
          <w:tcPr>
            <w:tcW w:w="2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Reissued - Employee Stock Purchase Plan</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130</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r>
      <w:tr>
        <w:trPr>
          <w:trHeight w:val="148"/>
        </w:trPr>
        <w:tc>
          <w:tcPr>
            <w:tcW w:w="34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Cash dividends declared on common stock ($0.345</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share)</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Translation adjustment, net of tax</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r>
      <w:tr>
        <w:trPr>
          <w:trHeight w:val="149"/>
        </w:trPr>
        <w:tc>
          <w:tcPr>
            <w:tcW w:w="34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Pension and postretirement adjustments, net of tax</w:t>
            </w:r>
          </w:p>
        </w:tc>
        <w:tc>
          <w:tcPr>
            <w:tcW w:w="6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2"/>
        </w:trPr>
        <w:tc>
          <w:tcPr>
            <w:tcW w:w="3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at November 3, 2018</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121,500</w:t>
            </w:r>
          </w:p>
        </w:tc>
        <w:tc>
          <w:tcPr>
            <w:tcW w:w="3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864</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9"/>
              </w:rPr>
              <w:t>(8,110)</w:t>
            </w:r>
          </w:p>
        </w:tc>
        <w:tc>
          <w:tcPr>
            <w:tcW w:w="2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(375)</w:t>
            </w:r>
          </w:p>
        </w:tc>
        <w:tc>
          <w:tcPr>
            <w:tcW w:w="2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2,323</w:t>
            </w:r>
          </w:p>
        </w:tc>
        <w:tc>
          <w:tcPr>
            <w:tcW w:w="1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(361)</w:t>
            </w:r>
          </w:p>
        </w:tc>
        <w:tc>
          <w:tcPr>
            <w:tcW w:w="2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2,451</w:t>
            </w:r>
          </w:p>
        </w:tc>
      </w:tr>
      <w:tr>
        <w:trPr>
          <w:trHeight w:val="274"/>
        </w:trPr>
        <w:tc>
          <w:tcPr>
            <w:tcW w:w="3400" w:type="dxa"/>
            <w:vAlign w:val="bottom"/>
          </w:tcPr>
          <w:p>
            <w:pPr>
              <w:spacing w:after="0"/>
              <w:rPr>
                <w:sz w:val="23"/>
                <w:szCs w:val="23"/>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Additional Paid-In</w:t>
            </w: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Accumulated</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49"/>
        </w:trPr>
        <w:tc>
          <w:tcPr>
            <w:tcW w:w="3400" w:type="dxa"/>
            <w:vAlign w:val="bottom"/>
          </w:tcPr>
          <w:p>
            <w:pPr>
              <w:spacing w:after="0"/>
              <w:rPr>
                <w:sz w:val="12"/>
                <w:szCs w:val="12"/>
                <w:color w:val="auto"/>
              </w:rPr>
            </w:pPr>
          </w:p>
        </w:tc>
        <w:tc>
          <w:tcPr>
            <w:tcW w:w="960" w:type="dxa"/>
            <w:vAlign w:val="bottom"/>
            <w:gridSpan w:val="2"/>
          </w:tcPr>
          <w:p>
            <w:pPr>
              <w:jc w:val="center"/>
              <w:ind w:left="232"/>
              <w:spacing w:after="0" w:line="149" w:lineRule="exact"/>
              <w:rPr>
                <w:sz w:val="20"/>
                <w:szCs w:val="20"/>
                <w:color w:val="auto"/>
              </w:rPr>
            </w:pPr>
            <w:r>
              <w:rPr>
                <w:rFonts w:ascii="Arial" w:cs="Arial" w:eastAsia="Arial" w:hAnsi="Arial"/>
                <w:sz w:val="14"/>
                <w:szCs w:val="14"/>
                <w:b w:val="1"/>
                <w:bCs w:val="1"/>
                <w:color w:val="auto"/>
                <w:w w:val="95"/>
              </w:rPr>
              <w:t>Capital &amp;</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7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5"/>
        </w:trPr>
        <w:tc>
          <w:tcPr>
            <w:tcW w:w="3400" w:type="dxa"/>
            <w:vAlign w:val="bottom"/>
          </w:tcPr>
          <w:p>
            <w:pPr>
              <w:spacing w:after="0"/>
              <w:rPr>
                <w:sz w:val="20"/>
                <w:szCs w:val="20"/>
                <w:color w:val="auto"/>
              </w:rPr>
            </w:pPr>
            <w:r>
              <w:rPr>
                <w:rFonts w:ascii="Arial" w:cs="Arial" w:eastAsia="Arial" w:hAnsi="Arial"/>
                <w:sz w:val="14"/>
                <w:szCs w:val="14"/>
                <w:color w:val="auto"/>
              </w:rPr>
              <w:t>Thirty-nine weeks ended</w:t>
            </w:r>
          </w:p>
        </w:tc>
        <w:tc>
          <w:tcPr>
            <w:tcW w:w="14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Common Stock</w:t>
            </w:r>
          </w:p>
        </w:tc>
        <w:tc>
          <w:tcPr>
            <w:tcW w:w="12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Shareholders'</w:t>
            </w:r>
          </w:p>
        </w:tc>
      </w:tr>
      <w:tr>
        <w:trPr>
          <w:trHeight w:val="142"/>
        </w:trPr>
        <w:tc>
          <w:tcPr>
            <w:tcW w:w="3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(shares in thousands, amounts in millions)</w:t>
            </w:r>
          </w:p>
        </w:tc>
        <w:tc>
          <w:tcPr>
            <w:tcW w:w="6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Shares</w:t>
            </w:r>
          </w:p>
        </w:tc>
        <w:tc>
          <w:tcPr>
            <w:tcW w:w="6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32"/>
              <w:spacing w:after="0" w:line="142" w:lineRule="exact"/>
              <w:rPr>
                <w:sz w:val="20"/>
                <w:szCs w:val="20"/>
                <w:color w:val="auto"/>
              </w:rPr>
            </w:pPr>
            <w:r>
              <w:rPr>
                <w:rFonts w:ascii="Arial" w:cs="Arial" w:eastAsia="Arial" w:hAnsi="Arial"/>
                <w:sz w:val="14"/>
                <w:szCs w:val="14"/>
                <w:b w:val="1"/>
                <w:bCs w:val="1"/>
                <w:color w:val="auto"/>
                <w:w w:val="97"/>
              </w:rPr>
              <w:t>Loss</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32"/>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142"/>
        </w:trPr>
        <w:tc>
          <w:tcPr>
            <w:tcW w:w="3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February 2, 2019</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112,933</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(711)</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(37)</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2,104</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(370)</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2,506</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Restricted stock issued</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Issued under director and stock plans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r>
      <w:tr>
        <w:trPr>
          <w:trHeight w:val="148"/>
        </w:trPr>
        <w:tc>
          <w:tcPr>
            <w:tcW w:w="34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Shares of common stock used to satisfy tax</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3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withholding obligations</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Share repurchases</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9"/>
              </w:rPr>
              <w:t>(7,493)</w:t>
            </w:r>
          </w:p>
        </w:tc>
        <w:tc>
          <w:tcPr>
            <w:tcW w:w="2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Reissued - Employee Stock Purchase Plan</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96</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357</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357</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on common stock</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(125)</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Translation adjustment, net of tax</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cash flow hedges, net of tax</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Pension and postretirement adjustments, net of tax</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r>
      <w:tr>
        <w:trPr>
          <w:trHeight w:val="149"/>
        </w:trPr>
        <w:tc>
          <w:tcPr>
            <w:tcW w:w="34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the adoption of Topic 842</w:t>
            </w:r>
          </w:p>
        </w:tc>
        <w:tc>
          <w:tcPr>
            <w:tcW w:w="6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(26)</w:t>
            </w: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r>
      <w:tr>
        <w:trPr>
          <w:trHeight w:val="142"/>
        </w:trPr>
        <w:tc>
          <w:tcPr>
            <w:tcW w:w="3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at November 2, 2019</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113,204</w:t>
            </w:r>
          </w:p>
        </w:tc>
        <w:tc>
          <w:tcPr>
            <w:tcW w:w="3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832</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9"/>
              </w:rPr>
              <w:t>(8,140)</w:t>
            </w:r>
          </w:p>
        </w:tc>
        <w:tc>
          <w:tcPr>
            <w:tcW w:w="2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(333)</w:t>
            </w:r>
          </w:p>
        </w:tc>
        <w:tc>
          <w:tcPr>
            <w:tcW w:w="2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2,310</w:t>
            </w:r>
          </w:p>
        </w:tc>
        <w:tc>
          <w:tcPr>
            <w:tcW w:w="1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(382)</w:t>
            </w:r>
          </w:p>
        </w:tc>
        <w:tc>
          <w:tcPr>
            <w:tcW w:w="2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2,427</w:t>
            </w:r>
          </w:p>
        </w:tc>
      </w:tr>
      <w:tr>
        <w:trPr>
          <w:trHeight w:val="142"/>
        </w:trPr>
        <w:tc>
          <w:tcPr>
            <w:tcW w:w="3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February 3, 2018</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121,262</w:t>
            </w:r>
          </w:p>
        </w:tc>
        <w:tc>
          <w:tcPr>
            <w:tcW w:w="3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842</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9"/>
              </w:rPr>
              <w:t>(1,433)</w:t>
            </w:r>
          </w:p>
        </w:tc>
        <w:tc>
          <w:tcPr>
            <w:tcW w:w="2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(63)</w:t>
            </w:r>
          </w:p>
        </w:tc>
        <w:tc>
          <w:tcPr>
            <w:tcW w:w="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(279)</w:t>
            </w:r>
          </w:p>
        </w:tc>
        <w:tc>
          <w:tcPr>
            <w:tcW w:w="2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2,519</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issued</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Issued under director and stock plans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48"/>
        </w:trPr>
        <w:tc>
          <w:tcPr>
            <w:tcW w:w="3400" w:type="dxa"/>
            <w:vAlign w:val="bottom"/>
          </w:tcPr>
          <w:p>
            <w:pPr>
              <w:spacing w:after="0" w:line="148" w:lineRule="exact"/>
              <w:rPr>
                <w:sz w:val="20"/>
                <w:szCs w:val="20"/>
                <w:color w:val="auto"/>
              </w:rPr>
            </w:pPr>
            <w:r>
              <w:rPr>
                <w:rFonts w:ascii="Arial" w:cs="Arial" w:eastAsia="Arial" w:hAnsi="Arial"/>
                <w:sz w:val="14"/>
                <w:szCs w:val="14"/>
                <w:color w:val="auto"/>
              </w:rPr>
              <w:t>Shares of common stock used to satisfy tax</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3400" w:type="dxa"/>
            <w:vAlign w:val="bottom"/>
          </w:tcPr>
          <w:p>
            <w:pPr>
              <w:ind w:left="200"/>
              <w:spacing w:after="0" w:line="149" w:lineRule="exact"/>
              <w:rPr>
                <w:sz w:val="20"/>
                <w:szCs w:val="20"/>
                <w:color w:val="auto"/>
              </w:rPr>
            </w:pPr>
            <w:r>
              <w:rPr>
                <w:rFonts w:ascii="Arial" w:cs="Arial" w:eastAsia="Arial" w:hAnsi="Arial"/>
                <w:sz w:val="14"/>
                <w:szCs w:val="14"/>
                <w:color w:val="auto"/>
              </w:rPr>
              <w:t>withholding obligations</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w:t>
            </w:r>
          </w:p>
        </w:tc>
        <w:tc>
          <w:tcPr>
            <w:tcW w:w="24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repurchases</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9"/>
              </w:rPr>
              <w:t>(6,689)</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(313)</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Reissued - Employee Stock Purchase Plan</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48</w:t>
            </w: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383</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Cash dividends declared on common stock</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 net of tax</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(81)</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Change in cash flow hedges, net of tax</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and postretirement adjustments, net of tax</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Cumulative effect of the adoption of ASU 2014-09</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r>
      <w:tr>
        <w:trPr>
          <w:trHeight w:val="149"/>
        </w:trPr>
        <w:tc>
          <w:tcPr>
            <w:tcW w:w="34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the adoption of ASU 2016-16</w:t>
            </w:r>
          </w:p>
        </w:tc>
        <w:tc>
          <w:tcPr>
            <w:tcW w:w="6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w:t>
            </w: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r>
      <w:tr>
        <w:trPr>
          <w:trHeight w:val="155"/>
        </w:trPr>
        <w:tc>
          <w:tcPr>
            <w:tcW w:w="34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November 3, 2018</w:t>
            </w: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121,500</w:t>
            </w:r>
          </w:p>
        </w:tc>
        <w:tc>
          <w:tcPr>
            <w:tcW w:w="3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864</w:t>
            </w:r>
          </w:p>
        </w:tc>
        <w:tc>
          <w:tcPr>
            <w:tcW w:w="180" w:type="dxa"/>
            <w:vAlign w:val="bottom"/>
          </w:tcPr>
          <w:p>
            <w:pPr>
              <w:spacing w:after="0"/>
              <w:rPr>
                <w:sz w:val="13"/>
                <w:szCs w:val="13"/>
                <w:color w:val="auto"/>
              </w:rPr>
            </w:pPr>
          </w:p>
        </w:tc>
        <w:tc>
          <w:tcPr>
            <w:tcW w:w="56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w w:val="99"/>
              </w:rPr>
              <w:t>(8,110)</w:t>
            </w:r>
          </w:p>
        </w:tc>
        <w:tc>
          <w:tcPr>
            <w:tcW w:w="24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(375)</w:t>
            </w:r>
          </w:p>
        </w:tc>
        <w:tc>
          <w:tcPr>
            <w:tcW w:w="2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rPr>
              <w:t>2,323</w:t>
            </w:r>
          </w:p>
        </w:tc>
        <w:tc>
          <w:tcPr>
            <w:tcW w:w="180" w:type="dxa"/>
            <w:vAlign w:val="bottom"/>
          </w:tcPr>
          <w:p>
            <w:pPr>
              <w:ind w:left="100"/>
              <w:spacing w:after="0" w:line="155" w:lineRule="exact"/>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rPr>
              <w:t>(361)</w:t>
            </w:r>
          </w:p>
        </w:tc>
        <w:tc>
          <w:tcPr>
            <w:tcW w:w="26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574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2" w:lineRule="exact"/>
        <w:rPr>
          <w:sz w:val="20"/>
          <w:szCs w:val="20"/>
          <w:color w:val="auto"/>
        </w:rPr>
      </w:pPr>
    </w:p>
    <w:p>
      <w:pPr>
        <w:ind w:left="6600"/>
        <w:spacing w:after="0"/>
        <w:rPr>
          <w:sz w:val="20"/>
          <w:szCs w:val="20"/>
          <w:color w:val="auto"/>
        </w:rPr>
      </w:pPr>
      <w:r>
        <w:rPr>
          <w:rFonts w:ascii="Arial" w:cs="Arial" w:eastAsia="Arial" w:hAnsi="Arial"/>
          <w:sz w:val="17"/>
          <w:szCs w:val="17"/>
          <w:b w:val="1"/>
          <w:bCs w:val="1"/>
          <w:color w:val="auto"/>
        </w:rPr>
        <w:t>Thirty-nine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9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195"/>
              <w:spacing w:after="0" w:line="157" w:lineRule="exact"/>
              <w:rPr>
                <w:sz w:val="20"/>
                <w:szCs w:val="20"/>
                <w:color w:val="auto"/>
              </w:rPr>
            </w:pPr>
            <w:r>
              <w:rPr>
                <w:rFonts w:ascii="Arial" w:cs="Arial" w:eastAsia="Arial" w:hAnsi="Arial"/>
                <w:sz w:val="17"/>
                <w:szCs w:val="17"/>
                <w:b w:val="1"/>
                <w:bCs w:val="1"/>
                <w:color w:val="auto"/>
              </w:rPr>
              <w:t>November 2,</w:t>
            </w: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75"/>
              <w:spacing w:after="0" w:line="157" w:lineRule="exact"/>
              <w:rPr>
                <w:sz w:val="20"/>
                <w:szCs w:val="20"/>
                <w:color w:val="auto"/>
              </w:rPr>
            </w:pPr>
            <w:r>
              <w:rPr>
                <w:rFonts w:ascii="Arial" w:cs="Arial" w:eastAsia="Arial" w:hAnsi="Arial"/>
                <w:sz w:val="17"/>
                <w:szCs w:val="17"/>
                <w:b w:val="1"/>
                <w:bCs w:val="1"/>
                <w:color w:val="auto"/>
              </w:rPr>
              <w:t>November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3"/>
          </w:tcPr>
          <w:p>
            <w:pPr>
              <w:jc w:val="right"/>
              <w:ind w:right="755"/>
              <w:spacing w:after="0" w:line="183" w:lineRule="exact"/>
              <w:rPr>
                <w:sz w:val="20"/>
                <w:szCs w:val="20"/>
                <w:color w:val="auto"/>
              </w:rPr>
            </w:pPr>
            <w:r>
              <w:rPr>
                <w:rFonts w:ascii="Arial" w:cs="Arial" w:eastAsia="Arial" w:hAnsi="Arial"/>
                <w:sz w:val="17"/>
                <w:szCs w:val="17"/>
                <w:color w:val="auto"/>
              </w:rPr>
              <w:t>($ in millions)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From operating activities: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100"/>
              <w:spacing w:after="0" w:line="189" w:lineRule="exact"/>
              <w:rPr>
                <w:sz w:val="20"/>
                <w:szCs w:val="20"/>
                <w:color w:val="auto"/>
              </w:rPr>
            </w:pPr>
            <w:r>
              <w:rPr>
                <w:rFonts w:ascii="Arial" w:cs="Arial" w:eastAsia="Arial" w:hAnsi="Arial"/>
                <w:sz w:val="17"/>
                <w:szCs w:val="17"/>
                <w:color w:val="auto"/>
              </w:rPr>
              <w:t>Net income</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357</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Adjustments to reconcile net income to net cash provided by operating</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activities: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200"/>
              <w:spacing w:after="0" w:line="189" w:lineRule="exact"/>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6"/>
                <w:szCs w:val="16"/>
                <w:color w:val="auto"/>
              </w:rPr>
            </w:pPr>
          </w:p>
        </w:tc>
        <w:tc>
          <w:tcPr>
            <w:tcW w:w="13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134</w:t>
            </w: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Non-cash gain</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200"/>
              <w:spacing w:after="0" w:line="189" w:lineRule="exact"/>
              <w:rPr>
                <w:sz w:val="20"/>
                <w:szCs w:val="20"/>
                <w:color w:val="auto"/>
              </w:rPr>
            </w:pPr>
            <w:r>
              <w:rPr>
                <w:rFonts w:ascii="Arial" w:cs="Arial" w:eastAsia="Arial" w:hAnsi="Arial"/>
                <w:sz w:val="17"/>
                <w:szCs w:val="17"/>
                <w:color w:val="auto"/>
              </w:rPr>
              <w:t>Share-based compensation expense</w:t>
            </w:r>
          </w:p>
        </w:tc>
        <w:tc>
          <w:tcPr>
            <w:tcW w:w="280" w:type="dxa"/>
            <w:vAlign w:val="bottom"/>
          </w:tcPr>
          <w:p>
            <w:pPr>
              <w:spacing w:after="0"/>
              <w:rPr>
                <w:sz w:val="16"/>
                <w:szCs w:val="16"/>
                <w:color w:val="auto"/>
              </w:rPr>
            </w:pPr>
          </w:p>
        </w:tc>
        <w:tc>
          <w:tcPr>
            <w:tcW w:w="13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19</w:t>
            </w: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Qualified pension plan contributions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(55)</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200"/>
              <w:spacing w:after="0" w:line="189" w:lineRule="exact"/>
              <w:rPr>
                <w:sz w:val="20"/>
                <w:szCs w:val="20"/>
                <w:color w:val="auto"/>
              </w:rPr>
            </w:pPr>
            <w:r>
              <w:rPr>
                <w:rFonts w:ascii="Arial" w:cs="Arial" w:eastAsia="Arial" w:hAnsi="Arial"/>
                <w:sz w:val="17"/>
                <w:szCs w:val="17"/>
                <w:color w:val="auto"/>
              </w:rPr>
              <w:t>Change in assets and liabilities:</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Merchandise inventories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(42)</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320"/>
              <w:spacing w:after="0" w:line="189" w:lineRule="exact"/>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16"/>
                <w:szCs w:val="16"/>
                <w:color w:val="auto"/>
              </w:rPr>
            </w:pPr>
          </w:p>
        </w:tc>
        <w:tc>
          <w:tcPr>
            <w:tcW w:w="13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12</w:t>
            </w: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Accrued and other liabilities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(36)</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320"/>
              <w:spacing w:after="0" w:line="189" w:lineRule="exact"/>
              <w:rPr>
                <w:sz w:val="20"/>
                <w:szCs w:val="20"/>
                <w:color w:val="auto"/>
              </w:rPr>
            </w:pPr>
            <w:r>
              <w:rPr>
                <w:rFonts w:ascii="Arial" w:cs="Arial" w:eastAsia="Arial" w:hAnsi="Arial"/>
                <w:sz w:val="17"/>
                <w:szCs w:val="17"/>
                <w:color w:val="auto"/>
              </w:rPr>
              <w:t>Pension litigation accrual</w:t>
            </w:r>
          </w:p>
        </w:tc>
        <w:tc>
          <w:tcPr>
            <w:tcW w:w="280" w:type="dxa"/>
            <w:vAlign w:val="bottom"/>
          </w:tcPr>
          <w:p>
            <w:pPr>
              <w:spacing w:after="0"/>
              <w:rPr>
                <w:sz w:val="16"/>
                <w:szCs w:val="16"/>
                <w:color w:val="auto"/>
              </w:rPr>
            </w:pPr>
          </w:p>
        </w:tc>
        <w:tc>
          <w:tcPr>
            <w:tcW w:w="13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Class counsel fees paid in connection with pension litigation</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Borders>
              <w:bottom w:val="single" w:sz="8" w:color="auto"/>
            </w:tcBorders>
          </w:tcPr>
          <w:p>
            <w:pPr>
              <w:ind w:left="320"/>
              <w:spacing w:after="0" w:line="189" w:lineRule="exact"/>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12</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397</w:t>
            </w: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From investing activities: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100"/>
              <w:spacing w:after="0" w:line="189" w:lineRule="exact"/>
              <w:rPr>
                <w:sz w:val="20"/>
                <w:szCs w:val="20"/>
                <w:color w:val="auto"/>
              </w:rPr>
            </w:pPr>
            <w:r>
              <w:rPr>
                <w:rFonts w:ascii="Arial" w:cs="Arial" w:eastAsia="Arial" w:hAnsi="Arial"/>
                <w:sz w:val="17"/>
                <w:szCs w:val="17"/>
                <w:color w:val="auto"/>
              </w:rPr>
              <w:t>Capital expenditures</w:t>
            </w:r>
          </w:p>
        </w:tc>
        <w:tc>
          <w:tcPr>
            <w:tcW w:w="280" w:type="dxa"/>
            <w:vAlign w:val="bottom"/>
          </w:tcPr>
          <w:p>
            <w:pPr>
              <w:spacing w:after="0"/>
              <w:rPr>
                <w:sz w:val="16"/>
                <w:szCs w:val="16"/>
                <w:color w:val="auto"/>
              </w:rPr>
            </w:pPr>
          </w:p>
        </w:tc>
        <w:tc>
          <w:tcPr>
            <w:tcW w:w="13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(126)</w:t>
            </w: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Minority investments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(48)</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Insurance proceeds related to loss on property and equipment</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(174)</w:t>
            </w: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From financing activities: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100"/>
              <w:spacing w:after="0" w:line="189" w:lineRule="exact"/>
              <w:rPr>
                <w:sz w:val="20"/>
                <w:szCs w:val="20"/>
                <w:color w:val="auto"/>
              </w:rPr>
            </w:pPr>
            <w:r>
              <w:rPr>
                <w:rFonts w:ascii="Arial" w:cs="Arial" w:eastAsia="Arial" w:hAnsi="Arial"/>
                <w:sz w:val="17"/>
                <w:szCs w:val="17"/>
                <w:color w:val="auto"/>
              </w:rPr>
              <w:t>Purchase of treasury shares</w:t>
            </w:r>
          </w:p>
        </w:tc>
        <w:tc>
          <w:tcPr>
            <w:tcW w:w="280" w:type="dxa"/>
            <w:vAlign w:val="bottom"/>
          </w:tcPr>
          <w:p>
            <w:pPr>
              <w:spacing w:after="0"/>
              <w:rPr>
                <w:sz w:val="16"/>
                <w:szCs w:val="16"/>
                <w:color w:val="auto"/>
              </w:rPr>
            </w:pPr>
          </w:p>
        </w:tc>
        <w:tc>
          <w:tcPr>
            <w:tcW w:w="13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(300)</w:t>
            </w: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Dividends paid on common stock</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(125)</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100"/>
              <w:spacing w:after="0" w:line="189" w:lineRule="exact"/>
              <w:rPr>
                <w:sz w:val="20"/>
                <w:szCs w:val="20"/>
                <w:color w:val="auto"/>
              </w:rPr>
            </w:pPr>
            <w:r>
              <w:rPr>
                <w:rFonts w:ascii="Arial" w:cs="Arial" w:eastAsia="Arial" w:hAnsi="Arial"/>
                <w:sz w:val="17"/>
                <w:szCs w:val="17"/>
                <w:color w:val="auto"/>
              </w:rPr>
              <w:t>Proceeds from exercise of stock options</w:t>
            </w:r>
          </w:p>
        </w:tc>
        <w:tc>
          <w:tcPr>
            <w:tcW w:w="280" w:type="dxa"/>
            <w:vAlign w:val="bottom"/>
          </w:tcPr>
          <w:p>
            <w:pPr>
              <w:spacing w:after="0"/>
              <w:rPr>
                <w:sz w:val="16"/>
                <w:szCs w:val="16"/>
                <w:color w:val="auto"/>
              </w:rPr>
            </w:pPr>
          </w:p>
        </w:tc>
        <w:tc>
          <w:tcPr>
            <w:tcW w:w="13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5</w:t>
            </w: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Treasury stock reissued under employee stock plan</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Shares of common stock repurchased to satisfy tax withholding obligations</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used in financing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(419)</w:t>
            </w: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9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Effect of exchange rate fluctuations on cash, cash equivalents, and restricted</w:t>
            </w:r>
          </w:p>
        </w:tc>
        <w:tc>
          <w:tcPr>
            <w:tcW w:w="2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cash</w:t>
            </w:r>
          </w:p>
        </w:tc>
        <w:tc>
          <w:tcPr>
            <w:tcW w:w="2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line="183" w:lineRule="exact"/>
              <w:rPr>
                <w:sz w:val="20"/>
                <w:szCs w:val="20"/>
                <w:color w:val="auto"/>
              </w:rPr>
            </w:pPr>
            <w:r>
              <w:rPr>
                <w:rFonts w:ascii="Arial" w:cs="Arial" w:eastAsia="Arial" w:hAnsi="Arial"/>
                <w:sz w:val="17"/>
                <w:szCs w:val="17"/>
                <w:color w:val="auto"/>
              </w:rPr>
              <w:t>Net change in cash, cash equivalents, and restricted cash</w:t>
            </w:r>
          </w:p>
        </w:tc>
        <w:tc>
          <w:tcPr>
            <w:tcW w:w="280" w:type="dxa"/>
            <w:vAlign w:val="bottom"/>
          </w:tcPr>
          <w:p>
            <w:pPr>
              <w:spacing w:after="0"/>
              <w:rPr>
                <w:sz w:val="15"/>
                <w:szCs w:val="15"/>
                <w:color w:val="auto"/>
              </w:rPr>
            </w:pPr>
          </w:p>
        </w:tc>
        <w:tc>
          <w:tcPr>
            <w:tcW w:w="1340" w:type="dxa"/>
            <w:vAlign w:val="bottom"/>
          </w:tcPr>
          <w:p>
            <w:pPr>
              <w:jc w:val="right"/>
              <w:ind w:right="35"/>
              <w:spacing w:after="0" w:line="183" w:lineRule="exact"/>
              <w:rPr>
                <w:sz w:val="20"/>
                <w:szCs w:val="20"/>
                <w:color w:val="auto"/>
              </w:rPr>
            </w:pPr>
            <w:r>
              <w:rPr>
                <w:rFonts w:ascii="Arial" w:cs="Arial" w:eastAsia="Arial" w:hAnsi="Arial"/>
                <w:sz w:val="17"/>
                <w:szCs w:val="17"/>
                <w:b w:val="1"/>
                <w:bCs w:val="1"/>
                <w:color w:val="auto"/>
              </w:rPr>
              <w:t>(202)</w:t>
            </w:r>
          </w:p>
        </w:tc>
        <w:tc>
          <w:tcPr>
            <w:tcW w:w="24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Cash, cash equivalents, and restricted cash at beginning of year</w:t>
            </w:r>
          </w:p>
        </w:tc>
        <w:tc>
          <w:tcPr>
            <w:tcW w:w="2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981</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779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60" w:type="dxa"/>
            <w:vAlign w:val="bottom"/>
          </w:tcPr>
          <w:p>
            <w:pPr>
              <w:spacing w:after="0" w:line="189" w:lineRule="exact"/>
              <w:rPr>
                <w:sz w:val="20"/>
                <w:szCs w:val="20"/>
                <w:color w:val="auto"/>
              </w:rPr>
            </w:pPr>
            <w:r>
              <w:rPr>
                <w:rFonts w:ascii="Arial" w:cs="Arial" w:eastAsia="Arial" w:hAnsi="Arial"/>
                <w:sz w:val="17"/>
                <w:szCs w:val="17"/>
                <w:b w:val="1"/>
                <w:bCs w:val="1"/>
                <w:color w:val="auto"/>
              </w:rPr>
              <w:t>Cash paid during the year:</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Interest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5</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Income taxes</w:t>
            </w:r>
          </w:p>
        </w:tc>
        <w:tc>
          <w:tcPr>
            <w:tcW w:w="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163</w:t>
            </w:r>
          </w:p>
        </w:tc>
        <w:tc>
          <w:tcPr>
            <w:tcW w:w="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presented. As used in these Notes to Condensed Consolidated Financial Statements (Unaudited) the terms “Foot Locker,” “Company,” “we,” “our,” and “us” refer to Foot Locker, Inc. and its consolidated subsidiaries.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(“GAAP”) requires us to make estimates and assumptions that affect the amounts reported in the accompanying Condensed Consolidated Financial Statements (Unaudited) and these Notes and related disclosures.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Form 10-K for the year ended February 2, 2019, as filed with the U.S. Securities and Exchange Commission (the “SEC”) on April 2, 2019.</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Other than the changes to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policies as a result of the recently adopted accounting standards discussed below, there were no significant changes to the policies disclosed in Note 1,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our Annual Report on Form 10-K for the year ended February 2,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This ASU requires lessees to recognize a lease liability and a right-of-use asset on a discounted basis, for substantially all leases, as well as additional disclosures regarding leasing arrangements. In July 2018, the FASB issued ASU 2018-11,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improvements, </w:t>
      </w:r>
      <w:r>
        <w:rPr>
          <w:rFonts w:ascii="Arial" w:cs="Arial" w:eastAsia="Arial" w:hAnsi="Arial"/>
          <w:sz w:val="18"/>
          <w:szCs w:val="18"/>
          <w:color w:val="auto"/>
        </w:rPr>
        <w:t>which provides an optional transition method of applying the new lease standard. Topic</w:t>
      </w:r>
      <w:r>
        <w:rPr>
          <w:rFonts w:ascii="Arial" w:cs="Arial" w:eastAsia="Arial" w:hAnsi="Arial"/>
          <w:sz w:val="18"/>
          <w:szCs w:val="18"/>
          <w:i w:val="1"/>
          <w:iCs w:val="1"/>
          <w:color w:val="auto"/>
        </w:rPr>
        <w:t xml:space="preserve"> </w:t>
      </w:r>
      <w:r>
        <w:rPr>
          <w:rFonts w:ascii="Arial" w:cs="Arial" w:eastAsia="Arial" w:hAnsi="Arial"/>
          <w:sz w:val="18"/>
          <w:szCs w:val="18"/>
          <w:color w:val="auto"/>
        </w:rPr>
        <w:t>842 can be applied using either a modified retrospective approach at the beginning of the earliest period presented, or as permitted by ASU 2018-11, at the beginning of the period in which it is adopted.</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adopted Topic 842 on February 3, 2019 (the “effective date”) using the optional transition method, which applies Topic 842 at the beginning of the period in which it is adopted. Prior period amounts have not been adjusted in connection with the adoption of this standard. The Company elected the package of practical expedients under the new standard, which permits companies to not reassess lease classification, lease identification, or initial direct costs for existing or expired leases prior to the effective date. We have lease agreements with non-lease components that relate to the lease components. The Company elected the practical expedient to account for non-lease components and the lease components to which they relate, as a single lease component for all classes of underlying assets. Also, the Company elected to keep short-term leases with an initial term of twelve months or less off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Upon adoption of this new standard, as of February 3, 2019, the Company recorded right-of-use assets and lease obligations on the Condensed Consolidated Balance Sheet for our operating leases of $3,148 million and $ 3,422 million, respectively. As part of adopting the standard, previously recognized liabilities for deferred rent and lease incentives were reclassified as a component of the right-of-use assets. Additionally upon adoption, we evaluated right-of-use assets for impairment and determined that approximately $29 million of impairment was required related to newly recognized right-of-use assets that would have been impaired in previous periods. This impairment of the right-of-use asset as of February 3, 2019 was recorded, net of related income tax effects, as a $26 million reduction of beginning retained earnings. The standard did not significantly affect our Condensed Consolidated Statements of Operations, Comprehensive Income, or Cash Flows.</w:t>
      </w:r>
    </w:p>
    <w:p>
      <w:pPr>
        <w:spacing w:after="0" w:line="20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Store revenue is recognized at the point of sale and includes merchandise, net of returns, and excludes taxes. Revenue from layaway sales is recognized when the customer receives the product, rather than when the initial deposit is paid. Revenue for merchandise that is shipped to our customers from our distribution centers and stores is recognized upon shipment.</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Total revenue recognized includes shipping and handling fees. We have determined that control of the promised good is passed to the customer upon shipment, since the customer has legal title, the rewards of ownership, and has paid for the merchandise as of the shipment date. Shipping and handling is accounted for as a fulfillment activity. The Company accrues the cost and recognizes revenue for these activities upon shipment.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Sales disaggregated based upon sales channel is presented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36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2,</w:t>
            </w:r>
          </w:p>
        </w:tc>
        <w:tc>
          <w:tcPr>
            <w:tcW w:w="138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3,</w:t>
            </w:r>
          </w:p>
        </w:tc>
        <w:tc>
          <w:tcPr>
            <w:tcW w:w="140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2,</w:t>
            </w:r>
          </w:p>
        </w:tc>
        <w:tc>
          <w:tcPr>
            <w:tcW w:w="130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November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2018</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98"/>
        </w:trPr>
        <w:tc>
          <w:tcPr>
            <w:tcW w:w="2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Sales by Channel</w:t>
            </w: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0" w:type="dxa"/>
            <w:vAlign w:val="bottom"/>
            <w:gridSpan w:val="3"/>
          </w:tcPr>
          <w:p>
            <w:pPr>
              <w:jc w:val="right"/>
              <w:ind w:right="775"/>
              <w:spacing w:after="0"/>
              <w:rPr>
                <w:sz w:val="20"/>
                <w:szCs w:val="20"/>
                <w:color w:val="auto"/>
              </w:rPr>
            </w:pPr>
            <w:r>
              <w:rPr>
                <w:rFonts w:ascii="Arial" w:cs="Arial" w:eastAsia="Arial" w:hAnsi="Arial"/>
                <w:sz w:val="17"/>
                <w:szCs w:val="17"/>
                <w:color w:val="auto"/>
              </w:rPr>
              <w:t>($ in millions)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62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Stores</w:t>
            </w:r>
          </w:p>
        </w:tc>
        <w:tc>
          <w:tcPr>
            <w:tcW w:w="13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1,636</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1,591</w:t>
            </w: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4,915</w:t>
            </w:r>
          </w:p>
        </w:tc>
        <w:tc>
          <w:tcPr>
            <w:tcW w:w="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Direct-to-customers</w:t>
            </w:r>
          </w:p>
        </w:tc>
        <w:tc>
          <w:tcPr>
            <w:tcW w:w="1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296</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269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869</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sales</w:t>
            </w:r>
          </w:p>
        </w:tc>
        <w:tc>
          <w:tcPr>
            <w:tcW w:w="13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1,932</w:t>
            </w:r>
          </w:p>
        </w:tc>
        <w:tc>
          <w:tcPr>
            <w:tcW w:w="3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1,860</w:t>
            </w:r>
          </w:p>
        </w:tc>
        <w:tc>
          <w:tcPr>
            <w:tcW w:w="3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5,784</w:t>
            </w:r>
          </w:p>
        </w:tc>
        <w:tc>
          <w:tcPr>
            <w:tcW w:w="3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Sales disaggregated based upon geographic area is presented in the table below. Sales are attributable to the geographic area in which the sales transaction is fulfilled.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30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2,</w:t>
            </w:r>
          </w:p>
        </w:tc>
        <w:tc>
          <w:tcPr>
            <w:tcW w:w="138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3,</w:t>
            </w:r>
          </w:p>
        </w:tc>
        <w:tc>
          <w:tcPr>
            <w:tcW w:w="140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2,</w:t>
            </w:r>
          </w:p>
        </w:tc>
        <w:tc>
          <w:tcPr>
            <w:tcW w:w="130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November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2018</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98"/>
        </w:trPr>
        <w:tc>
          <w:tcPr>
            <w:tcW w:w="26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Sales by Geography</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0" w:type="dxa"/>
            <w:vAlign w:val="bottom"/>
            <w:gridSpan w:val="3"/>
          </w:tcPr>
          <w:p>
            <w:pPr>
              <w:jc w:val="right"/>
              <w:ind w:right="775"/>
              <w:spacing w:after="0"/>
              <w:rPr>
                <w:sz w:val="20"/>
                <w:szCs w:val="20"/>
                <w:color w:val="auto"/>
              </w:rPr>
            </w:pPr>
            <w:r>
              <w:rPr>
                <w:rFonts w:ascii="Arial" w:cs="Arial" w:eastAsia="Arial" w:hAnsi="Arial"/>
                <w:sz w:val="17"/>
                <w:szCs w:val="17"/>
                <w:color w:val="auto"/>
              </w:rPr>
              <w:t>($ in millions)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68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United States</w:t>
            </w:r>
          </w:p>
        </w:tc>
        <w:tc>
          <w:tcPr>
            <w:tcW w:w="12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1,361</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1,297</w:t>
            </w: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4,122</w:t>
            </w:r>
          </w:p>
        </w:tc>
        <w:tc>
          <w:tcPr>
            <w:tcW w:w="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International</w:t>
            </w:r>
          </w:p>
        </w:tc>
        <w:tc>
          <w:tcPr>
            <w:tcW w:w="1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571</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563</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1,662</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sales</w:t>
            </w:r>
          </w:p>
        </w:tc>
        <w:tc>
          <w:tcPr>
            <w:tcW w:w="12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1,932</w:t>
            </w:r>
          </w:p>
        </w:tc>
        <w:tc>
          <w:tcPr>
            <w:tcW w:w="3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1,860</w:t>
            </w:r>
          </w:p>
        </w:tc>
        <w:tc>
          <w:tcPr>
            <w:tcW w:w="3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5,784</w:t>
            </w:r>
          </w:p>
        </w:tc>
        <w:tc>
          <w:tcPr>
            <w:tcW w:w="3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Company sells gift cards which do not have expiration dates. Revenue from gift card sales is recorded when the gift cards are redeemed by customers. Breakage income is recognized as revenue, </w:t>
      </w:r>
      <w:r>
        <w:rPr>
          <w:rFonts w:ascii="Arial" w:cs="Arial" w:eastAsia="Arial" w:hAnsi="Arial"/>
          <w:sz w:val="17"/>
          <w:szCs w:val="17"/>
          <w:color w:val="auto"/>
        </w:rPr>
        <w:t>in proportion to the pattern</w:t>
      </w:r>
      <w:r>
        <w:rPr>
          <w:rFonts w:ascii="Arial" w:cs="Arial" w:eastAsia="Arial" w:hAnsi="Arial"/>
          <w:sz w:val="18"/>
          <w:szCs w:val="18"/>
          <w:color w:val="auto"/>
        </w:rPr>
        <w:t xml:space="preserve"> </w:t>
      </w:r>
      <w:r>
        <w:rPr>
          <w:rFonts w:ascii="Arial" w:cs="Arial" w:eastAsia="Arial" w:hAnsi="Arial"/>
          <w:sz w:val="17"/>
          <w:szCs w:val="17"/>
          <w:color w:val="auto"/>
        </w:rPr>
        <w:t>of rights exercised by the customer</w:t>
      </w:r>
      <w:r>
        <w:rPr>
          <w:rFonts w:ascii="Arial" w:cs="Arial" w:eastAsia="Arial" w:hAnsi="Arial"/>
          <w:sz w:val="18"/>
          <w:szCs w:val="18"/>
          <w:color w:val="auto"/>
        </w:rPr>
        <w:t>. The table below presents the activity of our gift card liability balance: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9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in millions)</w:t>
            </w:r>
          </w:p>
        </w:tc>
      </w:tr>
      <w:tr>
        <w:trPr>
          <w:trHeight w:val="183"/>
        </w:trPr>
        <w:tc>
          <w:tcPr>
            <w:tcW w:w="20" w:type="dxa"/>
            <w:vAlign w:val="bottom"/>
          </w:tcPr>
          <w:p>
            <w:pPr>
              <w:spacing w:after="0"/>
              <w:rPr>
                <w:sz w:val="15"/>
                <w:szCs w:val="15"/>
                <w:color w:val="auto"/>
              </w:rPr>
            </w:pPr>
          </w:p>
        </w:tc>
        <w:tc>
          <w:tcPr>
            <w:tcW w:w="4920" w:type="dxa"/>
            <w:vAlign w:val="bottom"/>
          </w:tcPr>
          <w:p>
            <w:pPr>
              <w:spacing w:after="0" w:line="183" w:lineRule="exact"/>
              <w:rPr>
                <w:sz w:val="20"/>
                <w:szCs w:val="20"/>
                <w:color w:val="auto"/>
              </w:rPr>
            </w:pPr>
            <w:r>
              <w:rPr>
                <w:rFonts w:ascii="Arial" w:cs="Arial" w:eastAsia="Arial" w:hAnsi="Arial"/>
                <w:sz w:val="17"/>
                <w:szCs w:val="17"/>
                <w:color w:val="auto"/>
              </w:rPr>
              <w:t>Balance at February 3, 2019</w:t>
            </w:r>
          </w:p>
        </w:tc>
        <w:tc>
          <w:tcPr>
            <w:tcW w:w="3040" w:type="dxa"/>
            <w:vAlign w:val="bottom"/>
          </w:tcPr>
          <w:p>
            <w:pPr>
              <w:jc w:val="right"/>
              <w:ind w:right="395"/>
              <w:spacing w:after="0" w:line="183"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7"/>
                <w:szCs w:val="17"/>
                <w:color w:val="auto"/>
              </w:rPr>
              <w:t>35</w:t>
            </w:r>
          </w:p>
        </w:tc>
      </w:tr>
      <w:tr>
        <w:trPr>
          <w:trHeight w:val="189"/>
        </w:trPr>
        <w:tc>
          <w:tcPr>
            <w:tcW w:w="20" w:type="dxa"/>
            <w:vAlign w:val="bottom"/>
          </w:tcPr>
          <w:p>
            <w:pPr>
              <w:spacing w:after="0"/>
              <w:rPr>
                <w:sz w:val="16"/>
                <w:szCs w:val="16"/>
                <w:color w:val="auto"/>
              </w:rPr>
            </w:pPr>
          </w:p>
        </w:tc>
        <w:tc>
          <w:tcPr>
            <w:tcW w:w="492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Redemptions</w:t>
            </w:r>
          </w:p>
        </w:tc>
        <w:tc>
          <w:tcPr>
            <w:tcW w:w="30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(70)</w:t>
            </w:r>
          </w:p>
        </w:tc>
      </w:tr>
      <w:tr>
        <w:trPr>
          <w:trHeight w:val="189"/>
        </w:trPr>
        <w:tc>
          <w:tcPr>
            <w:tcW w:w="20" w:type="dxa"/>
            <w:vAlign w:val="bottom"/>
          </w:tcPr>
          <w:p>
            <w:pPr>
              <w:spacing w:after="0"/>
              <w:rPr>
                <w:sz w:val="16"/>
                <w:szCs w:val="16"/>
                <w:color w:val="auto"/>
              </w:rPr>
            </w:pPr>
          </w:p>
        </w:tc>
        <w:tc>
          <w:tcPr>
            <w:tcW w:w="4920" w:type="dxa"/>
            <w:vAlign w:val="bottom"/>
          </w:tcPr>
          <w:p>
            <w:pPr>
              <w:ind w:left="200"/>
              <w:spacing w:after="0" w:line="189" w:lineRule="exact"/>
              <w:rPr>
                <w:sz w:val="20"/>
                <w:szCs w:val="20"/>
                <w:color w:val="auto"/>
              </w:rPr>
            </w:pPr>
            <w:r>
              <w:rPr>
                <w:rFonts w:ascii="Arial" w:cs="Arial" w:eastAsia="Arial" w:hAnsi="Arial"/>
                <w:sz w:val="17"/>
                <w:szCs w:val="17"/>
                <w:color w:val="auto"/>
              </w:rPr>
              <w:t>Breakage recognized in sales</w:t>
            </w:r>
          </w:p>
        </w:tc>
        <w:tc>
          <w:tcPr>
            <w:tcW w:w="30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9"/>
        </w:trPr>
        <w:tc>
          <w:tcPr>
            <w:tcW w:w="20" w:type="dxa"/>
            <w:vAlign w:val="bottom"/>
          </w:tcPr>
          <w:p>
            <w:pPr>
              <w:spacing w:after="0"/>
              <w:rPr>
                <w:sz w:val="16"/>
                <w:szCs w:val="16"/>
                <w:color w:val="auto"/>
              </w:rPr>
            </w:pPr>
          </w:p>
        </w:tc>
        <w:tc>
          <w:tcPr>
            <w:tcW w:w="492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Activations</w:t>
            </w:r>
          </w:p>
        </w:tc>
        <w:tc>
          <w:tcPr>
            <w:tcW w:w="30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w:t>
            </w:r>
          </w:p>
        </w:tc>
      </w:tr>
      <w:tr>
        <w:trPr>
          <w:trHeight w:val="189"/>
        </w:trPr>
        <w:tc>
          <w:tcPr>
            <w:tcW w:w="20" w:type="dxa"/>
            <w:vAlign w:val="bottom"/>
          </w:tcPr>
          <w:p>
            <w:pPr>
              <w:spacing w:after="0"/>
              <w:rPr>
                <w:sz w:val="16"/>
                <w:szCs w:val="16"/>
                <w:color w:val="auto"/>
              </w:rPr>
            </w:pPr>
          </w:p>
        </w:tc>
        <w:tc>
          <w:tcPr>
            <w:tcW w:w="4920" w:type="dxa"/>
            <w:vAlign w:val="bottom"/>
            <w:tcBorders>
              <w:bottom w:val="single" w:sz="8" w:color="auto"/>
            </w:tcBorders>
          </w:tcPr>
          <w:p>
            <w:pPr>
              <w:ind w:left="200"/>
              <w:spacing w:after="0" w:line="189" w:lineRule="exact"/>
              <w:rPr>
                <w:sz w:val="20"/>
                <w:szCs w:val="20"/>
                <w:color w:val="auto"/>
              </w:rPr>
            </w:pPr>
            <w:r>
              <w:rPr>
                <w:rFonts w:ascii="Arial" w:cs="Arial" w:eastAsia="Arial" w:hAnsi="Arial"/>
                <w:sz w:val="17"/>
                <w:szCs w:val="17"/>
                <w:color w:val="auto"/>
              </w:rPr>
              <w:t>Foreign currency fluctuations</w:t>
            </w:r>
          </w:p>
        </w:tc>
        <w:tc>
          <w:tcPr>
            <w:tcW w:w="30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3"/>
        </w:trPr>
        <w:tc>
          <w:tcPr>
            <w:tcW w:w="20" w:type="dxa"/>
            <w:vAlign w:val="bottom"/>
          </w:tcPr>
          <w:p>
            <w:pPr>
              <w:spacing w:after="0"/>
              <w:rPr>
                <w:sz w:val="15"/>
                <w:szCs w:val="15"/>
                <w:color w:val="auto"/>
              </w:rPr>
            </w:pPr>
          </w:p>
        </w:tc>
        <w:tc>
          <w:tcPr>
            <w:tcW w:w="49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Balance at November 2, 2019</w:t>
            </w:r>
          </w:p>
        </w:tc>
        <w:tc>
          <w:tcPr>
            <w:tcW w:w="3040" w:type="dxa"/>
            <w:vAlign w:val="bottom"/>
            <w:tcBorders>
              <w:bottom w:val="single" w:sz="8" w:color="auto"/>
            </w:tcBorders>
            <w:shd w:val="clear" w:color="auto" w:fill="CCEEFF"/>
          </w:tcPr>
          <w:p>
            <w:pPr>
              <w:jc w:val="right"/>
              <w:ind w:right="39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26</w:t>
            </w:r>
          </w:p>
        </w:tc>
      </w:tr>
      <w:tr>
        <w:trPr>
          <w:trHeight w:val="20"/>
        </w:trPr>
        <w:tc>
          <w:tcPr>
            <w:tcW w:w="20" w:type="dxa"/>
            <w:vAlign w:val="bottom"/>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elected not to disclose the information about remaining performance obligations since the amount of gift cards redeemed after 12 months is not significant.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has integrated all available shopping channels including stores, websites, apps, social channels, and catalogs. Store sales are primarily fulfilled from the store’s inventory but may also be shipped from any of our distribution centers or from a different store location if an item is not available at the original store. Direct-to-customer orders are primarily shipped to our customers through our distribution centers but may also be shipped from any store or a combination of our distribution centers and stores depending on the availability of particular items.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operating segments are identified according to how our business activities are managed and evaluated by our chief operating decision maker, our CEO. During 2018, the Company expanded into Asia and launched our digital channels across Singapore, Hong Kong, and Malaysia. During the first quarter of 2019, the Company changed its organizational and internal reporting structure in order to support an accelerated growth strategy for the region. We opened an Asian headquarters in Singapore and realigned our organization into three distinct geographic regions: Europe, Middle East and Africa (“EMEA”), Asia Pacific, and North America.</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light of these changes, the Company re-evaluated its operating segments in the first quarter of 2019. The Company has determined that it has three operating segments, North America, EMEA, and Asia Pacific. Our North America operating segment includes the results of the following banners operating in the U.S. and Canada: Foot Locker, Kids Foot Locker, Lady Foot Locker, Champs Sports, and Footaction, including each of their related e-commerce businesses, as well as our Eastbay business that includes internet, catalog, and team sales. Our EMEA operating segment includes the results of the following banners operating in Europe: Foot Locker, Runners Point, Sidestep, and Kids Foot Locker, including each of their related e-commerce businesses. Our Asia Pacific operating segment includes the results of Foot Locker and Kids Foot Locker and the related e-commerce businesses operating in Australia, New Zealand, and Asia. We have further aggregated these operating segments into one reportable segment based upon their shared customer base and similar economic characteristics.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evaluates performance based on several factors, of which the primary financial measure is the banner’s financial results referred to as division profit. Division profit reflects income before income taxes, litigation and other charges, corporate expense, non-operating income, and net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70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2,</w:t>
            </w:r>
          </w:p>
        </w:tc>
        <w:tc>
          <w:tcPr>
            <w:tcW w:w="138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3,</w:t>
            </w:r>
          </w:p>
        </w:tc>
        <w:tc>
          <w:tcPr>
            <w:tcW w:w="140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2,</w:t>
            </w:r>
          </w:p>
        </w:tc>
        <w:tc>
          <w:tcPr>
            <w:tcW w:w="1300" w:type="dxa"/>
            <w:vAlign w:val="bottom"/>
            <w:gridSpan w:val="2"/>
          </w:tcPr>
          <w:p>
            <w:pPr>
              <w:ind w:left="200"/>
              <w:spacing w:after="0" w:line="157" w:lineRule="exact"/>
              <w:rPr>
                <w:sz w:val="20"/>
                <w:szCs w:val="20"/>
                <w:color w:val="auto"/>
              </w:rPr>
            </w:pPr>
            <w:r>
              <w:rPr>
                <w:rFonts w:ascii="Arial" w:cs="Arial" w:eastAsia="Arial" w:hAnsi="Arial"/>
                <w:sz w:val="17"/>
                <w:szCs w:val="17"/>
                <w:b w:val="1"/>
                <w:bCs w:val="1"/>
                <w:color w:val="auto"/>
              </w:rPr>
              <w:t>November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2018</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80" w:type="dxa"/>
            <w:vAlign w:val="bottom"/>
            <w:gridSpan w:val="3"/>
          </w:tcPr>
          <w:p>
            <w:pPr>
              <w:jc w:val="right"/>
              <w:ind w:right="775"/>
              <w:spacing w:after="0" w:line="183" w:lineRule="exact"/>
              <w:rPr>
                <w:sz w:val="20"/>
                <w:szCs w:val="20"/>
                <w:color w:val="auto"/>
              </w:rPr>
            </w:pPr>
            <w:r>
              <w:rPr>
                <w:rFonts w:ascii="Arial" w:cs="Arial" w:eastAsia="Arial" w:hAnsi="Arial"/>
                <w:sz w:val="17"/>
                <w:szCs w:val="17"/>
                <w:color w:val="auto"/>
              </w:rPr>
              <w:t>($ in millions)</w:t>
            </w: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6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1,932</w:t>
            </w:r>
          </w:p>
        </w:tc>
        <w:tc>
          <w:tcPr>
            <w:tcW w:w="4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1,860</w:t>
            </w: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5,784</w:t>
            </w:r>
          </w:p>
        </w:tc>
        <w:tc>
          <w:tcPr>
            <w:tcW w:w="40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5,667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68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184</w:t>
            </w:r>
          </w:p>
        </w:tc>
        <w:tc>
          <w:tcPr>
            <w:tcW w:w="400" w:type="dxa"/>
            <w:vAlign w:val="bottom"/>
          </w:tcPr>
          <w:p>
            <w:pPr>
              <w:spacing w:after="0"/>
              <w:rPr>
                <w:sz w:val="16"/>
                <w:szCs w:val="16"/>
                <w:color w:val="auto"/>
              </w:rPr>
            </w:pPr>
          </w:p>
        </w:tc>
        <w:tc>
          <w:tcPr>
            <w:tcW w:w="9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165</w:t>
            </w:r>
          </w:p>
        </w:tc>
        <w:tc>
          <w:tcPr>
            <w:tcW w:w="320" w:type="dxa"/>
            <w:vAlign w:val="bottom"/>
          </w:tcPr>
          <w:p>
            <w:pPr>
              <w:spacing w:after="0"/>
              <w:rPr>
                <w:sz w:val="16"/>
                <w:szCs w:val="16"/>
                <w:color w:val="auto"/>
              </w:rPr>
            </w:pPr>
          </w:p>
        </w:tc>
        <w:tc>
          <w:tcPr>
            <w:tcW w:w="10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549</w:t>
            </w:r>
          </w:p>
        </w:tc>
        <w:tc>
          <w:tcPr>
            <w:tcW w:w="4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543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Less: Litigation and other charges </w:t>
            </w:r>
            <w:r>
              <w:rPr>
                <w:rFonts w:ascii="Arial" w:cs="Arial" w:eastAsia="Arial" w:hAnsi="Arial"/>
                <w:sz w:val="12"/>
                <w:szCs w:val="12"/>
                <w:color w:val="auto"/>
              </w:rPr>
              <w:t>(1)</w:t>
            </w: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16</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xml:space="preserve">Less: Corporate expense </w:t>
            </w:r>
            <w:r>
              <w:rPr>
                <w:rFonts w:ascii="Arial" w:cs="Arial" w:eastAsia="Arial" w:hAnsi="Arial"/>
                <w:sz w:val="12"/>
                <w:szCs w:val="12"/>
                <w:color w:val="auto"/>
              </w:rPr>
              <w:t>(2)</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19</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60</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164</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144</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473</w:t>
            </w: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tcPr>
          <w:p>
            <w:pPr>
              <w:spacing w:after="0" w:line="189" w:lineRule="exact"/>
              <w:rPr>
                <w:sz w:val="20"/>
                <w:szCs w:val="20"/>
                <w:color w:val="auto"/>
              </w:rPr>
            </w:pPr>
            <w:r>
              <w:rPr>
                <w:rFonts w:ascii="Arial" w:cs="Arial" w:eastAsia="Arial" w:hAnsi="Arial"/>
                <w:sz w:val="17"/>
                <w:szCs w:val="17"/>
                <w:color w:val="auto"/>
              </w:rPr>
              <w:t>Interest income, net</w:t>
            </w:r>
          </w:p>
        </w:tc>
        <w:tc>
          <w:tcPr>
            <w:tcW w:w="68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400" w:type="dxa"/>
            <w:vAlign w:val="bottom"/>
          </w:tcPr>
          <w:p>
            <w:pPr>
              <w:spacing w:after="0"/>
              <w:rPr>
                <w:sz w:val="16"/>
                <w:szCs w:val="16"/>
                <w:color w:val="auto"/>
              </w:rPr>
            </w:pPr>
          </w:p>
        </w:tc>
        <w:tc>
          <w:tcPr>
            <w:tcW w:w="9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w:t>
            </w:r>
          </w:p>
        </w:tc>
        <w:tc>
          <w:tcPr>
            <w:tcW w:w="320" w:type="dxa"/>
            <w:vAlign w:val="bottom"/>
          </w:tcPr>
          <w:p>
            <w:pPr>
              <w:spacing w:after="0"/>
              <w:rPr>
                <w:sz w:val="16"/>
                <w:szCs w:val="16"/>
                <w:color w:val="auto"/>
              </w:rPr>
            </w:pPr>
          </w:p>
        </w:tc>
        <w:tc>
          <w:tcPr>
            <w:tcW w:w="10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9</w:t>
            </w:r>
          </w:p>
        </w:tc>
        <w:tc>
          <w:tcPr>
            <w:tcW w:w="4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income</w:t>
            </w:r>
          </w:p>
        </w:tc>
        <w:tc>
          <w:tcPr>
            <w:tcW w:w="6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8</w:t>
            </w: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6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171</w:t>
            </w:r>
          </w:p>
        </w:tc>
        <w:tc>
          <w:tcPr>
            <w:tcW w:w="4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146</w:t>
            </w:r>
          </w:p>
        </w:tc>
        <w:tc>
          <w:tcPr>
            <w:tcW w:w="3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490</w:t>
            </w:r>
          </w:p>
        </w:tc>
        <w:tc>
          <w:tcPr>
            <w:tcW w:w="4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left="340" w:hanging="331"/>
        <w:spacing w:after="0" w:line="244"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recorded pre-tax charges of $1 million and $2 million for the thirteen weeks ended November 2, 2019 and November 3, 2018, respectively, related to a pension litigation matter and related plan reformation. For the thirty-nine weeks ended November 2, 2019, the Company recorded pre-tax charges of $16 million reflecting $3 million of professional fees in connection with the plan reformation and $13 million of lease termination costs related to the closure of certain of its SIX:02 locations. For the thirty-nine weeks ended November 3, 2018, the Company recorded pre-tax charges of $17 million related to the pension matter reflecting adjustments to the value of the judgment and interest that continued to accrue, as required by the provisions of the plan reformation.</w:t>
      </w:r>
    </w:p>
    <w:p>
      <w:pPr>
        <w:spacing w:after="0" w:line="98" w:lineRule="exact"/>
        <w:rPr>
          <w:rFonts w:ascii="Arial" w:cs="Arial" w:eastAsia="Arial" w:hAnsi="Arial"/>
          <w:sz w:val="14"/>
          <w:szCs w:val="14"/>
          <w:color w:val="auto"/>
        </w:rPr>
      </w:pPr>
    </w:p>
    <w:p>
      <w:pPr>
        <w:jc w:val="both"/>
        <w:ind w:left="340" w:right="20" w:hanging="331"/>
        <w:spacing w:after="0" w:line="25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Restricted Cash</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provides a reconciliation of cash and cash equivalents, as reported on our condensed consolidated balance sheets, to cash, cash equivalents, and restricted cash, as reported on our condensed consolidated statements of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175"/>
              <w:spacing w:after="0"/>
              <w:rPr>
                <w:sz w:val="20"/>
                <w:szCs w:val="20"/>
                <w:color w:val="auto"/>
              </w:rPr>
            </w:pPr>
            <w:r>
              <w:rPr>
                <w:rFonts w:ascii="Arial" w:cs="Arial" w:eastAsia="Arial" w:hAnsi="Arial"/>
                <w:sz w:val="17"/>
                <w:szCs w:val="17"/>
                <w:b w:val="1"/>
                <w:bCs w:val="1"/>
                <w:color w:val="auto"/>
              </w:rPr>
              <w:t>November 2,</w:t>
            </w:r>
          </w:p>
        </w:tc>
        <w:tc>
          <w:tcPr>
            <w:tcW w:w="260" w:type="dxa"/>
            <w:vAlign w:val="bottom"/>
          </w:tcPr>
          <w:p>
            <w:pPr>
              <w:spacing w:after="0"/>
              <w:rPr>
                <w:sz w:val="16"/>
                <w:szCs w:val="16"/>
                <w:color w:val="auto"/>
              </w:rPr>
            </w:pPr>
          </w:p>
        </w:tc>
        <w:tc>
          <w:tcPr>
            <w:tcW w:w="1320" w:type="dxa"/>
            <w:vAlign w:val="bottom"/>
          </w:tcPr>
          <w:p>
            <w:pPr>
              <w:jc w:val="center"/>
              <w:ind w:right="135"/>
              <w:spacing w:after="0"/>
              <w:rPr>
                <w:sz w:val="20"/>
                <w:szCs w:val="20"/>
                <w:color w:val="auto"/>
              </w:rPr>
            </w:pPr>
            <w:r>
              <w:rPr>
                <w:rFonts w:ascii="Arial" w:cs="Arial" w:eastAsia="Arial" w:hAnsi="Arial"/>
                <w:sz w:val="17"/>
                <w:szCs w:val="17"/>
                <w:b w:val="1"/>
                <w:bCs w:val="1"/>
                <w:color w:val="auto"/>
                <w:w w:val="99"/>
              </w:rPr>
              <w:t>November 3,</w:t>
            </w:r>
          </w:p>
        </w:tc>
        <w:tc>
          <w:tcPr>
            <w:tcW w:w="300" w:type="dxa"/>
            <w:vAlign w:val="bottom"/>
          </w:tcPr>
          <w:p>
            <w:pPr>
              <w:spacing w:after="0"/>
              <w:rPr>
                <w:sz w:val="16"/>
                <w:szCs w:val="16"/>
                <w:color w:val="auto"/>
              </w:rPr>
            </w:pPr>
          </w:p>
        </w:tc>
        <w:tc>
          <w:tcPr>
            <w:tcW w:w="1180" w:type="dxa"/>
            <w:vAlign w:val="bottom"/>
          </w:tcPr>
          <w:p>
            <w:pPr>
              <w:jc w:val="right"/>
              <w:ind w:right="115"/>
              <w:spacing w:after="0"/>
              <w:rPr>
                <w:sz w:val="20"/>
                <w:szCs w:val="20"/>
                <w:color w:val="auto"/>
              </w:rPr>
            </w:pPr>
            <w:r>
              <w:rPr>
                <w:rFonts w:ascii="Arial" w:cs="Arial" w:eastAsia="Arial" w:hAnsi="Arial"/>
                <w:sz w:val="17"/>
                <w:szCs w:val="17"/>
                <w:b w:val="1"/>
                <w:bCs w:val="1"/>
                <w:color w:val="auto"/>
              </w:rPr>
              <w:t>February 2,</w:t>
            </w:r>
          </w:p>
        </w:tc>
      </w:tr>
      <w:tr>
        <w:trPr>
          <w:trHeight w:val="215"/>
        </w:trPr>
        <w:tc>
          <w:tcPr>
            <w:tcW w:w="20" w:type="dxa"/>
            <w:vAlign w:val="bottom"/>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r>
      <w:tr>
        <w:trPr>
          <w:trHeight w:val="18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35"/>
              <w:spacing w:after="0" w:line="183" w:lineRule="exact"/>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744</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748</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891</w:t>
            </w:r>
          </w:p>
        </w:tc>
      </w:tr>
      <w:tr>
        <w:trPr>
          <w:trHeight w:val="189"/>
        </w:trPr>
        <w:tc>
          <w:tcPr>
            <w:tcW w:w="2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4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26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30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59</w:t>
            </w:r>
          </w:p>
        </w:tc>
      </w:tr>
      <w:tr>
        <w:trPr>
          <w:trHeight w:val="189"/>
        </w:trPr>
        <w:tc>
          <w:tcPr>
            <w:tcW w:w="20" w:type="dxa"/>
            <w:vAlign w:val="bottom"/>
          </w:tcPr>
          <w:p>
            <w:pPr>
              <w:spacing w:after="0"/>
              <w:rPr>
                <w:sz w:val="16"/>
                <w:szCs w:val="16"/>
                <w:color w:val="auto"/>
              </w:rPr>
            </w:pPr>
          </w:p>
        </w:tc>
        <w:tc>
          <w:tcPr>
            <w:tcW w:w="42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4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30</w:t>
            </w:r>
          </w:p>
        </w:tc>
        <w:tc>
          <w:tcPr>
            <w:tcW w:w="2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86</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31</w:t>
            </w:r>
          </w:p>
        </w:tc>
      </w:tr>
      <w:tr>
        <w:trPr>
          <w:trHeight w:val="183"/>
        </w:trPr>
        <w:tc>
          <w:tcPr>
            <w:tcW w:w="2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Cash, cash equivalents, and restricted cash</w:t>
            </w:r>
          </w:p>
        </w:tc>
        <w:tc>
          <w:tcPr>
            <w:tcW w:w="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779</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836</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981</w:t>
            </w: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2017, in connection with the pension litigation matter, the Company deposited $150 million in a qualified settlement fund. At November 3, 2018, the amount remaining in the fund was $54 million and was classified as part of non-current assets. At February 2, 2019, the fund was classified as a current asset due to our intention to use it to contribute to the pension plan. During 2018 and in March 2019, the Company used substantially all of the qualified settlement fund to pay class counsel fees and to make a contribution to the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amounts included in restricted cash primarily relate to amounts held in escrow in connection with various leasing arrangements in Europe and deposits held in insurance trusts to satisfy the requirement to collateralize part of the self-insured workers’ compensation and liability claims.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has elected to present book overdrafts, representing checks issued but still outstanding in excess of bank balances, as part of accounts payable.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Annually during the first quarter, or more frequently if impairment indicators arise, the Company reviews goodwill and intangible assets with indefinite lives for impairment.</w:t>
      </w:r>
    </w:p>
    <w:p>
      <w:pPr>
        <w:spacing w:after="0" w:line="19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light of the change in our organizational and internal reporting structure in the first quarter of 2019, we have reassessed our reporting units and have determined that the collective omni-channel banners in North America, EMEA, and Asia Pacific are the three reporting units at which goodwill is reviewed.</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Accordingly, goodwill was re-allocated between the affected reporting units based on their relative fair values. We conducted the annual impairment review both before and after this change and neither review resulted in the recognition of impairment, as the fair value of each reporting unit exceeded its carrying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Intangible Assets, net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jc w:val="right"/>
              <w:ind w:right="135"/>
              <w:spacing w:after="0"/>
              <w:rPr>
                <w:sz w:val="20"/>
                <w:szCs w:val="20"/>
                <w:color w:val="auto"/>
              </w:rPr>
            </w:pPr>
            <w:r>
              <w:rPr>
                <w:rFonts w:ascii="Arial" w:cs="Arial" w:eastAsia="Arial" w:hAnsi="Arial"/>
                <w:sz w:val="17"/>
                <w:szCs w:val="17"/>
                <w:b w:val="1"/>
                <w:bCs w:val="1"/>
                <w:color w:val="auto"/>
              </w:rPr>
              <w:t>November 2, 2019</w:t>
            </w: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7"/>
                <w:szCs w:val="17"/>
                <w:b w:val="1"/>
                <w:bCs w:val="1"/>
                <w:color w:val="auto"/>
              </w:rPr>
              <w:t>November 3, 2018</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jc w:val="right"/>
              <w:ind w:right="175"/>
              <w:spacing w:after="0"/>
              <w:rPr>
                <w:sz w:val="20"/>
                <w:szCs w:val="20"/>
                <w:color w:val="auto"/>
              </w:rPr>
            </w:pPr>
            <w:r>
              <w:rPr>
                <w:rFonts w:ascii="Arial" w:cs="Arial" w:eastAsia="Arial" w:hAnsi="Arial"/>
                <w:sz w:val="17"/>
                <w:szCs w:val="17"/>
                <w:b w:val="1"/>
                <w:bCs w:val="1"/>
                <w:color w:val="auto"/>
              </w:rPr>
              <w:t>February 2,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6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Gross</w:t>
            </w:r>
          </w:p>
        </w:tc>
        <w:tc>
          <w:tcPr>
            <w:tcW w:w="720" w:type="dxa"/>
            <w:vAlign w:val="bottom"/>
            <w:gridSpan w:val="2"/>
          </w:tcPr>
          <w:p>
            <w:pPr>
              <w:ind w:left="60"/>
              <w:spacing w:after="0" w:line="157" w:lineRule="exact"/>
              <w:rPr>
                <w:sz w:val="20"/>
                <w:szCs w:val="20"/>
                <w:color w:val="auto"/>
              </w:rPr>
            </w:pPr>
            <w:r>
              <w:rPr>
                <w:rFonts w:ascii="Arial" w:cs="Arial" w:eastAsia="Arial" w:hAnsi="Arial"/>
                <w:sz w:val="17"/>
                <w:szCs w:val="17"/>
                <w:b w:val="1"/>
                <w:bCs w:val="1"/>
                <w:color w:val="auto"/>
              </w:rPr>
              <w:t>Accum.</w:t>
            </w:r>
          </w:p>
        </w:tc>
        <w:tc>
          <w:tcPr>
            <w:tcW w:w="160" w:type="dxa"/>
            <w:vAlign w:val="bottom"/>
          </w:tcPr>
          <w:p>
            <w:pPr>
              <w:spacing w:after="0"/>
              <w:rPr>
                <w:sz w:val="13"/>
                <w:szCs w:val="13"/>
                <w:color w:val="auto"/>
              </w:rPr>
            </w:pPr>
          </w:p>
        </w:tc>
        <w:tc>
          <w:tcPr>
            <w:tcW w:w="480" w:type="dxa"/>
            <w:vAlign w:val="bottom"/>
          </w:tcPr>
          <w:p>
            <w:pPr>
              <w:jc w:val="right"/>
              <w:ind w:right="75"/>
              <w:spacing w:after="0" w:line="157" w:lineRule="exact"/>
              <w:rPr>
                <w:sz w:val="20"/>
                <w:szCs w:val="20"/>
                <w:color w:val="auto"/>
              </w:rPr>
            </w:pPr>
            <w:r>
              <w:rPr>
                <w:rFonts w:ascii="Arial" w:cs="Arial" w:eastAsia="Arial" w:hAnsi="Arial"/>
                <w:sz w:val="17"/>
                <w:szCs w:val="17"/>
                <w:b w:val="1"/>
                <w:bCs w:val="1"/>
                <w:color w:val="auto"/>
              </w:rPr>
              <w:t>Net</w:t>
            </w:r>
          </w:p>
        </w:tc>
        <w:tc>
          <w:tcPr>
            <w:tcW w:w="68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Gross</w:t>
            </w:r>
          </w:p>
        </w:tc>
        <w:tc>
          <w:tcPr>
            <w:tcW w:w="740" w:type="dxa"/>
            <w:vAlign w:val="bottom"/>
            <w:gridSpan w:val="2"/>
          </w:tcPr>
          <w:p>
            <w:pPr>
              <w:ind w:left="80"/>
              <w:spacing w:after="0" w:line="157" w:lineRule="exact"/>
              <w:rPr>
                <w:sz w:val="20"/>
                <w:szCs w:val="20"/>
                <w:color w:val="auto"/>
              </w:rPr>
            </w:pPr>
            <w:r>
              <w:rPr>
                <w:rFonts w:ascii="Arial" w:cs="Arial" w:eastAsia="Arial" w:hAnsi="Arial"/>
                <w:sz w:val="17"/>
                <w:szCs w:val="17"/>
                <w:b w:val="1"/>
                <w:bCs w:val="1"/>
                <w:color w:val="auto"/>
              </w:rPr>
              <w:t>Accum.</w:t>
            </w:r>
          </w:p>
        </w:tc>
        <w:tc>
          <w:tcPr>
            <w:tcW w:w="140" w:type="dxa"/>
            <w:vAlign w:val="bottom"/>
          </w:tcPr>
          <w:p>
            <w:pPr>
              <w:spacing w:after="0"/>
              <w:rPr>
                <w:sz w:val="13"/>
                <w:szCs w:val="13"/>
                <w:color w:val="auto"/>
              </w:rPr>
            </w:pPr>
          </w:p>
        </w:tc>
        <w:tc>
          <w:tcPr>
            <w:tcW w:w="560" w:type="dxa"/>
            <w:vAlign w:val="bottom"/>
          </w:tcPr>
          <w:p>
            <w:pPr>
              <w:jc w:val="right"/>
              <w:ind w:right="115"/>
              <w:spacing w:after="0" w:line="157" w:lineRule="exact"/>
              <w:rPr>
                <w:sz w:val="20"/>
                <w:szCs w:val="20"/>
                <w:color w:val="auto"/>
              </w:rPr>
            </w:pPr>
            <w:r>
              <w:rPr>
                <w:rFonts w:ascii="Arial" w:cs="Arial" w:eastAsia="Arial" w:hAnsi="Arial"/>
                <w:sz w:val="17"/>
                <w:szCs w:val="17"/>
                <w:b w:val="1"/>
                <w:bCs w:val="1"/>
                <w:color w:val="auto"/>
              </w:rPr>
              <w:t>Net</w:t>
            </w:r>
          </w:p>
        </w:tc>
        <w:tc>
          <w:tcPr>
            <w:tcW w:w="70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Gross</w:t>
            </w:r>
          </w:p>
        </w:tc>
        <w:tc>
          <w:tcPr>
            <w:tcW w:w="760" w:type="dxa"/>
            <w:vAlign w:val="bottom"/>
            <w:gridSpan w:val="2"/>
          </w:tcPr>
          <w:p>
            <w:pPr>
              <w:ind w:left="80"/>
              <w:spacing w:after="0" w:line="157" w:lineRule="exact"/>
              <w:rPr>
                <w:sz w:val="20"/>
                <w:szCs w:val="20"/>
                <w:color w:val="auto"/>
              </w:rPr>
            </w:pPr>
            <w:r>
              <w:rPr>
                <w:rFonts w:ascii="Arial" w:cs="Arial" w:eastAsia="Arial" w:hAnsi="Arial"/>
                <w:sz w:val="17"/>
                <w:szCs w:val="17"/>
                <w:b w:val="1"/>
                <w:bCs w:val="1"/>
                <w:color w:val="auto"/>
              </w:rPr>
              <w:t>Accum.</w:t>
            </w:r>
          </w:p>
        </w:tc>
        <w:tc>
          <w:tcPr>
            <w:tcW w:w="140" w:type="dxa"/>
            <w:vAlign w:val="bottom"/>
          </w:tcPr>
          <w:p>
            <w:pPr>
              <w:spacing w:after="0"/>
              <w:rPr>
                <w:sz w:val="13"/>
                <w:szCs w:val="13"/>
                <w:color w:val="auto"/>
              </w:rPr>
            </w:pPr>
          </w:p>
        </w:tc>
        <w:tc>
          <w:tcPr>
            <w:tcW w:w="440" w:type="dxa"/>
            <w:vAlign w:val="bottom"/>
          </w:tcPr>
          <w:p>
            <w:pPr>
              <w:jc w:val="right"/>
              <w:ind w:right="55"/>
              <w:spacing w:after="0" w:line="157" w:lineRule="exact"/>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66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72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amort.</w:t>
            </w:r>
          </w:p>
        </w:tc>
        <w:tc>
          <w:tcPr>
            <w:tcW w:w="640" w:type="dxa"/>
            <w:vAlign w:val="bottom"/>
            <w:gridSpan w:val="2"/>
          </w:tcPr>
          <w:p>
            <w:pPr>
              <w:jc w:val="right"/>
              <w:spacing w:after="0"/>
              <w:rPr>
                <w:sz w:val="20"/>
                <w:szCs w:val="20"/>
                <w:color w:val="auto"/>
              </w:rPr>
            </w:pPr>
            <w:r>
              <w:rPr>
                <w:rFonts w:ascii="Arial" w:cs="Arial" w:eastAsia="Arial" w:hAnsi="Arial"/>
                <w:sz w:val="17"/>
                <w:szCs w:val="17"/>
                <w:b w:val="1"/>
                <w:bCs w:val="1"/>
                <w:color w:val="auto"/>
              </w:rPr>
              <w:t>value</w:t>
            </w:r>
          </w:p>
        </w:tc>
        <w:tc>
          <w:tcPr>
            <w:tcW w:w="68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74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amort.</w:t>
            </w:r>
          </w:p>
        </w:tc>
        <w:tc>
          <w:tcPr>
            <w:tcW w:w="14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Arial" w:cs="Arial" w:eastAsia="Arial" w:hAnsi="Arial"/>
                <w:sz w:val="17"/>
                <w:szCs w:val="17"/>
                <w:b w:val="1"/>
                <w:bCs w:val="1"/>
                <w:color w:val="auto"/>
                <w:w w:val="96"/>
              </w:rPr>
              <w:t>value</w:t>
            </w:r>
          </w:p>
        </w:tc>
        <w:tc>
          <w:tcPr>
            <w:tcW w:w="70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76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amort.</w:t>
            </w:r>
          </w:p>
        </w:tc>
        <w:tc>
          <w:tcPr>
            <w:tcW w:w="580" w:type="dxa"/>
            <w:vAlign w:val="bottom"/>
            <w:gridSpan w:val="2"/>
          </w:tcPr>
          <w:p>
            <w:pPr>
              <w:jc w:val="right"/>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 xml:space="preserve">Amortized intangible assets: </w:t>
            </w:r>
            <w:r>
              <w:rPr>
                <w:rFonts w:ascii="Arial" w:cs="Arial" w:eastAsia="Arial" w:hAnsi="Arial"/>
                <w:sz w:val="12"/>
                <w:szCs w:val="12"/>
                <w:color w:val="auto"/>
              </w:rPr>
              <w:t>(1)</w:t>
            </w:r>
          </w:p>
        </w:tc>
        <w:tc>
          <w:tcPr>
            <w:tcW w:w="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tcPr>
          <w:p>
            <w:pPr>
              <w:ind w:left="200"/>
              <w:spacing w:after="0" w:line="189" w:lineRule="exact"/>
              <w:rPr>
                <w:sz w:val="20"/>
                <w:szCs w:val="20"/>
                <w:color w:val="auto"/>
              </w:rPr>
            </w:pPr>
            <w:r>
              <w:rPr>
                <w:rFonts w:ascii="Arial" w:cs="Arial" w:eastAsia="Arial" w:hAnsi="Arial"/>
                <w:sz w:val="17"/>
                <w:szCs w:val="17"/>
                <w:color w:val="auto"/>
              </w:rPr>
              <w:t>Lease acquisition costs</w:t>
            </w:r>
          </w:p>
        </w:tc>
        <w:tc>
          <w:tcPr>
            <w:tcW w:w="22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117</w:t>
            </w:r>
          </w:p>
        </w:tc>
        <w:tc>
          <w:tcPr>
            <w:tcW w:w="220" w:type="dxa"/>
            <w:vAlign w:val="bottom"/>
          </w:tcPr>
          <w:p>
            <w:pPr>
              <w:ind w:left="60"/>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(109)</w:t>
            </w: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8</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121</w:t>
            </w:r>
          </w:p>
        </w:tc>
        <w:tc>
          <w:tcPr>
            <w:tcW w:w="240" w:type="dxa"/>
            <w:vAlign w:val="bottom"/>
          </w:tcPr>
          <w:p>
            <w:pPr>
              <w:ind w:left="6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(111)</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10</w:t>
            </w:r>
          </w:p>
        </w:tc>
        <w:tc>
          <w:tcPr>
            <w:tcW w:w="2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120</w:t>
            </w:r>
          </w:p>
        </w:tc>
        <w:tc>
          <w:tcPr>
            <w:tcW w:w="240" w:type="dxa"/>
            <w:vAlign w:val="bottom"/>
          </w:tcPr>
          <w:p>
            <w:pPr>
              <w:ind w:left="60"/>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(111)</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Trademarks / trade names</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20</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(16)</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tcBorders>
              <w:bottom w:val="single" w:sz="8" w:color="auto"/>
            </w:tcBorders>
          </w:tcPr>
          <w:p>
            <w:pPr>
              <w:ind w:left="200"/>
              <w:spacing w:after="0" w:line="189" w:lineRule="exact"/>
              <w:rPr>
                <w:sz w:val="20"/>
                <w:szCs w:val="20"/>
                <w:color w:val="auto"/>
              </w:rPr>
            </w:pPr>
            <w:r>
              <w:rPr>
                <w:rFonts w:ascii="Arial" w:cs="Arial" w:eastAsia="Arial" w:hAnsi="Arial"/>
                <w:sz w:val="17"/>
                <w:szCs w:val="17"/>
                <w:color w:val="auto"/>
              </w:rPr>
              <w:t>Favorable leases</w:t>
            </w: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137</w:t>
            </w:r>
          </w:p>
        </w:tc>
        <w:tc>
          <w:tcPr>
            <w:tcW w:w="22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(125)</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12</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148</w:t>
            </w:r>
          </w:p>
        </w:tc>
        <w:tc>
          <w:tcPr>
            <w:tcW w:w="24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(132)</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w:t>
            </w:r>
          </w:p>
        </w:tc>
        <w:tc>
          <w:tcPr>
            <w:tcW w:w="2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147</w:t>
            </w:r>
          </w:p>
        </w:tc>
        <w:tc>
          <w:tcPr>
            <w:tcW w:w="24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(132)</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Indefinite life intangible assets: </w:t>
            </w:r>
            <w:r>
              <w:rPr>
                <w:rFonts w:ascii="Arial" w:cs="Arial" w:eastAsia="Arial" w:hAnsi="Arial"/>
                <w:sz w:val="12"/>
                <w:szCs w:val="12"/>
                <w:color w:val="auto"/>
              </w:rPr>
              <w:t>(1), (2)</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Pr>
          <w:p>
            <w:pPr>
              <w:ind w:left="220"/>
              <w:spacing w:after="0" w:line="183" w:lineRule="exact"/>
              <w:rPr>
                <w:sz w:val="20"/>
                <w:szCs w:val="20"/>
                <w:color w:val="auto"/>
              </w:rPr>
            </w:pPr>
            <w:r>
              <w:rPr>
                <w:rFonts w:ascii="Arial" w:cs="Arial" w:eastAsia="Arial" w:hAnsi="Arial"/>
                <w:sz w:val="17"/>
                <w:szCs w:val="17"/>
                <w:color w:val="auto"/>
              </w:rPr>
              <w:t>Runners Point Group trademarks /</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trade names</w:t>
            </w: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Other intangible assets, net</w:t>
            </w:r>
          </w:p>
        </w:tc>
        <w:tc>
          <w:tcPr>
            <w:tcW w:w="2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21</w:t>
            </w:r>
          </w:p>
        </w:tc>
        <w:tc>
          <w:tcPr>
            <w:tcW w:w="2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w:t>
            </w:r>
          </w:p>
        </w:tc>
        <w:tc>
          <w:tcPr>
            <w:tcW w:w="2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hanging="331"/>
        <w:spacing w:after="0" w:line="24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change in the ending balances reflects the effect of foreign currency fluctuations due primarily to movements of the euro in relation to the U.S. dollar.</w:t>
      </w:r>
    </w:p>
    <w:p>
      <w:pPr>
        <w:ind w:left="340" w:hanging="331"/>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fourth quarter of 2018, the Company recorded a non-cash impairment charge of $15 million related to these intangibles.</w:t>
      </w:r>
    </w:p>
    <w:p>
      <w:pPr>
        <w:spacing w:after="0" w:line="200" w:lineRule="exact"/>
        <w:rPr>
          <w:sz w:val="20"/>
          <w:szCs w:val="20"/>
          <w:color w:val="auto"/>
        </w:rPr>
      </w:pPr>
    </w:p>
    <w:p>
      <w:pPr>
        <w:spacing w:after="0" w:line="21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annual review of intangible assets with indefinite lives performed during the first quarter of 2019 did not result in the recognition of impairment.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 w:name="page13"/>
    <w:bookmarkEnd w:id="1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expense recorded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7"/>
                <w:szCs w:val="17"/>
                <w:b w:val="1"/>
                <w:bCs w:val="1"/>
                <w:color w:val="auto"/>
              </w:rPr>
              <w:t>Thirteen weeks ended</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7"/>
                <w:szCs w:val="17"/>
                <w:b w:val="1"/>
                <w:bCs w:val="1"/>
                <w:color w:val="auto"/>
              </w:rPr>
              <w:t>Thirty-nine weeks ended</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21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2020" w:type="dxa"/>
            <w:vAlign w:val="bottom"/>
            <w:tcBorders>
              <w:bottom w:val="single" w:sz="8" w:color="auto"/>
            </w:tcBorders>
            <w:gridSpan w:val="2"/>
          </w:tcPr>
          <w:p>
            <w:pPr>
              <w:ind w:left="500"/>
              <w:spacing w:after="0" w:line="183" w:lineRule="exact"/>
              <w:rPr>
                <w:sz w:val="20"/>
                <w:szCs w:val="20"/>
                <w:color w:val="auto"/>
              </w:rPr>
            </w:pPr>
            <w:r>
              <w:rPr>
                <w:rFonts w:ascii="Arial" w:cs="Arial" w:eastAsia="Arial" w:hAnsi="Arial"/>
                <w:sz w:val="17"/>
                <w:szCs w:val="17"/>
                <w:b w:val="1"/>
                <w:bCs w:val="1"/>
                <w:color w:val="auto"/>
              </w:rPr>
              <w:t>November 2, 2019</w:t>
            </w:r>
          </w:p>
        </w:tc>
        <w:tc>
          <w:tcPr>
            <w:tcW w:w="16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7"/>
                <w:szCs w:val="17"/>
                <w:b w:val="1"/>
                <w:bCs w:val="1"/>
                <w:color w:val="auto"/>
              </w:rPr>
              <w:t>November 3, 2018</w:t>
            </w: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w w:val="99"/>
              </w:rPr>
              <w:t>November 2, 2019</w:t>
            </w:r>
          </w:p>
        </w:tc>
        <w:tc>
          <w:tcPr>
            <w:tcW w:w="1640" w:type="dxa"/>
            <w:vAlign w:val="bottom"/>
            <w:tcBorders>
              <w:bottom w:val="single" w:sz="8" w:color="auto"/>
            </w:tcBorders>
            <w:gridSpan w:val="3"/>
          </w:tcPr>
          <w:p>
            <w:pPr>
              <w:ind w:left="140"/>
              <w:spacing w:after="0" w:line="183" w:lineRule="exact"/>
              <w:rPr>
                <w:sz w:val="20"/>
                <w:szCs w:val="20"/>
                <w:color w:val="auto"/>
              </w:rPr>
            </w:pPr>
            <w:r>
              <w:rPr>
                <w:rFonts w:ascii="Arial" w:cs="Arial" w:eastAsia="Arial" w:hAnsi="Arial"/>
                <w:sz w:val="17"/>
                <w:szCs w:val="17"/>
                <w:b w:val="1"/>
                <w:bCs w:val="1"/>
                <w:color w:val="auto"/>
              </w:rPr>
              <w:t>November 3, 2018</w:t>
            </w:r>
          </w:p>
        </w:tc>
      </w:tr>
      <w:tr>
        <w:trPr>
          <w:trHeight w:val="183"/>
        </w:trPr>
        <w:tc>
          <w:tcPr>
            <w:tcW w:w="20" w:type="dxa"/>
            <w:vAlign w:val="bottom"/>
          </w:tcPr>
          <w:p>
            <w:pPr>
              <w:spacing w:after="0"/>
              <w:rPr>
                <w:sz w:val="15"/>
                <w:szCs w:val="15"/>
                <w:color w:val="auto"/>
              </w:rPr>
            </w:pPr>
          </w:p>
        </w:tc>
        <w:tc>
          <w:tcPr>
            <w:tcW w:w="21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860" w:type="dxa"/>
            <w:vAlign w:val="bottom"/>
            <w:tcBorders>
              <w:bottom w:val="single" w:sz="8" w:color="auto"/>
            </w:tcBorders>
            <w:shd w:val="clear" w:color="auto" w:fill="CCEEFF"/>
          </w:tcPr>
          <w:p>
            <w:pPr>
              <w:ind w:left="480"/>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w:t>
            </w:r>
          </w:p>
        </w:tc>
        <w:tc>
          <w:tcPr>
            <w:tcW w:w="1180" w:type="dxa"/>
            <w:vAlign w:val="bottom"/>
            <w:tcBorders>
              <w:bottom w:val="single" w:sz="8" w:color="auto"/>
            </w:tcBorders>
            <w:shd w:val="clear" w:color="auto" w:fill="CCEEFF"/>
          </w:tcPr>
          <w:p>
            <w:pPr>
              <w:jc w:val="right"/>
              <w:ind w:right="915"/>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5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w:t>
            </w:r>
          </w:p>
        </w:tc>
        <w:tc>
          <w:tcPr>
            <w:tcW w:w="1400" w:type="dxa"/>
            <w:vAlign w:val="bottom"/>
            <w:tcBorders>
              <w:bottom w:val="single" w:sz="8" w:color="auto"/>
            </w:tcBorders>
            <w:shd w:val="clear" w:color="auto" w:fill="CCEEFF"/>
          </w:tcPr>
          <w:p>
            <w:pPr>
              <w:jc w:val="right"/>
              <w:ind w:right="1115"/>
              <w:spacing w:after="0" w:line="183"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w:t>
            </w:r>
          </w:p>
        </w:tc>
        <w:tc>
          <w:tcPr>
            <w:tcW w:w="20" w:type="dxa"/>
            <w:vAlign w:val="bottom"/>
            <w:tcBorders>
              <w:bottom w:val="single" w:sz="8" w:color="auto"/>
            </w:tcBorders>
            <w:shd w:val="clear" w:color="auto" w:fill="CCEEFF"/>
          </w:tcPr>
          <w:p>
            <w:pPr>
              <w:spacing w:after="0"/>
              <w:rPr>
                <w:sz w:val="15"/>
                <w:szCs w:val="15"/>
                <w:color w:val="auto"/>
              </w:rPr>
            </w:pPr>
          </w:p>
        </w:tc>
      </w:tr>
      <w:tr>
        <w:trPr>
          <w:trHeight w:val="412"/>
        </w:trPr>
        <w:tc>
          <w:tcPr>
            <w:tcW w:w="20" w:type="dxa"/>
            <w:vAlign w:val="bottom"/>
          </w:tcPr>
          <w:p>
            <w:pPr>
              <w:spacing w:after="0"/>
              <w:rPr>
                <w:sz w:val="24"/>
                <w:szCs w:val="24"/>
                <w:color w:val="auto"/>
              </w:rPr>
            </w:pPr>
          </w:p>
        </w:tc>
        <w:tc>
          <w:tcPr>
            <w:tcW w:w="7440" w:type="dxa"/>
            <w:vAlign w:val="bottom"/>
            <w:gridSpan w:val="7"/>
          </w:tcPr>
          <w:p>
            <w:pPr>
              <w:spacing w:after="0"/>
              <w:rPr>
                <w:sz w:val="20"/>
                <w:szCs w:val="20"/>
                <w:color w:val="auto"/>
              </w:rPr>
            </w:pPr>
            <w:r>
              <w:rPr>
                <w:rFonts w:ascii="Arial" w:cs="Arial" w:eastAsia="Arial" w:hAnsi="Arial"/>
                <w:sz w:val="18"/>
                <w:szCs w:val="18"/>
                <w:color w:val="auto"/>
              </w:rPr>
              <w:t>Estimated future amortization expense for finite-life intangible assets is as follows:</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in millions)</w:t>
            </w: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2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Remainder of 2019</w:t>
            </w: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135"/>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120" w:type="dxa"/>
            <w:vAlign w:val="bottom"/>
          </w:tcPr>
          <w:p>
            <w:pPr>
              <w:spacing w:after="0" w:line="189" w:lineRule="exact"/>
              <w:rPr>
                <w:sz w:val="20"/>
                <w:szCs w:val="20"/>
                <w:color w:val="auto"/>
              </w:rPr>
            </w:pPr>
            <w:r>
              <w:rPr>
                <w:rFonts w:ascii="Arial" w:cs="Arial" w:eastAsia="Arial" w:hAnsi="Arial"/>
                <w:sz w:val="17"/>
                <w:szCs w:val="17"/>
                <w:color w:val="auto"/>
              </w:rPr>
              <w:t>2020</w:t>
            </w: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2021</w:t>
            </w: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12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2023</w:t>
            </w: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1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2024</w:t>
            </w: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r>
    </w:tbl>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Leases</w:t>
      </w:r>
    </w:p>
    <w:p>
      <w:pPr>
        <w:spacing w:after="0" w:line="234" w:lineRule="exact"/>
        <w:rPr>
          <w:sz w:val="20"/>
          <w:szCs w:val="20"/>
          <w:color w:val="auto"/>
        </w:rPr>
      </w:pPr>
    </w:p>
    <w:p>
      <w:pPr>
        <w:jc w:val="both"/>
        <w:ind w:left="20" w:right="20"/>
        <w:spacing w:after="0" w:line="238" w:lineRule="auto"/>
        <w:rPr>
          <w:sz w:val="20"/>
          <w:szCs w:val="20"/>
          <w:color w:val="auto"/>
        </w:rPr>
      </w:pPr>
      <w:r>
        <w:rPr>
          <w:rFonts w:ascii="Arial" w:cs="Arial" w:eastAsia="Arial" w:hAnsi="Arial"/>
          <w:sz w:val="18"/>
          <w:szCs w:val="18"/>
          <w:color w:val="auto"/>
        </w:rPr>
        <w:t>The Company is obligated under operating leases for almost all of its store properties. In addition, the Company leases certain warehouse distribution centers. Operating lease periods generally range from 5 to 10 years and generally contain rent escalation provisions. Some of the store leases contain renewal options with varying terms and conditions. The Company’s lease term includes options to extend or terminate a lease only when it is reasonably certain that it will exercise that option.</w:t>
      </w:r>
    </w:p>
    <w:p>
      <w:pPr>
        <w:spacing w:after="0" w:line="203" w:lineRule="exact"/>
        <w:rPr>
          <w:sz w:val="20"/>
          <w:szCs w:val="20"/>
          <w:color w:val="auto"/>
        </w:rPr>
      </w:pPr>
    </w:p>
    <w:p>
      <w:pPr>
        <w:jc w:val="both"/>
        <w:ind w:left="20" w:right="20"/>
        <w:spacing w:after="0"/>
        <w:rPr>
          <w:sz w:val="20"/>
          <w:szCs w:val="20"/>
          <w:color w:val="auto"/>
        </w:rPr>
      </w:pPr>
      <w:r>
        <w:rPr>
          <w:rFonts w:ascii="Arial" w:cs="Arial" w:eastAsia="Arial" w:hAnsi="Arial"/>
          <w:sz w:val="18"/>
          <w:szCs w:val="18"/>
          <w:color w:val="auto"/>
        </w:rPr>
        <w:t>The Company combines lease components (e.g. rental payments) and non-lease components (e.g. common area maintenance costs and utilities). Leases with an initial term of 12 months or less are not recorded on the balance sheet. We recognize lease expense for short-term leases on a straight-line basis over the lease term.</w:t>
      </w:r>
    </w:p>
    <w:p>
      <w:pPr>
        <w:spacing w:after="0" w:line="203" w:lineRule="exact"/>
        <w:rPr>
          <w:sz w:val="20"/>
          <w:szCs w:val="20"/>
          <w:color w:val="auto"/>
        </w:rPr>
      </w:pPr>
    </w:p>
    <w:p>
      <w:pPr>
        <w:jc w:val="both"/>
        <w:ind w:left="20" w:right="20"/>
        <w:spacing w:after="0"/>
        <w:rPr>
          <w:sz w:val="20"/>
          <w:szCs w:val="20"/>
          <w:color w:val="auto"/>
        </w:rPr>
      </w:pPr>
      <w:r>
        <w:rPr>
          <w:rFonts w:ascii="Arial" w:cs="Arial" w:eastAsia="Arial" w:hAnsi="Arial"/>
          <w:sz w:val="18"/>
          <w:szCs w:val="18"/>
          <w:color w:val="auto"/>
        </w:rPr>
        <w:t>Right-of-use assets and liabilities are recognized at the commencement date based on the present value of lease payments over the lease term for those arrangements where there is an identified asset and the contract conveys the right to control its use.</w:t>
      </w:r>
    </w:p>
    <w:p>
      <w:pPr>
        <w:spacing w:after="0" w:line="203" w:lineRule="exact"/>
        <w:rPr>
          <w:sz w:val="20"/>
          <w:szCs w:val="20"/>
          <w:color w:val="auto"/>
        </w:rPr>
      </w:pPr>
    </w:p>
    <w:p>
      <w:pPr>
        <w:jc w:val="both"/>
        <w:ind w:left="20" w:right="20"/>
        <w:spacing w:after="0" w:line="239" w:lineRule="auto"/>
        <w:rPr>
          <w:sz w:val="20"/>
          <w:szCs w:val="20"/>
          <w:color w:val="auto"/>
        </w:rPr>
      </w:pPr>
      <w:r>
        <w:rPr>
          <w:rFonts w:ascii="Arial" w:cs="Arial" w:eastAsia="Arial" w:hAnsi="Arial"/>
          <w:sz w:val="18"/>
          <w:szCs w:val="18"/>
          <w:color w:val="auto"/>
        </w:rPr>
        <w:t>As most of our leases do not provide an implicit interest rate, the Company uses its incremental borrowing rates based on the remaining lease term to determine the present value of future lease payments. The Company's incremental borrowing rate for a lease is the rate of interest it would have to pay on a collateralized basis to borrow an amount equal to the lease payments under similar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340995</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Condensed  Consolidated  Balance  Sheet  related  to  operating  leases  as  of</w:t>
      </w:r>
    </w:p>
    <w:p>
      <w:pPr>
        <w:spacing w:after="0"/>
        <w:rPr>
          <w:sz w:val="20"/>
          <w:szCs w:val="20"/>
          <w:color w:val="auto"/>
        </w:rPr>
      </w:pPr>
      <w:r>
        <w:rPr>
          <w:rFonts w:ascii="Arial" w:cs="Arial" w:eastAsia="Arial" w:hAnsi="Arial"/>
          <w:sz w:val="18"/>
          <w:szCs w:val="18"/>
          <w:color w:val="auto"/>
        </w:rPr>
        <w:t>November 2, 2019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in millions)</w:t>
            </w:r>
          </w:p>
        </w:tc>
      </w:tr>
      <w:tr>
        <w:trPr>
          <w:trHeight w:val="183"/>
        </w:trPr>
        <w:tc>
          <w:tcPr>
            <w:tcW w:w="5020" w:type="dxa"/>
            <w:vAlign w:val="bottom"/>
          </w:tcPr>
          <w:p>
            <w:pPr>
              <w:spacing w:after="0" w:line="183" w:lineRule="exact"/>
              <w:rPr>
                <w:sz w:val="20"/>
                <w:szCs w:val="20"/>
                <w:color w:val="auto"/>
              </w:rPr>
            </w:pPr>
            <w:r>
              <w:rPr>
                <w:rFonts w:ascii="Arial" w:cs="Arial" w:eastAsia="Arial" w:hAnsi="Arial"/>
                <w:sz w:val="17"/>
                <w:szCs w:val="17"/>
                <w:b w:val="1"/>
                <w:bCs w:val="1"/>
                <w:color w:val="auto"/>
              </w:rPr>
              <w:t>Assets</w:t>
            </w:r>
          </w:p>
        </w:tc>
        <w:tc>
          <w:tcPr>
            <w:tcW w:w="28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5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right-of-use assets</w:t>
            </w:r>
          </w:p>
        </w:tc>
        <w:tc>
          <w:tcPr>
            <w:tcW w:w="2860" w:type="dxa"/>
            <w:vAlign w:val="bottom"/>
            <w:shd w:val="clear" w:color="auto" w:fill="CCEEFF"/>
          </w:tcPr>
          <w:p>
            <w:pPr>
              <w:jc w:val="right"/>
              <w:ind w:right="335"/>
              <w:spacing w:after="0" w:line="189"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2,956</w:t>
            </w:r>
          </w:p>
        </w:tc>
      </w:tr>
      <w:tr>
        <w:trPr>
          <w:trHeight w:val="189"/>
        </w:trPr>
        <w:tc>
          <w:tcPr>
            <w:tcW w:w="50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50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28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7"/>
                <w:szCs w:val="17"/>
                <w:color w:val="auto"/>
              </w:rPr>
              <w:t>Current</w:t>
            </w:r>
          </w:p>
        </w:tc>
        <w:tc>
          <w:tcPr>
            <w:tcW w:w="28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502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Operating lease liabilities</w:t>
            </w:r>
          </w:p>
        </w:tc>
        <w:tc>
          <w:tcPr>
            <w:tcW w:w="28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508</w:t>
            </w: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7"/>
                <w:szCs w:val="17"/>
                <w:color w:val="auto"/>
              </w:rPr>
              <w:t>Noncurrent</w:t>
            </w:r>
          </w:p>
        </w:tc>
        <w:tc>
          <w:tcPr>
            <w:tcW w:w="28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5020" w:type="dxa"/>
            <w:vAlign w:val="bottom"/>
            <w:tcBorders>
              <w:bottom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Operating lease liabilities</w:t>
            </w:r>
          </w:p>
        </w:tc>
        <w:tc>
          <w:tcPr>
            <w:tcW w:w="28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2,719</w:t>
            </w:r>
          </w:p>
        </w:tc>
      </w:tr>
      <w:tr>
        <w:trPr>
          <w:trHeight w:val="183"/>
        </w:trPr>
        <w:tc>
          <w:tcPr>
            <w:tcW w:w="50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lease liabilities</w:t>
            </w:r>
          </w:p>
        </w:tc>
        <w:tc>
          <w:tcPr>
            <w:tcW w:w="2860" w:type="dxa"/>
            <w:vAlign w:val="bottom"/>
            <w:tcBorders>
              <w:bottom w:val="single" w:sz="8" w:color="auto"/>
            </w:tcBorders>
          </w:tcPr>
          <w:p>
            <w:pPr>
              <w:jc w:val="right"/>
              <w:ind w:right="33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3,227</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operating leases as of November 2, 2019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9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7.1</w:t>
            </w:r>
          </w:p>
        </w:tc>
        <w:tc>
          <w:tcPr>
            <w:tcW w:w="20" w:type="dxa"/>
            <w:vAlign w:val="bottom"/>
          </w:tcPr>
          <w:p>
            <w:pPr>
              <w:spacing w:after="0"/>
              <w:rPr>
                <w:sz w:val="18"/>
                <w:szCs w:val="18"/>
                <w:color w:val="auto"/>
              </w:rPr>
            </w:pPr>
          </w:p>
        </w:tc>
      </w:tr>
      <w:tr>
        <w:trPr>
          <w:trHeight w:val="203"/>
        </w:trPr>
        <w:tc>
          <w:tcPr>
            <w:tcW w:w="46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9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640"/>
              <w:spacing w:after="0" w:line="202" w:lineRule="exact"/>
              <w:rPr>
                <w:sz w:val="20"/>
                <w:szCs w:val="20"/>
                <w:color w:val="auto"/>
              </w:rPr>
            </w:pPr>
            <w:r>
              <w:rPr>
                <w:rFonts w:ascii="Arial" w:cs="Arial" w:eastAsia="Arial" w:hAnsi="Arial"/>
                <w:sz w:val="18"/>
                <w:szCs w:val="18"/>
                <w:b w:val="1"/>
                <w:bCs w:val="1"/>
                <w:color w:val="auto"/>
              </w:rPr>
              <w:t>5.4 %</w:t>
            </w:r>
          </w:p>
        </w:tc>
        <w:tc>
          <w:tcPr>
            <w:tcW w:w="20" w:type="dxa"/>
            <w:vAlign w:val="bottom"/>
          </w:tcPr>
          <w:p>
            <w:pPr>
              <w:spacing w:after="0"/>
              <w:rPr>
                <w:sz w:val="17"/>
                <w:szCs w:val="17"/>
                <w:color w:val="auto"/>
              </w:rPr>
            </w:pPr>
          </w:p>
        </w:tc>
      </w:tr>
      <w:tr>
        <w:trPr>
          <w:trHeight w:val="426"/>
        </w:trPr>
        <w:tc>
          <w:tcPr>
            <w:tcW w:w="7220" w:type="dxa"/>
            <w:vAlign w:val="bottom"/>
            <w:gridSpan w:val="3"/>
          </w:tcPr>
          <w:p>
            <w:pPr>
              <w:spacing w:after="0"/>
              <w:rPr>
                <w:sz w:val="20"/>
                <w:szCs w:val="20"/>
                <w:color w:val="auto"/>
              </w:rPr>
            </w:pPr>
            <w:r>
              <w:rPr>
                <w:rFonts w:ascii="Arial" w:cs="Arial" w:eastAsia="Arial" w:hAnsi="Arial"/>
                <w:sz w:val="18"/>
                <w:szCs w:val="18"/>
                <w:color w:val="auto"/>
              </w:rPr>
              <w:t>The components of lease cost as of November 2, 2019 were as follows:</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6"/>
        </w:trPr>
        <w:tc>
          <w:tcPr>
            <w:tcW w:w="4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Thirteen weeks</w:t>
            </w:r>
          </w:p>
        </w:tc>
        <w:tc>
          <w:tcPr>
            <w:tcW w:w="18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9"/>
              </w:rPr>
              <w:t>Thirty-nine weeks</w:t>
            </w:r>
          </w:p>
        </w:tc>
      </w:tr>
      <w:tr>
        <w:trPr>
          <w:trHeight w:val="225"/>
        </w:trPr>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jc w:val="center"/>
              <w:ind w:right="190"/>
              <w:spacing w:after="0"/>
              <w:rPr>
                <w:sz w:val="20"/>
                <w:szCs w:val="20"/>
                <w:color w:val="auto"/>
              </w:rPr>
            </w:pPr>
            <w:r>
              <w:rPr>
                <w:rFonts w:ascii="Arial" w:cs="Arial" w:eastAsia="Arial" w:hAnsi="Arial"/>
                <w:sz w:val="18"/>
                <w:szCs w:val="18"/>
                <w:b w:val="1"/>
                <w:bCs w:val="1"/>
                <w:color w:val="auto"/>
              </w:rPr>
              <w:t>ended</w:t>
            </w:r>
          </w:p>
        </w:tc>
        <w:tc>
          <w:tcPr>
            <w:tcW w:w="48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ended</w:t>
            </w:r>
          </w:p>
        </w:tc>
      </w:tr>
      <w:tr>
        <w:trPr>
          <w:trHeight w:val="196"/>
        </w:trPr>
        <w:tc>
          <w:tcPr>
            <w:tcW w:w="46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 in millions)</w:t>
            </w:r>
          </w:p>
        </w:tc>
        <w:tc>
          <w:tcPr>
            <w:tcW w:w="2600" w:type="dxa"/>
            <w:vAlign w:val="bottom"/>
            <w:tcBorders>
              <w:top w:val="single" w:sz="8" w:color="auto"/>
              <w:bottom w:val="single" w:sz="8" w:color="auto"/>
            </w:tcBorders>
            <w:gridSpan w:val="2"/>
          </w:tcPr>
          <w:p>
            <w:pPr>
              <w:jc w:val="center"/>
              <w:ind w:left="570"/>
              <w:spacing w:after="0" w:line="196" w:lineRule="exact"/>
              <w:rPr>
                <w:sz w:val="20"/>
                <w:szCs w:val="20"/>
                <w:color w:val="auto"/>
              </w:rPr>
            </w:pPr>
            <w:r>
              <w:rPr>
                <w:rFonts w:ascii="Arial" w:cs="Arial" w:eastAsia="Arial" w:hAnsi="Arial"/>
                <w:sz w:val="18"/>
                <w:szCs w:val="18"/>
                <w:b w:val="1"/>
                <w:bCs w:val="1"/>
                <w:color w:val="auto"/>
              </w:rPr>
              <w:t>November 2, 2019</w:t>
            </w:r>
          </w:p>
        </w:tc>
        <w:tc>
          <w:tcPr>
            <w:tcW w:w="1840" w:type="dxa"/>
            <w:vAlign w:val="bottom"/>
            <w:tcBorders>
              <w:top w:val="single" w:sz="8" w:color="auto"/>
              <w:bottom w:val="single" w:sz="8" w:color="auto"/>
            </w:tcBorders>
            <w:gridSpan w:val="2"/>
          </w:tcPr>
          <w:p>
            <w:pPr>
              <w:jc w:val="center"/>
              <w:ind w:left="50"/>
              <w:spacing w:after="0" w:line="196" w:lineRule="exact"/>
              <w:rPr>
                <w:sz w:val="20"/>
                <w:szCs w:val="20"/>
                <w:color w:val="auto"/>
              </w:rPr>
            </w:pPr>
            <w:r>
              <w:rPr>
                <w:rFonts w:ascii="Arial" w:cs="Arial" w:eastAsia="Arial" w:hAnsi="Arial"/>
                <w:sz w:val="18"/>
                <w:szCs w:val="18"/>
                <w:b w:val="1"/>
                <w:bCs w:val="1"/>
                <w:color w:val="auto"/>
              </w:rPr>
              <w:t>November 2, 2019</w:t>
            </w:r>
          </w:p>
        </w:tc>
        <w:tc>
          <w:tcPr>
            <w:tcW w:w="20" w:type="dxa"/>
            <w:vAlign w:val="bottom"/>
          </w:tcPr>
          <w:p>
            <w:pPr>
              <w:spacing w:after="0"/>
              <w:rPr>
                <w:sz w:val="17"/>
                <w:szCs w:val="17"/>
                <w:color w:val="auto"/>
              </w:rPr>
            </w:pPr>
          </w:p>
        </w:tc>
      </w:tr>
      <w:tr>
        <w:trPr>
          <w:trHeight w:val="196"/>
        </w:trPr>
        <w:tc>
          <w:tcPr>
            <w:tcW w:w="4620" w:type="dxa"/>
            <w:vAlign w:val="bottom"/>
            <w:shd w:val="clear" w:color="auto" w:fill="CCEEFF"/>
          </w:tcPr>
          <w:p>
            <w:pPr>
              <w:spacing w:after="0" w:line="197" w:lineRule="exact"/>
              <w:rPr>
                <w:sz w:val="20"/>
                <w:szCs w:val="20"/>
                <w:color w:val="auto"/>
              </w:rPr>
            </w:pPr>
            <w:r>
              <w:rPr>
                <w:rFonts w:ascii="Arial" w:cs="Arial" w:eastAsia="Arial" w:hAnsi="Arial"/>
                <w:sz w:val="15"/>
                <w:szCs w:val="15"/>
                <w:color w:val="auto"/>
              </w:rPr>
              <w:t xml:space="preserve">Operating lease costs </w:t>
            </w:r>
            <w:r>
              <w:rPr>
                <w:rFonts w:ascii="Arial" w:cs="Arial" w:eastAsia="Arial" w:hAnsi="Arial"/>
                <w:sz w:val="22"/>
                <w:szCs w:val="22"/>
                <w:color w:val="auto"/>
                <w:vertAlign w:val="superscript"/>
              </w:rPr>
              <w:t>(1)</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168</w:t>
            </w:r>
          </w:p>
        </w:tc>
        <w:tc>
          <w:tcPr>
            <w:tcW w:w="48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499</w:t>
            </w:r>
          </w:p>
        </w:tc>
        <w:tc>
          <w:tcPr>
            <w:tcW w:w="20" w:type="dxa"/>
            <w:vAlign w:val="bottom"/>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6"/>
                <w:szCs w:val="16"/>
                <w:color w:val="auto"/>
              </w:rPr>
              <w:t xml:space="preserve">Variable lease costs </w:t>
            </w:r>
            <w:r>
              <w:rPr>
                <w:rFonts w:ascii="Arial" w:cs="Arial" w:eastAsia="Arial" w:hAnsi="Arial"/>
                <w:sz w:val="23"/>
                <w:szCs w:val="23"/>
                <w:color w:val="auto"/>
                <w:vertAlign w:val="superscript"/>
              </w:rPr>
              <w:t>(2)</w:t>
            </w:r>
          </w:p>
        </w:tc>
        <w:tc>
          <w:tcPr>
            <w:tcW w:w="940" w:type="dxa"/>
            <w:vAlign w:val="bottom"/>
          </w:tcPr>
          <w:p>
            <w:pPr>
              <w:spacing w:after="0"/>
              <w:rPr>
                <w:sz w:val="17"/>
                <w:szCs w:val="17"/>
                <w:color w:val="auto"/>
              </w:rPr>
            </w:pPr>
          </w:p>
        </w:tc>
        <w:tc>
          <w:tcPr>
            <w:tcW w:w="16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84</w:t>
            </w:r>
          </w:p>
        </w:tc>
        <w:tc>
          <w:tcPr>
            <w:tcW w:w="4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249</w:t>
            </w:r>
          </w:p>
        </w:tc>
        <w:tc>
          <w:tcPr>
            <w:tcW w:w="20" w:type="dxa"/>
            <w:vAlign w:val="bottom"/>
          </w:tcPr>
          <w:p>
            <w:pPr>
              <w:spacing w:after="0"/>
              <w:rPr>
                <w:sz w:val="17"/>
                <w:szCs w:val="17"/>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costs</w:t>
            </w:r>
          </w:p>
        </w:tc>
        <w:tc>
          <w:tcPr>
            <w:tcW w:w="9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5</w:t>
            </w: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7"/>
                <w:szCs w:val="17"/>
                <w:color w:val="auto"/>
              </w:rPr>
            </w:pPr>
          </w:p>
        </w:tc>
      </w:tr>
      <w:tr>
        <w:trPr>
          <w:trHeight w:val="203"/>
        </w:trPr>
        <w:tc>
          <w:tcPr>
            <w:tcW w:w="46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Sublease income</w:t>
            </w:r>
          </w:p>
        </w:tc>
        <w:tc>
          <w:tcPr>
            <w:tcW w:w="9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(1)</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7"/>
                <w:szCs w:val="17"/>
                <w:color w:val="auto"/>
              </w:rPr>
            </w:pPr>
          </w:p>
        </w:tc>
      </w:tr>
      <w:tr>
        <w:trPr>
          <w:trHeight w:val="196"/>
        </w:trPr>
        <w:tc>
          <w:tcPr>
            <w:tcW w:w="46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lease cost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b w:val="1"/>
                <w:bCs w:val="1"/>
                <w:color w:val="auto"/>
              </w:rPr>
              <w:t>256</w:t>
            </w:r>
          </w:p>
        </w:tc>
        <w:tc>
          <w:tcPr>
            <w:tcW w:w="48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766</w:t>
            </w:r>
          </w:p>
        </w:tc>
        <w:tc>
          <w:tcPr>
            <w:tcW w:w="20" w:type="dxa"/>
            <w:vAlign w:val="bottom"/>
          </w:tcPr>
          <w:p>
            <w:pPr>
              <w:spacing w:after="0"/>
              <w:rPr>
                <w:sz w:val="17"/>
                <w:szCs w:val="17"/>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hanging="331"/>
        <w:spacing w:after="0" w:line="193"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Primarily relate to retail stores and distribution centers, for which the expenses are classified within cost of sales. Operating lease costs for non-store rents are included in SG&amp;A.</w:t>
      </w:r>
    </w:p>
    <w:p>
      <w:pPr>
        <w:spacing w:after="0" w:line="207" w:lineRule="exact"/>
        <w:rPr>
          <w:rFonts w:ascii="Arial" w:cs="Arial" w:eastAsia="Arial" w:hAnsi="Arial"/>
          <w:sz w:val="22"/>
          <w:szCs w:val="22"/>
          <w:color w:val="auto"/>
          <w:vertAlign w:val="superscript"/>
        </w:rPr>
      </w:pPr>
    </w:p>
    <w:p>
      <w:pPr>
        <w:ind w:left="340" w:hanging="331"/>
        <w:spacing w:after="0" w:line="193"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Primarily include rent payments based on a percentage of store sales, common area maintenance costs, and taxes. These costs are expensed as incurred and are included within cost of sales.</w:t>
      </w:r>
    </w:p>
    <w:p>
      <w:pPr>
        <w:spacing w:after="0" w:line="200" w:lineRule="exact"/>
        <w:rPr>
          <w:sz w:val="20"/>
          <w:szCs w:val="20"/>
          <w:color w:val="auto"/>
        </w:rPr>
      </w:pPr>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Rent expense for the prior year comparative periods is accounted for under previous lease guidance. Rent expense for operating leases for the thirteen weeks ended November 3, 2018 amounted to $185 million and consisted of minimum and contingent rentals of $182 million and $6 million, respectively, less sublease income of $3 million. For the thirty-nine weeks ended November 3, 2018, rent expense for operating leases amounted to $562 million and consisted of minimum and contingent rentals of $547 million and $19 million, respectively, less sublease income of $4 million. Also, most of the Company’s leases require the payment of certain executory costs such as insurance, maintenance, and other costs in addition to the future minimum lease payments. These costs, including the amortization of lease rights, totaled $37 million and $111 million for the thirteen and thirty-nine weeks ended November 3,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Supplemental cash flow information related to leases for the thirty-nine weeks ended November 2, 2019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in millions)</w:t>
            </w:r>
          </w:p>
        </w:tc>
      </w:tr>
      <w:tr>
        <w:trPr>
          <w:trHeight w:val="183"/>
        </w:trPr>
        <w:tc>
          <w:tcPr>
            <w:tcW w:w="6400" w:type="dxa"/>
            <w:vAlign w:val="bottom"/>
          </w:tcPr>
          <w:p>
            <w:pPr>
              <w:spacing w:after="0" w:line="183" w:lineRule="exact"/>
              <w:rPr>
                <w:sz w:val="20"/>
                <w:szCs w:val="20"/>
                <w:color w:val="auto"/>
              </w:rPr>
            </w:pPr>
            <w:r>
              <w:rPr>
                <w:rFonts w:ascii="Arial" w:cs="Arial" w:eastAsia="Arial" w:hAnsi="Arial"/>
                <w:sz w:val="17"/>
                <w:szCs w:val="17"/>
                <w:color w:val="auto"/>
              </w:rPr>
              <w:t>Cash paid for amounts included in measurement of lease liabilities:</w:t>
            </w: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64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Operating cash flows used in operating leases</w:t>
            </w:r>
          </w:p>
        </w:tc>
        <w:tc>
          <w:tcPr>
            <w:tcW w:w="1500" w:type="dxa"/>
            <w:vAlign w:val="bottom"/>
            <w:shd w:val="clear" w:color="auto" w:fill="CCEEFF"/>
          </w:tcPr>
          <w:p>
            <w:pPr>
              <w:jc w:val="right"/>
              <w:ind w:right="31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506</w:t>
            </w:r>
          </w:p>
        </w:tc>
      </w:tr>
      <w:tr>
        <w:trPr>
          <w:trHeight w:val="189"/>
        </w:trPr>
        <w:tc>
          <w:tcPr>
            <w:tcW w:w="6400" w:type="dxa"/>
            <w:vAlign w:val="bottom"/>
          </w:tcPr>
          <w:p>
            <w:pPr>
              <w:spacing w:after="0" w:line="189" w:lineRule="exact"/>
              <w:rPr>
                <w:sz w:val="20"/>
                <w:szCs w:val="20"/>
                <w:color w:val="auto"/>
              </w:rPr>
            </w:pPr>
            <w:r>
              <w:rPr>
                <w:rFonts w:ascii="Arial" w:cs="Arial" w:eastAsia="Arial" w:hAnsi="Arial"/>
                <w:sz w:val="17"/>
                <w:szCs w:val="17"/>
                <w:color w:val="auto"/>
              </w:rPr>
              <w:t>Right-of-use assets obtained in exchange for lease obligations:</w:t>
            </w: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6400" w:type="dxa"/>
            <w:vAlign w:val="bottom"/>
            <w:tcBorders>
              <w:bottom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Operating leases</w:t>
            </w:r>
          </w:p>
        </w:tc>
        <w:tc>
          <w:tcPr>
            <w:tcW w:w="15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211</w:t>
            </w:r>
          </w:p>
        </w:tc>
      </w:tr>
      <w:tr>
        <w:trPr>
          <w:trHeight w:val="412"/>
        </w:trPr>
        <w:tc>
          <w:tcPr>
            <w:tcW w:w="6400" w:type="dxa"/>
            <w:vAlign w:val="bottom"/>
          </w:tcPr>
          <w:p>
            <w:pPr>
              <w:spacing w:after="0"/>
              <w:rPr>
                <w:sz w:val="20"/>
                <w:szCs w:val="20"/>
                <w:color w:val="auto"/>
              </w:rPr>
            </w:pPr>
            <w:r>
              <w:rPr>
                <w:rFonts w:ascii="Arial" w:cs="Arial" w:eastAsia="Arial" w:hAnsi="Arial"/>
                <w:sz w:val="18"/>
                <w:szCs w:val="18"/>
                <w:color w:val="auto"/>
              </w:rPr>
              <w:t>Maturities of lease liabilities as of November 2, 2019 are as follows:</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6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in millions)</w:t>
            </w:r>
          </w:p>
        </w:tc>
      </w:tr>
      <w:tr>
        <w:trPr>
          <w:trHeight w:val="183"/>
        </w:trPr>
        <w:tc>
          <w:tcPr>
            <w:tcW w:w="6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Remainder of 2019</w:t>
            </w:r>
          </w:p>
        </w:tc>
        <w:tc>
          <w:tcPr>
            <w:tcW w:w="1500" w:type="dxa"/>
            <w:vAlign w:val="bottom"/>
            <w:shd w:val="clear" w:color="auto" w:fill="CCEEFF"/>
          </w:tcPr>
          <w:p>
            <w:pPr>
              <w:jc w:val="right"/>
              <w:ind w:right="3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173</w:t>
            </w:r>
          </w:p>
        </w:tc>
      </w:tr>
      <w:tr>
        <w:trPr>
          <w:trHeight w:val="189"/>
        </w:trPr>
        <w:tc>
          <w:tcPr>
            <w:tcW w:w="6400" w:type="dxa"/>
            <w:vAlign w:val="bottom"/>
          </w:tcPr>
          <w:p>
            <w:pPr>
              <w:spacing w:after="0" w:line="189" w:lineRule="exact"/>
              <w:rPr>
                <w:sz w:val="20"/>
                <w:szCs w:val="20"/>
                <w:color w:val="auto"/>
              </w:rPr>
            </w:pPr>
            <w:r>
              <w:rPr>
                <w:rFonts w:ascii="Arial" w:cs="Arial" w:eastAsia="Arial" w:hAnsi="Arial"/>
                <w:sz w:val="17"/>
                <w:szCs w:val="17"/>
                <w:color w:val="auto"/>
              </w:rPr>
              <w:t>2020</w:t>
            </w:r>
          </w:p>
        </w:tc>
        <w:tc>
          <w:tcPr>
            <w:tcW w:w="15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655</w:t>
            </w:r>
          </w:p>
        </w:tc>
      </w:tr>
      <w:tr>
        <w:trPr>
          <w:trHeight w:val="189"/>
        </w:trPr>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2021</w:t>
            </w:r>
          </w:p>
        </w:tc>
        <w:tc>
          <w:tcPr>
            <w:tcW w:w="1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607</w:t>
            </w:r>
          </w:p>
        </w:tc>
      </w:tr>
      <w:tr>
        <w:trPr>
          <w:trHeight w:val="189"/>
        </w:trPr>
        <w:tc>
          <w:tcPr>
            <w:tcW w:w="640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15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550</w:t>
            </w:r>
          </w:p>
        </w:tc>
      </w:tr>
      <w:tr>
        <w:trPr>
          <w:trHeight w:val="189"/>
        </w:trPr>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2023</w:t>
            </w:r>
          </w:p>
        </w:tc>
        <w:tc>
          <w:tcPr>
            <w:tcW w:w="1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479</w:t>
            </w:r>
          </w:p>
        </w:tc>
      </w:tr>
      <w:tr>
        <w:trPr>
          <w:trHeight w:val="189"/>
        </w:trPr>
        <w:tc>
          <w:tcPr>
            <w:tcW w:w="64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Thereafter</w:t>
            </w:r>
          </w:p>
        </w:tc>
        <w:tc>
          <w:tcPr>
            <w:tcW w:w="1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1,479</w:t>
            </w:r>
          </w:p>
        </w:tc>
      </w:tr>
      <w:tr>
        <w:trPr>
          <w:trHeight w:val="183"/>
        </w:trPr>
        <w:tc>
          <w:tcPr>
            <w:tcW w:w="6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lease payments</w:t>
            </w:r>
          </w:p>
        </w:tc>
        <w:tc>
          <w:tcPr>
            <w:tcW w:w="15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3,943</w:t>
            </w:r>
          </w:p>
        </w:tc>
      </w:tr>
      <w:tr>
        <w:trPr>
          <w:trHeight w:val="189"/>
        </w:trPr>
        <w:tc>
          <w:tcPr>
            <w:tcW w:w="64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Less: Interest</w:t>
            </w:r>
          </w:p>
        </w:tc>
        <w:tc>
          <w:tcPr>
            <w:tcW w:w="1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716</w:t>
            </w:r>
          </w:p>
        </w:tc>
      </w:tr>
      <w:tr>
        <w:trPr>
          <w:trHeight w:val="183"/>
        </w:trPr>
        <w:tc>
          <w:tcPr>
            <w:tcW w:w="64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lease liabilities</w:t>
            </w:r>
          </w:p>
        </w:tc>
        <w:tc>
          <w:tcPr>
            <w:tcW w:w="1500" w:type="dxa"/>
            <w:vAlign w:val="bottom"/>
            <w:tcBorders>
              <w:bottom w:val="single" w:sz="8" w:color="auto"/>
            </w:tcBorders>
            <w:shd w:val="clear" w:color="auto" w:fill="CCEEFF"/>
          </w:tcPr>
          <w:p>
            <w:pPr>
              <w:jc w:val="right"/>
              <w:ind w:right="3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3,227</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November 2, 2019, the Company signed operating leases for retail stores that had not yet commenced; the total future undiscounted lease payments under these leases are $71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 2019, the estimated future minimum non-cancellable lease commitments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in millions)</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2019</w:t>
            </w:r>
          </w:p>
        </w:tc>
        <w:tc>
          <w:tcPr>
            <w:tcW w:w="278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672</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27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631</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27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27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527</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27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w:t>
            </w:r>
          </w:p>
        </w:tc>
      </w:tr>
      <w:tr>
        <w:trPr>
          <w:trHeight w:val="203"/>
        </w:trPr>
        <w:tc>
          <w:tcPr>
            <w:tcW w:w="5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Thereafter</w:t>
            </w:r>
          </w:p>
        </w:tc>
        <w:tc>
          <w:tcPr>
            <w:tcW w:w="27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1,408</w:t>
            </w:r>
          </w:p>
        </w:tc>
      </w:tr>
      <w:tr>
        <w:trPr>
          <w:trHeight w:val="196"/>
        </w:trPr>
        <w:tc>
          <w:tcPr>
            <w:tcW w:w="5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lease commitments</w:t>
            </w:r>
          </w:p>
        </w:tc>
        <w:tc>
          <w:tcPr>
            <w:tcW w:w="278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4,277</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(“AOCL”), net of tax, is comprised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November 2,</w:t>
            </w:r>
          </w:p>
        </w:tc>
        <w:tc>
          <w:tcPr>
            <w:tcW w:w="26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November 3,</w:t>
            </w:r>
          </w:p>
        </w:tc>
        <w:tc>
          <w:tcPr>
            <w:tcW w:w="28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February 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2018</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9"/>
              </w:rPr>
              <w:t>($ in millions)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(100)</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Cash flow hedges</w:t>
            </w:r>
          </w:p>
        </w:tc>
        <w:tc>
          <w:tcPr>
            <w:tcW w:w="7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7"/>
                <w:szCs w:val="17"/>
                <w:color w:val="auto"/>
              </w:rPr>
            </w:pP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Unrecognized pension cost and postretirement</w:t>
            </w:r>
          </w:p>
        </w:tc>
        <w:tc>
          <w:tcPr>
            <w:tcW w:w="7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(280)</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Borders>
              <w:bottom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benefit</w:t>
            </w:r>
          </w:p>
        </w:tc>
        <w:tc>
          <w:tcPr>
            <w:tcW w:w="7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(272)</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34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(382)</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(361)</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AOCL for the thirty-nine weeks ended November 2, 2019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Foreign</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Items Related</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rPr>
              <w:t>Currency</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to Pension and</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3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Translation</w:t>
            </w:r>
          </w:p>
        </w:tc>
        <w:tc>
          <w:tcPr>
            <w:tcW w:w="114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Cash Flow</w:t>
            </w:r>
          </w:p>
        </w:tc>
        <w:tc>
          <w:tcPr>
            <w:tcW w:w="154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Postretirement</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60" w:type="dxa"/>
            <w:vAlign w:val="bottom"/>
            <w:gridSpan w:val="2"/>
          </w:tcPr>
          <w:p>
            <w:pPr>
              <w:spacing w:after="0"/>
              <w:rPr>
                <w:sz w:val="20"/>
                <w:szCs w:val="20"/>
                <w:color w:val="auto"/>
              </w:rPr>
            </w:pPr>
            <w:r>
              <w:rPr>
                <w:rFonts w:ascii="Arial" w:cs="Arial" w:eastAsia="Arial" w:hAnsi="Arial"/>
                <w:sz w:val="18"/>
                <w:szCs w:val="18"/>
                <w:color w:val="auto"/>
              </w:rPr>
              <w:t>($ in millions)</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22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Hedges</w:t>
            </w:r>
          </w:p>
        </w:tc>
        <w:tc>
          <w:tcPr>
            <w:tcW w:w="300" w:type="dxa"/>
            <w:vAlign w:val="bottom"/>
          </w:tcPr>
          <w:p>
            <w:pPr>
              <w:spacing w:after="0"/>
              <w:rPr>
                <w:sz w:val="19"/>
                <w:szCs w:val="19"/>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Benefits</w:t>
            </w:r>
          </w:p>
        </w:tc>
        <w:tc>
          <w:tcPr>
            <w:tcW w:w="30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February 2, 2019</w:t>
            </w:r>
          </w:p>
        </w:tc>
        <w:tc>
          <w:tcPr>
            <w:tcW w:w="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w:t>
            </w:r>
          </w:p>
        </w:tc>
        <w:tc>
          <w:tcPr>
            <w:tcW w:w="220" w:type="dxa"/>
            <w:vAlign w:val="bottom"/>
            <w:tcBorders>
              <w:top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(286)</w:t>
            </w:r>
          </w:p>
        </w:tc>
        <w:tc>
          <w:tcPr>
            <w:tcW w:w="3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OCI before reclassification</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Amortization of pension actuarial (gain)/loss, net</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of tax</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Balance as of November 2, 2019</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(100)</w:t>
            </w:r>
          </w:p>
        </w:tc>
        <w:tc>
          <w:tcPr>
            <w:tcW w:w="2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(280)</w:t>
            </w:r>
          </w:p>
        </w:tc>
        <w:tc>
          <w:tcPr>
            <w:tcW w:w="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AOCL for the thirty-nine weeks ended November 2, 2019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in millions)</w:t>
            </w: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Amortization of actuarial (gain) loss:</w:t>
            </w:r>
          </w:p>
        </w:tc>
        <w:tc>
          <w:tcPr>
            <w:tcW w:w="19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100"/>
              <w:spacing w:after="0" w:line="202" w:lineRule="exact"/>
              <w:rPr>
                <w:sz w:val="20"/>
                <w:szCs w:val="20"/>
                <w:color w:val="auto"/>
              </w:rPr>
            </w:pPr>
            <w:r>
              <w:rPr>
                <w:rFonts w:ascii="Arial" w:cs="Arial" w:eastAsia="Arial" w:hAnsi="Arial"/>
                <w:sz w:val="18"/>
                <w:szCs w:val="18"/>
                <w:color w:val="auto"/>
              </w:rPr>
              <w:t>Pension benefits- amortization of actuarial loss</w:t>
            </w:r>
          </w:p>
        </w:tc>
        <w:tc>
          <w:tcPr>
            <w:tcW w:w="19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w:t>
            </w:r>
          </w:p>
        </w:tc>
      </w:tr>
      <w:tr>
        <w:trPr>
          <w:trHeight w:val="203"/>
        </w:trPr>
        <w:tc>
          <w:tcPr>
            <w:tcW w:w="20" w:type="dxa"/>
            <w:vAlign w:val="bottom"/>
          </w:tcPr>
          <w:p>
            <w:pPr>
              <w:spacing w:after="0"/>
              <w:rPr>
                <w:sz w:val="17"/>
                <w:szCs w:val="17"/>
                <w:color w:val="auto"/>
              </w:rPr>
            </w:pPr>
          </w:p>
        </w:tc>
        <w:tc>
          <w:tcPr>
            <w:tcW w:w="5880" w:type="dxa"/>
            <w:vAlign w:val="bottom"/>
            <w:tcBorders>
              <w:bottom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Postretirement benefits- amortization of actuarial gain</w:t>
            </w:r>
          </w:p>
        </w:tc>
        <w:tc>
          <w:tcPr>
            <w:tcW w:w="19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w:t>
            </w:r>
          </w:p>
        </w:tc>
      </w:tr>
      <w:tr>
        <w:trPr>
          <w:trHeight w:val="196"/>
        </w:trPr>
        <w:tc>
          <w:tcPr>
            <w:tcW w:w="20" w:type="dxa"/>
            <w:vAlign w:val="bottom"/>
          </w:tcPr>
          <w:p>
            <w:pPr>
              <w:spacing w:after="0"/>
              <w:rPr>
                <w:sz w:val="17"/>
                <w:szCs w:val="17"/>
                <w:color w:val="auto"/>
              </w:rPr>
            </w:pPr>
          </w:p>
        </w:tc>
        <w:tc>
          <w:tcPr>
            <w:tcW w:w="5880" w:type="dxa"/>
            <w:vAlign w:val="bottom"/>
          </w:tcPr>
          <w:p>
            <w:pPr>
              <w:spacing w:after="0" w:line="196" w:lineRule="exact"/>
              <w:rPr>
                <w:sz w:val="20"/>
                <w:szCs w:val="20"/>
                <w:color w:val="auto"/>
              </w:rPr>
            </w:pPr>
            <w:r>
              <w:rPr>
                <w:rFonts w:ascii="Arial" w:cs="Arial" w:eastAsia="Arial" w:hAnsi="Arial"/>
                <w:sz w:val="18"/>
                <w:szCs w:val="18"/>
                <w:color w:val="auto"/>
              </w:rPr>
              <w:t>Net periodic benefit cost (see Note 11)</w:t>
            </w:r>
          </w:p>
        </w:tc>
        <w:tc>
          <w:tcPr>
            <w:tcW w:w="19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w:t>
            </w:r>
          </w:p>
        </w:tc>
      </w:tr>
      <w:tr>
        <w:trPr>
          <w:trHeight w:val="203"/>
        </w:trPr>
        <w:tc>
          <w:tcPr>
            <w:tcW w:w="20" w:type="dxa"/>
            <w:vAlign w:val="bottom"/>
          </w:tcPr>
          <w:p>
            <w:pPr>
              <w:spacing w:after="0"/>
              <w:rPr>
                <w:sz w:val="17"/>
                <w:szCs w:val="17"/>
                <w:color w:val="auto"/>
              </w:rPr>
            </w:pPr>
          </w:p>
        </w:tc>
        <w:tc>
          <w:tcPr>
            <w:tcW w:w="58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19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w:t>
            </w:r>
          </w:p>
        </w:tc>
      </w:tr>
      <w:tr>
        <w:trPr>
          <w:trHeight w:val="196"/>
        </w:trPr>
        <w:tc>
          <w:tcPr>
            <w:tcW w:w="20" w:type="dxa"/>
            <w:vAlign w:val="bottom"/>
            <w:tcBorders>
              <w:bottom w:val="single" w:sz="8" w:color="auto"/>
            </w:tcBorders>
          </w:tcPr>
          <w:p>
            <w:pPr>
              <w:spacing w:after="0"/>
              <w:rPr>
                <w:sz w:val="17"/>
                <w:szCs w:val="17"/>
                <w:color w:val="auto"/>
              </w:rPr>
            </w:pPr>
          </w:p>
        </w:tc>
        <w:tc>
          <w:tcPr>
            <w:tcW w:w="5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net of tax</w:t>
            </w:r>
          </w:p>
        </w:tc>
        <w:tc>
          <w:tcPr>
            <w:tcW w:w="19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w:t>
            </w: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financial assets are recorded at fair value, using a three-level fair value hierarchy that prioritizes the inputs used to measure fair value. The three levels of inputs used to measure fair value are categorized as follows:</w:t>
      </w:r>
    </w:p>
    <w:p>
      <w:pPr>
        <w:spacing w:after="0" w:line="18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212" w:lineRule="exact"/>
        <w:rPr>
          <w:sz w:val="20"/>
          <w:szCs w:val="20"/>
          <w:color w:val="auto"/>
        </w:rPr>
      </w:pPr>
    </w:p>
    <w:p>
      <w:pPr>
        <w:jc w:val="both"/>
        <w:ind w:left="1300" w:hanging="971"/>
        <w:spacing w:after="0" w:line="239" w:lineRule="auto"/>
        <w:tabs>
          <w:tab w:leader="none" w:pos="128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202" w:lineRule="exact"/>
        <w:rPr>
          <w:sz w:val="20"/>
          <w:szCs w:val="20"/>
          <w:color w:val="auto"/>
        </w:rPr>
      </w:pPr>
    </w:p>
    <w:p>
      <w:pPr>
        <w:jc w:val="both"/>
        <w:ind w:left="1300" w:right="20" w:hanging="971"/>
        <w:spacing w:after="0" w:line="246" w:lineRule="auto"/>
        <w:tabs>
          <w:tab w:leader="none" w:pos="128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fair values of the Company’s equity investments are determined by using quoted prices for identical or similar instruments in markets that are not active and therefore are classified as Level 2. The fair value of the auction rate security, classified as available-for-sale, is determined by using quoted prices for similar instruments in active markets and accordingly is classified as a Level 2 instrument. 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provides a summary of the Company’s recognized assets and liabilities that are measured at fair value on a recurring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b w:val="1"/>
                <w:bCs w:val="1"/>
                <w:color w:val="auto"/>
              </w:rPr>
              <w:t>November 2, 2019</w:t>
            </w: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b w:val="1"/>
                <w:bCs w:val="1"/>
                <w:color w:val="auto"/>
              </w:rPr>
              <w:t>November 3, 2018</w:t>
            </w: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ind w:left="260"/>
              <w:spacing w:after="0"/>
              <w:rPr>
                <w:sz w:val="20"/>
                <w:szCs w:val="20"/>
                <w:color w:val="auto"/>
              </w:rPr>
            </w:pPr>
            <w:r>
              <w:rPr>
                <w:rFonts w:ascii="Arial" w:cs="Arial" w:eastAsia="Arial" w:hAnsi="Arial"/>
                <w:sz w:val="17"/>
                <w:szCs w:val="17"/>
                <w:b w:val="1"/>
                <w:bCs w:val="1"/>
                <w:color w:val="auto"/>
              </w:rPr>
              <w:t>February 2, 2019</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gridSpan w:val="3"/>
          </w:tcPr>
          <w:p>
            <w:pPr>
              <w:ind w:left="40"/>
              <w:spacing w:after="0" w:line="157" w:lineRule="exact"/>
              <w:rPr>
                <w:sz w:val="20"/>
                <w:szCs w:val="20"/>
                <w:color w:val="auto"/>
              </w:rPr>
            </w:pPr>
            <w:r>
              <w:rPr>
                <w:rFonts w:ascii="Arial" w:cs="Arial" w:eastAsia="Arial" w:hAnsi="Arial"/>
                <w:sz w:val="17"/>
                <w:szCs w:val="17"/>
                <w:color w:val="auto"/>
              </w:rPr>
              <w:t>($ in millions)</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60"/>
              <w:spacing w:after="0"/>
              <w:rPr>
                <w:sz w:val="20"/>
                <w:szCs w:val="20"/>
                <w:color w:val="auto"/>
              </w:rPr>
            </w:pPr>
            <w:r>
              <w:rPr>
                <w:rFonts w:ascii="Arial" w:cs="Arial" w:eastAsia="Arial" w:hAnsi="Arial"/>
                <w:sz w:val="17"/>
                <w:szCs w:val="17"/>
                <w:b w:val="1"/>
                <w:bCs w:val="1"/>
                <w:color w:val="auto"/>
              </w:rPr>
              <w:t>Level 1</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Level 2</w:t>
            </w: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Level 3</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Level 1</w:t>
            </w: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Level 2</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Level 3</w:t>
            </w: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Level 1</w:t>
            </w: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Level 2</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tcPr>
          <w:p>
            <w:pPr>
              <w:spacing w:after="0" w:line="189" w:lineRule="exact"/>
              <w:rPr>
                <w:sz w:val="20"/>
                <w:szCs w:val="20"/>
                <w:color w:val="auto"/>
              </w:rPr>
            </w:pPr>
            <w:r>
              <w:rPr>
                <w:rFonts w:ascii="Arial" w:cs="Arial" w:eastAsia="Arial" w:hAnsi="Arial"/>
                <w:sz w:val="17"/>
                <w:szCs w:val="17"/>
                <w:color w:val="auto"/>
              </w:rPr>
              <w:t>Equity investments</w:t>
            </w:r>
          </w:p>
        </w:tc>
        <w:tc>
          <w:tcPr>
            <w:tcW w:w="480" w:type="dxa"/>
            <w:vAlign w:val="bottom"/>
          </w:tcPr>
          <w:p>
            <w:pPr>
              <w:ind w:left="260"/>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tcPr>
          <w:p>
            <w:pPr>
              <w:ind w:left="140"/>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tcPr>
          <w:p>
            <w:pPr>
              <w:ind w:left="100"/>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136</w:t>
            </w:r>
          </w:p>
        </w:tc>
        <w:tc>
          <w:tcPr>
            <w:tcW w:w="400" w:type="dxa"/>
            <w:vAlign w:val="bottom"/>
          </w:tcPr>
          <w:p>
            <w:pPr>
              <w:ind w:left="100"/>
              <w:spacing w:after="0" w:line="189" w:lineRule="exact"/>
              <w:rPr>
                <w:sz w:val="20"/>
                <w:szCs w:val="20"/>
                <w:color w:val="auto"/>
              </w:rPr>
            </w:pPr>
            <w:r>
              <w:rPr>
                <w:rFonts w:ascii="Arial" w:cs="Arial" w:eastAsia="Arial" w:hAnsi="Arial"/>
                <w:sz w:val="17"/>
                <w:szCs w:val="17"/>
                <w:b w:val="1"/>
                <w:bCs w:val="1"/>
                <w:color w:val="auto"/>
              </w:rPr>
              <w:t>$</w:t>
            </w:r>
          </w:p>
        </w:tc>
        <w:tc>
          <w:tcPr>
            <w:tcW w:w="400" w:type="dxa"/>
            <w:vAlign w:val="bottom"/>
          </w:tcPr>
          <w:p>
            <w:pPr>
              <w:ind w:left="60"/>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ind w:left="100"/>
              <w:spacing w:after="0" w:line="189" w:lineRule="exact"/>
              <w:rPr>
                <w:sz w:val="20"/>
                <w:szCs w:val="20"/>
                <w:color w:val="auto"/>
              </w:rPr>
            </w:pPr>
            <w:r>
              <w:rPr>
                <w:rFonts w:ascii="Arial" w:cs="Arial" w:eastAsia="Arial" w:hAnsi="Arial"/>
                <w:sz w:val="17"/>
                <w:szCs w:val="17"/>
                <w:color w:val="auto"/>
              </w:rPr>
              <w:t>$</w:t>
            </w:r>
          </w:p>
        </w:tc>
        <w:tc>
          <w:tcPr>
            <w:tcW w:w="400" w:type="dxa"/>
            <w:vAlign w:val="bottom"/>
          </w:tcPr>
          <w:p>
            <w:pPr>
              <w:ind w:left="12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ind w:left="16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21</w:t>
            </w:r>
          </w:p>
        </w:tc>
        <w:tc>
          <w:tcPr>
            <w:tcW w:w="400" w:type="dxa"/>
            <w:vAlign w:val="bottom"/>
          </w:tcPr>
          <w:p>
            <w:pPr>
              <w:ind w:left="10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ind w:left="60"/>
              <w:spacing w:after="0" w:line="189" w:lineRule="exact"/>
              <w:rPr>
                <w:sz w:val="20"/>
                <w:szCs w:val="20"/>
                <w:color w:val="auto"/>
              </w:rPr>
            </w:pPr>
            <w:r>
              <w:rPr>
                <w:rFonts w:ascii="Arial" w:cs="Arial" w:eastAsia="Arial" w:hAnsi="Arial"/>
                <w:sz w:val="17"/>
                <w:szCs w:val="17"/>
                <w:color w:val="auto"/>
              </w:rPr>
              <w:t>—</w:t>
            </w:r>
          </w:p>
        </w:tc>
        <w:tc>
          <w:tcPr>
            <w:tcW w:w="340" w:type="dxa"/>
            <w:vAlign w:val="bottom"/>
          </w:tcPr>
          <w:p>
            <w:pPr>
              <w:ind w:left="100"/>
              <w:spacing w:after="0" w:line="189" w:lineRule="exact"/>
              <w:rPr>
                <w:sz w:val="20"/>
                <w:szCs w:val="20"/>
                <w:color w:val="auto"/>
              </w:rPr>
            </w:pPr>
            <w:r>
              <w:rPr>
                <w:rFonts w:ascii="Arial" w:cs="Arial" w:eastAsia="Arial" w:hAnsi="Arial"/>
                <w:sz w:val="17"/>
                <w:szCs w:val="17"/>
                <w:color w:val="auto"/>
              </w:rPr>
              <w:t>$</w:t>
            </w:r>
          </w:p>
        </w:tc>
        <w:tc>
          <w:tcPr>
            <w:tcW w:w="480" w:type="dxa"/>
            <w:vAlign w:val="bottom"/>
          </w:tcPr>
          <w:p>
            <w:pPr>
              <w:ind w:left="160"/>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ind w:left="100"/>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94</w:t>
            </w:r>
          </w:p>
        </w:tc>
        <w:tc>
          <w:tcPr>
            <w:tcW w:w="44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3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Available-for-sale</w:t>
            </w:r>
          </w:p>
        </w:tc>
        <w:tc>
          <w:tcPr>
            <w:tcW w:w="4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6</w:t>
            </w:r>
          </w:p>
        </w:tc>
        <w:tc>
          <w:tcPr>
            <w:tcW w:w="4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security</w:t>
            </w:r>
          </w:p>
        </w:tc>
        <w:tc>
          <w:tcPr>
            <w:tcW w:w="4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w:t>
            </w: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w:t>
            </w: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spacing w:after="0" w:line="183" w:lineRule="exact"/>
              <w:rPr>
                <w:sz w:val="20"/>
                <w:szCs w:val="20"/>
                <w:color w:val="auto"/>
              </w:rPr>
            </w:pPr>
            <w:r>
              <w:rPr>
                <w:rFonts w:ascii="Arial" w:cs="Arial" w:eastAsia="Arial" w:hAnsi="Arial"/>
                <w:sz w:val="17"/>
                <w:szCs w:val="17"/>
                <w:color w:val="auto"/>
              </w:rPr>
              <w:t>Foreign exchange</w:t>
            </w:r>
          </w:p>
        </w:tc>
        <w:tc>
          <w:tcPr>
            <w:tcW w:w="480" w:type="dxa"/>
            <w:vAlign w:val="bottom"/>
          </w:tcPr>
          <w:p>
            <w:pPr>
              <w:spacing w:after="0"/>
              <w:rPr>
                <w:sz w:val="15"/>
                <w:szCs w:val="15"/>
                <w:color w:val="auto"/>
              </w:rPr>
            </w:pPr>
          </w:p>
        </w:tc>
        <w:tc>
          <w:tcPr>
            <w:tcW w:w="4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5"/>
                <w:szCs w:val="15"/>
                <w:color w:val="auto"/>
              </w:rPr>
            </w:pPr>
          </w:p>
        </w:tc>
        <w:tc>
          <w:tcPr>
            <w:tcW w:w="50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5"/>
                <w:szCs w:val="15"/>
                <w:color w:val="auto"/>
              </w:rPr>
            </w:pPr>
          </w:p>
        </w:tc>
        <w:tc>
          <w:tcPr>
            <w:tcW w:w="40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forward contracts</w:t>
            </w: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w:t>
            </w:r>
          </w:p>
        </w:tc>
        <w:tc>
          <w:tcPr>
            <w:tcW w:w="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Assets</w:t>
            </w:r>
          </w:p>
        </w:tc>
        <w:tc>
          <w:tcPr>
            <w:tcW w:w="480" w:type="dxa"/>
            <w:vAlign w:val="bottom"/>
            <w:tcBorders>
              <w:bottom w:val="single" w:sz="8" w:color="auto"/>
            </w:tcBorders>
            <w:shd w:val="clear" w:color="auto" w:fill="CCEEFF"/>
          </w:tcPr>
          <w:p>
            <w:pPr>
              <w:ind w:left="260"/>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shd w:val="clear" w:color="auto" w:fill="CCEEFF"/>
          </w:tcPr>
          <w:p>
            <w:pPr>
              <w:ind w:left="140"/>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142</w:t>
            </w:r>
          </w:p>
        </w:tc>
        <w:tc>
          <w:tcPr>
            <w:tcW w:w="4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28</w:t>
            </w:r>
          </w:p>
        </w:tc>
        <w:tc>
          <w:tcPr>
            <w:tcW w:w="4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100</w:t>
            </w:r>
          </w:p>
        </w:tc>
        <w:tc>
          <w:tcPr>
            <w:tcW w:w="44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spacing w:after="0" w:line="183" w:lineRule="exact"/>
              <w:rPr>
                <w:sz w:val="20"/>
                <w:szCs w:val="20"/>
                <w:color w:val="auto"/>
              </w:rPr>
            </w:pPr>
            <w:r>
              <w:rPr>
                <w:rFonts w:ascii="Arial" w:cs="Arial" w:eastAsia="Arial" w:hAnsi="Arial"/>
                <w:sz w:val="17"/>
                <w:szCs w:val="17"/>
                <w:color w:val="auto"/>
              </w:rPr>
              <w:t>Foreign exchange</w:t>
            </w:r>
          </w:p>
        </w:tc>
        <w:tc>
          <w:tcPr>
            <w:tcW w:w="480" w:type="dxa"/>
            <w:vAlign w:val="bottom"/>
          </w:tcPr>
          <w:p>
            <w:pPr>
              <w:spacing w:after="0"/>
              <w:rPr>
                <w:sz w:val="15"/>
                <w:szCs w:val="15"/>
                <w:color w:val="auto"/>
              </w:rPr>
            </w:pPr>
          </w:p>
        </w:tc>
        <w:tc>
          <w:tcPr>
            <w:tcW w:w="4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5"/>
                <w:szCs w:val="15"/>
                <w:color w:val="auto"/>
              </w:rPr>
            </w:pPr>
          </w:p>
        </w:tc>
        <w:tc>
          <w:tcPr>
            <w:tcW w:w="50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2</w:t>
            </w:r>
          </w:p>
        </w:tc>
        <w:tc>
          <w:tcPr>
            <w:tcW w:w="400" w:type="dxa"/>
            <w:vAlign w:val="bottom"/>
          </w:tcPr>
          <w:p>
            <w:pPr>
              <w:spacing w:after="0"/>
              <w:rPr>
                <w:sz w:val="15"/>
                <w:szCs w:val="15"/>
                <w:color w:val="auto"/>
              </w:rPr>
            </w:pPr>
          </w:p>
        </w:tc>
        <w:tc>
          <w:tcPr>
            <w:tcW w:w="40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forward contracts</w:t>
            </w: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w:t>
            </w: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Liabilities</w:t>
            </w:r>
          </w:p>
        </w:tc>
        <w:tc>
          <w:tcPr>
            <w:tcW w:w="480" w:type="dxa"/>
            <w:vAlign w:val="bottom"/>
            <w:tcBorders>
              <w:bottom w:val="single" w:sz="8" w:color="auto"/>
            </w:tcBorders>
            <w:shd w:val="clear" w:color="auto" w:fill="CCEEFF"/>
          </w:tcPr>
          <w:p>
            <w:pPr>
              <w:ind w:left="260"/>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shd w:val="clear" w:color="auto" w:fill="CCEEFF"/>
          </w:tcPr>
          <w:p>
            <w:pPr>
              <w:ind w:left="140"/>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4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w:t>
            </w:r>
          </w:p>
        </w:tc>
        <w:tc>
          <w:tcPr>
            <w:tcW w:w="44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 The carrying value and estimated fair value of long-term debt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3300" w:type="dxa"/>
            <w:vAlign w:val="bottom"/>
            <w:gridSpan w:val="2"/>
          </w:tcPr>
          <w:p>
            <w:pPr>
              <w:jc w:val="right"/>
              <w:ind w:right="55"/>
              <w:spacing w:after="0"/>
              <w:rPr>
                <w:sz w:val="20"/>
                <w:szCs w:val="20"/>
                <w:color w:val="auto"/>
              </w:rPr>
            </w:pPr>
            <w:r>
              <w:rPr>
                <w:rFonts w:ascii="Arial" w:cs="Arial" w:eastAsia="Arial" w:hAnsi="Arial"/>
                <w:sz w:val="17"/>
                <w:szCs w:val="17"/>
                <w:b w:val="1"/>
                <w:bCs w:val="1"/>
                <w:color w:val="auto"/>
              </w:rPr>
              <w:t>November 2,</w:t>
            </w:r>
          </w:p>
        </w:tc>
        <w:tc>
          <w:tcPr>
            <w:tcW w:w="1340" w:type="dxa"/>
            <w:vAlign w:val="bottom"/>
            <w:gridSpan w:val="2"/>
          </w:tcPr>
          <w:p>
            <w:pPr>
              <w:jc w:val="right"/>
              <w:ind w:right="55"/>
              <w:spacing w:after="0"/>
              <w:rPr>
                <w:sz w:val="20"/>
                <w:szCs w:val="20"/>
                <w:color w:val="auto"/>
              </w:rPr>
            </w:pPr>
            <w:r>
              <w:rPr>
                <w:rFonts w:ascii="Arial" w:cs="Arial" w:eastAsia="Arial" w:hAnsi="Arial"/>
                <w:sz w:val="17"/>
                <w:szCs w:val="17"/>
                <w:b w:val="1"/>
                <w:bCs w:val="1"/>
                <w:color w:val="auto"/>
              </w:rPr>
              <w:t>November 3,</w:t>
            </w:r>
          </w:p>
        </w:tc>
        <w:tc>
          <w:tcPr>
            <w:tcW w:w="220" w:type="dxa"/>
            <w:vAlign w:val="bottom"/>
          </w:tcPr>
          <w:p>
            <w:pPr>
              <w:spacing w:after="0"/>
              <w:rPr>
                <w:sz w:val="16"/>
                <w:szCs w:val="16"/>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w w:val="98"/>
              </w:rPr>
              <w:t>February 2,</w:t>
            </w:r>
          </w:p>
        </w:tc>
      </w:tr>
      <w:tr>
        <w:trPr>
          <w:trHeight w:val="215"/>
        </w:trPr>
        <w:tc>
          <w:tcPr>
            <w:tcW w:w="3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2019</w:t>
            </w:r>
          </w:p>
        </w:tc>
      </w:tr>
      <w:tr>
        <w:trPr>
          <w:trHeight w:val="183"/>
        </w:trPr>
        <w:tc>
          <w:tcPr>
            <w:tcW w:w="31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gridSpan w:val="2"/>
          </w:tcPr>
          <w:p>
            <w:pPr>
              <w:jc w:val="right"/>
              <w:ind w:right="75"/>
              <w:spacing w:after="0" w:line="183" w:lineRule="exact"/>
              <w:rPr>
                <w:sz w:val="20"/>
                <w:szCs w:val="20"/>
                <w:color w:val="auto"/>
              </w:rPr>
            </w:pPr>
            <w:r>
              <w:rPr>
                <w:rFonts w:ascii="Arial" w:cs="Arial" w:eastAsia="Arial" w:hAnsi="Arial"/>
                <w:sz w:val="17"/>
                <w:szCs w:val="17"/>
                <w:color w:val="auto"/>
              </w:rPr>
              <w:t>($ in millions)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Carrying value</w:t>
            </w:r>
          </w:p>
        </w:tc>
        <w:tc>
          <w:tcPr>
            <w:tcW w:w="2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122</w:t>
            </w:r>
          </w:p>
        </w:tc>
        <w:tc>
          <w:tcPr>
            <w:tcW w:w="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124</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124</w:t>
            </w:r>
          </w:p>
        </w:tc>
      </w:tr>
      <w:tr>
        <w:trPr>
          <w:trHeight w:val="189"/>
        </w:trPr>
        <w:tc>
          <w:tcPr>
            <w:tcW w:w="31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Fair value</w:t>
            </w:r>
          </w:p>
        </w:tc>
        <w:tc>
          <w:tcPr>
            <w:tcW w:w="23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135</w:t>
            </w:r>
          </w:p>
        </w:tc>
        <w:tc>
          <w:tcPr>
            <w:tcW w:w="3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138</w:t>
            </w:r>
          </w:p>
        </w:tc>
        <w:tc>
          <w:tcPr>
            <w:tcW w:w="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136</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carrying values of cash and cash equivalents, and other current receivables and payables approximate their fair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Diluted earnings per share reflects the weighted-average number of common shares outstanding during the period used in the basic earnings per share computation plus dilutive common stock equivalents.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80" w:type="dxa"/>
            <w:vAlign w:val="bottom"/>
            <w:gridSpan w:val="2"/>
          </w:tcPr>
          <w:p>
            <w:pPr>
              <w:jc w:val="right"/>
              <w:ind w:right="55"/>
              <w:spacing w:after="0" w:line="157" w:lineRule="exact"/>
              <w:rPr>
                <w:sz w:val="20"/>
                <w:szCs w:val="20"/>
                <w:color w:val="auto"/>
              </w:rPr>
            </w:pPr>
            <w:r>
              <w:rPr>
                <w:rFonts w:ascii="Arial" w:cs="Arial" w:eastAsia="Arial" w:hAnsi="Arial"/>
                <w:sz w:val="17"/>
                <w:szCs w:val="17"/>
                <w:b w:val="1"/>
                <w:bCs w:val="1"/>
                <w:color w:val="auto"/>
              </w:rPr>
              <w:t>November 2,</w:t>
            </w:r>
          </w:p>
        </w:tc>
        <w:tc>
          <w:tcPr>
            <w:tcW w:w="140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3,</w:t>
            </w:r>
          </w:p>
        </w:tc>
        <w:tc>
          <w:tcPr>
            <w:tcW w:w="1440" w:type="dxa"/>
            <w:vAlign w:val="bottom"/>
            <w:gridSpan w:val="2"/>
          </w:tcPr>
          <w:p>
            <w:pPr>
              <w:jc w:val="right"/>
              <w:ind w:right="115"/>
              <w:spacing w:after="0" w:line="157" w:lineRule="exact"/>
              <w:rPr>
                <w:sz w:val="20"/>
                <w:szCs w:val="20"/>
                <w:color w:val="auto"/>
              </w:rPr>
            </w:pPr>
            <w:r>
              <w:rPr>
                <w:rFonts w:ascii="Arial" w:cs="Arial" w:eastAsia="Arial" w:hAnsi="Arial"/>
                <w:sz w:val="17"/>
                <w:szCs w:val="17"/>
                <w:b w:val="1"/>
                <w:bCs w:val="1"/>
                <w:color w:val="auto"/>
              </w:rPr>
              <w:t>November 2,</w:t>
            </w:r>
          </w:p>
        </w:tc>
        <w:tc>
          <w:tcPr>
            <w:tcW w:w="126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November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2018</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40" w:type="dxa"/>
            <w:vAlign w:val="bottom"/>
            <w:gridSpan w:val="4"/>
          </w:tcPr>
          <w:p>
            <w:pPr>
              <w:ind w:left="120"/>
              <w:spacing w:after="0" w:line="183" w:lineRule="exact"/>
              <w:rPr>
                <w:sz w:val="20"/>
                <w:szCs w:val="20"/>
                <w:color w:val="auto"/>
              </w:rPr>
            </w:pPr>
            <w:r>
              <w:rPr>
                <w:rFonts w:ascii="Arial" w:cs="Arial" w:eastAsia="Arial" w:hAnsi="Arial"/>
                <w:sz w:val="17"/>
                <w:szCs w:val="17"/>
                <w:color w:val="auto"/>
              </w:rPr>
              <w:t>(in millions, except per share data)</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w:t>
            </w:r>
          </w:p>
        </w:tc>
        <w:tc>
          <w:tcPr>
            <w:tcW w:w="4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125</w:t>
            </w:r>
          </w:p>
        </w:tc>
        <w:tc>
          <w:tcPr>
            <w:tcW w:w="40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130</w:t>
            </w: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357</w:t>
            </w:r>
          </w:p>
        </w:tc>
        <w:tc>
          <w:tcPr>
            <w:tcW w:w="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common shares</w:t>
            </w:r>
          </w:p>
        </w:tc>
        <w:tc>
          <w:tcPr>
            <w:tcW w:w="4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106.9</w:t>
            </w: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110.0</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outstanding</w:t>
            </w:r>
          </w:p>
        </w:tc>
        <w:tc>
          <w:tcPr>
            <w:tcW w:w="4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114.5</w:t>
            </w:r>
          </w:p>
        </w:tc>
        <w:tc>
          <w:tcPr>
            <w:tcW w:w="3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0.3</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0.5</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0.5</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Weighted-average common shares</w:t>
            </w:r>
          </w:p>
        </w:tc>
        <w:tc>
          <w:tcPr>
            <w:tcW w:w="4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107.2</w:t>
            </w: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110.5</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outstanding assuming dilution</w:t>
            </w: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115.0</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per share - basic</w:t>
            </w:r>
          </w:p>
        </w:tc>
        <w:tc>
          <w:tcPr>
            <w:tcW w:w="4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1.16</w:t>
            </w:r>
          </w:p>
        </w:tc>
        <w:tc>
          <w:tcPr>
            <w:tcW w:w="40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1.14</w:t>
            </w: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3.24</w:t>
            </w:r>
          </w:p>
        </w:tc>
        <w:tc>
          <w:tcPr>
            <w:tcW w:w="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Earnings per share - diluted</w:t>
            </w:r>
          </w:p>
        </w:tc>
        <w:tc>
          <w:tcPr>
            <w:tcW w:w="4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1.16</w:t>
            </w:r>
          </w:p>
        </w:tc>
        <w:tc>
          <w:tcPr>
            <w:tcW w:w="400" w:type="dxa"/>
            <w:vAlign w:val="bottom"/>
          </w:tcPr>
          <w:p>
            <w:pPr>
              <w:ind w:left="140"/>
              <w:spacing w:after="0" w:line="189"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1.14</w:t>
            </w:r>
          </w:p>
        </w:tc>
        <w:tc>
          <w:tcPr>
            <w:tcW w:w="32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3.23</w:t>
            </w:r>
          </w:p>
        </w:tc>
        <w:tc>
          <w:tcPr>
            <w:tcW w:w="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460" w:type="dxa"/>
            <w:vAlign w:val="bottom"/>
          </w:tcPr>
          <w:p>
            <w:pPr>
              <w:spacing w:after="0" w:line="183" w:lineRule="exact"/>
              <w:rPr>
                <w:sz w:val="20"/>
                <w:szCs w:val="20"/>
                <w:color w:val="auto"/>
              </w:rPr>
            </w:pPr>
            <w:r>
              <w:rPr>
                <w:rFonts w:ascii="Arial" w:cs="Arial" w:eastAsia="Arial" w:hAnsi="Arial"/>
                <w:sz w:val="17"/>
                <w:szCs w:val="17"/>
                <w:color w:val="auto"/>
              </w:rPr>
              <w:t>Anti-dilutive share-based awards excluded</w:t>
            </w:r>
          </w:p>
        </w:tc>
        <w:tc>
          <w:tcPr>
            <w:tcW w:w="480" w:type="dxa"/>
            <w:vAlign w:val="bottom"/>
          </w:tcPr>
          <w:p>
            <w:pPr>
              <w:spacing w:after="0"/>
              <w:rPr>
                <w:sz w:val="15"/>
                <w:szCs w:val="15"/>
                <w:color w:val="auto"/>
              </w:rPr>
            </w:pPr>
          </w:p>
        </w:tc>
        <w:tc>
          <w:tcPr>
            <w:tcW w:w="10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2.4</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2.2</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from diluted calculation</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880"/>
        <w:spacing w:after="0" w:line="239" w:lineRule="auto"/>
        <w:rPr>
          <w:sz w:val="20"/>
          <w:szCs w:val="20"/>
          <w:color w:val="auto"/>
        </w:rPr>
      </w:pPr>
      <w:r>
        <w:rPr>
          <w:rFonts w:ascii="Arial" w:cs="Arial" w:eastAsia="Arial" w:hAnsi="Arial"/>
          <w:sz w:val="18"/>
          <w:szCs w:val="18"/>
          <w:color w:val="auto"/>
        </w:rPr>
        <w:t>Restricted stock units related to the Company’s long-term incentive program of 0.7 million and 1.1 million have been excluded from diluted weighted-average shares for the periods ended November 2, 2019 and November 3, 2018, respectively. The issuance of these shares are contingent on the Company’s performance metrics as compared to the pre-established performance goals, which have not been achieved.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234" w:lineRule="exact"/>
        <w:rPr>
          <w:sz w:val="20"/>
          <w:szCs w:val="20"/>
          <w:color w:val="auto"/>
        </w:rPr>
      </w:pPr>
    </w:p>
    <w:p>
      <w:pPr>
        <w:jc w:val="both"/>
        <w:ind w:right="880"/>
        <w:spacing w:after="0" w:line="236" w:lineRule="auto"/>
        <w:rPr>
          <w:sz w:val="20"/>
          <w:szCs w:val="20"/>
          <w:color w:val="auto"/>
        </w:rPr>
      </w:pPr>
      <w:r>
        <w:rPr>
          <w:rFonts w:ascii="Arial" w:cs="Arial" w:eastAsia="Arial" w:hAnsi="Arial"/>
          <w:sz w:val="18"/>
          <w:szCs w:val="18"/>
          <w:color w:val="auto"/>
        </w:rPr>
        <w:t>The Company has defined benefit pension plans covering certain of its North American employees, which are funded in accordance with the provisions of the laws where the plans are in effect. The Company also has a defined benefit pension plan covering certain employees of the Runners Point Group. In addition to providing pension benefits, the Company sponsors postretirement medical and life insurance plans, which are available to most of its retired U.S. employees. These medical and life insurance plans are contributory and are not funded. The components of net periodic pension benefit cost and net periodic postretirement benefit income are included in the table below. Service cost is recognized as part of SG&amp;A, while the remaining pension and postretirement expense components are recognized as part of other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b w:val="1"/>
                <w:bCs w:val="1"/>
                <w:color w:val="auto"/>
              </w:rPr>
              <w:t>Pension Benefits</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140"/>
              <w:spacing w:after="0"/>
              <w:rPr>
                <w:sz w:val="20"/>
                <w:szCs w:val="20"/>
                <w:color w:val="auto"/>
              </w:rPr>
            </w:pPr>
            <w:r>
              <w:rPr>
                <w:rFonts w:ascii="Arial" w:cs="Arial" w:eastAsia="Arial" w:hAnsi="Arial"/>
                <w:sz w:val="17"/>
                <w:szCs w:val="17"/>
                <w:b w:val="1"/>
                <w:bCs w:val="1"/>
                <w:color w:val="auto"/>
              </w:rPr>
              <w:t>Postretirement Benefits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2360" w:type="dxa"/>
            <w:vAlign w:val="bottom"/>
            <w:tcBorders>
              <w:bottom w:val="single" w:sz="8" w:color="auto"/>
            </w:tcBorders>
          </w:tcPr>
          <w:p>
            <w:pPr>
              <w:spacing w:after="0"/>
              <w:rPr>
                <w:sz w:val="15"/>
                <w:szCs w:val="15"/>
                <w:color w:val="auto"/>
              </w:rPr>
            </w:pPr>
          </w:p>
        </w:tc>
        <w:tc>
          <w:tcPr>
            <w:tcW w:w="7540" w:type="dxa"/>
            <w:vAlign w:val="bottom"/>
            <w:tcBorders>
              <w:bottom w:val="single" w:sz="8" w:color="auto"/>
            </w:tcBorders>
            <w:gridSpan w:val="16"/>
          </w:tcPr>
          <w:p>
            <w:pPr>
              <w:jc w:val="center"/>
              <w:spacing w:after="0" w:line="183" w:lineRule="exact"/>
              <w:rPr>
                <w:sz w:val="20"/>
                <w:szCs w:val="20"/>
                <w:color w:val="auto"/>
              </w:rPr>
            </w:pPr>
            <w:r>
              <w:rPr>
                <w:rFonts w:ascii="Arial" w:cs="Arial" w:eastAsia="Arial" w:hAnsi="Arial"/>
                <w:sz w:val="17"/>
                <w:szCs w:val="17"/>
                <w:b w:val="1"/>
                <w:bCs w:val="1"/>
                <w:color w:val="auto"/>
                <w:w w:val="99"/>
              </w:rPr>
              <w:t>Thirteen weeks endedThirty-nine weeks ended Thirteen weeks endedThirty-nine weeks ended</w:t>
            </w:r>
          </w:p>
        </w:tc>
        <w:tc>
          <w:tcPr>
            <w:tcW w:w="40" w:type="dxa"/>
            <w:vAlign w:val="bottom"/>
          </w:tcPr>
          <w:p>
            <w:pPr>
              <w:spacing w:after="0"/>
              <w:rPr>
                <w:sz w:val="15"/>
                <w:szCs w:val="15"/>
                <w:color w:val="auto"/>
              </w:rPr>
            </w:pPr>
          </w:p>
        </w:tc>
      </w:tr>
      <w:tr>
        <w:trPr>
          <w:trHeight w:val="156"/>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5"/>
              <w:spacing w:after="0" w:line="157" w:lineRule="exact"/>
              <w:rPr>
                <w:sz w:val="20"/>
                <w:szCs w:val="20"/>
                <w:color w:val="auto"/>
              </w:rPr>
            </w:pPr>
            <w:r>
              <w:rPr>
                <w:rFonts w:ascii="Arial" w:cs="Arial" w:eastAsia="Arial" w:hAnsi="Arial"/>
                <w:sz w:val="17"/>
                <w:szCs w:val="17"/>
                <w:b w:val="1"/>
                <w:bCs w:val="1"/>
                <w:color w:val="auto"/>
              </w:rPr>
              <w:t>Nov. 2</w:t>
            </w:r>
          </w:p>
        </w:tc>
        <w:tc>
          <w:tcPr>
            <w:tcW w:w="220" w:type="dxa"/>
            <w:vAlign w:val="bottom"/>
          </w:tcPr>
          <w:p>
            <w:pPr>
              <w:spacing w:after="0"/>
              <w:rPr>
                <w:sz w:val="13"/>
                <w:szCs w:val="13"/>
                <w:color w:val="auto"/>
              </w:rPr>
            </w:pPr>
          </w:p>
        </w:tc>
        <w:tc>
          <w:tcPr>
            <w:tcW w:w="640" w:type="dxa"/>
            <w:vAlign w:val="bottom"/>
          </w:tcPr>
          <w:p>
            <w:pPr>
              <w:ind w:left="60"/>
              <w:spacing w:after="0" w:line="157" w:lineRule="exact"/>
              <w:rPr>
                <w:sz w:val="20"/>
                <w:szCs w:val="20"/>
                <w:color w:val="auto"/>
              </w:rPr>
            </w:pPr>
            <w:r>
              <w:rPr>
                <w:rFonts w:ascii="Arial" w:cs="Arial" w:eastAsia="Arial" w:hAnsi="Arial"/>
                <w:sz w:val="17"/>
                <w:szCs w:val="17"/>
                <w:b w:val="1"/>
                <w:bCs w:val="1"/>
                <w:color w:val="auto"/>
              </w:rPr>
              <w:t>Nov. 3</w:t>
            </w:r>
          </w:p>
        </w:tc>
        <w:tc>
          <w:tcPr>
            <w:tcW w:w="180" w:type="dxa"/>
            <w:vAlign w:val="bottom"/>
          </w:tcPr>
          <w:p>
            <w:pPr>
              <w:spacing w:after="0"/>
              <w:rPr>
                <w:sz w:val="13"/>
                <w:szCs w:val="13"/>
                <w:color w:val="auto"/>
              </w:rPr>
            </w:pPr>
          </w:p>
        </w:tc>
        <w:tc>
          <w:tcPr>
            <w:tcW w:w="800" w:type="dxa"/>
            <w:vAlign w:val="bottom"/>
          </w:tcPr>
          <w:p>
            <w:pPr>
              <w:jc w:val="right"/>
              <w:ind w:right="135"/>
              <w:spacing w:after="0" w:line="157" w:lineRule="exact"/>
              <w:rPr>
                <w:sz w:val="20"/>
                <w:szCs w:val="20"/>
                <w:color w:val="auto"/>
              </w:rPr>
            </w:pPr>
            <w:r>
              <w:rPr>
                <w:rFonts w:ascii="Arial" w:cs="Arial" w:eastAsia="Arial" w:hAnsi="Arial"/>
                <w:sz w:val="17"/>
                <w:szCs w:val="17"/>
                <w:b w:val="1"/>
                <w:bCs w:val="1"/>
                <w:color w:val="auto"/>
              </w:rPr>
              <w:t>Nov. 2</w:t>
            </w:r>
          </w:p>
        </w:tc>
        <w:tc>
          <w:tcPr>
            <w:tcW w:w="280" w:type="dxa"/>
            <w:vAlign w:val="bottom"/>
          </w:tcPr>
          <w:p>
            <w:pPr>
              <w:spacing w:after="0"/>
              <w:rPr>
                <w:sz w:val="13"/>
                <w:szCs w:val="13"/>
                <w:color w:val="auto"/>
              </w:rPr>
            </w:pPr>
          </w:p>
        </w:tc>
        <w:tc>
          <w:tcPr>
            <w:tcW w:w="700" w:type="dxa"/>
            <w:vAlign w:val="bottom"/>
          </w:tcPr>
          <w:p>
            <w:pPr>
              <w:jc w:val="right"/>
              <w:ind w:right="35"/>
              <w:spacing w:after="0" w:line="157" w:lineRule="exact"/>
              <w:rPr>
                <w:sz w:val="20"/>
                <w:szCs w:val="20"/>
                <w:color w:val="auto"/>
              </w:rPr>
            </w:pPr>
            <w:r>
              <w:rPr>
                <w:rFonts w:ascii="Arial" w:cs="Arial" w:eastAsia="Arial" w:hAnsi="Arial"/>
                <w:sz w:val="17"/>
                <w:szCs w:val="17"/>
                <w:b w:val="1"/>
                <w:bCs w:val="1"/>
                <w:color w:val="auto"/>
              </w:rPr>
              <w:t>Nov. 3</w:t>
            </w:r>
          </w:p>
        </w:tc>
        <w:tc>
          <w:tcPr>
            <w:tcW w:w="140" w:type="dxa"/>
            <w:vAlign w:val="bottom"/>
          </w:tcPr>
          <w:p>
            <w:pPr>
              <w:spacing w:after="0"/>
              <w:rPr>
                <w:sz w:val="13"/>
                <w:szCs w:val="13"/>
                <w:color w:val="auto"/>
              </w:rPr>
            </w:pPr>
          </w:p>
        </w:tc>
        <w:tc>
          <w:tcPr>
            <w:tcW w:w="680" w:type="dxa"/>
            <w:vAlign w:val="bottom"/>
          </w:tcPr>
          <w:p>
            <w:pPr>
              <w:ind w:left="40"/>
              <w:spacing w:after="0" w:line="157" w:lineRule="exact"/>
              <w:rPr>
                <w:sz w:val="20"/>
                <w:szCs w:val="20"/>
                <w:color w:val="auto"/>
              </w:rPr>
            </w:pPr>
            <w:r>
              <w:rPr>
                <w:rFonts w:ascii="Arial" w:cs="Arial" w:eastAsia="Arial" w:hAnsi="Arial"/>
                <w:sz w:val="17"/>
                <w:szCs w:val="17"/>
                <w:b w:val="1"/>
                <w:bCs w:val="1"/>
                <w:color w:val="auto"/>
              </w:rPr>
              <w:t>Nov. 2</w:t>
            </w:r>
          </w:p>
        </w:tc>
        <w:tc>
          <w:tcPr>
            <w:tcW w:w="260" w:type="dxa"/>
            <w:vAlign w:val="bottom"/>
          </w:tcPr>
          <w:p>
            <w:pPr>
              <w:spacing w:after="0"/>
              <w:rPr>
                <w:sz w:val="13"/>
                <w:szCs w:val="13"/>
                <w:color w:val="auto"/>
              </w:rPr>
            </w:pPr>
          </w:p>
        </w:tc>
        <w:tc>
          <w:tcPr>
            <w:tcW w:w="680" w:type="dxa"/>
            <w:vAlign w:val="bottom"/>
          </w:tcPr>
          <w:p>
            <w:pPr>
              <w:ind w:left="40"/>
              <w:spacing w:after="0" w:line="157" w:lineRule="exact"/>
              <w:rPr>
                <w:sz w:val="20"/>
                <w:szCs w:val="20"/>
                <w:color w:val="auto"/>
              </w:rPr>
            </w:pPr>
            <w:r>
              <w:rPr>
                <w:rFonts w:ascii="Arial" w:cs="Arial" w:eastAsia="Arial" w:hAnsi="Arial"/>
                <w:sz w:val="17"/>
                <w:szCs w:val="17"/>
                <w:b w:val="1"/>
                <w:bCs w:val="1"/>
                <w:color w:val="auto"/>
              </w:rPr>
              <w:t>Nov. 3</w:t>
            </w:r>
          </w:p>
        </w:tc>
        <w:tc>
          <w:tcPr>
            <w:tcW w:w="280" w:type="dxa"/>
            <w:vAlign w:val="bottom"/>
          </w:tcPr>
          <w:p>
            <w:pPr>
              <w:spacing w:after="0"/>
              <w:rPr>
                <w:sz w:val="13"/>
                <w:szCs w:val="13"/>
                <w:color w:val="auto"/>
              </w:rPr>
            </w:pPr>
          </w:p>
        </w:tc>
        <w:tc>
          <w:tcPr>
            <w:tcW w:w="880" w:type="dxa"/>
            <w:vAlign w:val="bottom"/>
          </w:tcPr>
          <w:p>
            <w:pPr>
              <w:jc w:val="right"/>
              <w:ind w:right="215"/>
              <w:spacing w:after="0" w:line="157" w:lineRule="exact"/>
              <w:rPr>
                <w:sz w:val="20"/>
                <w:szCs w:val="20"/>
                <w:color w:val="auto"/>
              </w:rPr>
            </w:pPr>
            <w:r>
              <w:rPr>
                <w:rFonts w:ascii="Arial" w:cs="Arial" w:eastAsia="Arial" w:hAnsi="Arial"/>
                <w:sz w:val="17"/>
                <w:szCs w:val="17"/>
                <w:b w:val="1"/>
                <w:bCs w:val="1"/>
                <w:color w:val="auto"/>
              </w:rPr>
              <w:t>Nov. 2</w:t>
            </w:r>
          </w:p>
        </w:tc>
        <w:tc>
          <w:tcPr>
            <w:tcW w:w="200" w:type="dxa"/>
            <w:vAlign w:val="bottom"/>
          </w:tcPr>
          <w:p>
            <w:pPr>
              <w:spacing w:after="0"/>
              <w:rPr>
                <w:sz w:val="13"/>
                <w:szCs w:val="13"/>
                <w:color w:val="auto"/>
              </w:rPr>
            </w:pPr>
          </w:p>
        </w:tc>
        <w:tc>
          <w:tcPr>
            <w:tcW w:w="700" w:type="dxa"/>
            <w:vAlign w:val="bottom"/>
          </w:tcPr>
          <w:p>
            <w:pPr>
              <w:jc w:val="right"/>
              <w:ind w:right="35"/>
              <w:spacing w:after="0" w:line="157" w:lineRule="exact"/>
              <w:rPr>
                <w:sz w:val="20"/>
                <w:szCs w:val="20"/>
                <w:color w:val="auto"/>
              </w:rPr>
            </w:pPr>
            <w:r>
              <w:rPr>
                <w:rFonts w:ascii="Arial" w:cs="Arial" w:eastAsia="Arial" w:hAnsi="Arial"/>
                <w:sz w:val="17"/>
                <w:szCs w:val="17"/>
                <w:b w:val="1"/>
                <w:bCs w:val="1"/>
                <w:color w:val="auto"/>
              </w:rPr>
              <w:t>Nov. 3</w:t>
            </w:r>
          </w:p>
        </w:tc>
        <w:tc>
          <w:tcPr>
            <w:tcW w:w="40" w:type="dxa"/>
            <w:vAlign w:val="bottom"/>
          </w:tcPr>
          <w:p>
            <w:pPr>
              <w:spacing w:after="0"/>
              <w:rPr>
                <w:sz w:val="13"/>
                <w:szCs w:val="13"/>
                <w:color w:val="auto"/>
              </w:rPr>
            </w:pPr>
          </w:p>
        </w:tc>
      </w:tr>
      <w:tr>
        <w:trPr>
          <w:trHeight w:val="215"/>
        </w:trPr>
        <w:tc>
          <w:tcPr>
            <w:tcW w:w="2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2018</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2018</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2018</w:t>
            </w:r>
          </w:p>
        </w:tc>
        <w:tc>
          <w:tcPr>
            <w:tcW w:w="40" w:type="dxa"/>
            <w:vAlign w:val="bottom"/>
          </w:tcPr>
          <w:p>
            <w:pPr>
              <w:spacing w:after="0"/>
              <w:rPr>
                <w:sz w:val="18"/>
                <w:szCs w:val="18"/>
                <w:color w:val="auto"/>
              </w:rPr>
            </w:pPr>
          </w:p>
        </w:tc>
      </w:tr>
      <w:tr>
        <w:trPr>
          <w:trHeight w:val="183"/>
        </w:trPr>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jc w:val="center"/>
              <w:spacing w:after="0" w:line="183" w:lineRule="exact"/>
              <w:rPr>
                <w:sz w:val="20"/>
                <w:szCs w:val="20"/>
                <w:color w:val="auto"/>
              </w:rPr>
            </w:pPr>
            <w:r>
              <w:rPr>
                <w:rFonts w:ascii="Arial" w:cs="Arial" w:eastAsia="Arial" w:hAnsi="Arial"/>
                <w:sz w:val="17"/>
                <w:szCs w:val="17"/>
                <w:color w:val="auto"/>
                <w:w w:val="99"/>
              </w:rPr>
              <w:t>($ in millions)</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2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Service cost</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84"/>
              </w:rPr>
              <w:t>$</w:t>
            </w:r>
          </w:p>
        </w:tc>
        <w:tc>
          <w:tcPr>
            <w:tcW w:w="7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15</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ind w:left="400"/>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38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r>
      <w:tr>
        <w:trPr>
          <w:trHeight w:val="189"/>
        </w:trPr>
        <w:tc>
          <w:tcPr>
            <w:tcW w:w="2360" w:type="dxa"/>
            <w:vAlign w:val="bottom"/>
          </w:tcPr>
          <w:p>
            <w:pPr>
              <w:spacing w:after="0" w:line="189" w:lineRule="exact"/>
              <w:rPr>
                <w:sz w:val="20"/>
                <w:szCs w:val="20"/>
                <w:color w:val="auto"/>
              </w:rPr>
            </w:pPr>
            <w:r>
              <w:rPr>
                <w:rFonts w:ascii="Arial" w:cs="Arial" w:eastAsia="Arial" w:hAnsi="Arial"/>
                <w:sz w:val="17"/>
                <w:szCs w:val="17"/>
                <w:color w:val="auto"/>
              </w:rPr>
              <w:t>Interest cost</w:t>
            </w:r>
          </w:p>
        </w:tc>
        <w:tc>
          <w:tcPr>
            <w:tcW w:w="160" w:type="dxa"/>
            <w:vAlign w:val="bottom"/>
          </w:tcPr>
          <w:p>
            <w:pPr>
              <w:spacing w:after="0"/>
              <w:rPr>
                <w:sz w:val="16"/>
                <w:szCs w:val="16"/>
                <w:color w:val="auto"/>
              </w:rPr>
            </w:pPr>
          </w:p>
        </w:tc>
        <w:tc>
          <w:tcPr>
            <w:tcW w:w="7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7</w:t>
            </w:r>
          </w:p>
        </w:tc>
        <w:tc>
          <w:tcPr>
            <w:tcW w:w="2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180" w:type="dxa"/>
            <w:vAlign w:val="bottom"/>
          </w:tcPr>
          <w:p>
            <w:pPr>
              <w:spacing w:after="0"/>
              <w:rPr>
                <w:sz w:val="16"/>
                <w:szCs w:val="16"/>
                <w:color w:val="auto"/>
              </w:rPr>
            </w:pPr>
          </w:p>
        </w:tc>
        <w:tc>
          <w:tcPr>
            <w:tcW w:w="8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20</w:t>
            </w:r>
          </w:p>
        </w:tc>
        <w:tc>
          <w:tcPr>
            <w:tcW w:w="28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21</w:t>
            </w:r>
          </w:p>
        </w:tc>
        <w:tc>
          <w:tcPr>
            <w:tcW w:w="140" w:type="dxa"/>
            <w:vAlign w:val="bottom"/>
          </w:tcPr>
          <w:p>
            <w:pPr>
              <w:spacing w:after="0"/>
              <w:rPr>
                <w:sz w:val="16"/>
                <w:szCs w:val="16"/>
                <w:color w:val="auto"/>
              </w:rPr>
            </w:pPr>
          </w:p>
        </w:tc>
        <w:tc>
          <w:tcPr>
            <w:tcW w:w="680" w:type="dxa"/>
            <w:vAlign w:val="bottom"/>
          </w:tcPr>
          <w:p>
            <w:pPr>
              <w:ind w:left="400"/>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6"/>
                <w:szCs w:val="16"/>
                <w:color w:val="auto"/>
              </w:rPr>
            </w:pPr>
          </w:p>
        </w:tc>
        <w:tc>
          <w:tcPr>
            <w:tcW w:w="680" w:type="dxa"/>
            <w:vAlign w:val="bottom"/>
          </w:tcPr>
          <w:p>
            <w:pPr>
              <w:ind w:left="38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88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r>
      <w:tr>
        <w:trPr>
          <w:trHeight w:val="189"/>
        </w:trPr>
        <w:tc>
          <w:tcPr>
            <w:tcW w:w="2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Expected return on plan assets</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(9)</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(27)</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ind w:left="400"/>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ind w:left="38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r>
      <w:tr>
        <w:trPr>
          <w:trHeight w:val="189"/>
        </w:trPr>
        <w:tc>
          <w:tcPr>
            <w:tcW w:w="23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net loss (gain)</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9</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400"/>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380"/>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40" w:type="dxa"/>
            <w:vAlign w:val="bottom"/>
          </w:tcPr>
          <w:p>
            <w:pPr>
              <w:spacing w:after="0"/>
              <w:rPr>
                <w:sz w:val="16"/>
                <w:szCs w:val="16"/>
                <w:color w:val="auto"/>
              </w:rPr>
            </w:pPr>
          </w:p>
        </w:tc>
      </w:tr>
      <w:tr>
        <w:trPr>
          <w:trHeight w:val="183"/>
        </w:trPr>
        <w:tc>
          <w:tcPr>
            <w:tcW w:w="23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benefit expense (income)</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17</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w:t>
            </w:r>
          </w:p>
        </w:tc>
        <w:tc>
          <w:tcPr>
            <w:tcW w:w="140" w:type="dxa"/>
            <w:vAlign w:val="bottom"/>
            <w:tcBorders>
              <w:bottom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shd w:val="clear" w:color="auto" w:fill="CCEEFF"/>
          </w:tcPr>
          <w:p>
            <w:pPr>
              <w:ind w:left="400"/>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ind w:left="380"/>
              <w:spacing w:after="0" w:line="183"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tcPr>
          <w:p>
            <w:pPr>
              <w:spacing w:after="0"/>
              <w:rPr>
                <w:sz w:val="15"/>
                <w:szCs w:val="15"/>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940"/>
          </w:cols>
          <w:pgMar w:left="1420" w:top="517" w:right="5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March 2019, the Company contributed $55 million to its U.S. qualified pension plan. The Company continually evaluates the amount and timing of any future contributions.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May 2019, the U.S. qualified pension plan was amended such that all employees who are not participants in the plan as of December 31, 2019, shall not become participants after such date. All benefit accruals will be frozen as of December 31, 2019 for all plan participants with less than eleven years of service as of December 31, 2019. For participants with more than eleven years of service, benefit accruals will be frozen as of December 31, 2022. Participants will continue to accrue interest in accordance with the plan’s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Total compensation expense included in SG&amp;A, and the associated tax benefits recognized related to the</w:t>
      </w:r>
    </w:p>
    <w:p>
      <w:pPr>
        <w:spacing w:after="0"/>
        <w:rPr>
          <w:sz w:val="20"/>
          <w:szCs w:val="20"/>
          <w:color w:val="auto"/>
        </w:rPr>
      </w:pPr>
      <w:r>
        <w:rPr>
          <w:rFonts w:ascii="Arial" w:cs="Arial" w:eastAsia="Arial" w:hAnsi="Arial"/>
          <w:sz w:val="18"/>
          <w:szCs w:val="18"/>
          <w:color w:val="auto"/>
        </w:rPr>
        <w:t>Company’s share-based compensation plans,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right"/>
              <w:ind w:right="15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Thirty-nine weeks ended</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54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2,</w:t>
            </w:r>
          </w:p>
        </w:tc>
        <w:tc>
          <w:tcPr>
            <w:tcW w:w="138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3,</w:t>
            </w:r>
          </w:p>
        </w:tc>
        <w:tc>
          <w:tcPr>
            <w:tcW w:w="140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2,</w:t>
            </w:r>
          </w:p>
        </w:tc>
        <w:tc>
          <w:tcPr>
            <w:tcW w:w="130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November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620" w:type="dxa"/>
            <w:vAlign w:val="bottom"/>
            <w:gridSpan w:val="3"/>
          </w:tcPr>
          <w:p>
            <w:pPr>
              <w:jc w:val="right"/>
              <w:ind w:right="675"/>
              <w:spacing w:after="0" w:line="183" w:lineRule="exact"/>
              <w:rPr>
                <w:sz w:val="20"/>
                <w:szCs w:val="20"/>
                <w:color w:val="auto"/>
              </w:rPr>
            </w:pPr>
            <w:r>
              <w:rPr>
                <w:rFonts w:ascii="Arial" w:cs="Arial" w:eastAsia="Arial" w:hAnsi="Arial"/>
                <w:sz w:val="17"/>
                <w:szCs w:val="17"/>
                <w:color w:val="auto"/>
              </w:rPr>
              <w:t>in millions)</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and shares purchased under the</w:t>
            </w:r>
          </w:p>
        </w:tc>
        <w:tc>
          <w:tcPr>
            <w:tcW w:w="52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w:t>
            </w: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w:t>
            </w: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employee stock purchase plan</w:t>
            </w:r>
          </w:p>
        </w:tc>
        <w:tc>
          <w:tcPr>
            <w:tcW w:w="52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160" w:type="dxa"/>
            <w:vAlign w:val="bottom"/>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2</w:t>
            </w:r>
          </w:p>
        </w:tc>
        <w:tc>
          <w:tcPr>
            <w:tcW w:w="32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jc w:val="right"/>
              <w:ind w:right="7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Restricted stock and restricted stock units</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w w:val="84"/>
              </w:rPr>
              <w:t>5</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14</w:t>
            </w: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4"/>
              </w:rPr>
              <w:t>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share-based compensation expense</w:t>
            </w:r>
          </w:p>
        </w:tc>
        <w:tc>
          <w:tcPr>
            <w:tcW w:w="5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w:t>
            </w:r>
          </w:p>
        </w:tc>
        <w:tc>
          <w:tcPr>
            <w:tcW w:w="1160" w:type="dxa"/>
            <w:vAlign w:val="bottom"/>
            <w:tcBorders>
              <w:bottom w:val="single" w:sz="8" w:color="auto"/>
            </w:tcBorders>
            <w:shd w:val="clear" w:color="auto" w:fill="CCEEFF"/>
          </w:tcPr>
          <w:p>
            <w:pPr>
              <w:jc w:val="right"/>
              <w:ind w:right="855"/>
              <w:spacing w:after="0" w:line="183"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w w:val="84"/>
              </w:rPr>
              <w:t>7</w:t>
            </w:r>
          </w:p>
        </w:tc>
        <w:tc>
          <w:tcPr>
            <w:tcW w:w="3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19</w:t>
            </w:r>
          </w:p>
        </w:tc>
        <w:tc>
          <w:tcPr>
            <w:tcW w:w="1040" w:type="dxa"/>
            <w:vAlign w:val="bottom"/>
            <w:tcBorders>
              <w:bottom w:val="single" w:sz="8" w:color="auto"/>
            </w:tcBorders>
            <w:shd w:val="clear" w:color="auto" w:fill="CCEEFF"/>
          </w:tcPr>
          <w:p>
            <w:pPr>
              <w:jc w:val="right"/>
              <w:ind w:right="735"/>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4"/>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Tax benefit recognized</w:t>
            </w:r>
          </w:p>
        </w:tc>
        <w:tc>
          <w:tcPr>
            <w:tcW w:w="5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1160" w:type="dxa"/>
            <w:vAlign w:val="bottom"/>
            <w:tcBorders>
              <w:bottom w:val="single" w:sz="8" w:color="auto"/>
            </w:tcBorders>
            <w:shd w:val="clear" w:color="auto" w:fill="CCEEFF"/>
          </w:tcPr>
          <w:p>
            <w:pPr>
              <w:jc w:val="right"/>
              <w:ind w:right="85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1</w:t>
            </w:r>
          </w:p>
        </w:tc>
        <w:tc>
          <w:tcPr>
            <w:tcW w:w="32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1040" w:type="dxa"/>
            <w:vAlign w:val="bottom"/>
            <w:tcBorders>
              <w:bottom w:val="single" w:sz="8" w:color="auto"/>
            </w:tcBorders>
            <w:shd w:val="clear" w:color="auto" w:fill="CCEEFF"/>
          </w:tcPr>
          <w:p>
            <w:pPr>
              <w:jc w:val="right"/>
              <w:ind w:right="73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Model and Assumptions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uses the Black-Scholes option-pricing model to estimate the fair value of share-based awards. The Black-Scholes option-pricing model incorporates various and subjective assumptions, including expected term and expected volatility.</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shows the Company’s assumptions used to compute share-based compensation expense for awards granted during the thirty-nine weeks ended November 2, 2019 and November 3,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7"/>
                <w:szCs w:val="17"/>
                <w:b w:val="1"/>
                <w:bCs w:val="1"/>
                <w:color w:val="auto"/>
              </w:rPr>
              <w:t>Stock Option Plans</w:t>
            </w: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7"/>
                <w:szCs w:val="17"/>
                <w:b w:val="1"/>
                <w:bCs w:val="1"/>
                <w:color w:val="auto"/>
              </w:rPr>
              <w:t>Stock Purchase Plan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500" w:type="dxa"/>
            <w:vAlign w:val="bottom"/>
            <w:gridSpan w:val="2"/>
          </w:tcPr>
          <w:p>
            <w:pPr>
              <w:jc w:val="right"/>
              <w:ind w:right="155"/>
              <w:spacing w:after="0" w:line="157" w:lineRule="exact"/>
              <w:rPr>
                <w:sz w:val="20"/>
                <w:szCs w:val="20"/>
                <w:color w:val="auto"/>
              </w:rPr>
            </w:pPr>
            <w:r>
              <w:rPr>
                <w:rFonts w:ascii="Arial" w:cs="Arial" w:eastAsia="Arial" w:hAnsi="Arial"/>
                <w:sz w:val="17"/>
                <w:szCs w:val="17"/>
                <w:b w:val="1"/>
                <w:bCs w:val="1"/>
                <w:color w:val="auto"/>
              </w:rPr>
              <w:t>November 2,</w:t>
            </w:r>
          </w:p>
        </w:tc>
        <w:tc>
          <w:tcPr>
            <w:tcW w:w="1360" w:type="dxa"/>
            <w:vAlign w:val="bottom"/>
            <w:gridSpan w:val="2"/>
          </w:tcPr>
          <w:p>
            <w:pPr>
              <w:jc w:val="right"/>
              <w:ind w:right="155"/>
              <w:spacing w:after="0" w:line="157" w:lineRule="exact"/>
              <w:rPr>
                <w:sz w:val="20"/>
                <w:szCs w:val="20"/>
                <w:color w:val="auto"/>
              </w:rPr>
            </w:pPr>
            <w:r>
              <w:rPr>
                <w:rFonts w:ascii="Arial" w:cs="Arial" w:eastAsia="Arial" w:hAnsi="Arial"/>
                <w:sz w:val="17"/>
                <w:szCs w:val="17"/>
                <w:b w:val="1"/>
                <w:bCs w:val="1"/>
                <w:color w:val="auto"/>
              </w:rPr>
              <w:t>November 3,</w:t>
            </w:r>
          </w:p>
        </w:tc>
        <w:tc>
          <w:tcPr>
            <w:tcW w:w="1360" w:type="dxa"/>
            <w:vAlign w:val="bottom"/>
            <w:gridSpan w:val="2"/>
          </w:tcPr>
          <w:p>
            <w:pPr>
              <w:jc w:val="right"/>
              <w:ind w:right="155"/>
              <w:spacing w:after="0" w:line="157" w:lineRule="exact"/>
              <w:rPr>
                <w:sz w:val="20"/>
                <w:szCs w:val="20"/>
                <w:color w:val="auto"/>
              </w:rPr>
            </w:pPr>
            <w:r>
              <w:rPr>
                <w:rFonts w:ascii="Arial" w:cs="Arial" w:eastAsia="Arial" w:hAnsi="Arial"/>
                <w:sz w:val="17"/>
                <w:szCs w:val="17"/>
                <w:b w:val="1"/>
                <w:bCs w:val="1"/>
                <w:color w:val="auto"/>
              </w:rPr>
              <w:t>November 2,</w:t>
            </w:r>
          </w:p>
        </w:tc>
        <w:tc>
          <w:tcPr>
            <w:tcW w:w="1440" w:type="dxa"/>
            <w:vAlign w:val="bottom"/>
            <w:gridSpan w:val="2"/>
          </w:tcPr>
          <w:p>
            <w:pPr>
              <w:jc w:val="right"/>
              <w:ind w:right="235"/>
              <w:spacing w:after="0" w:line="157" w:lineRule="exact"/>
              <w:rPr>
                <w:sz w:val="20"/>
                <w:szCs w:val="20"/>
                <w:color w:val="auto"/>
              </w:rPr>
            </w:pPr>
            <w:r>
              <w:rPr>
                <w:rFonts w:ascii="Arial" w:cs="Arial" w:eastAsia="Arial" w:hAnsi="Arial"/>
                <w:sz w:val="17"/>
                <w:szCs w:val="17"/>
                <w:b w:val="1"/>
                <w:bCs w:val="1"/>
                <w:color w:val="auto"/>
              </w:rPr>
              <w:t>November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risk free rate of interest</w:t>
            </w: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2.2 %</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2.3 %</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4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38 %</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55 %</w:t>
            </w:r>
          </w:p>
        </w:tc>
        <w:tc>
          <w:tcPr>
            <w:tcW w:w="280" w:type="dxa"/>
            <w:vAlign w:val="bottom"/>
          </w:tcPr>
          <w:p>
            <w:pPr>
              <w:spacing w:after="0"/>
              <w:rPr>
                <w:sz w:val="16"/>
                <w:szCs w:val="16"/>
                <w:color w:val="auto"/>
              </w:rPr>
            </w:pPr>
          </w:p>
        </w:tc>
        <w:tc>
          <w:tcPr>
            <w:tcW w:w="11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expected award life (in</w:t>
            </w:r>
          </w:p>
        </w:tc>
        <w:tc>
          <w:tcPr>
            <w:tcW w:w="4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5.5</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years)</w:t>
            </w:r>
          </w:p>
        </w:tc>
        <w:tc>
          <w:tcPr>
            <w:tcW w:w="4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2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4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2.6 %</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3.0 %</w:t>
            </w:r>
          </w:p>
        </w:tc>
        <w:tc>
          <w:tcPr>
            <w:tcW w:w="280" w:type="dxa"/>
            <w:vAlign w:val="bottom"/>
          </w:tcPr>
          <w:p>
            <w:pPr>
              <w:spacing w:after="0"/>
              <w:rPr>
                <w:sz w:val="16"/>
                <w:szCs w:val="16"/>
                <w:color w:val="auto"/>
              </w:rPr>
            </w:pPr>
          </w:p>
        </w:tc>
        <w:tc>
          <w:tcPr>
            <w:tcW w:w="11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4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17.07</w:t>
            </w:r>
          </w:p>
        </w:tc>
        <w:tc>
          <w:tcPr>
            <w:tcW w:w="2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12.42</w:t>
            </w:r>
          </w:p>
        </w:tc>
        <w:tc>
          <w:tcPr>
            <w:tcW w:w="2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18.12</w:t>
            </w:r>
          </w:p>
        </w:tc>
        <w:tc>
          <w:tcPr>
            <w:tcW w:w="2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15.16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information in the following table covers option activity under the Company’s stock option plans for the thirty-nine weeks ended November 2,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520" w:type="dxa"/>
            <w:vAlign w:val="bottom"/>
          </w:tcPr>
          <w:p>
            <w:pPr>
              <w:spacing w:after="0"/>
              <w:rPr>
                <w:sz w:val="16"/>
                <w:szCs w:val="16"/>
                <w:color w:val="auto"/>
              </w:rPr>
            </w:pPr>
          </w:p>
        </w:tc>
        <w:tc>
          <w:tcPr>
            <w:tcW w:w="1080" w:type="dxa"/>
            <w:vAlign w:val="bottom"/>
          </w:tcPr>
          <w:p>
            <w:pPr>
              <w:jc w:val="center"/>
              <w:ind w:right="5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20" w:type="dxa"/>
            <w:vAlign w:val="bottom"/>
          </w:tcPr>
          <w:p>
            <w:pPr>
              <w:spacing w:after="0"/>
              <w:rPr>
                <w:sz w:val="16"/>
                <w:szCs w:val="16"/>
                <w:color w:val="auto"/>
              </w:rPr>
            </w:pPr>
          </w:p>
        </w:tc>
        <w:tc>
          <w:tcPr>
            <w:tcW w:w="5360" w:type="dxa"/>
            <w:vAlign w:val="bottom"/>
            <w:gridSpan w:val="2"/>
          </w:tcPr>
          <w:p>
            <w:pPr>
              <w:jc w:val="center"/>
              <w:ind w:left="3275"/>
              <w:spacing w:after="0" w:line="189" w:lineRule="exact"/>
              <w:rPr>
                <w:sz w:val="20"/>
                <w:szCs w:val="20"/>
                <w:color w:val="auto"/>
              </w:rPr>
            </w:pPr>
            <w:r>
              <w:rPr>
                <w:rFonts w:ascii="Arial" w:cs="Arial" w:eastAsia="Arial" w:hAnsi="Arial"/>
                <w:sz w:val="17"/>
                <w:szCs w:val="17"/>
                <w:b w:val="1"/>
                <w:bCs w:val="1"/>
                <w:color w:val="auto"/>
                <w:w w:val="99"/>
              </w:rPr>
              <w:t>Number</w:t>
            </w:r>
          </w:p>
        </w:tc>
        <w:tc>
          <w:tcPr>
            <w:tcW w:w="20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520" w:type="dxa"/>
            <w:vAlign w:val="bottom"/>
          </w:tcPr>
          <w:p>
            <w:pPr>
              <w:spacing w:after="0"/>
              <w:rPr>
                <w:sz w:val="16"/>
                <w:szCs w:val="16"/>
                <w:color w:val="auto"/>
              </w:rPr>
            </w:pPr>
          </w:p>
        </w:tc>
        <w:tc>
          <w:tcPr>
            <w:tcW w:w="10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20" w:type="dxa"/>
            <w:vAlign w:val="bottom"/>
          </w:tcPr>
          <w:p>
            <w:pPr>
              <w:spacing w:after="0"/>
              <w:rPr>
                <w:sz w:val="16"/>
                <w:szCs w:val="16"/>
                <w:color w:val="auto"/>
              </w:rPr>
            </w:pPr>
          </w:p>
        </w:tc>
        <w:tc>
          <w:tcPr>
            <w:tcW w:w="4460" w:type="dxa"/>
            <w:vAlign w:val="bottom"/>
          </w:tcPr>
          <w:p>
            <w:pPr>
              <w:jc w:val="center"/>
              <w:ind w:left="4175"/>
              <w:spacing w:after="0" w:line="189" w:lineRule="exact"/>
              <w:rPr>
                <w:sz w:val="20"/>
                <w:szCs w:val="20"/>
                <w:color w:val="auto"/>
              </w:rPr>
            </w:pPr>
            <w:r>
              <w:rPr>
                <w:rFonts w:ascii="Arial" w:cs="Arial" w:eastAsia="Arial" w:hAnsi="Arial"/>
                <w:sz w:val="17"/>
                <w:szCs w:val="17"/>
                <w:b w:val="1"/>
                <w:bCs w:val="1"/>
                <w:color w:val="auto"/>
                <w:w w:val="99"/>
              </w:rPr>
              <w:t>of</w:t>
            </w:r>
          </w:p>
        </w:tc>
        <w:tc>
          <w:tcPr>
            <w:tcW w:w="900" w:type="dxa"/>
            <w:vAlign w:val="bottom"/>
          </w:tcPr>
          <w:p>
            <w:pPr>
              <w:spacing w:after="0"/>
              <w:rPr>
                <w:sz w:val="16"/>
                <w:szCs w:val="16"/>
                <w:color w:val="auto"/>
              </w:rPr>
            </w:pPr>
          </w:p>
        </w:tc>
        <w:tc>
          <w:tcPr>
            <w:tcW w:w="20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Remaining</w:t>
            </w:r>
          </w:p>
        </w:tc>
        <w:tc>
          <w:tcPr>
            <w:tcW w:w="520" w:type="dxa"/>
            <w:vAlign w:val="bottom"/>
          </w:tcPr>
          <w:p>
            <w:pPr>
              <w:spacing w:after="0"/>
              <w:rPr>
                <w:sz w:val="16"/>
                <w:szCs w:val="16"/>
                <w:color w:val="auto"/>
              </w:rPr>
            </w:pPr>
          </w:p>
        </w:tc>
        <w:tc>
          <w:tcPr>
            <w:tcW w:w="10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20" w:type="dxa"/>
            <w:vAlign w:val="bottom"/>
          </w:tcPr>
          <w:p>
            <w:pPr>
              <w:spacing w:after="0"/>
              <w:rPr>
                <w:sz w:val="18"/>
                <w:szCs w:val="18"/>
                <w:color w:val="auto"/>
              </w:rPr>
            </w:pPr>
          </w:p>
        </w:tc>
        <w:tc>
          <w:tcPr>
            <w:tcW w:w="5360" w:type="dxa"/>
            <w:vAlign w:val="bottom"/>
            <w:tcBorders>
              <w:bottom w:val="single" w:sz="8" w:color="auto"/>
            </w:tcBorders>
            <w:gridSpan w:val="2"/>
          </w:tcPr>
          <w:p>
            <w:pPr>
              <w:jc w:val="center"/>
              <w:ind w:left="3275"/>
              <w:spacing w:after="0"/>
              <w:rPr>
                <w:sz w:val="20"/>
                <w:szCs w:val="20"/>
                <w:color w:val="auto"/>
              </w:rPr>
            </w:pPr>
            <w:r>
              <w:rPr>
                <w:rFonts w:ascii="Arial" w:cs="Arial" w:eastAsia="Arial" w:hAnsi="Arial"/>
                <w:sz w:val="17"/>
                <w:szCs w:val="17"/>
                <w:b w:val="1"/>
                <w:bCs w:val="1"/>
                <w:color w:val="auto"/>
                <w:w w:val="98"/>
              </w:rPr>
              <w:t>Shares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Contractual Life</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Price</w:t>
            </w:r>
          </w:p>
        </w:tc>
      </w:tr>
      <w:tr>
        <w:trPr>
          <w:trHeight w:val="183"/>
        </w:trPr>
        <w:tc>
          <w:tcPr>
            <w:tcW w:w="20" w:type="dxa"/>
            <w:vAlign w:val="bottom"/>
          </w:tcPr>
          <w:p>
            <w:pPr>
              <w:spacing w:after="0"/>
              <w:rPr>
                <w:sz w:val="15"/>
                <w:szCs w:val="15"/>
                <w:color w:val="auto"/>
              </w:rPr>
            </w:pPr>
          </w:p>
        </w:tc>
        <w:tc>
          <w:tcPr>
            <w:tcW w:w="5360" w:type="dxa"/>
            <w:vAlign w:val="bottom"/>
            <w:gridSpan w:val="2"/>
          </w:tcPr>
          <w:p>
            <w:pPr>
              <w:jc w:val="center"/>
              <w:ind w:left="3275"/>
              <w:spacing w:after="0" w:line="183" w:lineRule="exact"/>
              <w:rPr>
                <w:sz w:val="20"/>
                <w:szCs w:val="20"/>
                <w:color w:val="auto"/>
              </w:rPr>
            </w:pPr>
            <w:r>
              <w:rPr>
                <w:rFonts w:ascii="Arial" w:cs="Arial" w:eastAsia="Arial" w:hAnsi="Arial"/>
                <w:sz w:val="17"/>
                <w:szCs w:val="17"/>
                <w:color w:val="auto"/>
              </w:rPr>
              <w:t>(in thousands)</w:t>
            </w:r>
          </w:p>
        </w:tc>
        <w:tc>
          <w:tcPr>
            <w:tcW w:w="2080" w:type="dxa"/>
            <w:vAlign w:val="bottom"/>
          </w:tcPr>
          <w:p>
            <w:pPr>
              <w:jc w:val="center"/>
              <w:spacing w:after="0" w:line="183" w:lineRule="exact"/>
              <w:rPr>
                <w:sz w:val="20"/>
                <w:szCs w:val="20"/>
                <w:color w:val="auto"/>
              </w:rPr>
            </w:pPr>
            <w:r>
              <w:rPr>
                <w:rFonts w:ascii="Arial" w:cs="Arial" w:eastAsia="Arial" w:hAnsi="Arial"/>
                <w:sz w:val="17"/>
                <w:szCs w:val="17"/>
                <w:color w:val="auto"/>
                <w:w w:val="98"/>
              </w:rPr>
              <w:t>(in years)</w:t>
            </w:r>
          </w:p>
        </w:tc>
        <w:tc>
          <w:tcPr>
            <w:tcW w:w="520" w:type="dxa"/>
            <w:vAlign w:val="bottom"/>
          </w:tcPr>
          <w:p>
            <w:pPr>
              <w:spacing w:after="0"/>
              <w:rPr>
                <w:sz w:val="15"/>
                <w:szCs w:val="15"/>
                <w:color w:val="auto"/>
              </w:rPr>
            </w:pPr>
          </w:p>
        </w:tc>
        <w:tc>
          <w:tcPr>
            <w:tcW w:w="1080" w:type="dxa"/>
            <w:vAlign w:val="bottom"/>
          </w:tcPr>
          <w:p>
            <w:pPr>
              <w:jc w:val="center"/>
              <w:ind w:right="55"/>
              <w:spacing w:after="0" w:line="183" w:lineRule="exact"/>
              <w:rPr>
                <w:sz w:val="20"/>
                <w:szCs w:val="20"/>
                <w:color w:val="auto"/>
              </w:rPr>
            </w:pPr>
            <w:r>
              <w:rPr>
                <w:rFonts w:ascii="Arial" w:cs="Arial" w:eastAsia="Arial" w:hAnsi="Arial"/>
                <w:sz w:val="17"/>
                <w:szCs w:val="17"/>
                <w:color w:val="auto"/>
                <w:w w:val="98"/>
              </w:rPr>
              <w:t>(per share)</w:t>
            </w:r>
          </w:p>
        </w:tc>
      </w:tr>
      <w:tr>
        <w:trPr>
          <w:trHeight w:val="189"/>
        </w:trPr>
        <w:tc>
          <w:tcPr>
            <w:tcW w:w="2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90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w w:val="98"/>
              </w:rPr>
              <w:t>2,861</w:t>
            </w:r>
          </w:p>
        </w:tc>
        <w:tc>
          <w:tcPr>
            <w:tcW w:w="2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52.34</w:t>
            </w:r>
          </w:p>
        </w:tc>
      </w:tr>
      <w:tr>
        <w:trPr>
          <w:trHeight w:val="189"/>
        </w:trPr>
        <w:tc>
          <w:tcPr>
            <w:tcW w:w="2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90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321</w:t>
            </w:r>
          </w:p>
        </w:tc>
        <w:tc>
          <w:tcPr>
            <w:tcW w:w="2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58.65</w:t>
            </w:r>
          </w:p>
        </w:tc>
      </w:tr>
      <w:tr>
        <w:trPr>
          <w:trHeight w:val="189"/>
        </w:trPr>
        <w:tc>
          <w:tcPr>
            <w:tcW w:w="2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900" w:type="dxa"/>
            <w:vAlign w:val="bottom"/>
            <w:shd w:val="clear" w:color="auto" w:fill="CCEEFF"/>
          </w:tcPr>
          <w:p>
            <w:pPr>
              <w:jc w:val="right"/>
              <w:ind w:right="315"/>
              <w:spacing w:after="0" w:line="189" w:lineRule="exact"/>
              <w:rPr>
                <w:sz w:val="20"/>
                <w:szCs w:val="20"/>
                <w:color w:val="auto"/>
              </w:rPr>
            </w:pPr>
            <w:r>
              <w:rPr>
                <w:rFonts w:ascii="Arial" w:cs="Arial" w:eastAsia="Arial" w:hAnsi="Arial"/>
                <w:sz w:val="17"/>
                <w:szCs w:val="17"/>
                <w:color w:val="auto"/>
              </w:rPr>
              <w:t>(168)</w:t>
            </w:r>
          </w:p>
        </w:tc>
        <w:tc>
          <w:tcPr>
            <w:tcW w:w="2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27.12</w:t>
            </w:r>
          </w:p>
        </w:tc>
      </w:tr>
      <w:tr>
        <w:trPr>
          <w:trHeight w:val="189"/>
        </w:trPr>
        <w:tc>
          <w:tcPr>
            <w:tcW w:w="20" w:type="dxa"/>
            <w:vAlign w:val="bottom"/>
          </w:tcPr>
          <w:p>
            <w:pPr>
              <w:spacing w:after="0"/>
              <w:rPr>
                <w:sz w:val="16"/>
                <w:szCs w:val="16"/>
                <w:color w:val="auto"/>
              </w:rPr>
            </w:pPr>
          </w:p>
        </w:tc>
        <w:tc>
          <w:tcPr>
            <w:tcW w:w="44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900" w:type="dxa"/>
            <w:vAlign w:val="bottom"/>
            <w:tcBorders>
              <w:bottom w:val="single" w:sz="8" w:color="auto"/>
            </w:tcBorders>
          </w:tcPr>
          <w:p>
            <w:pPr>
              <w:jc w:val="right"/>
              <w:ind w:right="315"/>
              <w:spacing w:after="0" w:line="189" w:lineRule="exact"/>
              <w:rPr>
                <w:sz w:val="20"/>
                <w:szCs w:val="20"/>
                <w:color w:val="auto"/>
              </w:rPr>
            </w:pPr>
            <w:r>
              <w:rPr>
                <w:rFonts w:ascii="Arial" w:cs="Arial" w:eastAsia="Arial" w:hAnsi="Arial"/>
                <w:sz w:val="17"/>
                <w:szCs w:val="17"/>
                <w:color w:val="auto"/>
              </w:rPr>
              <w:t>(101)</w:t>
            </w:r>
          </w:p>
        </w:tc>
        <w:tc>
          <w:tcPr>
            <w:tcW w:w="2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60.80</w:t>
            </w:r>
          </w:p>
        </w:tc>
      </w:tr>
      <w:tr>
        <w:trPr>
          <w:trHeight w:val="183"/>
        </w:trPr>
        <w:tc>
          <w:tcPr>
            <w:tcW w:w="20" w:type="dxa"/>
            <w:vAlign w:val="bottom"/>
          </w:tcPr>
          <w:p>
            <w:pPr>
              <w:spacing w:after="0"/>
              <w:rPr>
                <w:sz w:val="15"/>
                <w:szCs w:val="15"/>
                <w:color w:val="auto"/>
              </w:rPr>
            </w:pPr>
          </w:p>
        </w:tc>
        <w:tc>
          <w:tcPr>
            <w:tcW w:w="44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November 2, 2019</w:t>
            </w:r>
          </w:p>
        </w:tc>
        <w:tc>
          <w:tcPr>
            <w:tcW w:w="900" w:type="dxa"/>
            <w:vAlign w:val="bottom"/>
            <w:tcBorders>
              <w:bottom w:val="single" w:sz="8" w:color="auto"/>
            </w:tcBorders>
            <w:shd w:val="clear" w:color="auto" w:fill="CCEEFF"/>
          </w:tcPr>
          <w:p>
            <w:pPr>
              <w:jc w:val="right"/>
              <w:ind w:right="375"/>
              <w:spacing w:after="0" w:line="183" w:lineRule="exact"/>
              <w:rPr>
                <w:sz w:val="20"/>
                <w:szCs w:val="20"/>
                <w:color w:val="auto"/>
              </w:rPr>
            </w:pPr>
            <w:r>
              <w:rPr>
                <w:rFonts w:ascii="Arial" w:cs="Arial" w:eastAsia="Arial" w:hAnsi="Arial"/>
                <w:sz w:val="17"/>
                <w:szCs w:val="17"/>
                <w:color w:val="auto"/>
                <w:w w:val="98"/>
              </w:rPr>
              <w:t>2,913</w:t>
            </w:r>
          </w:p>
        </w:tc>
        <w:tc>
          <w:tcPr>
            <w:tcW w:w="2080" w:type="dxa"/>
            <w:vAlign w:val="bottom"/>
            <w:tcBorders>
              <w:bottom w:val="single" w:sz="8" w:color="auto"/>
            </w:tcBorders>
            <w:shd w:val="clear" w:color="auto" w:fill="CCEEFF"/>
          </w:tcPr>
          <w:p>
            <w:pPr>
              <w:jc w:val="right"/>
              <w:ind w:right="335"/>
              <w:spacing w:after="0" w:line="183" w:lineRule="exact"/>
              <w:rPr>
                <w:sz w:val="20"/>
                <w:szCs w:val="20"/>
                <w:color w:val="auto"/>
              </w:rPr>
            </w:pPr>
            <w:r>
              <w:rPr>
                <w:rFonts w:ascii="Arial" w:cs="Arial" w:eastAsia="Arial" w:hAnsi="Arial"/>
                <w:sz w:val="17"/>
                <w:szCs w:val="17"/>
                <w:color w:val="auto"/>
              </w:rPr>
              <w:t>6.0</w:t>
            </w:r>
          </w:p>
        </w:tc>
        <w:tc>
          <w:tcPr>
            <w:tcW w:w="5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54.19</w:t>
            </w:r>
          </w:p>
        </w:tc>
      </w:tr>
      <w:tr>
        <w:trPr>
          <w:trHeight w:val="20"/>
        </w:trPr>
        <w:tc>
          <w:tcPr>
            <w:tcW w:w="4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460" w:type="dxa"/>
            <w:vAlign w:val="bottom"/>
            <w:tcBorders>
              <w:top w:val="single" w:sz="8" w:color="auto"/>
            </w:tcBorders>
          </w:tcPr>
          <w:p>
            <w:pPr>
              <w:spacing w:after="0" w:line="170" w:lineRule="exact"/>
              <w:rPr>
                <w:sz w:val="20"/>
                <w:szCs w:val="20"/>
                <w:color w:val="auto"/>
              </w:rPr>
            </w:pPr>
            <w:r>
              <w:rPr>
                <w:rFonts w:ascii="Arial" w:cs="Arial" w:eastAsia="Arial" w:hAnsi="Arial"/>
                <w:sz w:val="17"/>
                <w:szCs w:val="17"/>
                <w:color w:val="auto"/>
              </w:rPr>
              <w:t>Options exercisable at November 2, 2019</w:t>
            </w:r>
          </w:p>
        </w:tc>
        <w:tc>
          <w:tcPr>
            <w:tcW w:w="900" w:type="dxa"/>
            <w:vAlign w:val="bottom"/>
            <w:tcBorders>
              <w:top w:val="single" w:sz="8" w:color="auto"/>
            </w:tcBorders>
          </w:tcPr>
          <w:p>
            <w:pPr>
              <w:jc w:val="right"/>
              <w:ind w:right="375"/>
              <w:spacing w:after="0" w:line="170" w:lineRule="exact"/>
              <w:rPr>
                <w:sz w:val="20"/>
                <w:szCs w:val="20"/>
                <w:color w:val="auto"/>
              </w:rPr>
            </w:pPr>
            <w:r>
              <w:rPr>
                <w:rFonts w:ascii="Arial" w:cs="Arial" w:eastAsia="Arial" w:hAnsi="Arial"/>
                <w:sz w:val="17"/>
                <w:szCs w:val="17"/>
                <w:color w:val="auto"/>
                <w:w w:val="98"/>
              </w:rPr>
              <w:t>2,168</w:t>
            </w:r>
          </w:p>
        </w:tc>
        <w:tc>
          <w:tcPr>
            <w:tcW w:w="2080" w:type="dxa"/>
            <w:vAlign w:val="bottom"/>
            <w:tcBorders>
              <w:top w:val="single" w:sz="8" w:color="auto"/>
            </w:tcBorders>
          </w:tcPr>
          <w:p>
            <w:pPr>
              <w:jc w:val="right"/>
              <w:ind w:right="335"/>
              <w:spacing w:after="0" w:line="170" w:lineRule="exact"/>
              <w:rPr>
                <w:sz w:val="20"/>
                <w:szCs w:val="20"/>
                <w:color w:val="auto"/>
              </w:rPr>
            </w:pPr>
            <w:r>
              <w:rPr>
                <w:rFonts w:ascii="Arial" w:cs="Arial" w:eastAsia="Arial" w:hAnsi="Arial"/>
                <w:sz w:val="17"/>
                <w:szCs w:val="17"/>
                <w:color w:val="auto"/>
              </w:rPr>
              <w:t>5.1</w:t>
            </w:r>
          </w:p>
        </w:tc>
        <w:tc>
          <w:tcPr>
            <w:tcW w:w="5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53.66</w:t>
            </w:r>
          </w:p>
        </w:tc>
      </w:tr>
      <w:tr>
        <w:trPr>
          <w:trHeight w:val="183"/>
        </w:trPr>
        <w:tc>
          <w:tcPr>
            <w:tcW w:w="20" w:type="dxa"/>
            <w:vAlign w:val="bottom"/>
          </w:tcPr>
          <w:p>
            <w:pPr>
              <w:spacing w:after="0"/>
              <w:rPr>
                <w:sz w:val="15"/>
                <w:szCs w:val="15"/>
                <w:color w:val="auto"/>
              </w:rPr>
            </w:pPr>
          </w:p>
        </w:tc>
        <w:tc>
          <w:tcPr>
            <w:tcW w:w="4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available for future grant at</w:t>
            </w:r>
          </w:p>
        </w:tc>
        <w:tc>
          <w:tcPr>
            <w:tcW w:w="9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4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November 2, 2019</w:t>
            </w:r>
          </w:p>
        </w:tc>
        <w:tc>
          <w:tcPr>
            <w:tcW w:w="90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98"/>
              </w:rPr>
              <w:t>7,392</w:t>
            </w:r>
          </w:p>
        </w:tc>
        <w:tc>
          <w:tcPr>
            <w:tcW w:w="2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total fair value of options vested during the thirty-nine weeks ended November 2, 2019 and November 3, 2018 was $6 million and $8 million, respectively. The cash received from option exercises was not significant for the thirteen weeks ended November 2, 2019 and $5 million for the thirty-nine weeks ended November 2, 2019. The total tax benefit realized from option exercises was not significant for the thirteen weeks ended November 2, 2019 and $1 million for the thirty-nine weeks ended November 2, 2019.</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total intrinsic value of options exercised (the difference between the market price of the Company’s common stock on the exercise date and the price paid by the optionee to exercise the option)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Thirteen weeks ended</w:t>
            </w: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Thirty-nine weeks ended</w:t>
            </w:r>
          </w:p>
        </w:tc>
        <w:tc>
          <w:tcPr>
            <w:tcW w:w="220" w:type="dxa"/>
            <w:vAlign w:val="bottom"/>
            <w:tcBorders>
              <w:bottom w:val="single" w:sz="8" w:color="auto"/>
            </w:tcBorders>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740" w:type="dxa"/>
            <w:vAlign w:val="bottom"/>
            <w:gridSpan w:val="2"/>
          </w:tcPr>
          <w:p>
            <w:pPr>
              <w:ind w:left="1560"/>
              <w:spacing w:after="0" w:line="157" w:lineRule="exact"/>
              <w:rPr>
                <w:sz w:val="20"/>
                <w:szCs w:val="20"/>
                <w:color w:val="auto"/>
              </w:rPr>
            </w:pPr>
            <w:r>
              <w:rPr>
                <w:rFonts w:ascii="Arial" w:cs="Arial" w:eastAsia="Arial" w:hAnsi="Arial"/>
                <w:sz w:val="17"/>
                <w:szCs w:val="17"/>
                <w:b w:val="1"/>
                <w:bCs w:val="1"/>
                <w:color w:val="auto"/>
              </w:rPr>
              <w:t>November 2,</w:t>
            </w:r>
          </w:p>
        </w:tc>
        <w:tc>
          <w:tcPr>
            <w:tcW w:w="1380" w:type="dxa"/>
            <w:vAlign w:val="bottom"/>
            <w:gridSpan w:val="2"/>
          </w:tcPr>
          <w:p>
            <w:pPr>
              <w:jc w:val="center"/>
              <w:spacing w:after="0" w:line="157" w:lineRule="exact"/>
              <w:rPr>
                <w:sz w:val="20"/>
                <w:szCs w:val="20"/>
                <w:color w:val="auto"/>
              </w:rPr>
            </w:pPr>
            <w:r>
              <w:rPr>
                <w:rFonts w:ascii="Arial" w:cs="Arial" w:eastAsia="Arial" w:hAnsi="Arial"/>
                <w:sz w:val="17"/>
                <w:szCs w:val="17"/>
                <w:b w:val="1"/>
                <w:bCs w:val="1"/>
                <w:color w:val="auto"/>
                <w:w w:val="99"/>
              </w:rPr>
              <w:t>November 3,</w:t>
            </w:r>
          </w:p>
        </w:tc>
        <w:tc>
          <w:tcPr>
            <w:tcW w:w="1400" w:type="dxa"/>
            <w:vAlign w:val="bottom"/>
            <w:gridSpan w:val="2"/>
          </w:tcPr>
          <w:p>
            <w:pPr>
              <w:jc w:val="center"/>
              <w:spacing w:after="0" w:line="157" w:lineRule="exact"/>
              <w:rPr>
                <w:sz w:val="20"/>
                <w:szCs w:val="20"/>
                <w:color w:val="auto"/>
              </w:rPr>
            </w:pPr>
            <w:r>
              <w:rPr>
                <w:rFonts w:ascii="Arial" w:cs="Arial" w:eastAsia="Arial" w:hAnsi="Arial"/>
                <w:sz w:val="17"/>
                <w:szCs w:val="17"/>
                <w:b w:val="1"/>
                <w:bCs w:val="1"/>
                <w:color w:val="auto"/>
                <w:w w:val="99"/>
              </w:rPr>
              <w:t>November 2,</w:t>
            </w:r>
          </w:p>
        </w:tc>
        <w:tc>
          <w:tcPr>
            <w:tcW w:w="1300" w:type="dxa"/>
            <w:vAlign w:val="bottom"/>
            <w:gridSpan w:val="2"/>
          </w:tcPr>
          <w:p>
            <w:pPr>
              <w:jc w:val="center"/>
              <w:ind w:left="35"/>
              <w:spacing w:after="0" w:line="157" w:lineRule="exact"/>
              <w:rPr>
                <w:sz w:val="20"/>
                <w:szCs w:val="20"/>
                <w:color w:val="auto"/>
              </w:rPr>
            </w:pPr>
            <w:r>
              <w:rPr>
                <w:rFonts w:ascii="Arial" w:cs="Arial" w:eastAsia="Arial" w:hAnsi="Arial"/>
                <w:sz w:val="17"/>
                <w:szCs w:val="17"/>
                <w:b w:val="1"/>
                <w:bCs w:val="1"/>
                <w:color w:val="auto"/>
                <w:w w:val="99"/>
              </w:rPr>
              <w:t>November 3,</w:t>
            </w:r>
          </w:p>
        </w:tc>
      </w:tr>
      <w:tr>
        <w:trPr>
          <w:trHeight w:val="215"/>
        </w:trPr>
        <w:tc>
          <w:tcPr>
            <w:tcW w:w="20" w:type="dxa"/>
            <w:vAlign w:val="bottom"/>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2019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auto"/>
            </w:tcBorders>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20" w:type="dxa"/>
            <w:vAlign w:val="bottom"/>
            <w:gridSpan w:val="3"/>
          </w:tcPr>
          <w:p>
            <w:pPr>
              <w:jc w:val="right"/>
              <w:ind w:right="675"/>
              <w:spacing w:after="0" w:line="183" w:lineRule="exact"/>
              <w:rPr>
                <w:sz w:val="20"/>
                <w:szCs w:val="20"/>
                <w:color w:val="auto"/>
              </w:rPr>
            </w:pPr>
            <w:r>
              <w:rPr>
                <w:rFonts w:ascii="Arial" w:cs="Arial" w:eastAsia="Arial" w:hAnsi="Arial"/>
                <w:sz w:val="17"/>
                <w:szCs w:val="17"/>
                <w:color w:val="auto"/>
              </w:rPr>
              <w:t>($ in millions)</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7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ind w:left="720"/>
              <w:spacing w:after="0" w:line="189"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655"/>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1080" w:type="dxa"/>
            <w:vAlign w:val="bottom"/>
            <w:tcBorders>
              <w:bottom w:val="single" w:sz="8" w:color="auto"/>
            </w:tcBorders>
            <w:shd w:val="clear" w:color="auto" w:fill="CCEEFF"/>
          </w:tcPr>
          <w:p>
            <w:pPr>
              <w:jc w:val="right"/>
              <w:ind w:right="7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aggregate intrinsic value for stock options outstanding, and outstanding and exercisable (the difference between the Company’s closing stock price on the last trading day of the period and the exercise price of the options, multiplied by the number of in-the-money stock options) is presented below:</w:t>
      </w:r>
    </w:p>
    <w:p>
      <w:pPr>
        <w:spacing w:after="0" w:line="191" w:lineRule="exact"/>
        <w:rPr>
          <w:sz w:val="20"/>
          <w:szCs w:val="20"/>
          <w:color w:val="auto"/>
        </w:rPr>
      </w:pPr>
    </w:p>
    <w:p>
      <w:pPr>
        <w:ind w:left="6200"/>
        <w:spacing w:after="0"/>
        <w:rPr>
          <w:sz w:val="20"/>
          <w:szCs w:val="20"/>
          <w:color w:val="auto"/>
        </w:rPr>
      </w:pPr>
      <w:r>
        <w:rPr>
          <w:rFonts w:ascii="Arial" w:cs="Arial" w:eastAsia="Arial" w:hAnsi="Arial"/>
          <w:sz w:val="17"/>
          <w:szCs w:val="17"/>
          <w:b w:val="1"/>
          <w:bCs w:val="1"/>
          <w:color w:val="auto"/>
        </w:rPr>
        <w:t>Thirty-nine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74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155"/>
              <w:spacing w:after="0" w:line="183" w:lineRule="exact"/>
              <w:rPr>
                <w:sz w:val="20"/>
                <w:szCs w:val="20"/>
                <w:color w:val="auto"/>
              </w:rPr>
            </w:pPr>
            <w:r>
              <w:rPr>
                <w:rFonts w:ascii="Arial" w:cs="Arial" w:eastAsia="Arial" w:hAnsi="Arial"/>
                <w:sz w:val="17"/>
                <w:szCs w:val="17"/>
                <w:b w:val="1"/>
                <w:bCs w:val="1"/>
                <w:color w:val="auto"/>
                <w:w w:val="99"/>
              </w:rPr>
              <w:t>November 2, 2019</w:t>
            </w:r>
          </w:p>
        </w:tc>
        <w:tc>
          <w:tcPr>
            <w:tcW w:w="30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w w:val="99"/>
              </w:rPr>
              <w:t>November 3, 2018</w:t>
            </w:r>
          </w:p>
        </w:tc>
      </w:tr>
      <w:tr>
        <w:trPr>
          <w:trHeight w:val="18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0" w:type="dxa"/>
            <w:vAlign w:val="bottom"/>
            <w:gridSpan w:val="3"/>
          </w:tcPr>
          <w:p>
            <w:pPr>
              <w:jc w:val="right"/>
              <w:ind w:right="127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20" w:type="dxa"/>
            <w:vAlign w:val="bottom"/>
          </w:tcPr>
          <w:p>
            <w:pPr>
              <w:spacing w:after="0"/>
              <w:rPr>
                <w:sz w:val="16"/>
                <w:szCs w:val="16"/>
                <w:color w:val="auto"/>
              </w:rPr>
            </w:pPr>
          </w:p>
        </w:tc>
        <w:tc>
          <w:tcPr>
            <w:tcW w:w="3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w:t>
            </w:r>
          </w:p>
        </w:tc>
        <w:tc>
          <w:tcPr>
            <w:tcW w:w="1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7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8</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w:t>
            </w:r>
          </w:p>
        </w:tc>
      </w:tr>
      <w:tr>
        <w:trPr>
          <w:trHeight w:val="189"/>
        </w:trPr>
        <w:tc>
          <w:tcPr>
            <w:tcW w:w="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1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7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7</w:t>
            </w:r>
          </w:p>
        </w:tc>
        <w:tc>
          <w:tcPr>
            <w:tcW w:w="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November 2, 2019 there was $5 million of total unrecognized compensation cost related to nonvested stock options, which is expected to be recognized over a remaining weighted-average period of 1.4 years.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2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740"/>
        </w:trPr>
        <w:tc>
          <w:tcPr>
            <w:tcW w:w="128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3260" w:type="dxa"/>
            <w:vAlign w:val="bottom"/>
            <w:gridSpan w:val="2"/>
          </w:tcPr>
          <w:p>
            <w:pPr>
              <w:jc w:val="right"/>
              <w:ind w:right="275"/>
              <w:spacing w:after="0"/>
              <w:rPr>
                <w:sz w:val="20"/>
                <w:szCs w:val="20"/>
                <w:color w:val="auto"/>
              </w:rPr>
            </w:pPr>
            <w:r>
              <w:rPr>
                <w:rFonts w:ascii="Arial" w:cs="Arial" w:eastAsia="Arial" w:hAnsi="Arial"/>
                <w:sz w:val="18"/>
                <w:szCs w:val="18"/>
                <w:b w:val="1"/>
                <w:bCs w:val="1"/>
                <w:color w:val="auto"/>
              </w:rPr>
              <w:t>FOOT LOCKER, INC.</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9"/>
        </w:trPr>
        <w:tc>
          <w:tcPr>
            <w:tcW w:w="1280" w:type="dxa"/>
            <w:vAlign w:val="bottom"/>
          </w:tcPr>
          <w:p>
            <w:pPr>
              <w:spacing w:after="0"/>
              <w:rPr>
                <w:sz w:val="20"/>
                <w:szCs w:val="20"/>
                <w:color w:val="auto"/>
              </w:rPr>
            </w:pPr>
          </w:p>
        </w:tc>
        <w:tc>
          <w:tcPr>
            <w:tcW w:w="6760" w:type="dxa"/>
            <w:vAlign w:val="bottom"/>
            <w:gridSpan w:val="6"/>
          </w:tcPr>
          <w:p>
            <w:pPr>
              <w:jc w:val="right"/>
              <w:ind w:right="295"/>
              <w:spacing w:after="0"/>
              <w:rPr>
                <w:sz w:val="20"/>
                <w:szCs w:val="20"/>
                <w:color w:val="auto"/>
              </w:rPr>
            </w:pPr>
            <w:r>
              <w:rPr>
                <w:rFonts w:ascii="Arial" w:cs="Arial" w:eastAsia="Arial" w:hAnsi="Arial"/>
                <w:sz w:val="18"/>
                <w:szCs w:val="18"/>
                <w:b w:val="1"/>
                <w:bCs w:val="1"/>
                <w:color w:val="auto"/>
              </w:rPr>
              <w:t>NOTES TO THE CONDENSED CONSOLIDATED FINANCIAL STATEMENTS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7"/>
        </w:trPr>
        <w:tc>
          <w:tcPr>
            <w:tcW w:w="6080" w:type="dxa"/>
            <w:vAlign w:val="bottom"/>
            <w:gridSpan w:val="5"/>
          </w:tcPr>
          <w:p>
            <w:pPr>
              <w:spacing w:after="0"/>
              <w:rPr>
                <w:sz w:val="20"/>
                <w:szCs w:val="20"/>
                <w:color w:val="auto"/>
              </w:rPr>
            </w:pPr>
            <w:r>
              <w:rPr>
                <w:rFonts w:ascii="Arial" w:cs="Arial" w:eastAsia="Arial" w:hAnsi="Arial"/>
                <w:sz w:val="18"/>
                <w:szCs w:val="18"/>
                <w:color w:val="auto"/>
              </w:rPr>
              <w:t>The  following  table  summarizes  information  about  stock  options</w:t>
            </w:r>
          </w:p>
        </w:tc>
        <w:tc>
          <w:tcPr>
            <w:tcW w:w="2980" w:type="dxa"/>
            <w:vAlign w:val="bottom"/>
            <w:gridSpan w:val="4"/>
          </w:tcPr>
          <w:p>
            <w:pPr>
              <w:jc w:val="right"/>
              <w:spacing w:after="0"/>
              <w:rPr>
                <w:sz w:val="20"/>
                <w:szCs w:val="20"/>
                <w:color w:val="auto"/>
              </w:rPr>
            </w:pPr>
            <w:r>
              <w:rPr>
                <w:rFonts w:ascii="Arial" w:cs="Arial" w:eastAsia="Arial" w:hAnsi="Arial"/>
                <w:sz w:val="18"/>
                <w:szCs w:val="18"/>
                <w:color w:val="auto"/>
              </w:rPr>
              <w:t>outstanding  and  exercisable  at</w:t>
            </w:r>
          </w:p>
        </w:tc>
      </w:tr>
      <w:tr>
        <w:trPr>
          <w:trHeight w:val="217"/>
        </w:trPr>
        <w:tc>
          <w:tcPr>
            <w:tcW w:w="2520" w:type="dxa"/>
            <w:vAlign w:val="bottom"/>
            <w:gridSpan w:val="2"/>
          </w:tcPr>
          <w:p>
            <w:pPr>
              <w:spacing w:after="0"/>
              <w:rPr>
                <w:sz w:val="20"/>
                <w:szCs w:val="20"/>
                <w:color w:val="auto"/>
              </w:rPr>
            </w:pPr>
            <w:r>
              <w:rPr>
                <w:rFonts w:ascii="Arial" w:cs="Arial" w:eastAsia="Arial" w:hAnsi="Arial"/>
                <w:sz w:val="18"/>
                <w:szCs w:val="18"/>
                <w:color w:val="auto"/>
              </w:rPr>
              <w:t>November 2, 2019:</w:t>
            </w:r>
          </w:p>
        </w:tc>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05"/>
        </w:trPr>
        <w:tc>
          <w:tcPr>
            <w:tcW w:w="1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jc w:val="center"/>
              <w:ind w:left="1734"/>
              <w:spacing w:after="0"/>
              <w:rPr>
                <w:sz w:val="20"/>
                <w:szCs w:val="20"/>
                <w:color w:val="auto"/>
              </w:rPr>
            </w:pPr>
            <w:r>
              <w:rPr>
                <w:rFonts w:ascii="Arial" w:cs="Arial" w:eastAsia="Arial" w:hAnsi="Arial"/>
                <w:sz w:val="17"/>
                <w:szCs w:val="17"/>
                <w:b w:val="1"/>
                <w:bCs w:val="1"/>
                <w:color w:val="auto"/>
              </w:rPr>
              <w:t>Options Outstanding</w:t>
            </w:r>
          </w:p>
        </w:tc>
        <w:tc>
          <w:tcPr>
            <w:tcW w:w="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7"/>
                <w:szCs w:val="17"/>
                <w:b w:val="1"/>
                <w:bCs w:val="1"/>
                <w:color w:val="auto"/>
              </w:rPr>
              <w:t>Options Exercisable</w:t>
            </w:r>
          </w:p>
        </w:tc>
      </w:tr>
      <w:tr>
        <w:trPr>
          <w:trHeight w:val="156"/>
        </w:trPr>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7"/>
                <w:szCs w:val="17"/>
                <w:b w:val="1"/>
                <w:bCs w:val="1"/>
                <w:color w:val="auto"/>
                <w:w w:val="99"/>
              </w:rPr>
              <w:t>Weighted-</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9"/>
        </w:trPr>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108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9"/>
              </w:rPr>
              <w:t>Weighted-</w:t>
            </w:r>
          </w:p>
        </w:tc>
        <w:tc>
          <w:tcPr>
            <w:tcW w:w="1180" w:type="dxa"/>
            <w:vAlign w:val="bottom"/>
          </w:tcPr>
          <w:p>
            <w:pPr>
              <w:spacing w:after="0"/>
              <w:rPr>
                <w:sz w:val="16"/>
                <w:szCs w:val="16"/>
                <w:color w:val="auto"/>
              </w:rPr>
            </w:pPr>
          </w:p>
        </w:tc>
        <w:tc>
          <w:tcPr>
            <w:tcW w:w="1020" w:type="dxa"/>
            <w:vAlign w:val="bottom"/>
            <w:gridSpan w:val="2"/>
          </w:tcPr>
          <w:p>
            <w:pPr>
              <w:jc w:val="center"/>
              <w:ind w:left="35"/>
              <w:spacing w:after="0" w:line="189" w:lineRule="exact"/>
              <w:rPr>
                <w:sz w:val="20"/>
                <w:szCs w:val="20"/>
                <w:color w:val="auto"/>
              </w:rPr>
            </w:pPr>
            <w:r>
              <w:rPr>
                <w:rFonts w:ascii="Arial" w:cs="Arial" w:eastAsia="Arial" w:hAnsi="Arial"/>
                <w:sz w:val="17"/>
                <w:szCs w:val="17"/>
                <w:b w:val="1"/>
                <w:bCs w:val="1"/>
                <w:color w:val="auto"/>
                <w:w w:val="99"/>
              </w:rPr>
              <w:t>Weighted-</w:t>
            </w:r>
          </w:p>
        </w:tc>
      </w:tr>
      <w:tr>
        <w:trPr>
          <w:trHeight w:val="189"/>
        </w:trPr>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Remaining</w:t>
            </w:r>
          </w:p>
        </w:tc>
        <w:tc>
          <w:tcPr>
            <w:tcW w:w="108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Average</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252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Range of Exercise</w:t>
            </w:r>
          </w:p>
        </w:tc>
        <w:tc>
          <w:tcPr>
            <w:tcW w:w="2080" w:type="dxa"/>
            <w:vAlign w:val="bottom"/>
          </w:tcPr>
          <w:p>
            <w:pPr>
              <w:jc w:val="right"/>
              <w:ind w:right="214"/>
              <w:spacing w:after="0" w:line="189" w:lineRule="exact"/>
              <w:rPr>
                <w:sz w:val="20"/>
                <w:szCs w:val="20"/>
                <w:color w:val="auto"/>
              </w:rPr>
            </w:pPr>
            <w:r>
              <w:rPr>
                <w:rFonts w:ascii="Arial" w:cs="Arial" w:eastAsia="Arial" w:hAnsi="Arial"/>
                <w:sz w:val="17"/>
                <w:szCs w:val="17"/>
                <w:b w:val="1"/>
                <w:bCs w:val="1"/>
                <w:color w:val="auto"/>
              </w:rPr>
              <w:t>Number</w:t>
            </w:r>
          </w:p>
        </w:tc>
        <w:tc>
          <w:tcPr>
            <w:tcW w:w="11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Contractual</w:t>
            </w:r>
          </w:p>
        </w:tc>
        <w:tc>
          <w:tcPr>
            <w:tcW w:w="108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Exercise</w:t>
            </w:r>
          </w:p>
        </w:tc>
        <w:tc>
          <w:tcPr>
            <w:tcW w:w="11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Number</w:t>
            </w:r>
          </w:p>
        </w:tc>
        <w:tc>
          <w:tcPr>
            <w:tcW w:w="220" w:type="dxa"/>
            <w:vAlign w:val="bottom"/>
          </w:tcPr>
          <w:p>
            <w:pPr>
              <w:spacing w:after="0"/>
              <w:rPr>
                <w:sz w:val="16"/>
                <w:szCs w:val="16"/>
                <w:color w:val="auto"/>
              </w:rPr>
            </w:pPr>
          </w:p>
        </w:tc>
        <w:tc>
          <w:tcPr>
            <w:tcW w:w="80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Prices</w:t>
            </w:r>
          </w:p>
        </w:tc>
        <w:tc>
          <w:tcPr>
            <w:tcW w:w="20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Outstanding</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rPr>
              <w:t>Price</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Exercisable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rPr>
              <w:t>Price</w:t>
            </w:r>
          </w:p>
        </w:tc>
      </w:tr>
      <w:tr>
        <w:trPr>
          <w:trHeight w:val="183"/>
        </w:trPr>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540" w:type="dxa"/>
            <w:vAlign w:val="bottom"/>
            <w:gridSpan w:val="7"/>
          </w:tcPr>
          <w:p>
            <w:pPr>
              <w:jc w:val="right"/>
              <w:ind w:right="495"/>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r>
      <w:tr>
        <w:trPr>
          <w:trHeight w:val="189"/>
        </w:trPr>
        <w:tc>
          <w:tcPr>
            <w:tcW w:w="2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$9.85 to $18.84</w:t>
            </w:r>
          </w:p>
        </w:tc>
        <w:tc>
          <w:tcPr>
            <w:tcW w:w="2080" w:type="dxa"/>
            <w:vAlign w:val="bottom"/>
            <w:shd w:val="clear" w:color="auto" w:fill="CCEEFF"/>
          </w:tcPr>
          <w:p>
            <w:pPr>
              <w:jc w:val="right"/>
              <w:ind w:right="54"/>
              <w:spacing w:after="0" w:line="189" w:lineRule="exact"/>
              <w:rPr>
                <w:sz w:val="20"/>
                <w:szCs w:val="20"/>
                <w:color w:val="auto"/>
              </w:rPr>
            </w:pPr>
            <w:r>
              <w:rPr>
                <w:rFonts w:ascii="Arial" w:cs="Arial" w:eastAsia="Arial" w:hAnsi="Arial"/>
                <w:sz w:val="17"/>
                <w:szCs w:val="17"/>
                <w:color w:val="auto"/>
              </w:rPr>
              <w:t>128</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w:t>
            </w:r>
          </w:p>
        </w:tc>
        <w:tc>
          <w:tcPr>
            <w:tcW w:w="3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74"/>
              <w:spacing w:after="0" w:line="189" w:lineRule="exact"/>
              <w:rPr>
                <w:sz w:val="20"/>
                <w:szCs w:val="20"/>
                <w:color w:val="auto"/>
              </w:rPr>
            </w:pPr>
            <w:r>
              <w:rPr>
                <w:rFonts w:ascii="Arial" w:cs="Arial" w:eastAsia="Arial" w:hAnsi="Arial"/>
                <w:sz w:val="17"/>
                <w:szCs w:val="17"/>
                <w:color w:val="auto"/>
              </w:rPr>
              <w:t>18.54</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128</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18.54</w:t>
            </w:r>
          </w:p>
        </w:tc>
      </w:tr>
      <w:tr>
        <w:trPr>
          <w:trHeight w:val="189"/>
        </w:trPr>
        <w:tc>
          <w:tcPr>
            <w:tcW w:w="2520" w:type="dxa"/>
            <w:vAlign w:val="bottom"/>
            <w:gridSpan w:val="2"/>
          </w:tcPr>
          <w:p>
            <w:pPr>
              <w:spacing w:after="0" w:line="189" w:lineRule="exact"/>
              <w:rPr>
                <w:sz w:val="20"/>
                <w:szCs w:val="20"/>
                <w:color w:val="auto"/>
              </w:rPr>
            </w:pPr>
            <w:r>
              <w:rPr>
                <w:rFonts w:ascii="Arial" w:cs="Arial" w:eastAsia="Arial" w:hAnsi="Arial"/>
                <w:sz w:val="17"/>
                <w:szCs w:val="17"/>
                <w:color w:val="auto"/>
              </w:rPr>
              <w:t>$24.75 to $36.51</w:t>
            </w:r>
          </w:p>
        </w:tc>
        <w:tc>
          <w:tcPr>
            <w:tcW w:w="2080" w:type="dxa"/>
            <w:vAlign w:val="bottom"/>
          </w:tcPr>
          <w:p>
            <w:pPr>
              <w:jc w:val="right"/>
              <w:ind w:right="54"/>
              <w:spacing w:after="0" w:line="189" w:lineRule="exact"/>
              <w:rPr>
                <w:sz w:val="20"/>
                <w:szCs w:val="20"/>
                <w:color w:val="auto"/>
              </w:rPr>
            </w:pPr>
            <w:r>
              <w:rPr>
                <w:rFonts w:ascii="Arial" w:cs="Arial" w:eastAsia="Arial" w:hAnsi="Arial"/>
                <w:sz w:val="17"/>
                <w:szCs w:val="17"/>
                <w:color w:val="auto"/>
              </w:rPr>
              <w:t>378</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3.4</w:t>
            </w:r>
          </w:p>
        </w:tc>
        <w:tc>
          <w:tcPr>
            <w:tcW w:w="300" w:type="dxa"/>
            <w:vAlign w:val="bottom"/>
          </w:tcPr>
          <w:p>
            <w:pPr>
              <w:spacing w:after="0"/>
              <w:rPr>
                <w:sz w:val="16"/>
                <w:szCs w:val="16"/>
                <w:color w:val="auto"/>
              </w:rPr>
            </w:pPr>
          </w:p>
        </w:tc>
        <w:tc>
          <w:tcPr>
            <w:tcW w:w="780" w:type="dxa"/>
            <w:vAlign w:val="bottom"/>
          </w:tcPr>
          <w:p>
            <w:pPr>
              <w:jc w:val="right"/>
              <w:ind w:right="74"/>
              <w:spacing w:after="0" w:line="189" w:lineRule="exact"/>
              <w:rPr>
                <w:sz w:val="20"/>
                <w:szCs w:val="20"/>
                <w:color w:val="auto"/>
              </w:rPr>
            </w:pPr>
            <w:r>
              <w:rPr>
                <w:rFonts w:ascii="Arial" w:cs="Arial" w:eastAsia="Arial" w:hAnsi="Arial"/>
                <w:sz w:val="17"/>
                <w:szCs w:val="17"/>
                <w:color w:val="auto"/>
              </w:rPr>
              <w:t>32.13</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335</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31.77</w:t>
            </w:r>
          </w:p>
        </w:tc>
      </w:tr>
      <w:tr>
        <w:trPr>
          <w:trHeight w:val="189"/>
        </w:trPr>
        <w:tc>
          <w:tcPr>
            <w:tcW w:w="2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$44.78 to $45.75</w:t>
            </w:r>
          </w:p>
        </w:tc>
        <w:tc>
          <w:tcPr>
            <w:tcW w:w="2080" w:type="dxa"/>
            <w:vAlign w:val="bottom"/>
            <w:shd w:val="clear" w:color="auto" w:fill="CCEEFF"/>
          </w:tcPr>
          <w:p>
            <w:pPr>
              <w:jc w:val="right"/>
              <w:ind w:right="54"/>
              <w:spacing w:after="0" w:line="189" w:lineRule="exact"/>
              <w:rPr>
                <w:sz w:val="20"/>
                <w:szCs w:val="20"/>
                <w:color w:val="auto"/>
              </w:rPr>
            </w:pPr>
            <w:r>
              <w:rPr>
                <w:rFonts w:ascii="Arial" w:cs="Arial" w:eastAsia="Arial" w:hAnsi="Arial"/>
                <w:sz w:val="17"/>
                <w:szCs w:val="17"/>
                <w:color w:val="auto"/>
              </w:rPr>
              <w:t>577</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6.6</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4"/>
              <w:spacing w:after="0" w:line="189" w:lineRule="exact"/>
              <w:rPr>
                <w:sz w:val="20"/>
                <w:szCs w:val="20"/>
                <w:color w:val="auto"/>
              </w:rPr>
            </w:pPr>
            <w:r>
              <w:rPr>
                <w:rFonts w:ascii="Arial" w:cs="Arial" w:eastAsia="Arial" w:hAnsi="Arial"/>
                <w:sz w:val="17"/>
                <w:szCs w:val="17"/>
                <w:color w:val="auto"/>
              </w:rPr>
              <w:t>44.91</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349</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44.99</w:t>
            </w:r>
          </w:p>
        </w:tc>
      </w:tr>
      <w:tr>
        <w:trPr>
          <w:trHeight w:val="189"/>
        </w:trPr>
        <w:tc>
          <w:tcPr>
            <w:tcW w:w="2520" w:type="dxa"/>
            <w:vAlign w:val="bottom"/>
            <w:gridSpan w:val="2"/>
          </w:tcPr>
          <w:p>
            <w:pPr>
              <w:spacing w:after="0" w:line="189" w:lineRule="exact"/>
              <w:rPr>
                <w:sz w:val="20"/>
                <w:szCs w:val="20"/>
                <w:color w:val="auto"/>
              </w:rPr>
            </w:pPr>
            <w:r>
              <w:rPr>
                <w:rFonts w:ascii="Arial" w:cs="Arial" w:eastAsia="Arial" w:hAnsi="Arial"/>
                <w:sz w:val="17"/>
                <w:szCs w:val="17"/>
                <w:color w:val="auto"/>
              </w:rPr>
              <w:t>$46.64 to $62.11</w:t>
            </w:r>
          </w:p>
        </w:tc>
        <w:tc>
          <w:tcPr>
            <w:tcW w:w="2080" w:type="dxa"/>
            <w:vAlign w:val="bottom"/>
          </w:tcPr>
          <w:p>
            <w:pPr>
              <w:jc w:val="right"/>
              <w:ind w:right="54"/>
              <w:spacing w:after="0" w:line="189" w:lineRule="exact"/>
              <w:rPr>
                <w:sz w:val="20"/>
                <w:szCs w:val="20"/>
                <w:color w:val="auto"/>
              </w:rPr>
            </w:pPr>
            <w:r>
              <w:rPr>
                <w:rFonts w:ascii="Arial" w:cs="Arial" w:eastAsia="Arial" w:hAnsi="Arial"/>
                <w:sz w:val="17"/>
                <w:szCs w:val="17"/>
                <w:color w:val="auto"/>
              </w:rPr>
              <w:t>942</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6.6</w:t>
            </w:r>
          </w:p>
        </w:tc>
        <w:tc>
          <w:tcPr>
            <w:tcW w:w="300" w:type="dxa"/>
            <w:vAlign w:val="bottom"/>
          </w:tcPr>
          <w:p>
            <w:pPr>
              <w:spacing w:after="0"/>
              <w:rPr>
                <w:sz w:val="16"/>
                <w:szCs w:val="16"/>
                <w:color w:val="auto"/>
              </w:rPr>
            </w:pPr>
          </w:p>
        </w:tc>
        <w:tc>
          <w:tcPr>
            <w:tcW w:w="780" w:type="dxa"/>
            <w:vAlign w:val="bottom"/>
          </w:tcPr>
          <w:p>
            <w:pPr>
              <w:jc w:val="right"/>
              <w:ind w:right="74"/>
              <w:spacing w:after="0" w:line="189" w:lineRule="exact"/>
              <w:rPr>
                <w:sz w:val="20"/>
                <w:szCs w:val="20"/>
                <w:color w:val="auto"/>
              </w:rPr>
            </w:pPr>
            <w:r>
              <w:rPr>
                <w:rFonts w:ascii="Arial" w:cs="Arial" w:eastAsia="Arial" w:hAnsi="Arial"/>
                <w:sz w:val="17"/>
                <w:szCs w:val="17"/>
                <w:color w:val="auto"/>
              </w:rPr>
              <w:t>59.98</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616</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60.82</w:t>
            </w:r>
          </w:p>
        </w:tc>
      </w:tr>
      <w:tr>
        <w:trPr>
          <w:trHeight w:val="189"/>
        </w:trPr>
        <w:tc>
          <w:tcPr>
            <w:tcW w:w="25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$63.33 to $73.21</w:t>
            </w:r>
          </w:p>
        </w:tc>
        <w:tc>
          <w:tcPr>
            <w:tcW w:w="2080" w:type="dxa"/>
            <w:vAlign w:val="bottom"/>
            <w:tcBorders>
              <w:bottom w:val="single" w:sz="8" w:color="auto"/>
            </w:tcBorders>
            <w:shd w:val="clear" w:color="auto" w:fill="CCEEFF"/>
          </w:tcPr>
          <w:p>
            <w:pPr>
              <w:jc w:val="right"/>
              <w:ind w:right="54"/>
              <w:spacing w:after="0" w:line="189" w:lineRule="exact"/>
              <w:rPr>
                <w:sz w:val="20"/>
                <w:szCs w:val="20"/>
                <w:color w:val="auto"/>
              </w:rPr>
            </w:pPr>
            <w:r>
              <w:rPr>
                <w:rFonts w:ascii="Arial" w:cs="Arial" w:eastAsia="Arial" w:hAnsi="Arial"/>
                <w:sz w:val="17"/>
                <w:szCs w:val="17"/>
                <w:color w:val="auto"/>
              </w:rPr>
              <w:t>888</w:t>
            </w:r>
          </w:p>
        </w:tc>
        <w:tc>
          <w:tcPr>
            <w:tcW w:w="11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6.7</w:t>
            </w: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4"/>
              <w:spacing w:after="0" w:line="189" w:lineRule="exact"/>
              <w:rPr>
                <w:sz w:val="20"/>
                <w:szCs w:val="20"/>
                <w:color w:val="auto"/>
              </w:rPr>
            </w:pPr>
            <w:r>
              <w:rPr>
                <w:rFonts w:ascii="Arial" w:cs="Arial" w:eastAsia="Arial" w:hAnsi="Arial"/>
                <w:sz w:val="17"/>
                <w:szCs w:val="17"/>
                <w:color w:val="auto"/>
              </w:rPr>
              <w:t>68.58</w:t>
            </w:r>
          </w:p>
        </w:tc>
        <w:tc>
          <w:tcPr>
            <w:tcW w:w="11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740</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67.75</w:t>
            </w:r>
          </w:p>
        </w:tc>
      </w:tr>
      <w:tr>
        <w:trPr>
          <w:trHeight w:val="183"/>
        </w:trPr>
        <w:tc>
          <w:tcPr>
            <w:tcW w:w="1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7"/>
                <w:szCs w:val="17"/>
                <w:color w:val="auto"/>
              </w:rPr>
              <w:t>2,913</w:t>
            </w:r>
          </w:p>
        </w:tc>
        <w:tc>
          <w:tcPr>
            <w:tcW w:w="11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6.0</w:t>
            </w:r>
          </w:p>
        </w:tc>
        <w:tc>
          <w:tcPr>
            <w:tcW w:w="3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74"/>
              <w:spacing w:after="0" w:line="183" w:lineRule="exact"/>
              <w:rPr>
                <w:sz w:val="20"/>
                <w:szCs w:val="20"/>
                <w:color w:val="auto"/>
              </w:rPr>
            </w:pPr>
            <w:r>
              <w:rPr>
                <w:rFonts w:ascii="Arial" w:cs="Arial" w:eastAsia="Arial" w:hAnsi="Arial"/>
                <w:sz w:val="17"/>
                <w:szCs w:val="17"/>
                <w:color w:val="auto"/>
              </w:rPr>
              <w:t>54.19</w:t>
            </w:r>
          </w:p>
        </w:tc>
        <w:tc>
          <w:tcPr>
            <w:tcW w:w="11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2,168</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53.66</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Restricted stock units (“RSU”) of the Company’s common stock may be awarded to certain officers and key employees of the Company. Additionally, RSU awards are made to employees in connection with the Company’s long-term incentive program, and to nonemployee directors. Each RSU award represents the right to receive one share of the Company’s common stock provided that the performance and vesting conditions are satisfied.</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Generally, awards fully vest after the passage of time, typically three years. However, RSU awards made in connection with the Company’s performance-based long-term incentive program are earned after the attainment of certain performance metrics and, with regards to certain awards, vest after an additional one-year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 dividends are paid or accumulated on any RSU awards.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is recognized using the market value at the date of grant and is amortized over the vesting period, provided the recipient continues to be employed by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RSU activity for the thirty-nine weeks ended November 2, 2019 is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20" w:type="dxa"/>
            <w:vAlign w:val="bottom"/>
          </w:tcPr>
          <w:p>
            <w:pPr>
              <w:jc w:val="center"/>
              <w:ind w:left="15"/>
              <w:spacing w:after="0"/>
              <w:rPr>
                <w:sz w:val="20"/>
                <w:szCs w:val="20"/>
                <w:color w:val="auto"/>
              </w:rPr>
            </w:pPr>
            <w:r>
              <w:rPr>
                <w:rFonts w:ascii="Arial" w:cs="Arial" w:eastAsia="Arial" w:hAnsi="Arial"/>
                <w:sz w:val="17"/>
                <w:szCs w:val="17"/>
                <w:b w:val="1"/>
                <w:bCs w:val="1"/>
                <w:color w:val="auto"/>
                <w:w w:val="99"/>
              </w:rPr>
              <w:t>Weighted-Average</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Remaining</w:t>
            </w:r>
          </w:p>
        </w:tc>
        <w:tc>
          <w:tcPr>
            <w:tcW w:w="158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Contractual</w:t>
            </w:r>
          </w:p>
        </w:tc>
        <w:tc>
          <w:tcPr>
            <w:tcW w:w="240" w:type="dxa"/>
            <w:vAlign w:val="bottom"/>
          </w:tcPr>
          <w:p>
            <w:pPr>
              <w:spacing w:after="0"/>
              <w:rPr>
                <w:sz w:val="16"/>
                <w:szCs w:val="16"/>
                <w:color w:val="auto"/>
              </w:rPr>
            </w:pPr>
          </w:p>
        </w:tc>
        <w:tc>
          <w:tcPr>
            <w:tcW w:w="134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2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99"/>
              </w:rPr>
              <w:t>Life</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8"/>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jc w:val="right"/>
              <w:ind w:right="35"/>
              <w:spacing w:after="0" w:line="183" w:lineRule="exact"/>
              <w:rPr>
                <w:sz w:val="20"/>
                <w:szCs w:val="20"/>
                <w:color w:val="auto"/>
              </w:rPr>
            </w:pPr>
            <w:r>
              <w:rPr>
                <w:rFonts w:ascii="Arial" w:cs="Arial" w:eastAsia="Arial" w:hAnsi="Arial"/>
                <w:sz w:val="17"/>
                <w:szCs w:val="17"/>
                <w:color w:val="auto"/>
              </w:rPr>
              <w:t>(in thousands)</w:t>
            </w:r>
          </w:p>
        </w:tc>
        <w:tc>
          <w:tcPr>
            <w:tcW w:w="1620" w:type="dxa"/>
            <w:vAlign w:val="bottom"/>
          </w:tcPr>
          <w:p>
            <w:pPr>
              <w:jc w:val="center"/>
              <w:ind w:left="15"/>
              <w:spacing w:after="0" w:line="183" w:lineRule="exact"/>
              <w:rPr>
                <w:sz w:val="20"/>
                <w:szCs w:val="20"/>
                <w:color w:val="auto"/>
              </w:rPr>
            </w:pPr>
            <w:r>
              <w:rPr>
                <w:rFonts w:ascii="Arial" w:cs="Arial" w:eastAsia="Arial" w:hAnsi="Arial"/>
                <w:sz w:val="17"/>
                <w:szCs w:val="17"/>
                <w:color w:val="auto"/>
              </w:rPr>
              <w:t>(in years)</w:t>
            </w:r>
          </w:p>
        </w:tc>
        <w:tc>
          <w:tcPr>
            <w:tcW w:w="240" w:type="dxa"/>
            <w:vAlign w:val="bottom"/>
          </w:tcPr>
          <w:p>
            <w:pPr>
              <w:spacing w:after="0"/>
              <w:rPr>
                <w:sz w:val="15"/>
                <w:szCs w:val="15"/>
                <w:color w:val="auto"/>
              </w:rPr>
            </w:pPr>
          </w:p>
        </w:tc>
        <w:tc>
          <w:tcPr>
            <w:tcW w:w="1340" w:type="dxa"/>
            <w:vAlign w:val="bottom"/>
          </w:tcPr>
          <w:p>
            <w:pPr>
              <w:jc w:val="right"/>
              <w:ind w:right="15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1,022</w:t>
            </w:r>
          </w:p>
        </w:tc>
        <w:tc>
          <w:tcPr>
            <w:tcW w:w="16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line="189"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12"/>
                <w:szCs w:val="12"/>
                <w:color w:val="auto"/>
              </w:rPr>
              <w:t>(1)</w:t>
            </w:r>
          </w:p>
        </w:tc>
        <w:tc>
          <w:tcPr>
            <w:tcW w:w="1140" w:type="dxa"/>
            <w:vAlign w:val="bottom"/>
          </w:tcPr>
          <w:p>
            <w:pPr>
              <w:spacing w:after="0"/>
              <w:rPr>
                <w:sz w:val="16"/>
                <w:szCs w:val="16"/>
                <w:color w:val="auto"/>
              </w:rPr>
            </w:pP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306</w:t>
            </w: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58.48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(88)</w:t>
            </w:r>
          </w:p>
        </w:tc>
        <w:tc>
          <w:tcPr>
            <w:tcW w:w="1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line="189" w:lineRule="exact"/>
              <w:rPr>
                <w:sz w:val="20"/>
                <w:szCs w:val="20"/>
                <w:color w:val="auto"/>
              </w:rPr>
            </w:pPr>
            <w:r>
              <w:rPr>
                <w:rFonts w:ascii="Arial" w:cs="Arial" w:eastAsia="Arial" w:hAnsi="Arial"/>
                <w:sz w:val="17"/>
                <w:szCs w:val="17"/>
                <w:color w:val="auto"/>
              </w:rPr>
              <w:t xml:space="preserve">Performance adjustment </w:t>
            </w:r>
            <w:r>
              <w:rPr>
                <w:rFonts w:ascii="Arial" w:cs="Arial" w:eastAsia="Arial" w:hAnsi="Arial"/>
                <w:sz w:val="12"/>
                <w:szCs w:val="12"/>
                <w:color w:val="auto"/>
              </w:rPr>
              <w:t>(2)</w:t>
            </w:r>
          </w:p>
        </w:tc>
        <w:tc>
          <w:tcPr>
            <w:tcW w:w="1140" w:type="dxa"/>
            <w:vAlign w:val="bottom"/>
          </w:tcPr>
          <w:p>
            <w:pPr>
              <w:spacing w:after="0"/>
              <w:rPr>
                <w:sz w:val="16"/>
                <w:szCs w:val="16"/>
                <w:color w:val="auto"/>
              </w:rPr>
            </w:pPr>
          </w:p>
        </w:tc>
        <w:tc>
          <w:tcPr>
            <w:tcW w:w="12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(27)</w:t>
            </w: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Expired or cancelled</w:t>
            </w:r>
          </w:p>
        </w:tc>
        <w:tc>
          <w:tcPr>
            <w:tcW w:w="1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(23)</w:t>
            </w:r>
          </w:p>
        </w:tc>
        <w:tc>
          <w:tcPr>
            <w:tcW w:w="16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November 2, 2019</w:t>
            </w:r>
          </w:p>
        </w:tc>
        <w:tc>
          <w:tcPr>
            <w:tcW w:w="1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1,190</w:t>
            </w:r>
          </w:p>
        </w:tc>
        <w:tc>
          <w:tcPr>
            <w:tcW w:w="162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1.5</w:t>
            </w:r>
          </w:p>
        </w:tc>
        <w:tc>
          <w:tcPr>
            <w:tcW w:w="2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49.18</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4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59</w:t>
            </w:r>
          </w:p>
        </w:tc>
        <w:tc>
          <w:tcPr>
            <w:tcW w:w="1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00"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90" w:lineRule="exact"/>
        <w:rPr>
          <w:sz w:val="20"/>
          <w:szCs w:val="20"/>
          <w:color w:val="auto"/>
        </w:rPr>
      </w:pPr>
    </w:p>
    <w:p>
      <w:pPr>
        <w:jc w:val="both"/>
        <w:ind w:left="340" w:right="20" w:hanging="331"/>
        <w:spacing w:after="0" w:line="250"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the units granted are approximately 0.2 million performance-based RSUs. The number of performance-based RSUs that are ultimately earned may vary from 0% to 200% of target depending on the achievement relative to the Company’s predefined financial performance targets.</w:t>
      </w:r>
    </w:p>
    <w:p>
      <w:pPr>
        <w:spacing w:after="0" w:line="199" w:lineRule="exact"/>
        <w:rPr>
          <w:rFonts w:ascii="Arial" w:cs="Arial" w:eastAsia="Arial" w:hAnsi="Arial"/>
          <w:sz w:val="14"/>
          <w:szCs w:val="14"/>
          <w:color w:val="auto"/>
        </w:rPr>
      </w:pPr>
    </w:p>
    <w:p>
      <w:pPr>
        <w:ind w:left="340" w:hanging="331"/>
        <w:spacing w:after="0" w:line="258"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represents adjustments made to performance-based RSU awards and reflect changes in estimates based upon the Company’s current performance against predefined financial targets.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total value of awards that vested during the thirty-nine weeks ended November 2, 2019 and November 3, 2018 was $5 million and $7 million, respectively. As of November 2, 2019, there was $30 million of total unrecognized compensation cost related to nonvested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Proceedings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 There is a recently filed purported class action against the Company alleging violation of the Americans with Disabilities Act for failing to sell gift cards that contain writing in braille.</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the Company and certain officers of the Company were defendants in a purported securities law class action in New York. During the third quarter of 2019, the Court granted the Company’s motion to dismiss the class action and the plaintiffs’ time to appeal has expired. The directors and certain officers of the Company were defendants in related derivative actions filed in federal court. The Court ordered the dismissal of plaintiffs’ complaints following the parties’ submission of a joint stipulation to dismiss. The directors and certain officers of the Company were also defendants in a related derivative action filed in state court. The parties submitted a joint stipulation to dismiss and are awaiting the Court’s approval.</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U.S. Securities and Exchange Commission.</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These forward-looking statements are based largely on our expectations and judgments and are subject to a number of risks and uncertainties, many of which are unforeseeable and beyond our control. For additional discussion on risks and uncertainties that may affect forward-looking statements, see “Risk Factors” disclosed in the 2018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Foot Locker, Inc., through its subsidiaries, is one of the largest athletic footwear and apparel retailers in the world, operating 3,160 stores in 27 countries. The Foot Locker brand is one of the most widely recognized names in the markets in which we operate, epitomizing premium quality for the active lifestyle customer. We operate websites and mobile apps, aligned with the brand names of our store banners. Our sites offer some of the largest online selections of athletically inspired shoes and apparel, while providing a seamless link between e-commerce and physical stores. We also operate the websites for eastbay.com, final-score.com, and eastbayteamsales.com.</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With its various marketing channels and experiences across North America, Europe, Asia, Australia, and New Zealand, the Company's purpose is to inspire and empower youth culture around the world, by fueling a shared passion for self-expression and creating unrivaled experiences at the heart of the sport and sneaker communities</w:t>
      </w:r>
      <w:r>
        <w:rPr>
          <w:rFonts w:ascii="Arial" w:cs="Arial" w:eastAsia="Arial" w:hAnsi="Arial"/>
          <w:sz w:val="17"/>
          <w:szCs w:val="17"/>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November 2, 2019, we operated 3,160 stores as compared with 3,221 and 3,266 stores at February 2, 2019 and November 3, 2018,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total of 138 franchised stores were operating at November 2, 2019, as compared with 122 and 118 stores at February 2, 2019 and November 3, 2018, respectively. Revenue from franchised stores was not significant for any of the periods presented. These stores are not included in the operating store count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reporting the Company's financial results in accordance with generally accepted accounting principles (“GAAP”), the Company reports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of the respective items. The income tax items represent the discrete amount that affected the period.</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non-GAAP financial information is provided in addition to, and not as an alternative to, our reported results prepared in accordance with GAAP. Presented below is a reconciliation of GAAP and non-GAAP results for the thirteen and thirty-nine weeks ended November 2, 2019 and November 3, 2018,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00" w:type="dxa"/>
            <w:vAlign w:val="bottom"/>
            <w:gridSpan w:val="2"/>
          </w:tcPr>
          <w:p>
            <w:pPr>
              <w:jc w:val="right"/>
              <w:ind w:right="95"/>
              <w:spacing w:after="0" w:line="157" w:lineRule="exact"/>
              <w:rPr>
                <w:sz w:val="20"/>
                <w:szCs w:val="20"/>
                <w:color w:val="auto"/>
              </w:rPr>
            </w:pPr>
            <w:r>
              <w:rPr>
                <w:rFonts w:ascii="Arial" w:cs="Arial" w:eastAsia="Arial" w:hAnsi="Arial"/>
                <w:sz w:val="17"/>
                <w:szCs w:val="17"/>
                <w:b w:val="1"/>
                <w:bCs w:val="1"/>
                <w:color w:val="auto"/>
              </w:rPr>
              <w:t>November 2,</w:t>
            </w:r>
          </w:p>
        </w:tc>
        <w:tc>
          <w:tcPr>
            <w:tcW w:w="1400" w:type="dxa"/>
            <w:vAlign w:val="bottom"/>
            <w:gridSpan w:val="2"/>
          </w:tcPr>
          <w:p>
            <w:pPr>
              <w:jc w:val="right"/>
              <w:ind w:right="115"/>
              <w:spacing w:after="0" w:line="157" w:lineRule="exact"/>
              <w:rPr>
                <w:sz w:val="20"/>
                <w:szCs w:val="20"/>
                <w:color w:val="auto"/>
              </w:rPr>
            </w:pPr>
            <w:r>
              <w:rPr>
                <w:rFonts w:ascii="Arial" w:cs="Arial" w:eastAsia="Arial" w:hAnsi="Arial"/>
                <w:sz w:val="17"/>
                <w:szCs w:val="17"/>
                <w:b w:val="1"/>
                <w:bCs w:val="1"/>
                <w:color w:val="auto"/>
              </w:rPr>
              <w:t>November 3,</w:t>
            </w:r>
          </w:p>
        </w:tc>
        <w:tc>
          <w:tcPr>
            <w:tcW w:w="1380" w:type="dxa"/>
            <w:vAlign w:val="bottom"/>
            <w:gridSpan w:val="2"/>
          </w:tcPr>
          <w:p>
            <w:pPr>
              <w:jc w:val="right"/>
              <w:ind w:right="95"/>
              <w:spacing w:after="0" w:line="157" w:lineRule="exact"/>
              <w:rPr>
                <w:sz w:val="20"/>
                <w:szCs w:val="20"/>
                <w:color w:val="auto"/>
              </w:rPr>
            </w:pPr>
            <w:r>
              <w:rPr>
                <w:rFonts w:ascii="Arial" w:cs="Arial" w:eastAsia="Arial" w:hAnsi="Arial"/>
                <w:sz w:val="17"/>
                <w:szCs w:val="17"/>
                <w:b w:val="1"/>
                <w:bCs w:val="1"/>
                <w:color w:val="auto"/>
              </w:rPr>
              <w:t>November 2,</w:t>
            </w:r>
          </w:p>
        </w:tc>
        <w:tc>
          <w:tcPr>
            <w:tcW w:w="128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November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20" w:type="dxa"/>
            <w:vAlign w:val="bottom"/>
            <w:gridSpan w:val="3"/>
          </w:tcPr>
          <w:p>
            <w:pPr>
              <w:jc w:val="right"/>
              <w:ind w:right="795"/>
              <w:spacing w:after="0" w:line="183" w:lineRule="exact"/>
              <w:rPr>
                <w:sz w:val="20"/>
                <w:szCs w:val="20"/>
                <w:color w:val="auto"/>
              </w:rPr>
            </w:pPr>
            <w:r>
              <w:rPr>
                <w:rFonts w:ascii="Arial" w:cs="Arial" w:eastAsia="Arial" w:hAnsi="Arial"/>
                <w:sz w:val="17"/>
                <w:szCs w:val="17"/>
                <w:color w:val="auto"/>
              </w:rPr>
              <w:t>($ in millions)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Pre-tax income:</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7"/>
                <w:szCs w:val="17"/>
                <w:color w:val="auto"/>
              </w:rPr>
              <w:t>Income before income taxes</w:t>
            </w:r>
          </w:p>
        </w:tc>
        <w:tc>
          <w:tcPr>
            <w:tcW w:w="3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171</w:t>
            </w: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146</w:t>
            </w:r>
          </w:p>
        </w:tc>
        <w:tc>
          <w:tcPr>
            <w:tcW w:w="28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490</w:t>
            </w:r>
          </w:p>
        </w:tc>
        <w:tc>
          <w:tcPr>
            <w:tcW w:w="3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Pre-tax amounts excluded from GAAP:</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ind w:left="200"/>
              <w:spacing w:after="0" w:line="189" w:lineRule="exact"/>
              <w:rPr>
                <w:sz w:val="20"/>
                <w:szCs w:val="20"/>
                <w:color w:val="auto"/>
              </w:rPr>
            </w:pPr>
            <w:r>
              <w:rPr>
                <w:rFonts w:ascii="Arial" w:cs="Arial" w:eastAsia="Arial" w:hAnsi="Arial"/>
                <w:sz w:val="17"/>
                <w:szCs w:val="17"/>
                <w:color w:val="auto"/>
              </w:rPr>
              <w:t>Litigation and other charges</w:t>
            </w:r>
          </w:p>
        </w:tc>
        <w:tc>
          <w:tcPr>
            <w:tcW w:w="36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36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28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16</w:t>
            </w:r>
          </w:p>
        </w:tc>
        <w:tc>
          <w:tcPr>
            <w:tcW w:w="3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Other income</w:t>
            </w:r>
          </w:p>
        </w:tc>
        <w:tc>
          <w:tcPr>
            <w:tcW w:w="3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(4)</w:t>
            </w:r>
          </w:p>
        </w:tc>
        <w:tc>
          <w:tcPr>
            <w:tcW w:w="3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(4)</w:t>
            </w:r>
          </w:p>
        </w:tc>
        <w:tc>
          <w:tcPr>
            <w:tcW w:w="3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tcPr>
          <w:p>
            <w:pPr>
              <w:spacing w:after="0" w:line="176" w:lineRule="exact"/>
              <w:rPr>
                <w:sz w:val="20"/>
                <w:szCs w:val="20"/>
                <w:color w:val="auto"/>
              </w:rPr>
            </w:pPr>
            <w:r>
              <w:rPr>
                <w:rFonts w:ascii="Arial" w:cs="Arial" w:eastAsia="Arial" w:hAnsi="Arial"/>
                <w:sz w:val="17"/>
                <w:szCs w:val="17"/>
                <w:color w:val="auto"/>
              </w:rPr>
              <w:t>Adjusted income before income taxes (non-</w:t>
            </w:r>
          </w:p>
        </w:tc>
        <w:tc>
          <w:tcPr>
            <w:tcW w:w="36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10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168</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502</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5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GAAP)</w:t>
            </w:r>
          </w:p>
        </w:tc>
        <w:tc>
          <w:tcPr>
            <w:tcW w:w="3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148</w:t>
            </w:r>
          </w:p>
        </w:tc>
        <w:tc>
          <w:tcPr>
            <w:tcW w:w="2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7"/>
                <w:szCs w:val="17"/>
                <w:b w:val="1"/>
                <w:bCs w:val="1"/>
                <w:color w:val="auto"/>
              </w:rPr>
              <w:t>After-tax income:</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w:t>
            </w:r>
          </w:p>
        </w:tc>
        <w:tc>
          <w:tcPr>
            <w:tcW w:w="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125</w:t>
            </w: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130</w:t>
            </w:r>
          </w:p>
        </w:tc>
        <w:tc>
          <w:tcPr>
            <w:tcW w:w="2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357</w:t>
            </w:r>
          </w:p>
        </w:tc>
        <w:tc>
          <w:tcPr>
            <w:tcW w:w="3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7"/>
                <w:szCs w:val="17"/>
                <w:color w:val="auto"/>
              </w:rPr>
              <w:t>After-tax adjustments excluded from GAAP:</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Litigation and other charges, net of income</w:t>
            </w: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ind w:left="400"/>
              <w:spacing w:after="0" w:line="189" w:lineRule="exact"/>
              <w:rPr>
                <w:sz w:val="20"/>
                <w:szCs w:val="20"/>
                <w:color w:val="auto"/>
              </w:rPr>
            </w:pPr>
            <w:r>
              <w:rPr>
                <w:rFonts w:ascii="Arial" w:cs="Arial" w:eastAsia="Arial" w:hAnsi="Arial"/>
                <w:sz w:val="17"/>
                <w:szCs w:val="17"/>
                <w:color w:val="auto"/>
              </w:rPr>
              <w:t>tax benefit of $-, $1, $4, and $5 million,</w:t>
            </w:r>
          </w:p>
        </w:tc>
        <w:tc>
          <w:tcPr>
            <w:tcW w:w="3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12</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respectively</w:t>
            </w:r>
          </w:p>
        </w:tc>
        <w:tc>
          <w:tcPr>
            <w:tcW w:w="3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28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ind w:left="220"/>
              <w:spacing w:after="0" w:line="189" w:lineRule="exact"/>
              <w:rPr>
                <w:sz w:val="20"/>
                <w:szCs w:val="20"/>
                <w:color w:val="auto"/>
              </w:rPr>
            </w:pPr>
            <w:r>
              <w:rPr>
                <w:rFonts w:ascii="Arial" w:cs="Arial" w:eastAsia="Arial" w:hAnsi="Arial"/>
                <w:sz w:val="17"/>
                <w:szCs w:val="17"/>
                <w:color w:val="auto"/>
              </w:rPr>
              <w:t>Other income</w:t>
            </w:r>
          </w:p>
        </w:tc>
        <w:tc>
          <w:tcPr>
            <w:tcW w:w="360" w:type="dxa"/>
            <w:vAlign w:val="bottom"/>
          </w:tcPr>
          <w:p>
            <w:pPr>
              <w:spacing w:after="0"/>
              <w:rPr>
                <w:sz w:val="16"/>
                <w:szCs w:val="16"/>
                <w:color w:val="auto"/>
              </w:rPr>
            </w:pPr>
          </w:p>
        </w:tc>
        <w:tc>
          <w:tcPr>
            <w:tcW w:w="10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(4)</w:t>
            </w:r>
          </w:p>
        </w:tc>
        <w:tc>
          <w:tcPr>
            <w:tcW w:w="36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10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(4)</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U.S. tax reform</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(23)</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Pr>
          <w:p>
            <w:pPr>
              <w:ind w:left="220"/>
              <w:spacing w:after="0" w:line="183" w:lineRule="exact"/>
              <w:rPr>
                <w:sz w:val="20"/>
                <w:szCs w:val="20"/>
                <w:color w:val="auto"/>
              </w:rPr>
            </w:pPr>
            <w:r>
              <w:rPr>
                <w:rFonts w:ascii="Arial" w:cs="Arial" w:eastAsia="Arial" w:hAnsi="Arial"/>
                <w:sz w:val="17"/>
                <w:szCs w:val="17"/>
                <w:color w:val="auto"/>
              </w:rPr>
              <w:t>Tax benefit related to enacted change in</w:t>
            </w:r>
          </w:p>
        </w:tc>
        <w:tc>
          <w:tcPr>
            <w:tcW w:w="360" w:type="dxa"/>
            <w:vAlign w:val="bottom"/>
          </w:tcPr>
          <w:p>
            <w:pPr>
              <w:spacing w:after="0"/>
              <w:rPr>
                <w:sz w:val="15"/>
                <w:szCs w:val="15"/>
                <w:color w:val="auto"/>
              </w:rPr>
            </w:pPr>
          </w:p>
        </w:tc>
        <w:tc>
          <w:tcPr>
            <w:tcW w:w="10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foreign branch currency regulations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net income (non-GAAP)</w:t>
            </w:r>
          </w:p>
        </w:tc>
        <w:tc>
          <w:tcPr>
            <w:tcW w:w="3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122</w:t>
            </w:r>
          </w:p>
        </w:tc>
        <w:tc>
          <w:tcPr>
            <w:tcW w:w="3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108</w:t>
            </w:r>
          </w:p>
        </w:tc>
        <w:tc>
          <w:tcPr>
            <w:tcW w:w="2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367</w:t>
            </w:r>
          </w:p>
        </w:tc>
        <w:tc>
          <w:tcPr>
            <w:tcW w:w="3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Earnings per share:</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7"/>
                <w:szCs w:val="17"/>
                <w:color w:val="auto"/>
              </w:rPr>
              <w:t>Diluted EPS</w:t>
            </w:r>
          </w:p>
        </w:tc>
        <w:tc>
          <w:tcPr>
            <w:tcW w:w="3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1.16</w:t>
            </w: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1.14</w:t>
            </w:r>
          </w:p>
        </w:tc>
        <w:tc>
          <w:tcPr>
            <w:tcW w:w="28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3.23</w:t>
            </w:r>
          </w:p>
        </w:tc>
        <w:tc>
          <w:tcPr>
            <w:tcW w:w="3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EPS amounts excluded from GAAP:</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ind w:left="220"/>
              <w:spacing w:after="0" w:line="189" w:lineRule="exact"/>
              <w:rPr>
                <w:sz w:val="20"/>
                <w:szCs w:val="20"/>
                <w:color w:val="auto"/>
              </w:rPr>
            </w:pPr>
            <w:r>
              <w:rPr>
                <w:rFonts w:ascii="Arial" w:cs="Arial" w:eastAsia="Arial" w:hAnsi="Arial"/>
                <w:sz w:val="17"/>
                <w:szCs w:val="17"/>
                <w:color w:val="auto"/>
              </w:rPr>
              <w:t>Litigation and other charges</w:t>
            </w:r>
          </w:p>
        </w:tc>
        <w:tc>
          <w:tcPr>
            <w:tcW w:w="36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0.01</w:t>
            </w:r>
          </w:p>
        </w:tc>
        <w:tc>
          <w:tcPr>
            <w:tcW w:w="36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0.01</w:t>
            </w:r>
          </w:p>
        </w:tc>
        <w:tc>
          <w:tcPr>
            <w:tcW w:w="28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0.11</w:t>
            </w:r>
          </w:p>
        </w:tc>
        <w:tc>
          <w:tcPr>
            <w:tcW w:w="3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Other income</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(0.04)</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(0.04)</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ind w:left="220"/>
              <w:spacing w:after="0" w:line="189" w:lineRule="exact"/>
              <w:rPr>
                <w:sz w:val="20"/>
                <w:szCs w:val="20"/>
                <w:color w:val="auto"/>
              </w:rPr>
            </w:pPr>
            <w:r>
              <w:rPr>
                <w:rFonts w:ascii="Arial" w:cs="Arial" w:eastAsia="Arial" w:hAnsi="Arial"/>
                <w:sz w:val="17"/>
                <w:szCs w:val="17"/>
                <w:color w:val="auto"/>
              </w:rPr>
              <w:t>U.S. tax reform</w:t>
            </w:r>
          </w:p>
        </w:tc>
        <w:tc>
          <w:tcPr>
            <w:tcW w:w="36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6"/>
                <w:szCs w:val="16"/>
                <w:color w:val="auto"/>
              </w:rPr>
            </w:pP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(0.20)</w:t>
            </w:r>
          </w:p>
        </w:tc>
        <w:tc>
          <w:tcPr>
            <w:tcW w:w="28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0.02</w:t>
            </w:r>
          </w:p>
        </w:tc>
        <w:tc>
          <w:tcPr>
            <w:tcW w:w="3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Tax benefit related to enacted change in</w:t>
            </w:r>
          </w:p>
        </w:tc>
        <w:tc>
          <w:tcPr>
            <w:tcW w:w="3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foreign branch currency regulations</w:t>
            </w:r>
          </w:p>
        </w:tc>
        <w:tc>
          <w:tcPr>
            <w:tcW w:w="3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Adjusted diluted EPS (non-GAAP)</w:t>
            </w:r>
          </w:p>
        </w:tc>
        <w:tc>
          <w:tcPr>
            <w:tcW w:w="3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1.13</w:t>
            </w:r>
          </w:p>
        </w:tc>
        <w:tc>
          <w:tcPr>
            <w:tcW w:w="3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0.95</w:t>
            </w:r>
          </w:p>
        </w:tc>
        <w:tc>
          <w:tcPr>
            <w:tcW w:w="28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3.32</w:t>
            </w:r>
          </w:p>
        </w:tc>
        <w:tc>
          <w:tcPr>
            <w:tcW w:w="3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recorded pre-tax charges of $1 million and $2 million for the thirteen weeks ended November 2, 2019 and November 3, 2018, respectively, related to a pension litigation matter and related plan reformation.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thirty-nine weeks ended November 2, 2019, the Company recorded pre-tax charges of $16 million reflecting $ 3 million of professional fees in connection with the plan reformation and $13 million of lease termination costs related to the closure of certain of its SIX:02 locations. For the thirty-nine weeks ended November 3, 2018, the Company recorded pre-tax charges of $17 million related to the pension matter, reflecting adjustments to the value of the judgment and interest that continued to accrue, as required by the provisions of the required plan reformation.</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thirteen weeks ended November 3, 2019, the Company recognized a gain of $4 million in connection with the acquisition of a Canadian distribution center lease and related assets. The tax expense related to this transaction was fully offset by the release of a valuation allowance.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tax related non-GAAP adjustments for all periods relate to the finalization of the accounting for the enactment of tax reform. During the thirty-nine weeks ended November 2, 2019, the Company recorded a charge for $2 million, which reflected an adjustment to U.S. tax on foreign income. For the thirteen and thirty-nine weeks ended November 3, 2018, the Company reduced its provisional amount by $23 million and $24 million, respectively. For the thirty-nine weeks ended November 3, 2018, these adjustments reflect a $17 million reduction in the deemed repatriation tax and a $7 million benefit related to IRS accounting method changes and timing difference adjustments.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During the second quarter of 2018, the U.S. Treasury issued a notice that delayed the effective date of regulations under Internal Revenue Code Section 987. These regulations changed our method for determining the tax effects of foreign currency translation gains and losses for our foreign businesses that are operated as branches and are reported in a currency other than the currency of their parent. As a result of the delay in the effective date, the Company updated its calculations for the effect of these regulations, which resulted in an increase to deferred tax assets and a corresponding reduction in our income tax provision in the amount of $1 million </w:t>
      </w:r>
      <w:r>
        <w:rPr>
          <w:rFonts w:ascii="Arial" w:cs="Arial" w:eastAsia="Arial" w:hAnsi="Arial"/>
          <w:sz w:val="17"/>
          <w:szCs w:val="17"/>
          <w:color w:val="auto"/>
        </w:rPr>
        <w:t>for the thirty-nine weeks ended November 3, 2018</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identify our operating segments according to how our business activities are managed and evaluated by our chief operating decision maker, our CEO.</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Beginning in 2018, the Company changed its organizational and internal reporting structure in order to execute our omni-channel strategy. This change resulted in the combination of our stores and direct-to-customers financial results.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Effective as of the beginning of 2019, the Company has determined that it has three operating segments, North America, EMEA, and Asia Pacific. Our North America operating segment includes the results of the following banners operating in the U.S. and Canada: Foot Locker, Kids Foot Locker, Lady Foot Locker, Champs Sports, and Footaction, including each of their related e-commerce businesses, as well as our Eastbay business that includes internet, catalog, and team sales. Our EMEA operating segment includes the results of the following banners operating in Europe: Foot Locker, Runners Point, Sidestep, and Kids Foot Locker, including each of their related e-commerce businesses. Our Asia Pacific operating segment includes the results of Foot Locker and Kids Foot Locker and the related e-commerce businesses, as applicable, operating in Australia, New Zealand, and Asia. We have further aggregated these operating segments into one reportable segment based upon their shared customer base and similar economic characteristics. Please see Item 1. “Financial Statements,” Note 3, </w:t>
      </w:r>
      <w:r>
        <w:rPr>
          <w:rFonts w:ascii="Arial" w:cs="Arial" w:eastAsia="Arial" w:hAnsi="Arial"/>
          <w:sz w:val="18"/>
          <w:szCs w:val="18"/>
          <w:i w:val="1"/>
          <w:iCs w:val="1"/>
          <w:color w:val="auto"/>
        </w:rPr>
        <w:t xml:space="preserve">Segment Information </w:t>
      </w:r>
      <w:r>
        <w:rPr>
          <w:rFonts w:ascii="Arial" w:cs="Arial" w:eastAsia="Arial" w:hAnsi="Arial"/>
          <w:sz w:val="18"/>
          <w:szCs w:val="18"/>
          <w:color w:val="auto"/>
        </w:rPr>
        <w:t>for further information on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evaluate performance based on several factors, of which the primary financial measure is the banner’s financial results referred to as division profit. Division profit reflects income before income taxes, litigation and other charges, corporate expenses, non-operating income, and net interest income. The following table summarizes our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72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2,</w:t>
            </w:r>
          </w:p>
        </w:tc>
        <w:tc>
          <w:tcPr>
            <w:tcW w:w="138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3,</w:t>
            </w:r>
          </w:p>
        </w:tc>
        <w:tc>
          <w:tcPr>
            <w:tcW w:w="1400" w:type="dxa"/>
            <w:vAlign w:val="bottom"/>
            <w:gridSpan w:val="2"/>
          </w:tcPr>
          <w:p>
            <w:pPr>
              <w:jc w:val="right"/>
              <w:ind w:right="75"/>
              <w:spacing w:after="0" w:line="157" w:lineRule="exact"/>
              <w:rPr>
                <w:sz w:val="20"/>
                <w:szCs w:val="20"/>
                <w:color w:val="auto"/>
              </w:rPr>
            </w:pPr>
            <w:r>
              <w:rPr>
                <w:rFonts w:ascii="Arial" w:cs="Arial" w:eastAsia="Arial" w:hAnsi="Arial"/>
                <w:sz w:val="17"/>
                <w:szCs w:val="17"/>
                <w:b w:val="1"/>
                <w:bCs w:val="1"/>
                <w:color w:val="auto"/>
              </w:rPr>
              <w:t>November 2,</w:t>
            </w:r>
          </w:p>
        </w:tc>
        <w:tc>
          <w:tcPr>
            <w:tcW w:w="130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November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2018</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gridSpan w:val="3"/>
          </w:tcPr>
          <w:p>
            <w:pPr>
              <w:jc w:val="right"/>
              <w:ind w:right="775"/>
              <w:spacing w:after="0" w:line="183" w:lineRule="exact"/>
              <w:rPr>
                <w:sz w:val="20"/>
                <w:szCs w:val="20"/>
                <w:color w:val="auto"/>
              </w:rPr>
            </w:pPr>
            <w:r>
              <w:rPr>
                <w:rFonts w:ascii="Arial" w:cs="Arial" w:eastAsia="Arial" w:hAnsi="Arial"/>
                <w:sz w:val="17"/>
                <w:szCs w:val="17"/>
                <w:color w:val="auto"/>
              </w:rPr>
              <w:t>($ in millions)</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7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1,932</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1,860</w:t>
            </w: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5,784</w:t>
            </w:r>
          </w:p>
        </w:tc>
        <w:tc>
          <w:tcPr>
            <w:tcW w:w="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5,667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70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184</w:t>
            </w:r>
          </w:p>
        </w:tc>
        <w:tc>
          <w:tcPr>
            <w:tcW w:w="38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165</w:t>
            </w:r>
          </w:p>
        </w:tc>
        <w:tc>
          <w:tcPr>
            <w:tcW w:w="320" w:type="dxa"/>
            <w:vAlign w:val="bottom"/>
          </w:tcPr>
          <w:p>
            <w:pPr>
              <w:spacing w:after="0"/>
              <w:rPr>
                <w:sz w:val="16"/>
                <w:szCs w:val="16"/>
                <w:color w:val="auto"/>
              </w:rPr>
            </w:pPr>
          </w:p>
        </w:tc>
        <w:tc>
          <w:tcPr>
            <w:tcW w:w="10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549</w:t>
            </w:r>
          </w:p>
        </w:tc>
        <w:tc>
          <w:tcPr>
            <w:tcW w:w="3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543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Less: Litigation and other charges </w:t>
            </w:r>
            <w:r>
              <w:rPr>
                <w:rFonts w:ascii="Arial" w:cs="Arial" w:eastAsia="Arial" w:hAnsi="Arial"/>
                <w:sz w:val="12"/>
                <w:szCs w:val="12"/>
                <w:color w:val="auto"/>
              </w:rPr>
              <w:t>(1)</w:t>
            </w: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16</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xml:space="preserve">Less: Corporate expense </w:t>
            </w:r>
            <w:r>
              <w:rPr>
                <w:rFonts w:ascii="Arial" w:cs="Arial" w:eastAsia="Arial" w:hAnsi="Arial"/>
                <w:sz w:val="12"/>
                <w:szCs w:val="12"/>
                <w:color w:val="auto"/>
              </w:rPr>
              <w:t>(2)</w:t>
            </w: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19</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60</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7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164</w:t>
            </w: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144</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473</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line="189" w:lineRule="exact"/>
              <w:rPr>
                <w:sz w:val="20"/>
                <w:szCs w:val="20"/>
                <w:color w:val="auto"/>
              </w:rPr>
            </w:pPr>
            <w:r>
              <w:rPr>
                <w:rFonts w:ascii="Arial" w:cs="Arial" w:eastAsia="Arial" w:hAnsi="Arial"/>
                <w:sz w:val="17"/>
                <w:szCs w:val="17"/>
                <w:color w:val="auto"/>
              </w:rPr>
              <w:t>Interest income, net</w:t>
            </w:r>
          </w:p>
        </w:tc>
        <w:tc>
          <w:tcPr>
            <w:tcW w:w="70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38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w:t>
            </w:r>
          </w:p>
        </w:tc>
        <w:tc>
          <w:tcPr>
            <w:tcW w:w="320" w:type="dxa"/>
            <w:vAlign w:val="bottom"/>
          </w:tcPr>
          <w:p>
            <w:pPr>
              <w:spacing w:after="0"/>
              <w:rPr>
                <w:sz w:val="16"/>
                <w:szCs w:val="16"/>
                <w:color w:val="auto"/>
              </w:rPr>
            </w:pPr>
          </w:p>
        </w:tc>
        <w:tc>
          <w:tcPr>
            <w:tcW w:w="10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9</w:t>
            </w:r>
          </w:p>
        </w:tc>
        <w:tc>
          <w:tcPr>
            <w:tcW w:w="3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income</w:t>
            </w:r>
          </w:p>
        </w:tc>
        <w:tc>
          <w:tcPr>
            <w:tcW w:w="7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3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8</w:t>
            </w: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7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171</w:t>
            </w:r>
          </w:p>
        </w:tc>
        <w:tc>
          <w:tcPr>
            <w:tcW w:w="3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146</w:t>
            </w:r>
          </w:p>
        </w:tc>
        <w:tc>
          <w:tcPr>
            <w:tcW w:w="3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490</w:t>
            </w:r>
          </w:p>
        </w:tc>
        <w:tc>
          <w:tcPr>
            <w:tcW w:w="3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left="340" w:hanging="331"/>
        <w:spacing w:after="0" w:line="244"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recorded pre-tax charges of $1 million and $2 million for the thirteen weeks ended November 2, 2019 and November 3, 2018, respectively, related to a pension litigation matter and related plan reformation. For the thirty-nine weeks ended November 2, 2019, the Company recorded pre-tax charges of $16 million reflecting $3 million of professional fees in connection with the plan reformation and $13 million of lease termination costs related to the closure of certain of its SIX:02 locations. For the thirty-nine weeks ended November 3, 2018, the Company recorded pre-tax charges of $17 million related to the pension matter reflecting adjustments to the value of the judgment and interest that continued to accrue, as required by the provisions of the plan reformation.</w:t>
      </w:r>
    </w:p>
    <w:p>
      <w:pPr>
        <w:spacing w:after="0" w:line="98" w:lineRule="exact"/>
        <w:rPr>
          <w:rFonts w:ascii="Arial" w:cs="Arial" w:eastAsia="Arial" w:hAnsi="Arial"/>
          <w:sz w:val="14"/>
          <w:szCs w:val="14"/>
          <w:color w:val="auto"/>
        </w:rPr>
      </w:pPr>
    </w:p>
    <w:p>
      <w:pPr>
        <w:jc w:val="both"/>
        <w:ind w:left="340" w:right="20" w:hanging="331"/>
        <w:spacing w:after="0" w:line="25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Computations exclude the effect of foreign currency fluctuations.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shown below represents certain sales metrics by sales channel:</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40" w:type="dxa"/>
            <w:vAlign w:val="bottom"/>
            <w:gridSpan w:val="3"/>
          </w:tcPr>
          <w:p>
            <w:pPr>
              <w:jc w:val="right"/>
              <w:ind w:right="47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Pr>
          <w:p>
            <w:pPr>
              <w:spacing w:after="0"/>
              <w:rPr>
                <w:sz w:val="18"/>
                <w:szCs w:val="18"/>
                <w:color w:val="auto"/>
              </w:rPr>
            </w:pPr>
          </w:p>
        </w:tc>
        <w:tc>
          <w:tcPr>
            <w:tcW w:w="2440" w:type="dxa"/>
            <w:vAlign w:val="bottom"/>
            <w:gridSpan w:val="4"/>
          </w:tcPr>
          <w:p>
            <w:pPr>
              <w:ind w:left="40"/>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83"/>
        </w:trPr>
        <w:tc>
          <w:tcPr>
            <w:tcW w:w="286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2"/>
          </w:tcPr>
          <w:p>
            <w:pPr>
              <w:ind w:left="880"/>
              <w:spacing w:after="0" w:line="184" w:lineRule="exact"/>
              <w:rPr>
                <w:sz w:val="20"/>
                <w:szCs w:val="20"/>
                <w:color w:val="auto"/>
              </w:rPr>
            </w:pPr>
            <w:r>
              <w:rPr>
                <w:rFonts w:ascii="Arial" w:cs="Arial" w:eastAsia="Arial" w:hAnsi="Arial"/>
                <w:sz w:val="17"/>
                <w:szCs w:val="17"/>
                <w:b w:val="1"/>
                <w:bCs w:val="1"/>
                <w:color w:val="auto"/>
              </w:rPr>
              <w:t>November 2,</w:t>
            </w:r>
          </w:p>
        </w:tc>
        <w:tc>
          <w:tcPr>
            <w:tcW w:w="1380" w:type="dxa"/>
            <w:vAlign w:val="bottom"/>
            <w:tcBorders>
              <w:top w:val="single" w:sz="8" w:color="auto"/>
            </w:tcBorders>
            <w:gridSpan w:val="2"/>
          </w:tcPr>
          <w:p>
            <w:pPr>
              <w:ind w:left="60"/>
              <w:spacing w:after="0" w:line="184" w:lineRule="exact"/>
              <w:rPr>
                <w:sz w:val="20"/>
                <w:szCs w:val="20"/>
                <w:color w:val="auto"/>
              </w:rPr>
            </w:pPr>
            <w:r>
              <w:rPr>
                <w:rFonts w:ascii="Arial" w:cs="Arial" w:eastAsia="Arial" w:hAnsi="Arial"/>
                <w:sz w:val="17"/>
                <w:szCs w:val="17"/>
                <w:b w:val="1"/>
                <w:bCs w:val="1"/>
                <w:color w:val="auto"/>
              </w:rPr>
              <w:t>November 3,</w:t>
            </w:r>
          </w:p>
        </w:tc>
        <w:tc>
          <w:tcPr>
            <w:tcW w:w="1400" w:type="dxa"/>
            <w:vAlign w:val="bottom"/>
            <w:tcBorders>
              <w:top w:val="single" w:sz="8" w:color="auto"/>
            </w:tcBorders>
            <w:gridSpan w:val="2"/>
          </w:tcPr>
          <w:p>
            <w:pPr>
              <w:ind w:left="160"/>
              <w:spacing w:after="0" w:line="184" w:lineRule="exact"/>
              <w:rPr>
                <w:sz w:val="20"/>
                <w:szCs w:val="20"/>
                <w:color w:val="auto"/>
              </w:rPr>
            </w:pPr>
            <w:r>
              <w:rPr>
                <w:rFonts w:ascii="Arial" w:cs="Arial" w:eastAsia="Arial" w:hAnsi="Arial"/>
                <w:sz w:val="17"/>
                <w:szCs w:val="17"/>
                <w:b w:val="1"/>
                <w:bCs w:val="1"/>
                <w:color w:val="auto"/>
              </w:rPr>
              <w:t>November 2,</w:t>
            </w:r>
          </w:p>
        </w:tc>
        <w:tc>
          <w:tcPr>
            <w:tcW w:w="1300" w:type="dxa"/>
            <w:vAlign w:val="bottom"/>
            <w:tcBorders>
              <w:top w:val="single" w:sz="8" w:color="auto"/>
            </w:tcBorders>
            <w:gridSpan w:val="2"/>
          </w:tcPr>
          <w:p>
            <w:pPr>
              <w:ind w:left="80"/>
              <w:spacing w:after="0" w:line="184" w:lineRule="exact"/>
              <w:rPr>
                <w:sz w:val="20"/>
                <w:szCs w:val="20"/>
                <w:color w:val="auto"/>
              </w:rPr>
            </w:pPr>
            <w:r>
              <w:rPr>
                <w:rFonts w:ascii="Arial" w:cs="Arial" w:eastAsia="Arial" w:hAnsi="Arial"/>
                <w:sz w:val="17"/>
                <w:szCs w:val="17"/>
                <w:b w:val="1"/>
                <w:bCs w:val="1"/>
                <w:color w:val="auto"/>
              </w:rPr>
              <w:t>November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60" w:type="dxa"/>
            <w:vAlign w:val="bottom"/>
            <w:vMerge w:val="restart"/>
          </w:tcPr>
          <w:p>
            <w:pPr>
              <w:spacing w:after="0"/>
              <w:rPr>
                <w:sz w:val="20"/>
                <w:szCs w:val="20"/>
                <w:color w:val="auto"/>
              </w:rPr>
            </w:pPr>
            <w:r>
              <w:rPr>
                <w:rFonts w:ascii="Arial" w:cs="Arial" w:eastAsia="Arial" w:hAnsi="Arial"/>
                <w:sz w:val="17"/>
                <w:szCs w:val="17"/>
                <w:b w:val="1"/>
                <w:bCs w:val="1"/>
                <w:color w:val="auto"/>
              </w:rPr>
              <w:t>Stores</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3"/>
          </w:tcPr>
          <w:p>
            <w:pPr>
              <w:jc w:val="right"/>
              <w:ind w:right="875"/>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060" w:type="dxa"/>
            <w:vAlign w:val="bottom"/>
            <w:shd w:val="clear" w:color="auto" w:fill="CCEEFF"/>
          </w:tcPr>
          <w:p>
            <w:pPr>
              <w:ind w:left="860"/>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1,636</w:t>
            </w:r>
          </w:p>
        </w:tc>
        <w:tc>
          <w:tcPr>
            <w:tcW w:w="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1,591</w:t>
            </w:r>
          </w:p>
        </w:tc>
        <w:tc>
          <w:tcPr>
            <w:tcW w:w="2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4,915</w:t>
            </w:r>
          </w:p>
        </w:tc>
        <w:tc>
          <w:tcPr>
            <w:tcW w:w="2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4,876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7"/>
                <w:szCs w:val="17"/>
                <w:color w:val="auto"/>
              </w:rPr>
              <w:t>$ Change</w:t>
            </w:r>
          </w:p>
        </w:tc>
        <w:tc>
          <w:tcPr>
            <w:tcW w:w="1060" w:type="dxa"/>
            <w:vAlign w:val="bottom"/>
          </w:tcPr>
          <w:p>
            <w:pPr>
              <w:ind w:left="860"/>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74"/>
              <w:spacing w:after="0"/>
              <w:rPr>
                <w:sz w:val="20"/>
                <w:szCs w:val="20"/>
                <w:color w:val="auto"/>
              </w:rPr>
            </w:pPr>
            <w:r>
              <w:rPr>
                <w:rFonts w:ascii="Arial" w:cs="Arial" w:eastAsia="Arial" w:hAnsi="Arial"/>
                <w:sz w:val="17"/>
                <w:szCs w:val="17"/>
                <w:b w:val="1"/>
                <w:bCs w:val="1"/>
                <w:color w:val="auto"/>
              </w:rPr>
              <w:t>45</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ind w:left="140"/>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auto"/>
              </w:rPr>
              <w:t>39</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 Change</w:t>
            </w:r>
          </w:p>
        </w:tc>
        <w:tc>
          <w:tcPr>
            <w:tcW w:w="10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2.8 %</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0.8 %</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7"/>
                <w:szCs w:val="17"/>
                <w:color w:val="auto"/>
              </w:rPr>
              <w:t>% of total sales</w:t>
            </w:r>
          </w:p>
        </w:tc>
        <w:tc>
          <w:tcPr>
            <w:tcW w:w="10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84.7 %</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85.5 %</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85.0 %</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7"/>
                <w:szCs w:val="17"/>
                <w:color w:val="auto"/>
              </w:rPr>
              <w:t xml:space="preserve">86.0 </w:t>
            </w: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Comparable sales change</w:t>
            </w:r>
          </w:p>
        </w:tc>
        <w:tc>
          <w:tcPr>
            <w:tcW w:w="10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4.7 %</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2.4 %</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2.6 %</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7"/>
                <w:szCs w:val="17"/>
                <w:color w:val="auto"/>
              </w:rPr>
              <w:t>(0.6)</w:t>
            </w: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2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2120" w:type="dxa"/>
            <w:vAlign w:val="bottom"/>
            <w:gridSpan w:val="2"/>
          </w:tcPr>
          <w:p>
            <w:pPr>
              <w:ind w:left="880"/>
              <w:spacing w:after="0" w:line="184" w:lineRule="exact"/>
              <w:rPr>
                <w:sz w:val="20"/>
                <w:szCs w:val="20"/>
                <w:color w:val="auto"/>
              </w:rPr>
            </w:pPr>
            <w:r>
              <w:rPr>
                <w:rFonts w:ascii="Arial" w:cs="Arial" w:eastAsia="Arial" w:hAnsi="Arial"/>
                <w:sz w:val="17"/>
                <w:szCs w:val="17"/>
                <w:b w:val="1"/>
                <w:bCs w:val="1"/>
                <w:color w:val="auto"/>
              </w:rPr>
              <w:t>November 2,</w:t>
            </w:r>
          </w:p>
        </w:tc>
        <w:tc>
          <w:tcPr>
            <w:tcW w:w="1380" w:type="dxa"/>
            <w:vAlign w:val="bottom"/>
            <w:gridSpan w:val="2"/>
          </w:tcPr>
          <w:p>
            <w:pPr>
              <w:ind w:left="60"/>
              <w:spacing w:after="0" w:line="184" w:lineRule="exact"/>
              <w:rPr>
                <w:sz w:val="20"/>
                <w:szCs w:val="20"/>
                <w:color w:val="auto"/>
              </w:rPr>
            </w:pPr>
            <w:r>
              <w:rPr>
                <w:rFonts w:ascii="Arial" w:cs="Arial" w:eastAsia="Arial" w:hAnsi="Arial"/>
                <w:sz w:val="17"/>
                <w:szCs w:val="17"/>
                <w:b w:val="1"/>
                <w:bCs w:val="1"/>
                <w:color w:val="auto"/>
              </w:rPr>
              <w:t>November 3,</w:t>
            </w:r>
          </w:p>
        </w:tc>
        <w:tc>
          <w:tcPr>
            <w:tcW w:w="1400" w:type="dxa"/>
            <w:vAlign w:val="bottom"/>
            <w:gridSpan w:val="2"/>
          </w:tcPr>
          <w:p>
            <w:pPr>
              <w:ind w:left="160"/>
              <w:spacing w:after="0" w:line="184" w:lineRule="exact"/>
              <w:rPr>
                <w:sz w:val="20"/>
                <w:szCs w:val="20"/>
                <w:color w:val="auto"/>
              </w:rPr>
            </w:pPr>
            <w:r>
              <w:rPr>
                <w:rFonts w:ascii="Arial" w:cs="Arial" w:eastAsia="Arial" w:hAnsi="Arial"/>
                <w:sz w:val="17"/>
                <w:szCs w:val="17"/>
                <w:b w:val="1"/>
                <w:bCs w:val="1"/>
                <w:color w:val="auto"/>
              </w:rPr>
              <w:t>November 2,</w:t>
            </w:r>
          </w:p>
        </w:tc>
        <w:tc>
          <w:tcPr>
            <w:tcW w:w="1300" w:type="dxa"/>
            <w:vAlign w:val="bottom"/>
            <w:gridSpan w:val="2"/>
          </w:tcPr>
          <w:p>
            <w:pPr>
              <w:ind w:left="80"/>
              <w:spacing w:after="0" w:line="184" w:lineRule="exact"/>
              <w:rPr>
                <w:sz w:val="20"/>
                <w:szCs w:val="20"/>
                <w:color w:val="auto"/>
              </w:rPr>
            </w:pPr>
            <w:r>
              <w:rPr>
                <w:rFonts w:ascii="Arial" w:cs="Arial" w:eastAsia="Arial" w:hAnsi="Arial"/>
                <w:sz w:val="17"/>
                <w:szCs w:val="17"/>
                <w:b w:val="1"/>
                <w:bCs w:val="1"/>
                <w:color w:val="auto"/>
              </w:rPr>
              <w:t>November 3,</w:t>
            </w:r>
          </w:p>
        </w:tc>
        <w:tc>
          <w:tcPr>
            <w:tcW w:w="0" w:type="dxa"/>
            <w:vAlign w:val="bottom"/>
          </w:tcPr>
          <w:p>
            <w:pPr>
              <w:spacing w:after="0"/>
              <w:rPr>
                <w:sz w:val="1"/>
                <w:szCs w:val="1"/>
                <w:color w:val="auto"/>
              </w:rPr>
            </w:pPr>
          </w:p>
        </w:tc>
      </w:tr>
      <w:tr>
        <w:trPr>
          <w:trHeight w:val="215"/>
        </w:trPr>
        <w:tc>
          <w:tcPr>
            <w:tcW w:w="2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06"/>
        </w:trPr>
        <w:tc>
          <w:tcPr>
            <w:tcW w:w="2860" w:type="dxa"/>
            <w:vAlign w:val="bottom"/>
            <w:vMerge w:val="restart"/>
          </w:tcPr>
          <w:p>
            <w:pPr>
              <w:spacing w:after="0"/>
              <w:rPr>
                <w:sz w:val="20"/>
                <w:szCs w:val="20"/>
                <w:color w:val="auto"/>
              </w:rPr>
            </w:pPr>
            <w:r>
              <w:rPr>
                <w:rFonts w:ascii="Arial" w:cs="Arial" w:eastAsia="Arial" w:hAnsi="Arial"/>
                <w:sz w:val="17"/>
                <w:szCs w:val="17"/>
                <w:b w:val="1"/>
                <w:bCs w:val="1"/>
                <w:color w:val="auto"/>
              </w:rPr>
              <w:t>Direct-to-customers</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3"/>
          </w:tcPr>
          <w:p>
            <w:pPr>
              <w:jc w:val="right"/>
              <w:ind w:right="875"/>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060" w:type="dxa"/>
            <w:vAlign w:val="bottom"/>
            <w:shd w:val="clear" w:color="auto" w:fill="CCEEFF"/>
          </w:tcPr>
          <w:p>
            <w:pPr>
              <w:ind w:left="860"/>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296</w:t>
            </w:r>
          </w:p>
        </w:tc>
        <w:tc>
          <w:tcPr>
            <w:tcW w:w="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269</w:t>
            </w:r>
          </w:p>
        </w:tc>
        <w:tc>
          <w:tcPr>
            <w:tcW w:w="2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869</w:t>
            </w:r>
          </w:p>
        </w:tc>
        <w:tc>
          <w:tcPr>
            <w:tcW w:w="2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7"/>
                <w:szCs w:val="17"/>
                <w:color w:val="auto"/>
              </w:rPr>
              <w:t>$ Change</w:t>
            </w:r>
          </w:p>
        </w:tc>
        <w:tc>
          <w:tcPr>
            <w:tcW w:w="1060" w:type="dxa"/>
            <w:vAlign w:val="bottom"/>
          </w:tcPr>
          <w:p>
            <w:pPr>
              <w:ind w:left="860"/>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75"/>
              <w:spacing w:after="0"/>
              <w:rPr>
                <w:sz w:val="20"/>
                <w:szCs w:val="20"/>
                <w:color w:val="auto"/>
              </w:rPr>
            </w:pPr>
            <w:r>
              <w:rPr>
                <w:rFonts w:ascii="Arial" w:cs="Arial" w:eastAsia="Arial" w:hAnsi="Arial"/>
                <w:sz w:val="17"/>
                <w:szCs w:val="17"/>
                <w:b w:val="1"/>
                <w:bCs w:val="1"/>
                <w:color w:val="auto"/>
              </w:rPr>
              <w:t>27</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ind w:left="140"/>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auto"/>
              </w:rPr>
              <w:t>78</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 Change</w:t>
            </w:r>
          </w:p>
        </w:tc>
        <w:tc>
          <w:tcPr>
            <w:tcW w:w="10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10.0 %</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9.9 %</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7"/>
                <w:szCs w:val="17"/>
                <w:color w:val="auto"/>
              </w:rPr>
              <w:t>% of total sales</w:t>
            </w:r>
          </w:p>
        </w:tc>
        <w:tc>
          <w:tcPr>
            <w:tcW w:w="10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15.3 %</w:t>
            </w:r>
          </w:p>
        </w:tc>
        <w:tc>
          <w:tcPr>
            <w:tcW w:w="26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14.5 %</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15.0 %</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7"/>
                <w:szCs w:val="17"/>
                <w:color w:val="auto"/>
              </w:rPr>
              <w:t xml:space="preserve">14.0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Comparable sales change</w:t>
            </w:r>
          </w:p>
        </w:tc>
        <w:tc>
          <w:tcPr>
            <w:tcW w:w="10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11.4 %</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5.9 %</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11.1 %</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7"/>
                <w:szCs w:val="17"/>
                <w:color w:val="auto"/>
              </w:rPr>
              <w:t xml:space="preserve">4.5 </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thirteen weeks ended November 2, 2019, sales increased by $72 million, or 3.9 percent, to $1,932 million, from $1,860 million for the thirteen weeks ended November 3, 2018. For the thirty-nine weeks ended November 2, 2019, sales of $5,784 million increased by $117 million, or 2.1 percent, from sales of $5,667 million in the corresponding prior-year period. Excluding the effect of foreign currency fluctuations, total sales increased by $95 million, or 5.1 percent, and $204 million, or 3.6 percent, for the thirteen and thirty-nine weeks ended November 2, 2019, respectively.</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Total comparable sales increased by 5.7 percent and 3.8 percent for the thirteen and thirty-nine weeks ended November 2, 2019, respectively. Overall, both channels generated comparable sales growth for both the thirteen and thirty-nine weeks ended November 2, 2019. This growth was led by our direct-to-customers channel, which increased by 11.4 percent and 11.1 percent for the thirteen and thirty-nine weeks ended November 2, 2019, respectively. The improvement in our direct-to-customers channel is due in part to continued positive customer satisfaction as a result of our various e-commerce enhancements, including product availability. For the thirteen and thirty-nine weeks ended November 2, 2019, the stores channel increased 4.7 percent and 2.6 percent, respectively.</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of our operating segments generated a comparable sales increase during the third quarter and year-to-date periods of 2019. For both periods, the increase in sales was primarily from growth in our North American operating segment. Asia Pacific, our smallest operating segment, generated significant increases.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North America, Foot Locker Canada led the third quarter results, with a comparable sales increase in the low double digits, followed by Champs Sports, Foot Locker U.S., and Kids Foot Locker which each generated high-single digit increases. Footaction increased low-single digits for the thirteen weeks ended November 2, 2019. These increases were partially offset by a high-single digit decrease in Eastbay’s sales. The decline in Eastbay’s sales for the third quarter was primarily due to softer demand for performance-related products, which is a continuation of the trend noted in the first half of the year. For the thirty-nine weeks ended November 2, 2019, North America’s sales were negatively affected by the closure of the SIX:02 banner, as all stores were closed by the end of the third quarter. Kid’s Foot Locker sales remained flat for the year-to-date period. Footaction continued to experience mid-single digit declines for the year-to-date period. The decline in Footaction’s sales primarily reflected the lack of product availability of certain key men’s footwear styles. Management is implementing various merchandising and real estate-related initiatives to improve Footaction’s results and will continue to monitor this banner during the fourth quarter and will assess, if necessary, the effect of various initiatives on the projected performance, which may include an impairment review.</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EMEA operating segment sales increased low single digits for the thirteen weeks and thirty-nine weeks ended November 2, 2019 and was primarily related to the growth in our e-commerce business for Foot Locker Europe and Sidestep.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thirteen weeks and thirty-nine weeks ended November 2, 2019, excluding foreign currency fluctuations total sales of the Asia Pacific operating segment increased by 26.7 percent and 28.7 percent, respectively. The growth was primarily from our operations in Australia, which also included growth in our e-commerce business. The growth in this operating segment also reflected the expansion into Asia where we operated 12 stores at the end of the third quarter, as compared with 4 stores operated last year.</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From a product perspective for the combined channels, the increase in comparable sales for both the quarter and year-to-date periods was primarily driven by footwear. Within the footwear category, sales of men’s and children’s footwear contributed the most to the increase, offset by softer demand in performance footwear and women’s running styles. Court and casual footwear styles continued to resonate well with our customers. Additionally, sales of basketball footwear styles accelerated during the third quarter resulting in an increase for both the quarter and year-to-date periods. For both periods, the increase was partially offset by a decline in apparel and accessory sales. Apparel sales declined for both the quarter and year-to-date period across all wearer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2"/>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260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320" w:type="dxa"/>
            <w:vAlign w:val="bottom"/>
          </w:tcPr>
          <w:p>
            <w:pPr>
              <w:jc w:val="right"/>
              <w:ind w:right="35"/>
              <w:spacing w:after="0" w:line="157" w:lineRule="exact"/>
              <w:rPr>
                <w:sz w:val="20"/>
                <w:szCs w:val="20"/>
                <w:color w:val="auto"/>
              </w:rPr>
            </w:pPr>
            <w:r>
              <w:rPr>
                <w:rFonts w:ascii="Arial" w:cs="Arial" w:eastAsia="Arial" w:hAnsi="Arial"/>
                <w:sz w:val="17"/>
                <w:szCs w:val="17"/>
                <w:b w:val="1"/>
                <w:bCs w:val="1"/>
                <w:color w:val="auto"/>
              </w:rPr>
              <w:t>November 2,</w:t>
            </w:r>
          </w:p>
        </w:tc>
        <w:tc>
          <w:tcPr>
            <w:tcW w:w="1340" w:type="dxa"/>
            <w:vAlign w:val="bottom"/>
          </w:tcPr>
          <w:p>
            <w:pPr>
              <w:jc w:val="right"/>
              <w:ind w:right="135"/>
              <w:spacing w:after="0" w:line="157" w:lineRule="exact"/>
              <w:rPr>
                <w:sz w:val="20"/>
                <w:szCs w:val="20"/>
                <w:color w:val="auto"/>
              </w:rPr>
            </w:pPr>
            <w:r>
              <w:rPr>
                <w:rFonts w:ascii="Arial" w:cs="Arial" w:eastAsia="Arial" w:hAnsi="Arial"/>
                <w:sz w:val="17"/>
                <w:szCs w:val="17"/>
                <w:b w:val="1"/>
                <w:bCs w:val="1"/>
                <w:color w:val="auto"/>
              </w:rPr>
              <w:t>November 3,</w:t>
            </w:r>
          </w:p>
        </w:tc>
        <w:tc>
          <w:tcPr>
            <w:tcW w:w="1340" w:type="dxa"/>
            <w:vAlign w:val="bottom"/>
          </w:tcPr>
          <w:p>
            <w:pPr>
              <w:jc w:val="right"/>
              <w:ind w:right="15"/>
              <w:spacing w:after="0" w:line="157" w:lineRule="exact"/>
              <w:rPr>
                <w:sz w:val="20"/>
                <w:szCs w:val="20"/>
                <w:color w:val="auto"/>
              </w:rPr>
            </w:pPr>
            <w:r>
              <w:rPr>
                <w:rFonts w:ascii="Arial" w:cs="Arial" w:eastAsia="Arial" w:hAnsi="Arial"/>
                <w:sz w:val="17"/>
                <w:szCs w:val="17"/>
                <w:b w:val="1"/>
                <w:bCs w:val="1"/>
                <w:color w:val="auto"/>
              </w:rPr>
              <w:t>November 2,</w:t>
            </w:r>
          </w:p>
        </w:tc>
        <w:tc>
          <w:tcPr>
            <w:tcW w:w="1260" w:type="dxa"/>
            <w:vAlign w:val="bottom"/>
          </w:tcPr>
          <w:p>
            <w:pPr>
              <w:jc w:val="center"/>
              <w:spacing w:after="0" w:line="157" w:lineRule="exact"/>
              <w:rPr>
                <w:sz w:val="20"/>
                <w:szCs w:val="20"/>
                <w:color w:val="auto"/>
              </w:rPr>
            </w:pPr>
            <w:r>
              <w:rPr>
                <w:rFonts w:ascii="Arial" w:cs="Arial" w:eastAsia="Arial" w:hAnsi="Arial"/>
                <w:sz w:val="17"/>
                <w:szCs w:val="17"/>
                <w:b w:val="1"/>
                <w:bCs w:val="1"/>
                <w:color w:val="auto"/>
                <w:w w:val="99"/>
              </w:rPr>
              <w:t>November 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2019</w:t>
            </w:r>
          </w:p>
        </w:tc>
        <w:tc>
          <w:tcPr>
            <w:tcW w:w="13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2018</w:t>
            </w: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2019</w:t>
            </w:r>
          </w:p>
        </w:tc>
        <w:tc>
          <w:tcPr>
            <w:tcW w:w="12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3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32.1 %</w:t>
            </w:r>
          </w:p>
        </w:tc>
        <w:tc>
          <w:tcPr>
            <w:tcW w:w="134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31.6 %</w:t>
            </w:r>
          </w:p>
        </w:tc>
        <w:tc>
          <w:tcPr>
            <w:tcW w:w="1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31.9 %</w:t>
            </w:r>
          </w:p>
        </w:tc>
        <w:tc>
          <w:tcPr>
            <w:tcW w:w="126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31.6 %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spacing w:after="0" w:line="189" w:lineRule="exact"/>
              <w:rPr>
                <w:sz w:val="20"/>
                <w:szCs w:val="20"/>
                <w:color w:val="auto"/>
              </w:rPr>
            </w:pPr>
            <w:r>
              <w:rPr>
                <w:rFonts w:ascii="Arial" w:cs="Arial" w:eastAsia="Arial" w:hAnsi="Arial"/>
                <w:sz w:val="17"/>
                <w:szCs w:val="17"/>
                <w:color w:val="auto"/>
              </w:rPr>
              <w:t>Basis point increase in the gross margin rate</w:t>
            </w:r>
          </w:p>
        </w:tc>
        <w:tc>
          <w:tcPr>
            <w:tcW w:w="1320" w:type="dxa"/>
            <w:vAlign w:val="bottom"/>
          </w:tcPr>
          <w:p>
            <w:pPr>
              <w:jc w:val="right"/>
              <w:ind w:right="235"/>
              <w:spacing w:after="0" w:line="189" w:lineRule="exact"/>
              <w:rPr>
                <w:sz w:val="20"/>
                <w:szCs w:val="20"/>
                <w:color w:val="auto"/>
              </w:rPr>
            </w:pPr>
            <w:r>
              <w:rPr>
                <w:rFonts w:ascii="Arial" w:cs="Arial" w:eastAsia="Arial" w:hAnsi="Arial"/>
                <w:sz w:val="17"/>
                <w:szCs w:val="17"/>
                <w:b w:val="1"/>
                <w:bCs w:val="1"/>
                <w:color w:val="auto"/>
              </w:rPr>
              <w:t>50</w:t>
            </w:r>
          </w:p>
        </w:tc>
        <w:tc>
          <w:tcPr>
            <w:tcW w:w="1340" w:type="dxa"/>
            <w:vAlign w:val="bottom"/>
          </w:tcPr>
          <w:p>
            <w:pPr>
              <w:spacing w:after="0"/>
              <w:rPr>
                <w:sz w:val="16"/>
                <w:szCs w:val="16"/>
                <w:color w:val="auto"/>
              </w:rPr>
            </w:pPr>
          </w:p>
        </w:tc>
        <w:tc>
          <w:tcPr>
            <w:tcW w:w="134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30</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Components of the change-</w:t>
            </w:r>
          </w:p>
        </w:tc>
        <w:tc>
          <w:tcPr>
            <w:tcW w:w="1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ind w:left="200"/>
              <w:spacing w:after="0" w:line="189" w:lineRule="exact"/>
              <w:rPr>
                <w:sz w:val="20"/>
                <w:szCs w:val="20"/>
                <w:color w:val="auto"/>
              </w:rPr>
            </w:pPr>
            <w:r>
              <w:rPr>
                <w:rFonts w:ascii="Arial" w:cs="Arial" w:eastAsia="Arial" w:hAnsi="Arial"/>
                <w:sz w:val="17"/>
                <w:szCs w:val="17"/>
                <w:color w:val="auto"/>
              </w:rPr>
              <w:t>Merchandise margin rate decline</w:t>
            </w:r>
          </w:p>
        </w:tc>
        <w:tc>
          <w:tcPr>
            <w:tcW w:w="13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(10)</w:t>
            </w:r>
          </w:p>
        </w:tc>
        <w:tc>
          <w:tcPr>
            <w:tcW w:w="1340" w:type="dxa"/>
            <w:vAlign w:val="bottom"/>
          </w:tcPr>
          <w:p>
            <w:pPr>
              <w:spacing w:after="0"/>
              <w:rPr>
                <w:sz w:val="16"/>
                <w:szCs w:val="16"/>
                <w:color w:val="auto"/>
              </w:rPr>
            </w:pPr>
          </w:p>
        </w:tc>
        <w:tc>
          <w:tcPr>
            <w:tcW w:w="13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(10)</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Lower occupancy and buyers’ compensation</w:t>
            </w:r>
          </w:p>
        </w:tc>
        <w:tc>
          <w:tcPr>
            <w:tcW w:w="1320" w:type="dxa"/>
            <w:vAlign w:val="bottom"/>
            <w:vMerge w:val="restart"/>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60</w:t>
            </w:r>
          </w:p>
        </w:tc>
        <w:tc>
          <w:tcPr>
            <w:tcW w:w="13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40</w:t>
            </w: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expense rate</w:t>
            </w: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margin is calculated as sales minus cost of sales. Cost of sales includes: the cost of merchandise, freight, distribution costs including related depreciation expense, shipping and handling, occupancy and buyers’ compensation. Occupancy costs include rent, common area maintenance charges, real estate taxes, general maintenance, and utilities.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gross margin rate increased by 50 and 30 basis points for the thirteen and thirty-nine weeks ended November 2, 2019, respectively, as compared with the corresponding prior-year periods. The merchandise margin rate decline reflected lower apparel sales, increased costs, and a higher proportion of direct-to-customer sales, which have higher freight costs. The occupancy and buyers’ compensation expense rate decreased for both the thirteen and thirty-nine weeks ended November 2, 2019, primarily the result of higher sales as compared with a relatively fixed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gridSpan w:val="3"/>
          </w:tcPr>
          <w:p>
            <w:pPr>
              <w:jc w:val="right"/>
              <w:ind w:right="515"/>
              <w:spacing w:after="0"/>
              <w:rPr>
                <w:sz w:val="20"/>
                <w:szCs w:val="20"/>
                <w:color w:val="auto"/>
              </w:rPr>
            </w:pPr>
            <w:r>
              <w:rPr>
                <w:rFonts w:ascii="Arial" w:cs="Arial" w:eastAsia="Arial" w:hAnsi="Arial"/>
                <w:sz w:val="17"/>
                <w:szCs w:val="17"/>
                <w:b w:val="1"/>
                <w:bCs w:val="1"/>
                <w:color w:val="auto"/>
              </w:rPr>
              <w:t>Thirteen weeks ended</w:t>
            </w:r>
          </w:p>
        </w:tc>
        <w:tc>
          <w:tcPr>
            <w:tcW w:w="300" w:type="dxa"/>
            <w:vAlign w:val="bottom"/>
          </w:tcPr>
          <w:p>
            <w:pPr>
              <w:spacing w:after="0"/>
              <w:rPr>
                <w:sz w:val="18"/>
                <w:szCs w:val="18"/>
                <w:color w:val="auto"/>
              </w:rPr>
            </w:pPr>
          </w:p>
        </w:tc>
        <w:tc>
          <w:tcPr>
            <w:tcW w:w="2520" w:type="dxa"/>
            <w:vAlign w:val="bottom"/>
            <w:gridSpan w:val="4"/>
          </w:tcPr>
          <w:p>
            <w:pPr>
              <w:jc w:val="right"/>
              <w:ind w:right="460"/>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9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ind w:left="580"/>
              <w:spacing w:after="0" w:line="157" w:lineRule="exact"/>
              <w:rPr>
                <w:sz w:val="20"/>
                <w:szCs w:val="20"/>
                <w:color w:val="auto"/>
              </w:rPr>
            </w:pPr>
            <w:r>
              <w:rPr>
                <w:rFonts w:ascii="Arial" w:cs="Arial" w:eastAsia="Arial" w:hAnsi="Arial"/>
                <w:sz w:val="17"/>
                <w:szCs w:val="17"/>
                <w:b w:val="1"/>
                <w:bCs w:val="1"/>
                <w:color w:val="auto"/>
              </w:rPr>
              <w:t>November 2,</w:t>
            </w:r>
          </w:p>
        </w:tc>
        <w:tc>
          <w:tcPr>
            <w:tcW w:w="1420" w:type="dxa"/>
            <w:vAlign w:val="bottom"/>
            <w:tcBorders>
              <w:top w:val="single" w:sz="8" w:color="auto"/>
            </w:tcBorders>
            <w:gridSpan w:val="2"/>
          </w:tcPr>
          <w:p>
            <w:pPr>
              <w:ind w:left="80"/>
              <w:spacing w:after="0" w:line="157" w:lineRule="exact"/>
              <w:rPr>
                <w:sz w:val="20"/>
                <w:szCs w:val="20"/>
                <w:color w:val="auto"/>
              </w:rPr>
            </w:pPr>
            <w:r>
              <w:rPr>
                <w:rFonts w:ascii="Arial" w:cs="Arial" w:eastAsia="Arial" w:hAnsi="Arial"/>
                <w:sz w:val="17"/>
                <w:szCs w:val="17"/>
                <w:b w:val="1"/>
                <w:bCs w:val="1"/>
                <w:color w:val="auto"/>
              </w:rPr>
              <w:t>November 3,</w:t>
            </w:r>
          </w:p>
        </w:tc>
        <w:tc>
          <w:tcPr>
            <w:tcW w:w="1420" w:type="dxa"/>
            <w:vAlign w:val="bottom"/>
            <w:tcBorders>
              <w:top w:val="single" w:sz="8" w:color="auto"/>
            </w:tcBorders>
            <w:gridSpan w:val="2"/>
          </w:tcPr>
          <w:p>
            <w:pPr>
              <w:ind w:left="180"/>
              <w:spacing w:after="0" w:line="157" w:lineRule="exact"/>
              <w:rPr>
                <w:sz w:val="20"/>
                <w:szCs w:val="20"/>
                <w:color w:val="auto"/>
              </w:rPr>
            </w:pPr>
            <w:r>
              <w:rPr>
                <w:rFonts w:ascii="Arial" w:cs="Arial" w:eastAsia="Arial" w:hAnsi="Arial"/>
                <w:sz w:val="17"/>
                <w:szCs w:val="17"/>
                <w:b w:val="1"/>
                <w:bCs w:val="1"/>
                <w:color w:val="auto"/>
              </w:rPr>
              <w:t>November 2,</w:t>
            </w:r>
          </w:p>
        </w:tc>
        <w:tc>
          <w:tcPr>
            <w:tcW w:w="1140" w:type="dxa"/>
            <w:vAlign w:val="bottom"/>
            <w:tcBorders>
              <w:top w:val="single" w:sz="8" w:color="auto"/>
            </w:tcBorders>
            <w:gridSpan w:val="2"/>
          </w:tcPr>
          <w:p>
            <w:pPr>
              <w:jc w:val="right"/>
              <w:spacing w:after="0" w:line="157" w:lineRule="exact"/>
              <w:rPr>
                <w:sz w:val="20"/>
                <w:szCs w:val="20"/>
                <w:color w:val="auto"/>
              </w:rPr>
            </w:pPr>
            <w:r>
              <w:rPr>
                <w:rFonts w:ascii="Arial" w:cs="Arial" w:eastAsia="Arial" w:hAnsi="Arial"/>
                <w:sz w:val="17"/>
                <w:szCs w:val="17"/>
                <w:b w:val="1"/>
                <w:bCs w:val="1"/>
                <w:color w:val="auto"/>
              </w:rPr>
              <w:t>November 3,</w:t>
            </w:r>
          </w:p>
        </w:tc>
        <w:tc>
          <w:tcPr>
            <w:tcW w:w="260" w:type="dxa"/>
            <w:vAlign w:val="bottom"/>
          </w:tcPr>
          <w:p>
            <w:pPr>
              <w:spacing w:after="0"/>
              <w:rPr>
                <w:sz w:val="13"/>
                <w:szCs w:val="13"/>
                <w:color w:val="auto"/>
              </w:rPr>
            </w:pPr>
          </w:p>
        </w:tc>
      </w:tr>
      <w:tr>
        <w:trPr>
          <w:trHeight w:val="215"/>
        </w:trPr>
        <w:tc>
          <w:tcPr>
            <w:tcW w:w="29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8"/>
                <w:szCs w:val="18"/>
                <w:color w:val="auto"/>
              </w:rPr>
            </w:pPr>
          </w:p>
        </w:tc>
      </w:tr>
      <w:tr>
        <w:trPr>
          <w:trHeight w:val="183"/>
        </w:trPr>
        <w:tc>
          <w:tcPr>
            <w:tcW w:w="2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3"/>
          </w:tcPr>
          <w:p>
            <w:pPr>
              <w:jc w:val="right"/>
              <w:ind w:right="895"/>
              <w:spacing w:after="0" w:line="183" w:lineRule="exact"/>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9"/>
        </w:trPr>
        <w:tc>
          <w:tcPr>
            <w:tcW w:w="2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SG&amp;A</w:t>
            </w:r>
          </w:p>
        </w:tc>
        <w:tc>
          <w:tcPr>
            <w:tcW w:w="760" w:type="dxa"/>
            <w:vAlign w:val="bottom"/>
            <w:shd w:val="clear" w:color="auto" w:fill="CCEEFF"/>
          </w:tcPr>
          <w:p>
            <w:pPr>
              <w:ind w:left="560"/>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411</w:t>
            </w:r>
          </w:p>
        </w:tc>
        <w:tc>
          <w:tcPr>
            <w:tcW w:w="280" w:type="dxa"/>
            <w:vAlign w:val="bottom"/>
            <w:shd w:val="clear" w:color="auto" w:fill="CCEEFF"/>
          </w:tcPr>
          <w:p>
            <w:pPr>
              <w:ind w:left="60"/>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75"/>
              <w:spacing w:after="0" w:line="189" w:lineRule="exact"/>
              <w:rPr>
                <w:sz w:val="20"/>
                <w:szCs w:val="20"/>
                <w:color w:val="auto"/>
              </w:rPr>
            </w:pPr>
            <w:r>
              <w:rPr>
                <w:rFonts w:ascii="Arial" w:cs="Arial" w:eastAsia="Arial" w:hAnsi="Arial"/>
                <w:sz w:val="17"/>
                <w:szCs w:val="17"/>
                <w:color w:val="auto"/>
              </w:rPr>
              <w:t>398</w:t>
            </w:r>
          </w:p>
        </w:tc>
        <w:tc>
          <w:tcPr>
            <w:tcW w:w="3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1,220</w:t>
            </w:r>
          </w:p>
        </w:tc>
        <w:tc>
          <w:tcPr>
            <w:tcW w:w="2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1,163</w:t>
            </w:r>
          </w:p>
        </w:tc>
        <w:tc>
          <w:tcPr>
            <w:tcW w:w="260" w:type="dxa"/>
            <w:vAlign w:val="bottom"/>
            <w:shd w:val="clear" w:color="auto" w:fill="CCEEFF"/>
          </w:tcPr>
          <w:p>
            <w:pPr>
              <w:spacing w:after="0"/>
              <w:rPr>
                <w:sz w:val="16"/>
                <w:szCs w:val="16"/>
                <w:color w:val="auto"/>
              </w:rPr>
            </w:pPr>
          </w:p>
        </w:tc>
      </w:tr>
      <w:tr>
        <w:trPr>
          <w:trHeight w:val="189"/>
        </w:trPr>
        <w:tc>
          <w:tcPr>
            <w:tcW w:w="298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760" w:type="dxa"/>
            <w:vAlign w:val="bottom"/>
          </w:tcPr>
          <w:p>
            <w:pPr>
              <w:ind w:left="560"/>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13</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ind w:left="160"/>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57</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2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7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3.3 %</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4.9 %</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29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SG&amp;A as a percentage of sales</w:t>
            </w:r>
          </w:p>
        </w:tc>
        <w:tc>
          <w:tcPr>
            <w:tcW w:w="7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21.3 %</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21.4 %</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21.1 %</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00"/>
              <w:spacing w:after="0" w:line="189" w:lineRule="exact"/>
              <w:rPr>
                <w:sz w:val="20"/>
                <w:szCs w:val="20"/>
                <w:color w:val="auto"/>
              </w:rPr>
            </w:pPr>
            <w:r>
              <w:rPr>
                <w:rFonts w:ascii="Arial" w:cs="Arial" w:eastAsia="Arial" w:hAnsi="Arial"/>
                <w:sz w:val="17"/>
                <w:szCs w:val="17"/>
                <w:color w:val="auto"/>
              </w:rPr>
              <w:t>20.5 %</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SG&amp;A increased by $13 million to $411 million for the thirteen weeks ended November 2, 2019, as compared with the corresponding prior-year period. For the thirty-nine weeks ended November 2, 2019, SG&amp;A increased by $57 million to $1,220 million, as compared with the corresponding prior-year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Excluding the effect of foreign currency fluctuations, SG&amp;A increased by $19 million and $79 million for the thirteen and thirty-nine weeks ended November 2, 2019, respectively, as compared with the corresponding prior-year periods.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SG&amp;A, as a percentage of sales, declined by 10 basis points for the quarter, however it increased by 60 basis points for the year-to-date period. For the thirteen weeks ended November 2, 2019, the SG&amp;A rate reflected the strong sales for the quarter. The higher SG&amp;A expense rate for the year-to-date period reflected higher wages and an increase in costs incurred in connection with our ongoing investment in various technology and infrastructure projects. Also affecting the year-to-date comparison is a benefit of $5 million that was recorded in the first quarter of 2018 relating to insurance recoveries for damaged inventory and fixed assets for losses incurred during Hurricane Maria in 2017.</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Corporate expense (a component of SG&amp;A) increased during the year-to-date period, also reflecting the same factors noted previously and higher share-based compensation that is tied to the Company’s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760" w:type="dxa"/>
            <w:vAlign w:val="bottom"/>
            <w:gridSpan w:val="3"/>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20" w:type="dxa"/>
            <w:vAlign w:val="bottom"/>
            <w:gridSpan w:val="4"/>
          </w:tcPr>
          <w:p>
            <w:pPr>
              <w:ind w:left="80"/>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0" w:type="dxa"/>
            <w:vAlign w:val="bottom"/>
          </w:tcPr>
          <w:p>
            <w:pPr>
              <w:spacing w:after="0"/>
              <w:rPr>
                <w:sz w:val="13"/>
                <w:szCs w:val="13"/>
                <w:color w:val="auto"/>
              </w:rPr>
            </w:pPr>
          </w:p>
        </w:tc>
        <w:tc>
          <w:tcPr>
            <w:tcW w:w="28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2"/>
          </w:tcPr>
          <w:p>
            <w:pPr>
              <w:jc w:val="right"/>
              <w:ind w:right="155"/>
              <w:spacing w:after="0" w:line="157" w:lineRule="exact"/>
              <w:rPr>
                <w:sz w:val="20"/>
                <w:szCs w:val="20"/>
                <w:color w:val="auto"/>
              </w:rPr>
            </w:pPr>
            <w:r>
              <w:rPr>
                <w:rFonts w:ascii="Arial" w:cs="Arial" w:eastAsia="Arial" w:hAnsi="Arial"/>
                <w:sz w:val="17"/>
                <w:szCs w:val="17"/>
                <w:b w:val="1"/>
                <w:bCs w:val="1"/>
                <w:color w:val="auto"/>
              </w:rPr>
              <w:t>November 2,</w:t>
            </w:r>
          </w:p>
        </w:tc>
        <w:tc>
          <w:tcPr>
            <w:tcW w:w="1320" w:type="dxa"/>
            <w:vAlign w:val="bottom"/>
            <w:tcBorders>
              <w:top w:val="single" w:sz="8" w:color="auto"/>
            </w:tcBorders>
            <w:gridSpan w:val="2"/>
          </w:tcPr>
          <w:p>
            <w:pPr>
              <w:jc w:val="center"/>
              <w:ind w:right="55"/>
              <w:spacing w:after="0" w:line="157" w:lineRule="exact"/>
              <w:rPr>
                <w:sz w:val="20"/>
                <w:szCs w:val="20"/>
                <w:color w:val="auto"/>
              </w:rPr>
            </w:pPr>
            <w:r>
              <w:rPr>
                <w:rFonts w:ascii="Arial" w:cs="Arial" w:eastAsia="Arial" w:hAnsi="Arial"/>
                <w:sz w:val="17"/>
                <w:szCs w:val="17"/>
                <w:b w:val="1"/>
                <w:bCs w:val="1"/>
                <w:color w:val="auto"/>
                <w:w w:val="99"/>
              </w:rPr>
              <w:t>November 3,</w:t>
            </w:r>
          </w:p>
        </w:tc>
        <w:tc>
          <w:tcPr>
            <w:tcW w:w="1500" w:type="dxa"/>
            <w:vAlign w:val="bottom"/>
            <w:tcBorders>
              <w:top w:val="single" w:sz="8" w:color="auto"/>
            </w:tcBorders>
            <w:gridSpan w:val="2"/>
          </w:tcPr>
          <w:p>
            <w:pPr>
              <w:jc w:val="right"/>
              <w:ind w:right="135"/>
              <w:spacing w:after="0" w:line="157" w:lineRule="exact"/>
              <w:rPr>
                <w:sz w:val="20"/>
                <w:szCs w:val="20"/>
                <w:color w:val="auto"/>
              </w:rPr>
            </w:pPr>
            <w:r>
              <w:rPr>
                <w:rFonts w:ascii="Arial" w:cs="Arial" w:eastAsia="Arial" w:hAnsi="Arial"/>
                <w:sz w:val="17"/>
                <w:szCs w:val="17"/>
                <w:b w:val="1"/>
                <w:bCs w:val="1"/>
                <w:color w:val="auto"/>
              </w:rPr>
              <w:t>November 2,</w:t>
            </w:r>
          </w:p>
        </w:tc>
        <w:tc>
          <w:tcPr>
            <w:tcW w:w="1180" w:type="dxa"/>
            <w:vAlign w:val="bottom"/>
            <w:tcBorders>
              <w:top w:val="single" w:sz="8" w:color="auto"/>
            </w:tcBorders>
            <w:gridSpan w:val="2"/>
          </w:tcPr>
          <w:p>
            <w:pPr>
              <w:jc w:val="right"/>
              <w:spacing w:after="0" w:line="157" w:lineRule="exact"/>
              <w:rPr>
                <w:sz w:val="20"/>
                <w:szCs w:val="20"/>
                <w:color w:val="auto"/>
              </w:rPr>
            </w:pPr>
            <w:r>
              <w:rPr>
                <w:rFonts w:ascii="Arial" w:cs="Arial" w:eastAsia="Arial" w:hAnsi="Arial"/>
                <w:sz w:val="17"/>
                <w:szCs w:val="17"/>
                <w:b w:val="1"/>
                <w:bCs w:val="1"/>
                <w:color w:val="auto"/>
              </w:rPr>
              <w:t>November 3,</w:t>
            </w:r>
          </w:p>
        </w:tc>
        <w:tc>
          <w:tcPr>
            <w:tcW w:w="220" w:type="dxa"/>
            <w:vAlign w:val="bottom"/>
          </w:tcPr>
          <w:p>
            <w:pPr>
              <w:spacing w:after="0"/>
              <w:rPr>
                <w:sz w:val="13"/>
                <w:szCs w:val="13"/>
                <w:color w:val="auto"/>
              </w:rPr>
            </w:pPr>
          </w:p>
        </w:tc>
      </w:tr>
      <w:tr>
        <w:trPr>
          <w:trHeight w:val="215"/>
        </w:trPr>
        <w:tc>
          <w:tcPr>
            <w:tcW w:w="20" w:type="dxa"/>
            <w:vAlign w:val="bottom"/>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auto"/>
            </w:tcBorders>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gridSpan w:val="3"/>
          </w:tcPr>
          <w:p>
            <w:pPr>
              <w:jc w:val="right"/>
              <w:ind w:right="875"/>
              <w:spacing w:after="0" w:line="183" w:lineRule="exact"/>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1420" w:type="dxa"/>
            <w:vAlign w:val="bottom"/>
            <w:shd w:val="clear" w:color="auto" w:fill="CCEEFF"/>
          </w:tcPr>
          <w:p>
            <w:pPr>
              <w:jc w:val="right"/>
              <w:ind w:right="615"/>
              <w:spacing w:after="0" w:line="189"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44</w:t>
            </w:r>
          </w:p>
        </w:tc>
        <w:tc>
          <w:tcPr>
            <w:tcW w:w="820" w:type="dxa"/>
            <w:vAlign w:val="bottom"/>
            <w:shd w:val="clear" w:color="auto" w:fill="CCEEFF"/>
          </w:tcPr>
          <w:p>
            <w:pPr>
              <w:jc w:val="right"/>
              <w:ind w:right="595"/>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44</w:t>
            </w:r>
          </w:p>
        </w:tc>
        <w:tc>
          <w:tcPr>
            <w:tcW w:w="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134</w:t>
            </w:r>
          </w:p>
        </w:tc>
        <w:tc>
          <w:tcPr>
            <w:tcW w:w="3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133</w:t>
            </w:r>
          </w:p>
        </w:tc>
        <w:tc>
          <w:tcPr>
            <w:tcW w:w="2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1420" w:type="dxa"/>
            <w:vAlign w:val="bottom"/>
          </w:tcPr>
          <w:p>
            <w:pPr>
              <w:jc w:val="right"/>
              <w:ind w:right="615"/>
              <w:spacing w:after="0" w:line="189" w:lineRule="exact"/>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14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 %</w:t>
            </w:r>
          </w:p>
        </w:tc>
        <w:tc>
          <w:tcPr>
            <w:tcW w:w="8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0.8 %</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Depreciation and amortization remained flat for the thirteen weeks ended November 2, 2019 and increased by $1 million for the thirty-nine weeks ended November 2, 2019, as compared with the corresponding prior-year periods. Excluding the effect of foreign currency fluctuations, depreciation and amortization remained the same for the thirteen weeks ended November 2, 2019 and increased by $3 million for the thirty-nine weeks ended November 2, 2019, as compared with the corresponding prior-year periods. The increase in depreciation and amortization for the thirty-nine weeks ended November 2, 2019 reflects ongoing capital spending.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Division Profit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7"/>
                <w:szCs w:val="17"/>
                <w:b w:val="1"/>
                <w:bCs w:val="1"/>
                <w:color w:val="auto"/>
              </w:rPr>
              <w:t>Thirteen weeks ended</w:t>
            </w: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Thirty-nine weeks ended</w:t>
            </w:r>
          </w:p>
        </w:tc>
      </w:tr>
      <w:tr>
        <w:trPr>
          <w:trHeight w:val="156"/>
        </w:trPr>
        <w:tc>
          <w:tcPr>
            <w:tcW w:w="2600" w:type="dxa"/>
            <w:vAlign w:val="bottom"/>
          </w:tcPr>
          <w:p>
            <w:pPr>
              <w:spacing w:after="0"/>
              <w:rPr>
                <w:sz w:val="13"/>
                <w:szCs w:val="13"/>
                <w:color w:val="auto"/>
              </w:rPr>
            </w:pPr>
          </w:p>
        </w:tc>
        <w:tc>
          <w:tcPr>
            <w:tcW w:w="2300" w:type="dxa"/>
            <w:vAlign w:val="bottom"/>
            <w:gridSpan w:val="2"/>
          </w:tcPr>
          <w:p>
            <w:pPr>
              <w:jc w:val="right"/>
              <w:ind w:right="155"/>
              <w:spacing w:after="0" w:line="157" w:lineRule="exact"/>
              <w:rPr>
                <w:sz w:val="20"/>
                <w:szCs w:val="20"/>
                <w:color w:val="auto"/>
              </w:rPr>
            </w:pPr>
            <w:r>
              <w:rPr>
                <w:rFonts w:ascii="Arial" w:cs="Arial" w:eastAsia="Arial" w:hAnsi="Arial"/>
                <w:sz w:val="17"/>
                <w:szCs w:val="17"/>
                <w:b w:val="1"/>
                <w:bCs w:val="1"/>
                <w:color w:val="auto"/>
              </w:rPr>
              <w:t>November 2,</w:t>
            </w:r>
          </w:p>
        </w:tc>
        <w:tc>
          <w:tcPr>
            <w:tcW w:w="1420" w:type="dxa"/>
            <w:vAlign w:val="bottom"/>
            <w:gridSpan w:val="2"/>
          </w:tcPr>
          <w:p>
            <w:pPr>
              <w:jc w:val="right"/>
              <w:ind w:right="235"/>
              <w:spacing w:after="0" w:line="157" w:lineRule="exact"/>
              <w:rPr>
                <w:sz w:val="20"/>
                <w:szCs w:val="20"/>
                <w:color w:val="auto"/>
              </w:rPr>
            </w:pPr>
            <w:r>
              <w:rPr>
                <w:rFonts w:ascii="Arial" w:cs="Arial" w:eastAsia="Arial" w:hAnsi="Arial"/>
                <w:sz w:val="17"/>
                <w:szCs w:val="17"/>
                <w:b w:val="1"/>
                <w:bCs w:val="1"/>
                <w:color w:val="auto"/>
              </w:rPr>
              <w:t>November 3,</w:t>
            </w:r>
          </w:p>
        </w:tc>
        <w:tc>
          <w:tcPr>
            <w:tcW w:w="1420" w:type="dxa"/>
            <w:vAlign w:val="bottom"/>
            <w:gridSpan w:val="2"/>
          </w:tcPr>
          <w:p>
            <w:pPr>
              <w:jc w:val="right"/>
              <w:ind w:right="155"/>
              <w:spacing w:after="0" w:line="157" w:lineRule="exact"/>
              <w:rPr>
                <w:sz w:val="20"/>
                <w:szCs w:val="20"/>
                <w:color w:val="auto"/>
              </w:rPr>
            </w:pPr>
            <w:r>
              <w:rPr>
                <w:rFonts w:ascii="Arial" w:cs="Arial" w:eastAsia="Arial" w:hAnsi="Arial"/>
                <w:sz w:val="17"/>
                <w:szCs w:val="17"/>
                <w:b w:val="1"/>
                <w:bCs w:val="1"/>
                <w:color w:val="auto"/>
              </w:rPr>
              <w:t>November 2,</w:t>
            </w:r>
          </w:p>
        </w:tc>
        <w:tc>
          <w:tcPr>
            <w:tcW w:w="1320" w:type="dxa"/>
            <w:vAlign w:val="bottom"/>
            <w:gridSpan w:val="2"/>
          </w:tcPr>
          <w:p>
            <w:pPr>
              <w:jc w:val="right"/>
              <w:ind w:right="115"/>
              <w:spacing w:after="0" w:line="157" w:lineRule="exact"/>
              <w:rPr>
                <w:sz w:val="20"/>
                <w:szCs w:val="20"/>
                <w:color w:val="auto"/>
              </w:rPr>
            </w:pPr>
            <w:r>
              <w:rPr>
                <w:rFonts w:ascii="Arial" w:cs="Arial" w:eastAsia="Arial" w:hAnsi="Arial"/>
                <w:sz w:val="17"/>
                <w:szCs w:val="17"/>
                <w:b w:val="1"/>
                <w:bCs w:val="1"/>
                <w:color w:val="auto"/>
              </w:rPr>
              <w:t>November 3,</w:t>
            </w:r>
          </w:p>
        </w:tc>
      </w:tr>
      <w:tr>
        <w:trPr>
          <w:trHeight w:val="215"/>
        </w:trPr>
        <w:tc>
          <w:tcPr>
            <w:tcW w:w="2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2018</w:t>
            </w:r>
          </w:p>
        </w:tc>
      </w:tr>
      <w:tr>
        <w:trPr>
          <w:trHeight w:val="183"/>
        </w:trPr>
        <w:tc>
          <w:tcPr>
            <w:tcW w:w="2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3"/>
          </w:tcPr>
          <w:p>
            <w:pPr>
              <w:jc w:val="right"/>
              <w:ind w:right="895"/>
              <w:spacing w:after="0" w:line="183" w:lineRule="exact"/>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Division profit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184</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165</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549</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543</w:t>
            </w:r>
          </w:p>
        </w:tc>
      </w:tr>
      <w:tr>
        <w:trPr>
          <w:trHeight w:val="203"/>
        </w:trPr>
        <w:tc>
          <w:tcPr>
            <w:tcW w:w="2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Division profit margin</w:t>
            </w:r>
          </w:p>
        </w:tc>
        <w:tc>
          <w:tcPr>
            <w:tcW w:w="1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9.5 %</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8.9 %</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9.5 %</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7"/>
                <w:szCs w:val="17"/>
                <w:color w:val="auto"/>
              </w:rPr>
              <w:t xml:space="preserve">9.6 </w:t>
            </w: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Division profit margin increased by 60 basis points for the thirteen weeks ended November 2, 2019 and decreased by 10 basis points for the thirty-nine weeks ended November 2, 2019, as compared with the corresponding prior-year periods. Improved gross margin rates increased division profit for both the quarter and year-to-date period, however this improvement was offset in the year-to-date period from higher SG&amp;A expenses.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Thirty-nine weeks ended</w:t>
            </w:r>
          </w:p>
        </w:tc>
        <w:tc>
          <w:tcPr>
            <w:tcW w:w="280" w:type="dxa"/>
            <w:vAlign w:val="bottom"/>
            <w:tcBorders>
              <w:bottom w:val="single" w:sz="8" w:color="auto"/>
            </w:tcBorders>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380" w:type="dxa"/>
            <w:vAlign w:val="bottom"/>
            <w:gridSpan w:val="2"/>
          </w:tcPr>
          <w:p>
            <w:pPr>
              <w:jc w:val="right"/>
              <w:ind w:right="95"/>
              <w:spacing w:after="0" w:line="157" w:lineRule="exact"/>
              <w:rPr>
                <w:sz w:val="20"/>
                <w:szCs w:val="20"/>
                <w:color w:val="auto"/>
              </w:rPr>
            </w:pPr>
            <w:r>
              <w:rPr>
                <w:rFonts w:ascii="Arial" w:cs="Arial" w:eastAsia="Arial" w:hAnsi="Arial"/>
                <w:sz w:val="17"/>
                <w:szCs w:val="17"/>
                <w:b w:val="1"/>
                <w:bCs w:val="1"/>
                <w:color w:val="auto"/>
              </w:rPr>
              <w:t>November 2,</w:t>
            </w:r>
          </w:p>
        </w:tc>
        <w:tc>
          <w:tcPr>
            <w:tcW w:w="1380" w:type="dxa"/>
            <w:vAlign w:val="bottom"/>
            <w:gridSpan w:val="2"/>
          </w:tcPr>
          <w:p>
            <w:pPr>
              <w:jc w:val="right"/>
              <w:ind w:right="95"/>
              <w:spacing w:after="0" w:line="157" w:lineRule="exact"/>
              <w:rPr>
                <w:sz w:val="20"/>
                <w:szCs w:val="20"/>
                <w:color w:val="auto"/>
              </w:rPr>
            </w:pPr>
            <w:r>
              <w:rPr>
                <w:rFonts w:ascii="Arial" w:cs="Arial" w:eastAsia="Arial" w:hAnsi="Arial"/>
                <w:sz w:val="17"/>
                <w:szCs w:val="17"/>
                <w:b w:val="1"/>
                <w:bCs w:val="1"/>
                <w:color w:val="auto"/>
              </w:rPr>
              <w:t>November 3,</w:t>
            </w:r>
          </w:p>
        </w:tc>
        <w:tc>
          <w:tcPr>
            <w:tcW w:w="1400" w:type="dxa"/>
            <w:vAlign w:val="bottom"/>
            <w:gridSpan w:val="2"/>
          </w:tcPr>
          <w:p>
            <w:pPr>
              <w:jc w:val="right"/>
              <w:ind w:right="95"/>
              <w:spacing w:after="0" w:line="157" w:lineRule="exact"/>
              <w:rPr>
                <w:sz w:val="20"/>
                <w:szCs w:val="20"/>
                <w:color w:val="auto"/>
              </w:rPr>
            </w:pPr>
            <w:r>
              <w:rPr>
                <w:rFonts w:ascii="Arial" w:cs="Arial" w:eastAsia="Arial" w:hAnsi="Arial"/>
                <w:sz w:val="17"/>
                <w:szCs w:val="17"/>
                <w:b w:val="1"/>
                <w:bCs w:val="1"/>
                <w:color w:val="auto"/>
              </w:rPr>
              <w:t>November 2,</w:t>
            </w:r>
          </w:p>
        </w:tc>
        <w:tc>
          <w:tcPr>
            <w:tcW w:w="1300" w:type="dxa"/>
            <w:vAlign w:val="bottom"/>
            <w:gridSpan w:val="2"/>
          </w:tcPr>
          <w:p>
            <w:pPr>
              <w:jc w:val="right"/>
              <w:spacing w:after="0" w:line="157" w:lineRule="exact"/>
              <w:rPr>
                <w:sz w:val="20"/>
                <w:szCs w:val="20"/>
                <w:color w:val="auto"/>
              </w:rPr>
            </w:pPr>
            <w:r>
              <w:rPr>
                <w:rFonts w:ascii="Arial" w:cs="Arial" w:eastAsia="Arial" w:hAnsi="Arial"/>
                <w:sz w:val="17"/>
                <w:szCs w:val="17"/>
                <w:b w:val="1"/>
                <w:bCs w:val="1"/>
                <w:color w:val="auto"/>
              </w:rPr>
              <w:t>November 3,</w:t>
            </w:r>
          </w:p>
        </w:tc>
      </w:tr>
      <w:tr>
        <w:trPr>
          <w:trHeight w:val="215"/>
        </w:trPr>
        <w:tc>
          <w:tcPr>
            <w:tcW w:w="20" w:type="dxa"/>
            <w:vAlign w:val="bottom"/>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2018</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720" w:type="dxa"/>
            <w:vAlign w:val="bottom"/>
            <w:gridSpan w:val="3"/>
          </w:tcPr>
          <w:p>
            <w:pPr>
              <w:jc w:val="right"/>
              <w:ind w:right="795"/>
              <w:spacing w:after="0" w:line="183" w:lineRule="exact"/>
              <w:rPr>
                <w:sz w:val="20"/>
                <w:szCs w:val="20"/>
                <w:color w:val="auto"/>
              </w:rPr>
            </w:pPr>
            <w:r>
              <w:rPr>
                <w:rFonts w:ascii="Arial" w:cs="Arial" w:eastAsia="Arial" w:hAnsi="Arial"/>
                <w:sz w:val="17"/>
                <w:szCs w:val="17"/>
                <w:color w:val="auto"/>
              </w:rPr>
              <w:t>in millions)</w:t>
            </w: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w:t>
            </w:r>
          </w:p>
        </w:tc>
        <w:tc>
          <w:tcPr>
            <w:tcW w:w="13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(3)</w:t>
            </w:r>
          </w:p>
        </w:tc>
        <w:tc>
          <w:tcPr>
            <w:tcW w:w="1060" w:type="dxa"/>
            <w:vAlign w:val="bottom"/>
            <w:shd w:val="clear" w:color="auto" w:fill="CCEEFF"/>
          </w:tcPr>
          <w:p>
            <w:pPr>
              <w:jc w:val="right"/>
              <w:ind w:right="795"/>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96"/>
              </w:rPr>
              <w:t>(3)</w:t>
            </w:r>
          </w:p>
        </w:tc>
        <w:tc>
          <w:tcPr>
            <w:tcW w:w="3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(8)</w:t>
            </w:r>
          </w:p>
        </w:tc>
        <w:tc>
          <w:tcPr>
            <w:tcW w:w="1020" w:type="dxa"/>
            <w:vAlign w:val="bottom"/>
            <w:shd w:val="clear" w:color="auto" w:fill="CCEEFF"/>
          </w:tcPr>
          <w:p>
            <w:pPr>
              <w:jc w:val="right"/>
              <w:ind w:right="73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9"/>
        </w:trPr>
        <w:tc>
          <w:tcPr>
            <w:tcW w:w="20" w:type="dxa"/>
            <w:vAlign w:val="bottom"/>
          </w:tcPr>
          <w:p>
            <w:pPr>
              <w:spacing w:after="0"/>
              <w:rPr>
                <w:sz w:val="16"/>
                <w:szCs w:val="16"/>
                <w:color w:val="auto"/>
              </w:rPr>
            </w:pPr>
          </w:p>
        </w:tc>
        <w:tc>
          <w:tcPr>
            <w:tcW w:w="25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Interest income</w:t>
            </w:r>
          </w:p>
        </w:tc>
        <w:tc>
          <w:tcPr>
            <w:tcW w:w="1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6</w:t>
            </w:r>
          </w:p>
        </w:tc>
        <w:tc>
          <w:tcPr>
            <w:tcW w:w="10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5</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17</w:t>
            </w: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w:t>
            </w:r>
          </w:p>
        </w:tc>
      </w:tr>
      <w:tr>
        <w:trPr>
          <w:trHeight w:val="183"/>
        </w:trPr>
        <w:tc>
          <w:tcPr>
            <w:tcW w:w="20" w:type="dxa"/>
            <w:vAlign w:val="bottom"/>
          </w:tcPr>
          <w:p>
            <w:pPr>
              <w:spacing w:after="0"/>
              <w:rPr>
                <w:sz w:val="15"/>
                <w:szCs w:val="15"/>
                <w:color w:val="auto"/>
              </w:rPr>
            </w:pPr>
          </w:p>
        </w:tc>
        <w:tc>
          <w:tcPr>
            <w:tcW w:w="25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income, net</w:t>
            </w:r>
          </w:p>
        </w:tc>
        <w:tc>
          <w:tcPr>
            <w:tcW w:w="13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w:t>
            </w:r>
          </w:p>
        </w:tc>
        <w:tc>
          <w:tcPr>
            <w:tcW w:w="1060" w:type="dxa"/>
            <w:vAlign w:val="bottom"/>
            <w:tcBorders>
              <w:bottom w:val="single" w:sz="8" w:color="auto"/>
            </w:tcBorders>
            <w:shd w:val="clear" w:color="auto" w:fill="CCEEFF"/>
          </w:tcPr>
          <w:p>
            <w:pPr>
              <w:jc w:val="right"/>
              <w:ind w:right="795"/>
              <w:spacing w:after="0" w:line="183"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w:t>
            </w:r>
          </w:p>
        </w:tc>
        <w:tc>
          <w:tcPr>
            <w:tcW w:w="1020" w:type="dxa"/>
            <w:vAlign w:val="bottom"/>
            <w:tcBorders>
              <w:bottom w:val="single" w:sz="8" w:color="auto"/>
            </w:tcBorders>
            <w:shd w:val="clear" w:color="auto" w:fill="CCEEFF"/>
          </w:tcPr>
          <w:p>
            <w:pPr>
              <w:jc w:val="right"/>
              <w:ind w:right="735"/>
              <w:spacing w:after="0" w:line="183"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w:t>
            </w: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interest income increased by $1 million and $ 4 million for the thirteen and thirty-nine weeks ended November 2, 2019, respectively, as compared with the corresponding prior-year periods. Interest income for both periods increased primarily as a result of cash repatriation to the U.S., where we earned a higher average interest rate.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Thirty-nine weeks ended</w:t>
            </w:r>
          </w:p>
        </w:tc>
        <w:tc>
          <w:tcPr>
            <w:tcW w:w="220" w:type="dxa"/>
            <w:vAlign w:val="bottom"/>
            <w:tcBorders>
              <w:bottom w:val="single" w:sz="8" w:color="auto"/>
            </w:tcBorders>
          </w:tcPr>
          <w:p>
            <w:pPr>
              <w:spacing w:after="0"/>
              <w:rPr>
                <w:sz w:val="18"/>
                <w:szCs w:val="18"/>
                <w:color w:val="auto"/>
              </w:rPr>
            </w:pPr>
          </w:p>
        </w:tc>
      </w:tr>
      <w:tr>
        <w:trPr>
          <w:trHeight w:val="156"/>
        </w:trPr>
        <w:tc>
          <w:tcPr>
            <w:tcW w:w="2340" w:type="dxa"/>
            <w:vAlign w:val="bottom"/>
          </w:tcPr>
          <w:p>
            <w:pPr>
              <w:spacing w:after="0"/>
              <w:rPr>
                <w:sz w:val="13"/>
                <w:szCs w:val="13"/>
                <w:color w:val="auto"/>
              </w:rPr>
            </w:pPr>
          </w:p>
        </w:tc>
        <w:tc>
          <w:tcPr>
            <w:tcW w:w="2620" w:type="dxa"/>
            <w:vAlign w:val="bottom"/>
            <w:gridSpan w:val="2"/>
          </w:tcPr>
          <w:p>
            <w:pPr>
              <w:jc w:val="right"/>
              <w:ind w:right="175"/>
              <w:spacing w:after="0" w:line="157" w:lineRule="exact"/>
              <w:rPr>
                <w:sz w:val="20"/>
                <w:szCs w:val="20"/>
                <w:color w:val="auto"/>
              </w:rPr>
            </w:pPr>
            <w:r>
              <w:rPr>
                <w:rFonts w:ascii="Arial" w:cs="Arial" w:eastAsia="Arial" w:hAnsi="Arial"/>
                <w:sz w:val="17"/>
                <w:szCs w:val="17"/>
                <w:b w:val="1"/>
                <w:bCs w:val="1"/>
                <w:color w:val="auto"/>
              </w:rPr>
              <w:t>November 2,</w:t>
            </w:r>
          </w:p>
        </w:tc>
        <w:tc>
          <w:tcPr>
            <w:tcW w:w="1340" w:type="dxa"/>
            <w:vAlign w:val="bottom"/>
            <w:gridSpan w:val="2"/>
          </w:tcPr>
          <w:p>
            <w:pPr>
              <w:jc w:val="right"/>
              <w:ind w:right="135"/>
              <w:spacing w:after="0" w:line="157" w:lineRule="exact"/>
              <w:rPr>
                <w:sz w:val="20"/>
                <w:szCs w:val="20"/>
                <w:color w:val="auto"/>
              </w:rPr>
            </w:pPr>
            <w:r>
              <w:rPr>
                <w:rFonts w:ascii="Arial" w:cs="Arial" w:eastAsia="Arial" w:hAnsi="Arial"/>
                <w:sz w:val="17"/>
                <w:szCs w:val="17"/>
                <w:b w:val="1"/>
                <w:bCs w:val="1"/>
                <w:color w:val="auto"/>
              </w:rPr>
              <w:t>November 3,</w:t>
            </w:r>
          </w:p>
        </w:tc>
        <w:tc>
          <w:tcPr>
            <w:tcW w:w="1540" w:type="dxa"/>
            <w:vAlign w:val="bottom"/>
            <w:gridSpan w:val="2"/>
          </w:tcPr>
          <w:p>
            <w:pPr>
              <w:jc w:val="right"/>
              <w:ind w:right="175"/>
              <w:spacing w:after="0" w:line="157" w:lineRule="exact"/>
              <w:rPr>
                <w:sz w:val="20"/>
                <w:szCs w:val="20"/>
                <w:color w:val="auto"/>
              </w:rPr>
            </w:pPr>
            <w:r>
              <w:rPr>
                <w:rFonts w:ascii="Arial" w:cs="Arial" w:eastAsia="Arial" w:hAnsi="Arial"/>
                <w:sz w:val="17"/>
                <w:szCs w:val="17"/>
                <w:b w:val="1"/>
                <w:bCs w:val="1"/>
                <w:color w:val="auto"/>
              </w:rPr>
              <w:t>November 2,</w:t>
            </w:r>
          </w:p>
        </w:tc>
        <w:tc>
          <w:tcPr>
            <w:tcW w:w="1220" w:type="dxa"/>
            <w:vAlign w:val="bottom"/>
            <w:gridSpan w:val="2"/>
          </w:tcPr>
          <w:p>
            <w:pPr>
              <w:jc w:val="center"/>
              <w:spacing w:after="0" w:line="157" w:lineRule="exact"/>
              <w:rPr>
                <w:sz w:val="20"/>
                <w:szCs w:val="20"/>
                <w:color w:val="auto"/>
              </w:rPr>
            </w:pPr>
            <w:r>
              <w:rPr>
                <w:rFonts w:ascii="Arial" w:cs="Arial" w:eastAsia="Arial" w:hAnsi="Arial"/>
                <w:sz w:val="17"/>
                <w:szCs w:val="17"/>
                <w:b w:val="1"/>
                <w:bCs w:val="1"/>
                <w:color w:val="auto"/>
              </w:rPr>
              <w:t>November 3,</w:t>
            </w:r>
          </w:p>
        </w:tc>
      </w:tr>
      <w:tr>
        <w:trPr>
          <w:trHeight w:val="215"/>
        </w:trPr>
        <w:tc>
          <w:tcPr>
            <w:tcW w:w="2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auto"/>
            </w:tcBorders>
          </w:tcPr>
          <w:p>
            <w:pPr>
              <w:spacing w:after="0"/>
              <w:rPr>
                <w:sz w:val="18"/>
                <w:szCs w:val="18"/>
                <w:color w:val="auto"/>
              </w:rPr>
            </w:pPr>
          </w:p>
        </w:tc>
      </w:tr>
      <w:tr>
        <w:trPr>
          <w:trHeight w:val="183"/>
        </w:trPr>
        <w:tc>
          <w:tcPr>
            <w:tcW w:w="2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40" w:type="dxa"/>
            <w:vAlign w:val="bottom"/>
            <w:gridSpan w:val="3"/>
          </w:tcPr>
          <w:p>
            <w:pPr>
              <w:jc w:val="right"/>
              <w:ind w:right="915"/>
              <w:spacing w:after="0" w:line="183" w:lineRule="exact"/>
              <w:rPr>
                <w:sz w:val="20"/>
                <w:szCs w:val="20"/>
                <w:color w:val="auto"/>
              </w:rPr>
            </w:pPr>
            <w:r>
              <w:rPr>
                <w:rFonts w:ascii="Arial" w:cs="Arial" w:eastAsia="Arial" w:hAnsi="Arial"/>
                <w:sz w:val="17"/>
                <w:szCs w:val="17"/>
                <w:color w:val="auto"/>
              </w:rPr>
              <w:t>($ in millions)</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w:t>
            </w:r>
          </w:p>
        </w:tc>
        <w:tc>
          <w:tcPr>
            <w:tcW w:w="15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4</w:t>
            </w:r>
          </w:p>
        </w:tc>
        <w:tc>
          <w:tcPr>
            <w:tcW w:w="840" w:type="dxa"/>
            <w:vAlign w:val="bottom"/>
            <w:shd w:val="clear" w:color="auto" w:fill="CCEEFF"/>
          </w:tcPr>
          <w:p>
            <w:pPr>
              <w:jc w:val="right"/>
              <w:ind w:right="615"/>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8</w:t>
            </w:r>
          </w:p>
        </w:tc>
        <w:tc>
          <w:tcPr>
            <w:tcW w:w="1000" w:type="dxa"/>
            <w:vAlign w:val="bottom"/>
            <w:shd w:val="clear" w:color="auto" w:fill="CCEEFF"/>
          </w:tcPr>
          <w:p>
            <w:pPr>
              <w:jc w:val="right"/>
              <w:ind w:right="755"/>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234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15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4</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3</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23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15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100.0 %</w:t>
            </w:r>
          </w:p>
        </w:tc>
        <w:tc>
          <w:tcPr>
            <w:tcW w:w="8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60.0 %</w:t>
            </w:r>
          </w:p>
        </w:tc>
        <w:tc>
          <w:tcPr>
            <w:tcW w:w="10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income includes non-operating items, including franchise royalty income, changes in fair value, premiums paid, realized gains and losses associated with foreign currency option contracts, changes in the market value of our available-for-sale security, changes in the fair value of our equity investments, and net benefit expense related to our pension and postretirement programs excluding the service cost component.</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income for the thirteen and thirty-nine weeks ended weeks ended November 2, 2019 primarily represents a $4 million gain associated with the acquisition of a Canadian distribution center lease and related assets. The gain resulted from the partial exchange of a note that had been previously written down to zero.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Thirty-nine weeks ended</w:t>
            </w:r>
          </w:p>
        </w:tc>
      </w:tr>
      <w:tr>
        <w:trPr>
          <w:trHeight w:val="18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120" w:type="dxa"/>
            <w:vAlign w:val="bottom"/>
            <w:gridSpan w:val="2"/>
          </w:tcPr>
          <w:p>
            <w:pPr>
              <w:jc w:val="right"/>
              <w:ind w:right="155"/>
              <w:spacing w:after="0" w:line="184" w:lineRule="exact"/>
              <w:rPr>
                <w:sz w:val="20"/>
                <w:szCs w:val="20"/>
                <w:color w:val="auto"/>
              </w:rPr>
            </w:pPr>
            <w:r>
              <w:rPr>
                <w:rFonts w:ascii="Arial" w:cs="Arial" w:eastAsia="Arial" w:hAnsi="Arial"/>
                <w:sz w:val="17"/>
                <w:szCs w:val="17"/>
                <w:b w:val="1"/>
                <w:bCs w:val="1"/>
                <w:color w:val="auto"/>
              </w:rPr>
              <w:t>November 2,</w:t>
            </w:r>
          </w:p>
        </w:tc>
        <w:tc>
          <w:tcPr>
            <w:tcW w:w="1380" w:type="dxa"/>
            <w:vAlign w:val="bottom"/>
            <w:gridSpan w:val="2"/>
          </w:tcPr>
          <w:p>
            <w:pPr>
              <w:jc w:val="right"/>
              <w:ind w:right="175"/>
              <w:spacing w:after="0" w:line="184" w:lineRule="exact"/>
              <w:rPr>
                <w:sz w:val="20"/>
                <w:szCs w:val="20"/>
                <w:color w:val="auto"/>
              </w:rPr>
            </w:pPr>
            <w:r>
              <w:rPr>
                <w:rFonts w:ascii="Arial" w:cs="Arial" w:eastAsia="Arial" w:hAnsi="Arial"/>
                <w:sz w:val="17"/>
                <w:szCs w:val="17"/>
                <w:b w:val="1"/>
                <w:bCs w:val="1"/>
                <w:color w:val="auto"/>
              </w:rPr>
              <w:t>November 3,</w:t>
            </w:r>
          </w:p>
        </w:tc>
        <w:tc>
          <w:tcPr>
            <w:tcW w:w="1380" w:type="dxa"/>
            <w:vAlign w:val="bottom"/>
            <w:gridSpan w:val="2"/>
          </w:tcPr>
          <w:p>
            <w:pPr>
              <w:jc w:val="right"/>
              <w:ind w:right="175"/>
              <w:spacing w:after="0" w:line="184" w:lineRule="exact"/>
              <w:rPr>
                <w:sz w:val="20"/>
                <w:szCs w:val="20"/>
                <w:color w:val="auto"/>
              </w:rPr>
            </w:pPr>
            <w:r>
              <w:rPr>
                <w:rFonts w:ascii="Arial" w:cs="Arial" w:eastAsia="Arial" w:hAnsi="Arial"/>
                <w:sz w:val="17"/>
                <w:szCs w:val="17"/>
                <w:b w:val="1"/>
                <w:bCs w:val="1"/>
                <w:color w:val="auto"/>
              </w:rPr>
              <w:t>November 2,</w:t>
            </w:r>
          </w:p>
        </w:tc>
        <w:tc>
          <w:tcPr>
            <w:tcW w:w="1360" w:type="dxa"/>
            <w:vAlign w:val="bottom"/>
            <w:gridSpan w:val="2"/>
          </w:tcPr>
          <w:p>
            <w:pPr>
              <w:jc w:val="right"/>
              <w:ind w:right="155"/>
              <w:spacing w:after="0" w:line="184" w:lineRule="exact"/>
              <w:rPr>
                <w:sz w:val="20"/>
                <w:szCs w:val="20"/>
                <w:color w:val="auto"/>
              </w:rPr>
            </w:pPr>
            <w:r>
              <w:rPr>
                <w:rFonts w:ascii="Arial" w:cs="Arial" w:eastAsia="Arial" w:hAnsi="Arial"/>
                <w:sz w:val="17"/>
                <w:szCs w:val="17"/>
                <w:b w:val="1"/>
                <w:bCs w:val="1"/>
                <w:color w:val="auto"/>
              </w:rPr>
              <w:t>November 3,</w:t>
            </w:r>
          </w:p>
        </w:tc>
      </w:tr>
      <w:tr>
        <w:trPr>
          <w:trHeight w:val="215"/>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2018</w:t>
            </w:r>
          </w:p>
        </w:tc>
      </w:tr>
      <w:tr>
        <w:trPr>
          <w:trHeight w:val="196"/>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3"/>
          </w:tcPr>
          <w:p>
            <w:pPr>
              <w:jc w:val="right"/>
              <w:ind w:right="855"/>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46</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133</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107</w:t>
            </w:r>
          </w:p>
        </w:tc>
      </w:tr>
      <w:tr>
        <w:trPr>
          <w:trHeight w:val="203"/>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Effective tax rate</w:t>
            </w:r>
          </w:p>
        </w:tc>
        <w:tc>
          <w:tcPr>
            <w:tcW w:w="10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27.0 %</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10.8 %</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27.1 %</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7"/>
                <w:szCs w:val="17"/>
                <w:color w:val="auto"/>
              </w:rPr>
              <w:t xml:space="preserve">21.8 </w:t>
            </w: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interim provision for income taxes is measured using an annual effective tax rate, adjusted for discrete items that occur within the periods presented.</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regularly assesses the adequacy of its provisions for income tax contingencies in accordance with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changes in the tax reserves were not significant for the thirteen and thirty-nine weeks ended November 2, 2019. The effective tax rate for the thirteen weeks ended November 3, 2018 included tax benefits of $2 million and $5 million, respectively, from reserve releases due to expiration of statutes of limitation on foreign income taxes and settlements of international tax examinations.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thirteen weeks ended November 2, 2019, the Company recognized a gain of $4 million in connection with the exchange of a note, which had been previously written down to zero, for a Canadian distribution center lease and related assets. The tax expense associated with this gain was fully offset by the release of a valuation allowance.</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thirty-nine weeks ended November 2, 2019, the Company recognized tax expense of $2 million due to an adjustment to U.S. tax on foreign income attributable to tax reform and a tax benefit of $4 million that primarily related to the costs to terminate certain SIX:02 leases. The Company also recognized a tax benefit of $3 million due to an adjustment to a foreign tax credit valuation allowance.</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the thirteen weeks ended November 3, 2018, the Company recorded a $7 million benefit related to IRS accounting method changes and timing difference adjustments.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thirty-nine weeks ended November 3, 2018, the Company reduced its provisional net expense related to mandatory deemed repatriation of foreign sourced net earnings by $17 million. The Company also reduced its income tax provision by $1 million as a result of the delay in the effective date of certain tax regulations.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currently expects its full-year tax rate to approximate 27.5 percent excluding the effect of any nonrecurring items that may occur. The actual tax rate will vary depending on the level and mix of income earned in the various jurisdictions in which we operate.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thirteen and thirty-nine weeks ended November 2, 2019, net income decreased by $5 million, or 3.8 percent, and $26 million, or 6.8 percent, respectively, as compared with the corresponding prior-year periods. Diluted earnings per share increased by 1.8 percent to $1.16 per share, and decreased by 1.5 percent to $3.23 per share, for the thirteen and thirty-nine weeks ended November 2, 2019, respectively, as compared with the corresponding prior-year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primary source of liquidity continues to be cash flow from operations, while the principal uses of cash are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We also from time to time may make investments in other companies that we believe support our vision of serving youth culture. We generally finance real estate with operating leases. We believe our cash, cash equivalents, and future cash flow from operations will be adequate to fund these requirements.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November 2, 2019, $902 million remained available under the Company’s current 3-year share repurchase program.</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our merchandise mix, retail locations and websites, uncertainties related to the effect of competitive products and pricing, our reliance on a few key vendors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needs from business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1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Thirty-nine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26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2"/>
          </w:tcPr>
          <w:p>
            <w:pPr>
              <w:jc w:val="right"/>
              <w:ind w:right="375"/>
              <w:spacing w:after="0" w:line="157" w:lineRule="exact"/>
              <w:rPr>
                <w:sz w:val="20"/>
                <w:szCs w:val="20"/>
                <w:color w:val="auto"/>
              </w:rPr>
            </w:pPr>
            <w:r>
              <w:rPr>
                <w:rFonts w:ascii="Arial" w:cs="Arial" w:eastAsia="Arial" w:hAnsi="Arial"/>
                <w:sz w:val="17"/>
                <w:szCs w:val="17"/>
                <w:b w:val="1"/>
                <w:bCs w:val="1"/>
                <w:color w:val="auto"/>
              </w:rPr>
              <w:t>November 2,</w:t>
            </w:r>
          </w:p>
        </w:tc>
        <w:tc>
          <w:tcPr>
            <w:tcW w:w="3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center"/>
              <w:ind w:right="115"/>
              <w:spacing w:after="0" w:line="157" w:lineRule="exact"/>
              <w:rPr>
                <w:sz w:val="20"/>
                <w:szCs w:val="20"/>
                <w:color w:val="auto"/>
              </w:rPr>
            </w:pPr>
            <w:r>
              <w:rPr>
                <w:rFonts w:ascii="Arial" w:cs="Arial" w:eastAsia="Arial" w:hAnsi="Arial"/>
                <w:sz w:val="17"/>
                <w:szCs w:val="17"/>
                <w:b w:val="1"/>
                <w:bCs w:val="1"/>
                <w:color w:val="auto"/>
                <w:w w:val="99"/>
              </w:rPr>
              <w:t>November 3,</w:t>
            </w:r>
          </w:p>
        </w:tc>
      </w:tr>
      <w:tr>
        <w:trPr>
          <w:trHeight w:val="215"/>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2019</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r>
      <w:tr>
        <w:trPr>
          <w:trHeight w:val="18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40" w:type="dxa"/>
            <w:vAlign w:val="bottom"/>
            <w:gridSpan w:val="3"/>
          </w:tcPr>
          <w:p>
            <w:pPr>
              <w:jc w:val="right"/>
              <w:ind w:right="121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20" w:type="dxa"/>
            <w:vAlign w:val="bottom"/>
          </w:tcPr>
          <w:p>
            <w:pPr>
              <w:spacing w:after="0"/>
              <w:rPr>
                <w:sz w:val="16"/>
                <w:szCs w:val="16"/>
                <w:color w:val="auto"/>
              </w:rPr>
            </w:pPr>
          </w:p>
        </w:tc>
        <w:tc>
          <w:tcPr>
            <w:tcW w:w="4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operating activities</w:t>
            </w:r>
          </w:p>
        </w:tc>
        <w:tc>
          <w:tcPr>
            <w:tcW w:w="2340" w:type="dxa"/>
            <w:vAlign w:val="bottom"/>
            <w:shd w:val="clear" w:color="auto" w:fill="CCEEFF"/>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397</w:t>
            </w:r>
          </w:p>
        </w:tc>
        <w:tc>
          <w:tcPr>
            <w:tcW w:w="3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422</w:t>
            </w:r>
          </w:p>
        </w:tc>
      </w:tr>
      <w:tr>
        <w:trPr>
          <w:trHeight w:val="189"/>
        </w:trPr>
        <w:tc>
          <w:tcPr>
            <w:tcW w:w="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340" w:type="dxa"/>
            <w:vAlign w:val="bottom"/>
            <w:tcBorders>
              <w:bottom w:val="single" w:sz="8" w:color="auto"/>
            </w:tcBorders>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(25)</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amount provided by operating activities reflects net income adjusted for non-cash items and working capital changes. Adjustments to net income for non-cash items include depreciation and amortization, and share-based compensation expense.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decrease in cash provided by operating activities, compared with the same period last year, reflected a decrease in net income. Also, during the thirty-nine weeks ended November 2, 2019, we contributed $55 million to our U.S. qualified pension plan primarily representing the funds available in the qualified settlement fund established in connection with our pension litigation matter, which compares with $128 million contributed during the corresponding prior-year period. During the thirty-nine weeks ended November 3, 2018, the Company paid class counsel $97 million in connection with the pension litigation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1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Thirty-nine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060" w:type="dxa"/>
            <w:vAlign w:val="bottom"/>
            <w:tcBorders>
              <w:top w:val="single" w:sz="8" w:color="auto"/>
            </w:tcBorders>
          </w:tcPr>
          <w:p>
            <w:pPr>
              <w:spacing w:after="0"/>
              <w:rPr>
                <w:sz w:val="13"/>
                <w:szCs w:val="13"/>
                <w:color w:val="auto"/>
              </w:rPr>
            </w:pPr>
          </w:p>
        </w:tc>
        <w:tc>
          <w:tcPr>
            <w:tcW w:w="3140" w:type="dxa"/>
            <w:vAlign w:val="bottom"/>
            <w:tcBorders>
              <w:top w:val="single" w:sz="8" w:color="auto"/>
            </w:tcBorders>
            <w:gridSpan w:val="2"/>
          </w:tcPr>
          <w:p>
            <w:pPr>
              <w:jc w:val="right"/>
              <w:ind w:right="335"/>
              <w:spacing w:after="0" w:line="157" w:lineRule="exact"/>
              <w:rPr>
                <w:sz w:val="20"/>
                <w:szCs w:val="20"/>
                <w:color w:val="auto"/>
              </w:rPr>
            </w:pPr>
            <w:r>
              <w:rPr>
                <w:rFonts w:ascii="Arial" w:cs="Arial" w:eastAsia="Arial" w:hAnsi="Arial"/>
                <w:sz w:val="17"/>
                <w:szCs w:val="17"/>
                <w:b w:val="1"/>
                <w:bCs w:val="1"/>
                <w:color w:val="auto"/>
              </w:rPr>
              <w:t>November 2,</w:t>
            </w:r>
          </w:p>
        </w:tc>
        <w:tc>
          <w:tcPr>
            <w:tcW w:w="3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center"/>
              <w:ind w:right="115"/>
              <w:spacing w:after="0" w:line="157" w:lineRule="exact"/>
              <w:rPr>
                <w:sz w:val="20"/>
                <w:szCs w:val="20"/>
                <w:color w:val="auto"/>
              </w:rPr>
            </w:pPr>
            <w:r>
              <w:rPr>
                <w:rFonts w:ascii="Arial" w:cs="Arial" w:eastAsia="Arial" w:hAnsi="Arial"/>
                <w:sz w:val="17"/>
                <w:szCs w:val="17"/>
                <w:b w:val="1"/>
                <w:bCs w:val="1"/>
                <w:color w:val="auto"/>
                <w:w w:val="99"/>
              </w:rPr>
              <w:t>November 3,</w:t>
            </w:r>
          </w:p>
        </w:tc>
      </w:tr>
      <w:tr>
        <w:trPr>
          <w:trHeight w:val="215"/>
        </w:trPr>
        <w:tc>
          <w:tcPr>
            <w:tcW w:w="20" w:type="dxa"/>
            <w:vAlign w:val="bottom"/>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2019</w:t>
            </w:r>
          </w:p>
        </w:tc>
        <w:tc>
          <w:tcPr>
            <w:tcW w:w="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r>
      <w:tr>
        <w:trPr>
          <w:trHeight w:val="18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40" w:type="dxa"/>
            <w:vAlign w:val="bottom"/>
            <w:gridSpan w:val="3"/>
          </w:tcPr>
          <w:p>
            <w:pPr>
              <w:jc w:val="right"/>
              <w:ind w:right="121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20" w:type="dxa"/>
            <w:vAlign w:val="bottom"/>
          </w:tcPr>
          <w:p>
            <w:pPr>
              <w:spacing w:after="0"/>
              <w:rPr>
                <w:sz w:val="16"/>
                <w:szCs w:val="16"/>
                <w:color w:val="auto"/>
              </w:rPr>
            </w:pPr>
          </w:p>
        </w:tc>
        <w:tc>
          <w:tcPr>
            <w:tcW w:w="4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2540" w:type="dxa"/>
            <w:vAlign w:val="bottom"/>
            <w:shd w:val="clear" w:color="auto" w:fill="CCEEFF"/>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174</w:t>
            </w:r>
          </w:p>
        </w:tc>
        <w:tc>
          <w:tcPr>
            <w:tcW w:w="3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157</w:t>
            </w:r>
          </w:p>
        </w:tc>
      </w:tr>
      <w:tr>
        <w:trPr>
          <w:trHeight w:val="189"/>
        </w:trPr>
        <w:tc>
          <w:tcPr>
            <w:tcW w:w="2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540" w:type="dxa"/>
            <w:vAlign w:val="bottom"/>
            <w:tcBorders>
              <w:bottom w:val="single" w:sz="8" w:color="auto"/>
            </w:tcBorders>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17</w:t>
            </w: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thirty-nine weeks ended November 2, 2019, capital expenditures decreased by $27 million as compared with the corresponding prior-year period. This represented a decrease in spending on store and technology projects. The Company’s full-year capital spending is expected to be approximately $ 220 million, which is approximately $50 million lower than the target that was established at the beginning of the year and reflects changes in the timing of certain projects. The revised forecast includes $140 million related to the remodeling or relocation of approximately 165 existing stores and the opening of approximately 70 new stores, as well as $80 million for the development of information systems, websites, and infrastructure, including supply chain initiatives.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investing activities included $48 million in minority investments for the thirty-nine weeks ended November 2, 2019 as compared to $ 6 million for the corresponding prior-year period. Investing outflows for the thirty-nine weeks ended November 3, 2018 were partially offset by the receipt of insurance proceeds of $2 million for fixed assets from an insurance claim relating to Hurricane Maria.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1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Thirty-nine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080" w:type="dxa"/>
            <w:vAlign w:val="bottom"/>
            <w:tcBorders>
              <w:top w:val="single" w:sz="8" w:color="auto"/>
            </w:tcBorders>
          </w:tcPr>
          <w:p>
            <w:pPr>
              <w:spacing w:after="0"/>
              <w:rPr>
                <w:sz w:val="13"/>
                <w:szCs w:val="13"/>
                <w:color w:val="auto"/>
              </w:rPr>
            </w:pPr>
          </w:p>
        </w:tc>
        <w:tc>
          <w:tcPr>
            <w:tcW w:w="3160" w:type="dxa"/>
            <w:vAlign w:val="bottom"/>
            <w:tcBorders>
              <w:top w:val="single" w:sz="8" w:color="auto"/>
            </w:tcBorders>
            <w:gridSpan w:val="2"/>
          </w:tcPr>
          <w:p>
            <w:pPr>
              <w:jc w:val="right"/>
              <w:ind w:right="375"/>
              <w:spacing w:after="0" w:line="157" w:lineRule="exact"/>
              <w:rPr>
                <w:sz w:val="20"/>
                <w:szCs w:val="20"/>
                <w:color w:val="auto"/>
              </w:rPr>
            </w:pPr>
            <w:r>
              <w:rPr>
                <w:rFonts w:ascii="Arial" w:cs="Arial" w:eastAsia="Arial" w:hAnsi="Arial"/>
                <w:sz w:val="17"/>
                <w:szCs w:val="17"/>
                <w:b w:val="1"/>
                <w:bCs w:val="1"/>
                <w:color w:val="auto"/>
              </w:rPr>
              <w:t>November 2,</w:t>
            </w:r>
          </w:p>
        </w:tc>
        <w:tc>
          <w:tcPr>
            <w:tcW w:w="3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center"/>
              <w:ind w:right="115"/>
              <w:spacing w:after="0" w:line="157" w:lineRule="exact"/>
              <w:rPr>
                <w:sz w:val="20"/>
                <w:szCs w:val="20"/>
                <w:color w:val="auto"/>
              </w:rPr>
            </w:pPr>
            <w:r>
              <w:rPr>
                <w:rFonts w:ascii="Arial" w:cs="Arial" w:eastAsia="Arial" w:hAnsi="Arial"/>
                <w:sz w:val="17"/>
                <w:szCs w:val="17"/>
                <w:b w:val="1"/>
                <w:bCs w:val="1"/>
                <w:color w:val="auto"/>
                <w:w w:val="99"/>
              </w:rPr>
              <w:t>November 3,</w:t>
            </w:r>
          </w:p>
        </w:tc>
      </w:tr>
      <w:tr>
        <w:trPr>
          <w:trHeight w:val="215"/>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2019</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r>
      <w:tr>
        <w:trPr>
          <w:trHeight w:val="18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40" w:type="dxa"/>
            <w:vAlign w:val="bottom"/>
            <w:gridSpan w:val="3"/>
          </w:tcPr>
          <w:p>
            <w:pPr>
              <w:jc w:val="right"/>
              <w:ind w:right="121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financing activities</w:t>
            </w:r>
          </w:p>
        </w:tc>
        <w:tc>
          <w:tcPr>
            <w:tcW w:w="2520" w:type="dxa"/>
            <w:vAlign w:val="bottom"/>
            <w:shd w:val="clear" w:color="auto" w:fill="CCEEFF"/>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419</w:t>
            </w:r>
          </w:p>
        </w:tc>
        <w:tc>
          <w:tcPr>
            <w:tcW w:w="3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428</w:t>
            </w:r>
          </w:p>
        </w:tc>
      </w:tr>
      <w:tr>
        <w:trPr>
          <w:trHeight w:val="189"/>
        </w:trPr>
        <w:tc>
          <w:tcPr>
            <w:tcW w:w="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520" w:type="dxa"/>
            <w:vAlign w:val="bottom"/>
            <w:tcBorders>
              <w:bottom w:val="single" w:sz="8" w:color="auto"/>
            </w:tcBorders>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(9)</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bl>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thirty-nine weeks ended weeks ended November 2, 2019, we repurchased 7,493,100 shares of our common stock for $300 million, as compared with 6,688,705 shares repurchased for $313 million in the corresponding prior-year period. The Company also declared and paid dividends of $125 million and $120 million during the first three quarters of 2019 and 2018, respectively. This represented quarterly rates of $0.38 and $0.345 per share for 2019 and 2018, respectively. Also, during the thirty-nine weeks ended November 2, 2019 and November 3, 2018, we paid $2 million and $1 million, respectively, to satisfy tax withholding obligations related to the vesting of share-based equity awards. Offsetting the amounts above were proceeds received from the issuance of common stock and treasury stock in connection with employee stock programs of $8 million and $6 million for the thirty-nine weeks ended November 2, 2019 and November 3, 2018,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Annual Report on Form 10-K for the fiscal year ended February 2, 2019. Other than the adoption of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xml:space="preserve">, on February 3, 2019 as discussed in Note 1,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to the Condensed Consolidated Financial Statements, there were no significant changes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critical accounting policies during the period ended November 2,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Descriptions of the recently issued and adopted accounting principles are included in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currently migrating our point-of-sale software to a new platform. Approximately 2,900 stores have been converted to the new software platform as of November 2, 2019, and we currently expect to be substantially completed during the fourth quarter, except for our stores operating in Germany.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implementation is expected to be completed during the first half of 2020. In connection with this implementation and resulting business process changes, we may make changes to the design and operation of our internal control over financial reporting.</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during the fourth quarter of 2018 the Company implemented a new lease accounting system in advance of the adoption of the new leasing standard that was effective the first quarter of 2019. We revised our controls in connection with this adoption and are continuing to refine business processes and make changes to the design and implementation of our internal controls as appropriate.</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quarter ended November 2, 2019, there were no changes in the Company’s internal control over financial reporting, other than the implementation of new point-of-sale software and lease accounting system noted above, (as defined in Rules 13a-15(f) of the Exchange Act) that materially affected or are reasonably likely to affect the Company’s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in Part I.</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 other information discussed in this report, the factors described in Part I, Item 1A. “Risk Factors” in our 2018 Annual Report on Form 10-K filed with the SEC on April 2, 2019 should be considered as they could materially affect our business, financial condition, or future results.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have not been any significant changes with respect to the risks described in our 2018 Form 10-K. Additional risks and uncertainties not currently known to us or that we currently deem to be immaterial also may adversely affect our business, financial condition or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shares of the Company’s common stock that the</w:t>
      </w:r>
    </w:p>
    <w:p>
      <w:pPr>
        <w:spacing w:after="0"/>
        <w:rPr>
          <w:sz w:val="20"/>
          <w:szCs w:val="20"/>
          <w:color w:val="auto"/>
        </w:rPr>
      </w:pPr>
      <w:r>
        <w:rPr>
          <w:rFonts w:ascii="Arial" w:cs="Arial" w:eastAsia="Arial" w:hAnsi="Arial"/>
          <w:sz w:val="18"/>
          <w:szCs w:val="18"/>
          <w:color w:val="auto"/>
        </w:rPr>
        <w:t>Company repurchased during the thirteen weeks ended November 2,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35"/>
              <w:spacing w:after="0"/>
              <w:rPr>
                <w:sz w:val="20"/>
                <w:szCs w:val="20"/>
                <w:color w:val="auto"/>
              </w:rPr>
            </w:pPr>
            <w:r>
              <w:rPr>
                <w:rFonts w:ascii="Arial" w:cs="Arial" w:eastAsia="Arial" w:hAnsi="Arial"/>
                <w:sz w:val="17"/>
                <w:szCs w:val="17"/>
                <w:b w:val="1"/>
                <w:bCs w:val="1"/>
                <w:color w:val="auto"/>
              </w:rPr>
              <w:t>Approximate</w:t>
            </w:r>
          </w:p>
        </w:tc>
      </w:tr>
      <w:tr>
        <w:trPr>
          <w:trHeight w:val="189"/>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Total Number of</w:t>
            </w:r>
          </w:p>
        </w:tc>
        <w:tc>
          <w:tcPr>
            <w:tcW w:w="240" w:type="dxa"/>
            <w:vAlign w:val="bottom"/>
          </w:tcPr>
          <w:p>
            <w:pPr>
              <w:spacing w:after="0"/>
              <w:rPr>
                <w:sz w:val="16"/>
                <w:szCs w:val="16"/>
                <w:color w:val="auto"/>
              </w:rPr>
            </w:pPr>
          </w:p>
        </w:tc>
        <w:tc>
          <w:tcPr>
            <w:tcW w:w="134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w w:val="99"/>
              </w:rPr>
              <w:t>Dollar Value of</w:t>
            </w:r>
          </w:p>
        </w:tc>
      </w:tr>
      <w:tr>
        <w:trPr>
          <w:trHeight w:val="189"/>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60" w:type="dxa"/>
            <w:vAlign w:val="bottom"/>
          </w:tcPr>
          <w:p>
            <w:pPr>
              <w:jc w:val="center"/>
              <w:ind w:left="295"/>
              <w:spacing w:after="0" w:line="189" w:lineRule="exact"/>
              <w:rPr>
                <w:sz w:val="20"/>
                <w:szCs w:val="20"/>
                <w:color w:val="auto"/>
              </w:rPr>
            </w:pPr>
            <w:r>
              <w:rPr>
                <w:rFonts w:ascii="Arial" w:cs="Arial" w:eastAsia="Arial" w:hAnsi="Arial"/>
                <w:sz w:val="17"/>
                <w:szCs w:val="17"/>
                <w:b w:val="1"/>
                <w:bCs w:val="1"/>
                <w:color w:val="auto"/>
                <w:w w:val="98"/>
              </w:rPr>
              <w:t>Total</w:t>
            </w:r>
          </w:p>
        </w:tc>
        <w:tc>
          <w:tcPr>
            <w:tcW w:w="92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Average</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Shares Purchased as</w:t>
            </w:r>
          </w:p>
        </w:tc>
        <w:tc>
          <w:tcPr>
            <w:tcW w:w="1580" w:type="dxa"/>
            <w:vAlign w:val="bottom"/>
            <w:gridSpan w:val="2"/>
          </w:tcPr>
          <w:p>
            <w:pPr>
              <w:jc w:val="center"/>
              <w:ind w:left="15"/>
              <w:spacing w:after="0" w:line="189" w:lineRule="exact"/>
              <w:rPr>
                <w:sz w:val="20"/>
                <w:szCs w:val="20"/>
                <w:color w:val="auto"/>
              </w:rPr>
            </w:pPr>
            <w:r>
              <w:rPr>
                <w:rFonts w:ascii="Arial" w:cs="Arial" w:eastAsia="Arial" w:hAnsi="Arial"/>
                <w:sz w:val="17"/>
                <w:szCs w:val="17"/>
                <w:b w:val="1"/>
                <w:bCs w:val="1"/>
                <w:color w:val="auto"/>
              </w:rPr>
              <w:t>Shares that may</w:t>
            </w:r>
          </w:p>
        </w:tc>
      </w:tr>
      <w:tr>
        <w:trPr>
          <w:trHeight w:val="189"/>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60" w:type="dxa"/>
            <w:vAlign w:val="bottom"/>
          </w:tcPr>
          <w:p>
            <w:pPr>
              <w:jc w:val="center"/>
              <w:ind w:left="295"/>
              <w:spacing w:after="0" w:line="189" w:lineRule="exact"/>
              <w:rPr>
                <w:sz w:val="20"/>
                <w:szCs w:val="20"/>
                <w:color w:val="auto"/>
              </w:rPr>
            </w:pPr>
            <w:r>
              <w:rPr>
                <w:rFonts w:ascii="Arial" w:cs="Arial" w:eastAsia="Arial" w:hAnsi="Arial"/>
                <w:sz w:val="17"/>
                <w:szCs w:val="17"/>
                <w:b w:val="1"/>
                <w:bCs w:val="1"/>
                <w:color w:val="auto"/>
                <w:w w:val="99"/>
              </w:rPr>
              <w:t>Number</w:t>
            </w:r>
          </w:p>
        </w:tc>
        <w:tc>
          <w:tcPr>
            <w:tcW w:w="220" w:type="dxa"/>
            <w:vAlign w:val="bottom"/>
          </w:tcPr>
          <w:p>
            <w:pPr>
              <w:spacing w:after="0"/>
              <w:rPr>
                <w:sz w:val="16"/>
                <w:szCs w:val="16"/>
                <w:color w:val="auto"/>
              </w:rPr>
            </w:pPr>
          </w:p>
        </w:tc>
        <w:tc>
          <w:tcPr>
            <w:tcW w:w="7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Price</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1580" w:type="dxa"/>
            <w:vAlign w:val="bottom"/>
            <w:gridSpan w:val="2"/>
          </w:tcPr>
          <w:p>
            <w:pPr>
              <w:jc w:val="center"/>
              <w:ind w:left="35"/>
              <w:spacing w:after="0" w:line="189" w:lineRule="exact"/>
              <w:rPr>
                <w:sz w:val="20"/>
                <w:szCs w:val="20"/>
                <w:color w:val="auto"/>
              </w:rPr>
            </w:pPr>
            <w:r>
              <w:rPr>
                <w:rFonts w:ascii="Arial" w:cs="Arial" w:eastAsia="Arial" w:hAnsi="Arial"/>
                <w:sz w:val="17"/>
                <w:szCs w:val="17"/>
                <w:b w:val="1"/>
                <w:bCs w:val="1"/>
                <w:color w:val="auto"/>
              </w:rPr>
              <w:t>yet be Purchased</w:t>
            </w:r>
          </w:p>
        </w:tc>
      </w:tr>
      <w:tr>
        <w:trPr>
          <w:trHeight w:val="189"/>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60" w:type="dxa"/>
            <w:vAlign w:val="bottom"/>
          </w:tcPr>
          <w:p>
            <w:pPr>
              <w:jc w:val="center"/>
              <w:ind w:left="275"/>
              <w:spacing w:after="0" w:line="189" w:lineRule="exact"/>
              <w:rPr>
                <w:sz w:val="20"/>
                <w:szCs w:val="20"/>
                <w:color w:val="auto"/>
              </w:rPr>
            </w:pPr>
            <w:r>
              <w:rPr>
                <w:rFonts w:ascii="Arial" w:cs="Arial" w:eastAsia="Arial" w:hAnsi="Arial"/>
                <w:sz w:val="17"/>
                <w:szCs w:val="17"/>
                <w:b w:val="1"/>
                <w:bCs w:val="1"/>
                <w:color w:val="auto"/>
              </w:rPr>
              <w:t>of Shares</w:t>
            </w:r>
          </w:p>
        </w:tc>
        <w:tc>
          <w:tcPr>
            <w:tcW w:w="92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Paid Per</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40" w:type="dxa"/>
            <w:vAlign w:val="bottom"/>
          </w:tcPr>
          <w:p>
            <w:pPr>
              <w:spacing w:after="0"/>
              <w:rPr>
                <w:sz w:val="16"/>
                <w:szCs w:val="16"/>
                <w:color w:val="auto"/>
              </w:rPr>
            </w:pPr>
          </w:p>
        </w:tc>
        <w:tc>
          <w:tcPr>
            <w:tcW w:w="134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w w:val="98"/>
              </w:rPr>
              <w:t>Under the</w:t>
            </w:r>
          </w:p>
        </w:tc>
      </w:tr>
      <w:tr>
        <w:trPr>
          <w:trHeight w:val="215"/>
        </w:trPr>
        <w:tc>
          <w:tcPr>
            <w:tcW w:w="2940" w:type="dxa"/>
            <w:vAlign w:val="bottom"/>
            <w:gridSpan w:val="2"/>
          </w:tcPr>
          <w:p>
            <w:pPr>
              <w:spacing w:after="0"/>
              <w:rPr>
                <w:sz w:val="20"/>
                <w:szCs w:val="20"/>
                <w:color w:val="auto"/>
              </w:rPr>
            </w:pPr>
            <w:r>
              <w:rPr>
                <w:rFonts w:ascii="Arial" w:cs="Arial" w:eastAsia="Arial" w:hAnsi="Arial"/>
                <w:sz w:val="17"/>
                <w:szCs w:val="17"/>
                <w:b w:val="1"/>
                <w:bCs w:val="1"/>
                <w:color w:val="auto"/>
              </w:rPr>
              <w:t>Date Purchased</w:t>
            </w:r>
          </w:p>
        </w:tc>
        <w:tc>
          <w:tcPr>
            <w:tcW w:w="1660" w:type="dxa"/>
            <w:vAlign w:val="bottom"/>
          </w:tcPr>
          <w:p>
            <w:pPr>
              <w:jc w:val="center"/>
              <w:ind w:left="295"/>
              <w:spacing w:after="0"/>
              <w:rPr>
                <w:sz w:val="20"/>
                <w:szCs w:val="20"/>
                <w:color w:val="auto"/>
              </w:rPr>
            </w:pPr>
            <w:r>
              <w:rPr>
                <w:rFonts w:ascii="Arial" w:cs="Arial" w:eastAsia="Arial" w:hAnsi="Arial"/>
                <w:sz w:val="17"/>
                <w:szCs w:val="17"/>
                <w:b w:val="1"/>
                <w:bCs w:val="1"/>
                <w:color w:val="auto"/>
              </w:rPr>
              <w:t xml:space="preserve">Purchased </w:t>
            </w:r>
            <w:r>
              <w:rPr>
                <w:rFonts w:ascii="Arial" w:cs="Arial" w:eastAsia="Arial" w:hAnsi="Arial"/>
                <w:sz w:val="12"/>
                <w:szCs w:val="12"/>
                <w:color w:val="auto"/>
              </w:rPr>
              <w:t>(1)</w:t>
            </w:r>
          </w:p>
        </w:tc>
        <w:tc>
          <w:tcPr>
            <w:tcW w:w="920" w:type="dxa"/>
            <w:vAlign w:val="bottom"/>
            <w:gridSpan w:val="2"/>
          </w:tcPr>
          <w:p>
            <w:pPr>
              <w:ind w:left="100"/>
              <w:spacing w:after="0"/>
              <w:rPr>
                <w:sz w:val="20"/>
                <w:szCs w:val="20"/>
                <w:color w:val="auto"/>
              </w:rPr>
            </w:pPr>
            <w:r>
              <w:rPr>
                <w:rFonts w:ascii="Arial" w:cs="Arial" w:eastAsia="Arial" w:hAnsi="Arial"/>
                <w:sz w:val="17"/>
                <w:szCs w:val="17"/>
                <w:b w:val="1"/>
                <w:bCs w:val="1"/>
                <w:color w:val="auto"/>
              </w:rPr>
              <w:t xml:space="preserve">Share </w:t>
            </w:r>
            <w:r>
              <w:rPr>
                <w:rFonts w:ascii="Arial" w:cs="Arial" w:eastAsia="Arial" w:hAnsi="Arial"/>
                <w:sz w:val="12"/>
                <w:szCs w:val="12"/>
                <w:color w:val="auto"/>
              </w:rPr>
              <w:t>(1)</w:t>
            </w: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rPr>
              <w:t xml:space="preserve">Program </w:t>
            </w:r>
            <w:r>
              <w:rPr>
                <w:rFonts w:ascii="Arial" w:cs="Arial" w:eastAsia="Arial" w:hAnsi="Arial"/>
                <w:sz w:val="12"/>
                <w:szCs w:val="12"/>
                <w:color w:val="auto"/>
              </w:rPr>
              <w:t>(2)</w:t>
            </w:r>
          </w:p>
        </w:tc>
        <w:tc>
          <w:tcPr>
            <w:tcW w:w="240" w:type="dxa"/>
            <w:vAlign w:val="bottom"/>
          </w:tcPr>
          <w:p>
            <w:pPr>
              <w:spacing w:after="0"/>
              <w:rPr>
                <w:sz w:val="18"/>
                <w:szCs w:val="18"/>
                <w:color w:val="auto"/>
              </w:rPr>
            </w:pPr>
          </w:p>
        </w:tc>
        <w:tc>
          <w:tcPr>
            <w:tcW w:w="1340" w:type="dxa"/>
            <w:vAlign w:val="bottom"/>
          </w:tcPr>
          <w:p>
            <w:pPr>
              <w:jc w:val="center"/>
              <w:ind w:right="35"/>
              <w:spacing w:after="0"/>
              <w:rPr>
                <w:sz w:val="20"/>
                <w:szCs w:val="20"/>
                <w:color w:val="auto"/>
              </w:rPr>
            </w:pPr>
            <w:r>
              <w:rPr>
                <w:rFonts w:ascii="Arial" w:cs="Arial" w:eastAsia="Arial" w:hAnsi="Arial"/>
                <w:sz w:val="17"/>
                <w:szCs w:val="17"/>
                <w:b w:val="1"/>
                <w:bCs w:val="1"/>
                <w:color w:val="auto"/>
              </w:rPr>
              <w:t xml:space="preserve">Program </w:t>
            </w:r>
            <w:r>
              <w:rPr>
                <w:rFonts w:ascii="Arial" w:cs="Arial" w:eastAsia="Arial" w:hAnsi="Arial"/>
                <w:sz w:val="12"/>
                <w:szCs w:val="12"/>
                <w:color w:val="auto"/>
              </w:rPr>
              <w:t>(2)</w:t>
            </w:r>
          </w:p>
        </w:tc>
      </w:tr>
      <w:tr>
        <w:trPr>
          <w:trHeight w:val="183"/>
        </w:trPr>
        <w:tc>
          <w:tcPr>
            <w:tcW w:w="20" w:type="dxa"/>
            <w:vAlign w:val="bottom"/>
          </w:tcPr>
          <w:p>
            <w:pPr>
              <w:spacing w:after="0"/>
              <w:rPr>
                <w:sz w:val="15"/>
                <w:szCs w:val="15"/>
                <w:color w:val="auto"/>
              </w:rPr>
            </w:pPr>
          </w:p>
        </w:tc>
        <w:tc>
          <w:tcPr>
            <w:tcW w:w="29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August 4 to August 31, 2019</w:t>
            </w:r>
          </w:p>
        </w:tc>
        <w:tc>
          <w:tcPr>
            <w:tcW w:w="16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1,322,473</w:t>
            </w:r>
          </w:p>
        </w:tc>
        <w:tc>
          <w:tcPr>
            <w:tcW w:w="22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37.39</w:t>
            </w:r>
          </w:p>
        </w:tc>
        <w:tc>
          <w:tcPr>
            <w:tcW w:w="196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1,322,473</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1,030,588,306</w:t>
            </w:r>
          </w:p>
        </w:tc>
      </w:tr>
      <w:tr>
        <w:trPr>
          <w:trHeight w:val="189"/>
        </w:trPr>
        <w:tc>
          <w:tcPr>
            <w:tcW w:w="2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Arial" w:cs="Arial" w:eastAsia="Arial" w:hAnsi="Arial"/>
                <w:sz w:val="17"/>
                <w:szCs w:val="17"/>
                <w:color w:val="auto"/>
              </w:rPr>
              <w:t>September 1 to October 5, 2019</w:t>
            </w:r>
          </w:p>
        </w:tc>
        <w:tc>
          <w:tcPr>
            <w:tcW w:w="16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2,838,031</w:t>
            </w:r>
          </w:p>
        </w:tc>
        <w:tc>
          <w:tcPr>
            <w:tcW w:w="220" w:type="dxa"/>
            <w:vAlign w:val="bottom"/>
          </w:tcPr>
          <w:p>
            <w:pPr>
              <w:spacing w:after="0"/>
              <w:rPr>
                <w:sz w:val="16"/>
                <w:szCs w:val="16"/>
                <w:color w:val="auto"/>
              </w:rPr>
            </w:pPr>
          </w:p>
        </w:tc>
        <w:tc>
          <w:tcPr>
            <w:tcW w:w="7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39.15</w:t>
            </w:r>
          </w:p>
        </w:tc>
        <w:tc>
          <w:tcPr>
            <w:tcW w:w="19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2,837,906</w:t>
            </w:r>
          </w:p>
        </w:tc>
        <w:tc>
          <w:tcPr>
            <w:tcW w:w="24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919,491,471</w:t>
            </w:r>
          </w:p>
        </w:tc>
      </w:tr>
      <w:tr>
        <w:trPr>
          <w:trHeight w:val="189"/>
        </w:trPr>
        <w:tc>
          <w:tcPr>
            <w:tcW w:w="20" w:type="dxa"/>
            <w:vAlign w:val="bottom"/>
          </w:tcPr>
          <w:p>
            <w:pPr>
              <w:spacing w:after="0"/>
              <w:rPr>
                <w:sz w:val="16"/>
                <w:szCs w:val="16"/>
                <w:color w:val="auto"/>
              </w:rPr>
            </w:pPr>
          </w:p>
        </w:tc>
        <w:tc>
          <w:tcPr>
            <w:tcW w:w="29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October 6 to November 2, 2019</w:t>
            </w:r>
          </w:p>
        </w:tc>
        <w:tc>
          <w:tcPr>
            <w:tcW w:w="16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400,621</w:t>
            </w: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43.73</w:t>
            </w:r>
          </w:p>
        </w:tc>
        <w:tc>
          <w:tcPr>
            <w:tcW w:w="19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400,621</w:t>
            </w: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901,971,554</w:t>
            </w:r>
          </w:p>
        </w:tc>
      </w:tr>
      <w:tr>
        <w:trPr>
          <w:trHeight w:val="183"/>
        </w:trPr>
        <w:tc>
          <w:tcPr>
            <w:tcW w:w="20" w:type="dxa"/>
            <w:vAlign w:val="bottom"/>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4,561,125</w:t>
            </w:r>
          </w:p>
        </w:tc>
        <w:tc>
          <w:tcPr>
            <w:tcW w:w="2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39.04</w:t>
            </w:r>
          </w:p>
        </w:tc>
        <w:tc>
          <w:tcPr>
            <w:tcW w:w="19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4,561,000</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126" w:lineRule="exact"/>
        <w:rPr>
          <w:sz w:val="20"/>
          <w:szCs w:val="20"/>
          <w:color w:val="auto"/>
        </w:rPr>
      </w:pPr>
    </w:p>
    <w:p>
      <w:pPr>
        <w:jc w:val="both"/>
        <w:ind w:left="340" w:hanging="331"/>
        <w:spacing w:after="0" w:line="248"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columns also reflect shares acquired in satisfaction of the tax withholding obligations of holders of restricted stock unit awards, which vested during the quarter, and shares repurchased pursuant to Rule 10b5-1 under the Securities Exchange Act of 1934. The calculation of the average price paid per share includes all fees, commissions, and other costs associated with the repurchase of such shares.</w:t>
      </w:r>
    </w:p>
    <w:p>
      <w:pPr>
        <w:spacing w:after="0" w:line="257" w:lineRule="exact"/>
        <w:rPr>
          <w:rFonts w:ascii="Arial" w:cs="Arial" w:eastAsia="Arial" w:hAnsi="Arial"/>
          <w:sz w:val="14"/>
          <w:szCs w:val="14"/>
          <w:color w:val="auto"/>
        </w:rPr>
      </w:pPr>
    </w:p>
    <w:p>
      <w:pPr>
        <w:ind w:left="340" w:hanging="331"/>
        <w:spacing w:after="0" w:line="258"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February 20, 2019, the Board of Directors approved a new 3-year, $1.2 billion share repurchase program extending through January 2022.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6. Exhibits</w:t>
      </w:r>
    </w:p>
    <w:p>
      <w:pPr>
        <w:sectPr>
          <w:pgSz w:w="11900" w:h="16838" w:orient="portrait"/>
          <w:cols w:equalWidth="0" w:num="1">
            <w:col w:w="9060"/>
          </w:cols>
          <w:pgMar w:left="1420" w:top="517" w:right="1419" w:bottom="1440" w:gutter="0" w:footer="0" w:header="0"/>
        </w:sectPr>
      </w:pPr>
    </w:p>
    <w:p>
      <w:pPr>
        <w:spacing w:after="0" w:line="237" w:lineRule="exact"/>
        <w:rPr>
          <w:sz w:val="20"/>
          <w:szCs w:val="20"/>
          <w:color w:val="auto"/>
        </w:rPr>
      </w:pPr>
    </w:p>
    <w:p>
      <w:pPr>
        <w:jc w:val="center"/>
        <w:ind w:left="20"/>
        <w:spacing w:after="0"/>
        <w:rPr>
          <w:sz w:val="20"/>
          <w:szCs w:val="20"/>
          <w:color w:val="auto"/>
        </w:rPr>
      </w:pPr>
      <w:r>
        <w:rPr>
          <w:rFonts w:ascii="Arial" w:cs="Arial" w:eastAsia="Arial" w:hAnsi="Arial"/>
          <w:sz w:val="17"/>
          <w:szCs w:val="17"/>
          <w:b w:val="1"/>
          <w:bCs w:val="1"/>
          <w:u w:val="single" w:color="auto"/>
          <w:color w:val="auto"/>
        </w:rPr>
        <w:t>Exhibit No.</w:t>
      </w:r>
    </w:p>
    <w:p>
      <w:pPr>
        <w:spacing w:after="0" w:line="43"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15*</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32**</w:t>
      </w:r>
    </w:p>
    <w:p>
      <w:pPr>
        <w:spacing w:after="0" w:line="99"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99*</w:t>
      </w:r>
    </w:p>
    <w:p>
      <w:pPr>
        <w:jc w:val="center"/>
        <w:ind w:left="20"/>
        <w:spacing w:after="0" w:line="234" w:lineRule="auto"/>
        <w:rPr>
          <w:sz w:val="20"/>
          <w:szCs w:val="20"/>
          <w:color w:val="auto"/>
        </w:rPr>
      </w:pPr>
      <w:r>
        <w:rPr>
          <w:rFonts w:ascii="Arial" w:cs="Arial" w:eastAsia="Arial" w:hAnsi="Arial"/>
          <w:sz w:val="18"/>
          <w:szCs w:val="18"/>
          <w:color w:val="auto"/>
        </w:rPr>
        <w:t>101.INS*</w:t>
      </w:r>
    </w:p>
    <w:p>
      <w:pPr>
        <w:jc w:val="center"/>
        <w:ind w:left="20"/>
        <w:spacing w:after="0" w:line="235" w:lineRule="auto"/>
        <w:rPr>
          <w:sz w:val="20"/>
          <w:szCs w:val="20"/>
          <w:color w:val="auto"/>
        </w:rPr>
      </w:pPr>
      <w:r>
        <w:rPr>
          <w:rFonts w:ascii="Arial" w:cs="Arial" w:eastAsia="Arial" w:hAnsi="Arial"/>
          <w:sz w:val="18"/>
          <w:szCs w:val="18"/>
          <w:color w:val="auto"/>
        </w:rPr>
        <w:t>101.SCH*</w:t>
      </w:r>
    </w:p>
    <w:p>
      <w:pPr>
        <w:jc w:val="center"/>
        <w:ind w:left="20"/>
        <w:spacing w:after="0" w:line="235" w:lineRule="auto"/>
        <w:rPr>
          <w:sz w:val="20"/>
          <w:szCs w:val="20"/>
          <w:color w:val="auto"/>
        </w:rPr>
      </w:pPr>
      <w:r>
        <w:rPr>
          <w:rFonts w:ascii="Arial" w:cs="Arial" w:eastAsia="Arial" w:hAnsi="Arial"/>
          <w:sz w:val="18"/>
          <w:szCs w:val="18"/>
          <w:color w:val="auto"/>
        </w:rPr>
        <w:t>101.CAL*</w:t>
      </w:r>
    </w:p>
    <w:p>
      <w:pPr>
        <w:jc w:val="center"/>
        <w:ind w:left="20"/>
        <w:spacing w:after="0" w:line="235" w:lineRule="auto"/>
        <w:rPr>
          <w:sz w:val="20"/>
          <w:szCs w:val="20"/>
          <w:color w:val="auto"/>
        </w:rPr>
      </w:pPr>
      <w:r>
        <w:rPr>
          <w:rFonts w:ascii="Arial" w:cs="Arial" w:eastAsia="Arial" w:hAnsi="Arial"/>
          <w:sz w:val="18"/>
          <w:szCs w:val="18"/>
          <w:color w:val="auto"/>
        </w:rPr>
        <w:t>101.DEF*</w:t>
      </w:r>
    </w:p>
    <w:p>
      <w:pPr>
        <w:jc w:val="center"/>
        <w:ind w:left="20"/>
        <w:spacing w:after="0" w:line="235" w:lineRule="auto"/>
        <w:rPr>
          <w:sz w:val="20"/>
          <w:szCs w:val="20"/>
          <w:color w:val="auto"/>
        </w:rPr>
      </w:pPr>
      <w:r>
        <w:rPr>
          <w:rFonts w:ascii="Arial" w:cs="Arial" w:eastAsia="Arial" w:hAnsi="Arial"/>
          <w:sz w:val="18"/>
          <w:szCs w:val="18"/>
          <w:color w:val="auto"/>
        </w:rPr>
        <w:t>101.LAB*</w:t>
      </w:r>
    </w:p>
    <w:p>
      <w:pPr>
        <w:jc w:val="center"/>
        <w:ind w:left="20"/>
        <w:spacing w:after="0"/>
        <w:rPr>
          <w:sz w:val="20"/>
          <w:szCs w:val="20"/>
          <w:color w:val="auto"/>
        </w:rPr>
      </w:pPr>
      <w:r>
        <w:rPr>
          <w:rFonts w:ascii="Arial" w:cs="Arial" w:eastAsia="Arial" w:hAnsi="Arial"/>
          <w:sz w:val="18"/>
          <w:szCs w:val="18"/>
          <w:color w:val="auto"/>
        </w:rPr>
        <w:t>101.PRE*</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49999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Accountants’ Acknowledgement.</w:t>
        </w:r>
      </w:hyperlink>
    </w:p>
    <w:p>
      <w:pPr>
        <w:ind w:right="20"/>
        <w:spacing w:after="0" w:line="234"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Certification of Chief Executive Officer Pursuant to Rule 13a-14(a) or 15d-14(a), as adopted</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-255270</wp:posOffset>
            </wp:positionV>
            <wp:extent cx="5746115"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46115" cy="257175"/>
                    </a:xfrm>
                    <a:prstGeom prst="rect">
                      <a:avLst/>
                    </a:prstGeom>
                    <a:noFill/>
                  </pic:spPr>
                </pic:pic>
              </a:graphicData>
            </a:graphic>
          </wp:anchor>
        </w:drawing>
      </w:r>
    </w:p>
    <w:p>
      <w:pPr>
        <w:spacing w:after="0" w:line="234"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Certification of Chief Financial Officer Pursuant to Rule 13a-14(a) or 15d-14(a), as adopted</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pursuant to Section 302 of the Sarbanes-Oxley Act of 2002.</w:t>
        </w:r>
      </w:hyperlink>
    </w:p>
    <w:p>
      <w:pPr>
        <w:spacing w:after="0" w:line="236"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Certification  of  Chief  Executive  Officer  and  Chief  Financial  Officer  Pursuant  to  18  U.S.C.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-127000</wp:posOffset>
            </wp:positionV>
            <wp:extent cx="5746115"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46115" cy="257175"/>
                    </a:xfrm>
                    <a:prstGeom prst="rect">
                      <a:avLst/>
                    </a:prstGeom>
                    <a:noFill/>
                  </pic:spPr>
                </pic:pic>
              </a:graphicData>
            </a:graphic>
          </wp:anchor>
        </w:drawing>
      </w:r>
    </w:p>
    <w:p>
      <w:pPr>
        <w:spacing w:after="0" w:line="235"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Section 1350, as adopted pursuant to Section 906 of the Sarbanes-Oxley Act of 2002.</w:t>
        </w:r>
      </w:hyperlink>
    </w:p>
    <w:p>
      <w:pPr>
        <w:spacing w:after="0" w:line="235" w:lineRule="auto"/>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Report of Independent Registered Public Accounting Firm.</w:t>
        </w:r>
      </w:hyperlink>
    </w:p>
    <w:p>
      <w:pPr>
        <w:spacing w:after="0" w:line="235" w:lineRule="auto"/>
        <w:rPr>
          <w:sz w:val="20"/>
          <w:szCs w:val="20"/>
          <w:color w:val="auto"/>
        </w:rPr>
      </w:pPr>
      <w:r>
        <w:rPr>
          <w:rFonts w:ascii="Arial" w:cs="Arial" w:eastAsia="Arial" w:hAnsi="Arial"/>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-127000</wp:posOffset>
            </wp:positionV>
            <wp:extent cx="574611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46115"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Schema.</w:t>
      </w:r>
    </w:p>
    <w:p>
      <w:pPr>
        <w:spacing w:after="0" w:line="235" w:lineRule="auto"/>
        <w:rPr>
          <w:sz w:val="20"/>
          <w:szCs w:val="20"/>
          <w:color w:val="auto"/>
        </w:rPr>
      </w:pPr>
      <w:r>
        <w:rPr>
          <w:rFonts w:ascii="Arial" w:cs="Arial" w:eastAsia="Arial" w:hAnsi="Arial"/>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-127635</wp:posOffset>
            </wp:positionV>
            <wp:extent cx="574611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46115"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Definition Linkbase.</w:t>
      </w:r>
    </w:p>
    <w:p>
      <w:pPr>
        <w:spacing w:after="0" w:line="234" w:lineRule="auto"/>
        <w:rPr>
          <w:sz w:val="20"/>
          <w:szCs w:val="20"/>
          <w:color w:val="auto"/>
        </w:rPr>
      </w:pPr>
      <w:r>
        <w:rPr>
          <w:rFonts w:ascii="Arial" w:cs="Arial" w:eastAsia="Arial" w:hAnsi="Arial"/>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-127000</wp:posOffset>
            </wp:positionV>
            <wp:extent cx="574611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46115"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Presentation Linkbase.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cover page from the Company’s Quarterly Report on Form 10-Q for the quarter ended November 2, 2019, formatted, in Inline XBRL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-267970</wp:posOffset>
            </wp:positionV>
            <wp:extent cx="5746115" cy="266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46115"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0" w:space="220"/>
            <w:col w:w="7880"/>
          </w:cols>
          <w:pgMar w:left="1420" w:top="517" w:right="1419" w:bottom="1440" w:gutter="0" w:footer="0" w:header="0"/>
          <w:type w:val="continuous"/>
        </w:sectPr>
      </w:pPr>
    </w:p>
    <w:p>
      <w:pPr>
        <w:spacing w:after="0" w:line="3" w:lineRule="exact"/>
        <w:rPr>
          <w:sz w:val="20"/>
          <w:szCs w:val="20"/>
          <w:color w:val="auto"/>
        </w:rPr>
      </w:pPr>
    </w:p>
    <w:p>
      <w:pPr>
        <w:ind w:left="220" w:hanging="211"/>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05" w:lineRule="exact"/>
        <w:rPr>
          <w:sz w:val="20"/>
          <w:szCs w:val="20"/>
          <w:color w:val="auto"/>
        </w:rPr>
      </w:pPr>
    </w:p>
    <w:p>
      <w:pPr>
        <w:spacing w:after="0"/>
        <w:tabs>
          <w:tab w:leader="none" w:pos="4520" w:val="left"/>
        </w:tabs>
        <w:rPr>
          <w:sz w:val="20"/>
          <w:szCs w:val="20"/>
          <w:color w:val="auto"/>
        </w:rPr>
      </w:pPr>
      <w:r>
        <w:rPr>
          <w:rFonts w:ascii="Arial" w:cs="Arial" w:eastAsia="Arial" w:hAnsi="Arial"/>
          <w:sz w:val="17"/>
          <w:szCs w:val="17"/>
          <w:color w:val="auto"/>
        </w:rPr>
        <w:t>Date: December 11, 2019</w:t>
      </w:r>
      <w:r>
        <w:rPr>
          <w:sz w:val="20"/>
          <w:szCs w:val="20"/>
          <w:color w:val="auto"/>
        </w:rPr>
        <w:tab/>
      </w:r>
      <w:r>
        <w:rPr>
          <w:rFonts w:ascii="Arial" w:cs="Arial" w:eastAsia="Arial" w:hAnsi="Arial"/>
          <w:sz w:val="17"/>
          <w:szCs w:val="17"/>
          <w:color w:val="auto"/>
        </w:rPr>
        <w:t>FOOT LOCKER, INC.</w:t>
      </w:r>
    </w:p>
    <w:p>
      <w:pPr>
        <w:spacing w:after="0" w:line="372"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7"/>
          <w:szCs w:val="17"/>
          <w:color w:val="auto"/>
        </w:rPr>
        <w:t>LAUREN B. PETERS</w:t>
      </w:r>
    </w:p>
    <w:p>
      <w:pPr>
        <w:ind w:left="454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Foot Locker, Inc.:</w:t>
      </w:r>
    </w:p>
    <w:p>
      <w:pPr>
        <w:spacing w:after="0" w:line="22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hereby acknowledge our awareness of the use of our report dated December 11, 2019 related to our review of interim financial information in the following Registration Statements:</w:t>
      </w:r>
    </w:p>
    <w:p>
      <w:pPr>
        <w:spacing w:after="0" w:line="224" w:lineRule="exact"/>
        <w:rPr>
          <w:sz w:val="20"/>
          <w:szCs w:val="20"/>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638873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Richard A. Johnson, certify that:</w:t>
      </w:r>
    </w:p>
    <w:p>
      <w:pPr>
        <w:spacing w:after="0" w:line="198" w:lineRule="exact"/>
        <w:rPr>
          <w:sz w:val="20"/>
          <w:szCs w:val="20"/>
          <w:color w:val="auto"/>
        </w:rPr>
      </w:pPr>
    </w:p>
    <w:p>
      <w:pPr>
        <w:ind w:left="641" w:hanging="641"/>
        <w:spacing w:after="0"/>
        <w:tabs>
          <w:tab w:leader="none" w:pos="6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41" w:hanging="641"/>
        <w:spacing w:after="0"/>
        <w:tabs>
          <w:tab w:leader="none" w:pos="8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41" w:hanging="641"/>
        <w:spacing w:after="0"/>
        <w:tabs>
          <w:tab w:leader="none" w:pos="6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41" w:hanging="641"/>
        <w:spacing w:after="0"/>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1" w:hanging="652"/>
        <w:spacing w:after="0" w:line="239" w:lineRule="auto"/>
        <w:tabs>
          <w:tab w:leader="none" w:pos="13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1301" w:hanging="652"/>
        <w:spacing w:after="0" w:line="239" w:lineRule="auto"/>
        <w:tabs>
          <w:tab w:leader="none" w:pos="134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301" w:hanging="652"/>
        <w:spacing w:after="0"/>
        <w:tabs>
          <w:tab w:leader="none" w:pos="13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1" w:hanging="652"/>
        <w:spacing w:after="0" w:line="239" w:lineRule="auto"/>
        <w:tabs>
          <w:tab w:leader="none" w:pos="14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jc w:val="both"/>
        <w:ind w:left="641" w:hanging="641"/>
        <w:spacing w:after="0"/>
        <w:tabs>
          <w:tab w:leader="none" w:pos="6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1" w:hanging="652"/>
        <w:spacing w:after="0"/>
        <w:tabs>
          <w:tab w:leader="none" w:pos="129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1" w:hanging="652"/>
        <w:spacing w:after="0" w:line="246" w:lineRule="auto"/>
        <w:tabs>
          <w:tab w:leader="none" w:pos="131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8"/>
          <w:szCs w:val="18"/>
          <w:color w:val="auto"/>
        </w:rPr>
        <w:t>December 11, 2019</w:t>
      </w:r>
    </w:p>
    <w:p>
      <w:pPr>
        <w:ind w:left="5041"/>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-1905</wp:posOffset>
            </wp:positionV>
            <wp:extent cx="31902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1"/>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469265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Lauren B. Peters, certify that:</w:t>
      </w:r>
    </w:p>
    <w:p>
      <w:pPr>
        <w:spacing w:after="0" w:line="198" w:lineRule="exact"/>
        <w:rPr>
          <w:sz w:val="20"/>
          <w:szCs w:val="20"/>
          <w:color w:val="auto"/>
        </w:rPr>
      </w:pPr>
    </w:p>
    <w:p>
      <w:pPr>
        <w:ind w:left="641" w:hanging="641"/>
        <w:spacing w:after="0"/>
        <w:tabs>
          <w:tab w:leader="none" w:pos="6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41" w:hanging="641"/>
        <w:spacing w:after="0"/>
        <w:tabs>
          <w:tab w:leader="none" w:pos="8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41" w:hanging="641"/>
        <w:spacing w:after="0"/>
        <w:tabs>
          <w:tab w:leader="none" w:pos="6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41" w:hanging="641"/>
        <w:spacing w:after="0"/>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1" w:hanging="652"/>
        <w:spacing w:after="0" w:line="239" w:lineRule="auto"/>
        <w:tabs>
          <w:tab w:leader="none" w:pos="136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1301" w:hanging="652"/>
        <w:spacing w:after="0" w:line="239" w:lineRule="auto"/>
        <w:tabs>
          <w:tab w:leader="none" w:pos="134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301" w:hanging="652"/>
        <w:spacing w:after="0"/>
        <w:tabs>
          <w:tab w:leader="none" w:pos="13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1" w:hanging="652"/>
        <w:spacing w:after="0" w:line="239" w:lineRule="auto"/>
        <w:tabs>
          <w:tab w:leader="none" w:pos="143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jc w:val="both"/>
        <w:ind w:left="641" w:hanging="641"/>
        <w:spacing w:after="0"/>
        <w:tabs>
          <w:tab w:leader="none" w:pos="6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1" w:hanging="652"/>
        <w:spacing w:after="0"/>
        <w:tabs>
          <w:tab w:leader="none" w:pos="132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1" w:hanging="652"/>
        <w:spacing w:after="0" w:line="246" w:lineRule="auto"/>
        <w:tabs>
          <w:tab w:leader="none" w:pos="134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8"/>
          <w:szCs w:val="18"/>
          <w:color w:val="auto"/>
        </w:rPr>
        <w:t>December 11, 2019</w:t>
      </w:r>
    </w:p>
    <w:p>
      <w:pPr>
        <w:ind w:left="5041"/>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-1905</wp:posOffset>
            </wp:positionV>
            <wp:extent cx="3190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1"/>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469265</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19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November 2, 2019,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89" w:lineRule="exact"/>
        <w:rPr>
          <w:sz w:val="20"/>
          <w:szCs w:val="20"/>
          <w:color w:val="auto"/>
        </w:rPr>
      </w:pPr>
    </w:p>
    <w:p>
      <w:pPr>
        <w:ind w:left="520" w:hanging="326"/>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20" w:hanging="326"/>
        <w:spacing w:after="0" w:line="246" w:lineRule="auto"/>
        <w:tabs>
          <w:tab w:leader="none" w:pos="5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2019</w:t>
      </w:r>
    </w:p>
    <w:p>
      <w:pPr>
        <w:ind w:left="504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-1905</wp:posOffset>
            </wp:positionV>
            <wp:extent cx="31902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Richard A. Johnson</w:t>
      </w:r>
    </w:p>
    <w:p>
      <w:pPr>
        <w:ind w:left="50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-1905</wp:posOffset>
            </wp:positionV>
            <wp:extent cx="31902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Lauren B. Peters</w:t>
      </w:r>
    </w:p>
    <w:p>
      <w:pPr>
        <w:ind w:left="504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Board of Directors</w:t>
      </w:r>
    </w:p>
    <w:p>
      <w:pPr>
        <w:spacing w:after="0"/>
        <w:rPr>
          <w:sz w:val="20"/>
          <w:szCs w:val="20"/>
          <w:color w:val="auto"/>
        </w:rPr>
      </w:pPr>
      <w:r>
        <w:rPr>
          <w:rFonts w:ascii="Arial" w:cs="Arial" w:eastAsia="Arial" w:hAnsi="Arial"/>
          <w:sz w:val="18"/>
          <w:szCs w:val="18"/>
          <w:color w:val="auto"/>
        </w:rPr>
        <w:t>Foot Locker,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reviewed the condensed consolidated balance sheets of Foot Locker, Inc. and subsidiaries (the Company) as of November 2, 2019 and November 3, 2018, the related condensed consolidated statements of operations and comprehensive income for the thirteen and thirty-nine week periods ended November 2, 2019 and November 3, 2018, the related condensed consolidated statements of changes in shareholders’ equity for the thirteen and thirty-nine week periods ended November 2, 2019 and November 3, 2018 and cash flows for the thirty-nine week periods ended November 2, 2019 and November 3, 2018,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February 2, 2019, and the related consolidated statements of operations, comprehensive income, shareholders’ equity, and cash flows for the year then ended (not presented herein); and in our report dated April 2, 2019, we expressed an unqualified opinion on those consolidated financial statements. In our opinion, the information set forth in the accompanying condensed consolidated balance sheet as of February 2, 2019, is fairly stated, in all material respects, in relation to the consolidated balance sheet from which it has been derived.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discussed in Note 1 to the consolidated interim financial information, the Company changed its method of accounting for leases in 2019 due to the adoption of ASU No. 2016-02, Leases (Topic 842), as amended, effective February 3, 2019, using the optional transition method.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726440</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1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2019-12-28T01:04:02Z</dcterms:created>
  <dcterms:modified xsi:type="dcterms:W3CDTF">2019-12-28T01:04:02Z</dcterms:modified>
</cp:coreProperties>
</file>